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71A61">
      <w:pPr>
        <w:pStyle w:val="27"/>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center"/>
        <w:textAlignment w:val="auto"/>
        <w:rPr>
          <w:rFonts w:hint="eastAsia" w:ascii="宋体" w:hAnsi="宋体" w:eastAsia="宋体" w:cs="宋体"/>
          <w:b/>
          <w:color w:val="auto"/>
          <w:sz w:val="48"/>
          <w:szCs w:val="48"/>
          <w:highlight w:val="none"/>
          <w:lang w:val="en-US" w:eastAsia="zh-CN"/>
        </w:rPr>
      </w:pPr>
      <w:r>
        <w:rPr>
          <w:rFonts w:hint="eastAsia" w:ascii="宋体" w:cs="宋体"/>
          <w:b/>
          <w:color w:val="auto"/>
          <w:sz w:val="44"/>
          <w:szCs w:val="44"/>
          <w:highlight w:val="none"/>
          <w:lang w:val="en-US" w:eastAsia="zh-CN"/>
        </w:rPr>
        <w:t>阿克苏地区检验检测中心采购束纤维快速测试仪（智能纤维检测训练系统）设备项目</w:t>
      </w:r>
    </w:p>
    <w:p w14:paraId="3088FDD7">
      <w:pPr>
        <w:pStyle w:val="27"/>
        <w:ind w:left="0" w:leftChars="0" w:firstLine="0" w:firstLineChars="0"/>
        <w:jc w:val="center"/>
        <w:rPr>
          <w:rFonts w:hint="eastAsia" w:ascii="宋体" w:hAnsi="宋体" w:eastAsia="宋体" w:cs="宋体"/>
          <w:color w:val="auto"/>
          <w:sz w:val="21"/>
          <w:szCs w:val="16"/>
          <w:lang w:eastAsia="zh-CN"/>
        </w:rPr>
      </w:pPr>
      <w:r>
        <w:rPr>
          <w:rFonts w:hint="eastAsia" w:ascii="宋体" w:hAnsi="宋体" w:eastAsia="宋体" w:cs="宋体"/>
          <w:b/>
          <w:color w:val="auto"/>
          <w:sz w:val="28"/>
          <w:szCs w:val="28"/>
          <w:lang w:eastAsia="zh-CN"/>
        </w:rPr>
        <w:t>项目编号：</w:t>
      </w:r>
      <w:r>
        <w:rPr>
          <w:rFonts w:hint="eastAsia" w:ascii="宋体" w:cs="宋体"/>
          <w:b/>
          <w:color w:val="auto"/>
          <w:sz w:val="28"/>
          <w:szCs w:val="28"/>
          <w:highlight w:val="none"/>
          <w:lang w:val="en-US" w:eastAsia="zh-CN"/>
        </w:rPr>
        <w:t>(2026)823</w:t>
      </w:r>
    </w:p>
    <w:p w14:paraId="41EFB037">
      <w:pPr>
        <w:rPr>
          <w:rFonts w:hint="eastAsia"/>
        </w:rPr>
      </w:pPr>
    </w:p>
    <w:p w14:paraId="24584FE6">
      <w:pPr>
        <w:jc w:val="center"/>
        <w:rPr>
          <w:rFonts w:hint="default"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竞争性谈判文件</w:t>
      </w:r>
    </w:p>
    <w:p w14:paraId="398E9DAE">
      <w:pPr>
        <w:jc w:val="center"/>
        <w:rPr>
          <w:rFonts w:hint="eastAsia" w:ascii="宋体" w:hAnsi="宋体" w:eastAsia="宋体" w:cs="宋体"/>
          <w:color w:val="auto"/>
          <w:sz w:val="32"/>
          <w:szCs w:val="32"/>
        </w:rPr>
      </w:pPr>
    </w:p>
    <w:p w14:paraId="7A1E71AE">
      <w:pPr>
        <w:jc w:val="center"/>
        <w:rPr>
          <w:rFonts w:hint="eastAsia" w:ascii="宋体" w:hAnsi="宋体" w:eastAsia="宋体" w:cs="宋体"/>
          <w:color w:val="auto"/>
          <w:sz w:val="32"/>
          <w:szCs w:val="32"/>
          <w:lang w:eastAsia="zh-CN"/>
        </w:rPr>
      </w:pPr>
    </w:p>
    <w:p w14:paraId="529F6CF5">
      <w:pPr>
        <w:pStyle w:val="11"/>
        <w:rPr>
          <w:rFonts w:hint="eastAsia" w:ascii="宋体" w:hAnsi="宋体" w:eastAsia="宋体" w:cs="宋体"/>
          <w:color w:val="auto"/>
          <w:sz w:val="32"/>
          <w:szCs w:val="32"/>
          <w:lang w:eastAsia="zh-CN"/>
        </w:rPr>
      </w:pPr>
    </w:p>
    <w:p w14:paraId="30AF1A87">
      <w:pPr>
        <w:rPr>
          <w:rFonts w:hint="eastAsia" w:ascii="宋体" w:hAnsi="宋体" w:eastAsia="宋体" w:cs="宋体"/>
          <w:color w:val="auto"/>
          <w:sz w:val="32"/>
          <w:szCs w:val="32"/>
          <w:lang w:eastAsia="zh-CN"/>
        </w:rPr>
      </w:pPr>
    </w:p>
    <w:p w14:paraId="75B432EA">
      <w:pPr>
        <w:pStyle w:val="11"/>
        <w:rPr>
          <w:rFonts w:hint="eastAsia"/>
          <w:lang w:eastAsia="zh-CN"/>
        </w:rPr>
      </w:pPr>
    </w:p>
    <w:p w14:paraId="7970DF61">
      <w:pPr>
        <w:jc w:val="both"/>
        <w:rPr>
          <w:rFonts w:hint="eastAsia" w:ascii="宋体" w:hAnsi="宋体" w:eastAsia="宋体" w:cs="宋体"/>
          <w:color w:val="auto"/>
          <w:sz w:val="32"/>
          <w:szCs w:val="32"/>
        </w:rPr>
      </w:pPr>
    </w:p>
    <w:p w14:paraId="0B51D21F">
      <w:pPr>
        <w:jc w:val="both"/>
        <w:rPr>
          <w:rFonts w:hint="eastAsia" w:ascii="宋体" w:hAnsi="宋体" w:eastAsia="宋体" w:cs="宋体"/>
          <w:color w:val="auto"/>
          <w:sz w:val="32"/>
          <w:szCs w:val="32"/>
        </w:rPr>
      </w:pPr>
    </w:p>
    <w:p w14:paraId="461F782B">
      <w:pPr>
        <w:jc w:val="center"/>
        <w:rPr>
          <w:rFonts w:hint="eastAsia" w:ascii="宋体" w:hAnsi="宋体" w:eastAsia="宋体" w:cs="宋体"/>
          <w:color w:val="auto"/>
          <w:sz w:val="32"/>
          <w:szCs w:val="32"/>
        </w:rPr>
      </w:pPr>
    </w:p>
    <w:p w14:paraId="75D34C40">
      <w:pPr>
        <w:pStyle w:val="27"/>
        <w:ind w:left="0" w:leftChars="0" w:firstLine="0" w:firstLineChars="0"/>
        <w:rPr>
          <w:rFonts w:hint="eastAsia" w:ascii="宋体" w:hAnsi="宋体" w:eastAsia="宋体" w:cs="宋体"/>
          <w:color w:val="auto"/>
        </w:rPr>
      </w:pPr>
    </w:p>
    <w:p w14:paraId="0722883C">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宋体" w:hAnsi="宋体" w:eastAsia="宋体" w:cs="宋体"/>
          <w:b/>
          <w:color w:val="auto"/>
          <w:sz w:val="32"/>
          <w:szCs w:val="32"/>
          <w:lang w:eastAsia="zh-CN"/>
        </w:rPr>
      </w:pPr>
      <w:r>
        <w:rPr>
          <w:rFonts w:hint="eastAsia" w:ascii="宋体" w:hAnsi="宋体" w:eastAsia="宋体" w:cs="宋体"/>
          <w:b/>
          <w:color w:val="auto"/>
          <w:sz w:val="32"/>
          <w:szCs w:val="32"/>
          <w:lang w:eastAsia="zh-CN"/>
        </w:rPr>
        <w:t>采购人（</w:t>
      </w:r>
      <w:r>
        <w:rPr>
          <w:rFonts w:hint="eastAsia" w:ascii="宋体" w:hAnsi="宋体" w:eastAsia="宋体" w:cs="宋体"/>
          <w:b/>
          <w:color w:val="auto"/>
          <w:sz w:val="32"/>
          <w:szCs w:val="32"/>
          <w:lang w:val="en-US" w:eastAsia="zh-CN"/>
        </w:rPr>
        <w:t>章</w:t>
      </w:r>
      <w:r>
        <w:rPr>
          <w:rFonts w:hint="eastAsia" w:ascii="宋体" w:hAnsi="宋体" w:eastAsia="宋体" w:cs="宋体"/>
          <w:b/>
          <w:color w:val="auto"/>
          <w:sz w:val="32"/>
          <w:szCs w:val="32"/>
          <w:lang w:eastAsia="zh-CN"/>
        </w:rPr>
        <w:t>）</w:t>
      </w:r>
      <w:r>
        <w:rPr>
          <w:rFonts w:hint="eastAsia" w:ascii="宋体" w:hAnsi="宋体" w:eastAsia="宋体" w:cs="宋体"/>
          <w:b/>
          <w:color w:val="auto"/>
          <w:sz w:val="32"/>
          <w:szCs w:val="32"/>
        </w:rPr>
        <w:t>：</w:t>
      </w:r>
      <w:r>
        <w:rPr>
          <w:rFonts w:hint="eastAsia" w:cs="宋体"/>
          <w:b/>
          <w:color w:val="auto"/>
          <w:sz w:val="32"/>
          <w:szCs w:val="32"/>
          <w:lang w:eastAsia="zh-CN"/>
        </w:rPr>
        <w:t>阿克苏地区检验检测中心</w:t>
      </w:r>
    </w:p>
    <w:p w14:paraId="631AA625">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宋体" w:hAnsi="宋体" w:eastAsia="宋体" w:cs="宋体"/>
          <w:b/>
          <w:color w:val="auto"/>
          <w:sz w:val="32"/>
          <w:szCs w:val="32"/>
          <w:lang w:eastAsia="zh-CN"/>
        </w:rPr>
      </w:pPr>
      <w:r>
        <w:rPr>
          <w:rFonts w:hint="eastAsia" w:ascii="宋体" w:hAnsi="宋体" w:eastAsia="宋体" w:cs="宋体"/>
          <w:b/>
          <w:color w:val="auto"/>
          <w:sz w:val="32"/>
          <w:szCs w:val="32"/>
          <w:lang w:eastAsia="zh-CN"/>
        </w:rPr>
        <w:t>采购代理机构（</w:t>
      </w:r>
      <w:r>
        <w:rPr>
          <w:rFonts w:hint="eastAsia" w:ascii="宋体" w:hAnsi="宋体" w:eastAsia="宋体" w:cs="宋体"/>
          <w:b/>
          <w:color w:val="auto"/>
          <w:sz w:val="32"/>
          <w:szCs w:val="32"/>
          <w:lang w:val="en-US" w:eastAsia="zh-CN"/>
        </w:rPr>
        <w:t>章</w:t>
      </w:r>
      <w:r>
        <w:rPr>
          <w:rFonts w:hint="eastAsia" w:ascii="宋体" w:hAnsi="宋体" w:eastAsia="宋体" w:cs="宋体"/>
          <w:b/>
          <w:color w:val="auto"/>
          <w:sz w:val="32"/>
          <w:szCs w:val="32"/>
          <w:lang w:eastAsia="zh-CN"/>
        </w:rPr>
        <w:t>）</w:t>
      </w:r>
      <w:r>
        <w:rPr>
          <w:rFonts w:hint="eastAsia" w:ascii="宋体" w:hAnsi="宋体" w:eastAsia="宋体" w:cs="宋体"/>
          <w:b/>
          <w:color w:val="auto"/>
          <w:sz w:val="32"/>
          <w:szCs w:val="32"/>
        </w:rPr>
        <w:t>：</w:t>
      </w:r>
      <w:r>
        <w:rPr>
          <w:rFonts w:hint="eastAsia" w:cs="宋体"/>
          <w:b/>
          <w:color w:val="auto"/>
          <w:sz w:val="32"/>
          <w:szCs w:val="32"/>
          <w:lang w:eastAsia="zh-CN"/>
        </w:rPr>
        <w:t>新疆泽煜航项目管理有限公司</w:t>
      </w:r>
    </w:p>
    <w:p w14:paraId="4B20A194">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宋体" w:hAnsi="宋体" w:eastAsia="宋体" w:cs="宋体"/>
          <w:b/>
          <w:color w:val="auto"/>
          <w:sz w:val="32"/>
          <w:szCs w:val="32"/>
        </w:rPr>
      </w:pPr>
      <w:r>
        <w:rPr>
          <w:rFonts w:hint="eastAsia" w:ascii="宋体" w:hAnsi="宋体" w:eastAsia="宋体" w:cs="宋体"/>
          <w:b/>
          <w:color w:val="auto"/>
          <w:sz w:val="32"/>
          <w:szCs w:val="32"/>
        </w:rPr>
        <w:t>二Ｏ</w:t>
      </w:r>
      <w:r>
        <w:rPr>
          <w:rFonts w:hint="eastAsia" w:ascii="宋体" w:hAnsi="宋体" w:eastAsia="宋体" w:cs="宋体"/>
          <w:b/>
          <w:color w:val="auto"/>
          <w:sz w:val="32"/>
          <w:szCs w:val="32"/>
          <w:lang w:val="en-US" w:eastAsia="zh-CN"/>
        </w:rPr>
        <w:t>二六</w:t>
      </w:r>
      <w:r>
        <w:rPr>
          <w:rFonts w:hint="eastAsia" w:ascii="宋体" w:hAnsi="宋体" w:eastAsia="宋体" w:cs="宋体"/>
          <w:b/>
          <w:color w:val="auto"/>
          <w:sz w:val="32"/>
          <w:szCs w:val="32"/>
        </w:rPr>
        <w:t>年</w:t>
      </w:r>
      <w:r>
        <w:rPr>
          <w:rFonts w:hint="eastAsia" w:cs="宋体"/>
          <w:b/>
          <w:color w:val="auto"/>
          <w:sz w:val="32"/>
          <w:szCs w:val="32"/>
          <w:lang w:val="en-US" w:eastAsia="zh-CN"/>
        </w:rPr>
        <w:t>六</w:t>
      </w:r>
      <w:r>
        <w:rPr>
          <w:rFonts w:hint="eastAsia" w:ascii="宋体" w:hAnsi="宋体" w:eastAsia="宋体" w:cs="宋体"/>
          <w:b/>
          <w:color w:val="auto"/>
          <w:sz w:val="32"/>
          <w:szCs w:val="32"/>
        </w:rPr>
        <w:t>月</w:t>
      </w:r>
    </w:p>
    <w:p w14:paraId="56294544">
      <w:pPr>
        <w:pStyle w:val="35"/>
        <w:ind w:firstLine="640"/>
        <w:rPr>
          <w:rFonts w:hint="eastAsia" w:ascii="仿宋" w:hAnsi="仿宋" w:eastAsia="仿宋" w:cs="仿宋"/>
          <w:color w:val="auto"/>
          <w:sz w:val="24"/>
          <w:szCs w:val="24"/>
          <w:highlight w:val="none"/>
        </w:rPr>
      </w:pPr>
    </w:p>
    <w:p w14:paraId="29422657">
      <w:pPr>
        <w:rPr>
          <w:rFonts w:ascii="黑体" w:hAnsi="黑体" w:eastAsia="黑体"/>
          <w:color w:val="auto"/>
          <w:sz w:val="32"/>
          <w:szCs w:val="32"/>
          <w:highlight w:val="none"/>
        </w:rPr>
        <w:sectPr>
          <w:pgSz w:w="11906" w:h="16838"/>
          <w:pgMar w:top="1440" w:right="1800" w:bottom="1440" w:left="1800" w:header="851" w:footer="992" w:gutter="0"/>
          <w:pgNumType w:fmt="numberInDash"/>
          <w:cols w:space="425" w:num="1"/>
          <w:docGrid w:type="lines" w:linePitch="312" w:charSpace="0"/>
        </w:sectPr>
      </w:pPr>
    </w:p>
    <w:p w14:paraId="55100918">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目 </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w:t>
      </w:r>
    </w:p>
    <w:p w14:paraId="487832E7">
      <w:pPr>
        <w:pStyle w:val="19"/>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"1-2"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_Toc12423 </w:instrText>
      </w:r>
      <w:r>
        <w:rPr>
          <w:rFonts w:hint="eastAsia" w:ascii="宋体" w:hAnsi="宋体" w:eastAsia="宋体" w:cs="宋体"/>
          <w:sz w:val="28"/>
          <w:szCs w:val="28"/>
          <w:highlight w:val="none"/>
        </w:rPr>
        <w:fldChar w:fldCharType="separate"/>
      </w:r>
      <w:r>
        <w:rPr>
          <w:rFonts w:hint="eastAsia" w:ascii="宋体" w:hAnsi="宋体" w:eastAsia="宋体" w:cs="宋体"/>
          <w:bCs/>
          <w:kern w:val="44"/>
          <w:sz w:val="28"/>
          <w:szCs w:val="28"/>
          <w:highlight w:val="none"/>
          <w:lang w:val="en-US" w:eastAsia="zh-CN" w:bidi="ar-SA"/>
        </w:rPr>
        <w:t xml:space="preserve">第一章 </w:t>
      </w:r>
      <w:r>
        <w:rPr>
          <w:rFonts w:hint="eastAsia" w:ascii="宋体" w:hAnsi="宋体" w:eastAsia="宋体" w:cs="宋体"/>
          <w:sz w:val="28"/>
          <w:szCs w:val="28"/>
          <w:highlight w:val="none"/>
        </w:rPr>
        <w:t>竞争性</w:t>
      </w:r>
      <w:r>
        <w:rPr>
          <w:rFonts w:hint="eastAsia" w:ascii="宋体" w:hAnsi="宋体" w:eastAsia="宋体" w:cs="宋体"/>
          <w:sz w:val="28"/>
          <w:szCs w:val="28"/>
          <w:highlight w:val="none"/>
          <w:lang w:val="en-US" w:eastAsia="zh-CN"/>
        </w:rPr>
        <w:t>谈判公告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_Toc12423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0B0D3D9A">
      <w:pPr>
        <w:pStyle w:val="19"/>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_Toc6599 </w:instrText>
      </w:r>
      <w:r>
        <w:rPr>
          <w:rFonts w:hint="eastAsia" w:ascii="宋体" w:hAnsi="宋体" w:eastAsia="宋体" w:cs="宋体"/>
          <w:sz w:val="28"/>
          <w:szCs w:val="28"/>
          <w:highlight w:val="none"/>
        </w:rPr>
        <w:fldChar w:fldCharType="separate"/>
      </w:r>
      <w:r>
        <w:rPr>
          <w:rFonts w:hint="eastAsia" w:ascii="宋体" w:hAnsi="宋体" w:eastAsia="宋体" w:cs="宋体"/>
          <w:bCs/>
          <w:kern w:val="44"/>
          <w:sz w:val="28"/>
          <w:szCs w:val="28"/>
          <w:highlight w:val="none"/>
          <w:lang w:val="en-US" w:eastAsia="zh-CN" w:bidi="ar-SA"/>
        </w:rPr>
        <w:t>第二章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_Toc6599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060F33A1">
      <w:pPr>
        <w:pStyle w:val="23"/>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_Toc32561 </w:instrText>
      </w:r>
      <w:r>
        <w:rPr>
          <w:rFonts w:hint="eastAsia" w:ascii="宋体" w:hAnsi="宋体" w:eastAsia="宋体" w:cs="宋体"/>
          <w:sz w:val="28"/>
          <w:szCs w:val="28"/>
          <w:highlight w:val="none"/>
        </w:rPr>
        <w:fldChar w:fldCharType="separate"/>
      </w:r>
      <w:r>
        <w:rPr>
          <w:rFonts w:hint="eastAsia" w:ascii="宋体" w:hAnsi="宋体" w:eastAsia="宋体" w:cs="宋体"/>
          <w:bCs/>
          <w:kern w:val="2"/>
          <w:sz w:val="28"/>
          <w:szCs w:val="28"/>
          <w:highlight w:val="none"/>
          <w:lang w:val="en-US" w:eastAsia="zh-CN" w:bidi="ar-SA"/>
        </w:rPr>
        <w:t>一、供应商须知前附表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_Toc32561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39AD4F74">
      <w:pPr>
        <w:pStyle w:val="23"/>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_Toc5318 </w:instrText>
      </w:r>
      <w:r>
        <w:rPr>
          <w:rFonts w:hint="eastAsia" w:ascii="宋体" w:hAnsi="宋体" w:eastAsia="宋体" w:cs="宋体"/>
          <w:sz w:val="28"/>
          <w:szCs w:val="28"/>
          <w:highlight w:val="none"/>
        </w:rPr>
        <w:fldChar w:fldCharType="separate"/>
      </w:r>
      <w:r>
        <w:rPr>
          <w:rFonts w:hint="eastAsia" w:ascii="宋体" w:hAnsi="宋体" w:eastAsia="宋体" w:cs="宋体"/>
          <w:bCs/>
          <w:kern w:val="2"/>
          <w:sz w:val="28"/>
          <w:szCs w:val="28"/>
          <w:highlight w:val="none"/>
          <w:lang w:val="en-US" w:eastAsia="zh-CN" w:bidi="ar-SA"/>
        </w:rPr>
        <w:t>二、供应商须知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_Toc5318 \h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1C85EE22">
      <w:pPr>
        <w:pStyle w:val="19"/>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_Toc2368 </w:instrText>
      </w:r>
      <w:r>
        <w:rPr>
          <w:rFonts w:hint="eastAsia" w:ascii="宋体" w:hAnsi="宋体" w:eastAsia="宋体" w:cs="宋体"/>
          <w:sz w:val="28"/>
          <w:szCs w:val="28"/>
          <w:highlight w:val="none"/>
        </w:rPr>
        <w:fldChar w:fldCharType="separate"/>
      </w:r>
      <w:r>
        <w:rPr>
          <w:rFonts w:hint="eastAsia" w:ascii="宋体" w:hAnsi="宋体" w:eastAsia="宋体" w:cs="宋体"/>
          <w:bCs/>
          <w:kern w:val="44"/>
          <w:sz w:val="28"/>
          <w:szCs w:val="28"/>
          <w:highlight w:val="none"/>
          <w:lang w:val="en-US" w:eastAsia="zh-CN" w:bidi="ar-SA"/>
        </w:rPr>
        <w:t>第三章 项目采购需求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_Toc2368 \h </w:instrText>
      </w:r>
      <w:r>
        <w:rPr>
          <w:rFonts w:hint="eastAsia" w:ascii="宋体" w:hAnsi="宋体" w:eastAsia="宋体" w:cs="宋体"/>
          <w:sz w:val="28"/>
          <w:szCs w:val="28"/>
        </w:rPr>
        <w:fldChar w:fldCharType="separate"/>
      </w:r>
      <w:r>
        <w:rPr>
          <w:rFonts w:hint="eastAsia" w:ascii="宋体" w:hAnsi="宋体" w:eastAsia="宋体" w:cs="宋体"/>
          <w:sz w:val="28"/>
          <w:szCs w:val="28"/>
        </w:rPr>
        <w:t>38</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52E616FA">
      <w:pPr>
        <w:pStyle w:val="19"/>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_Toc14354 </w:instrText>
      </w:r>
      <w:r>
        <w:rPr>
          <w:rFonts w:hint="eastAsia" w:ascii="宋体" w:hAnsi="宋体" w:eastAsia="宋体" w:cs="宋体"/>
          <w:sz w:val="28"/>
          <w:szCs w:val="28"/>
          <w:highlight w:val="none"/>
        </w:rPr>
        <w:fldChar w:fldCharType="separate"/>
      </w:r>
      <w:r>
        <w:rPr>
          <w:rFonts w:hint="eastAsia" w:ascii="宋体" w:hAnsi="宋体" w:eastAsia="宋体" w:cs="宋体"/>
          <w:bCs/>
          <w:kern w:val="44"/>
          <w:sz w:val="28"/>
          <w:szCs w:val="28"/>
          <w:highlight w:val="none"/>
          <w:lang w:val="en-US" w:eastAsia="zh-CN" w:bidi="ar-SA"/>
        </w:rPr>
        <w:t>第四章 评审方法及标准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_Toc14354 \h </w:instrText>
      </w:r>
      <w:r>
        <w:rPr>
          <w:rFonts w:hint="eastAsia" w:ascii="宋体" w:hAnsi="宋体" w:eastAsia="宋体" w:cs="宋体"/>
          <w:sz w:val="28"/>
          <w:szCs w:val="28"/>
        </w:rPr>
        <w:fldChar w:fldCharType="separate"/>
      </w:r>
      <w:r>
        <w:rPr>
          <w:rFonts w:hint="eastAsia" w:ascii="宋体" w:hAnsi="宋体" w:eastAsia="宋体" w:cs="宋体"/>
          <w:sz w:val="28"/>
          <w:szCs w:val="28"/>
        </w:rPr>
        <w:t>44</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2439F437">
      <w:pPr>
        <w:pStyle w:val="23"/>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_Toc17162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en-US" w:eastAsia="zh-CN"/>
        </w:rPr>
        <w:t>一、</w:t>
      </w:r>
      <w:r>
        <w:rPr>
          <w:rFonts w:hint="eastAsia" w:ascii="宋体" w:hAnsi="宋体" w:eastAsia="宋体" w:cs="宋体"/>
          <w:sz w:val="28"/>
          <w:szCs w:val="28"/>
          <w:highlight w:val="none"/>
          <w:lang w:val="zh-CN" w:eastAsia="zh-CN"/>
        </w:rPr>
        <w:t>评审方法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_Toc17162 \h </w:instrText>
      </w:r>
      <w:r>
        <w:rPr>
          <w:rFonts w:hint="eastAsia" w:ascii="宋体" w:hAnsi="宋体" w:eastAsia="宋体" w:cs="宋体"/>
          <w:sz w:val="28"/>
          <w:szCs w:val="28"/>
        </w:rPr>
        <w:fldChar w:fldCharType="separate"/>
      </w:r>
      <w:r>
        <w:rPr>
          <w:rFonts w:hint="eastAsia" w:ascii="宋体" w:hAnsi="宋体" w:eastAsia="宋体" w:cs="宋体"/>
          <w:sz w:val="28"/>
          <w:szCs w:val="28"/>
        </w:rPr>
        <w:t>44</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0F2A071E">
      <w:pPr>
        <w:pStyle w:val="23"/>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_Toc26445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en-US" w:eastAsia="zh-CN"/>
        </w:rPr>
        <w:t>二、</w:t>
      </w:r>
      <w:r>
        <w:rPr>
          <w:rFonts w:hint="eastAsia" w:ascii="宋体" w:hAnsi="宋体" w:eastAsia="宋体" w:cs="宋体"/>
          <w:sz w:val="28"/>
          <w:szCs w:val="28"/>
          <w:highlight w:val="none"/>
          <w:lang w:val="zh-CN" w:eastAsia="zh-CN"/>
        </w:rPr>
        <w:t>评审程序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_Toc26445 \h </w:instrText>
      </w:r>
      <w:r>
        <w:rPr>
          <w:rFonts w:hint="eastAsia" w:ascii="宋体" w:hAnsi="宋体" w:eastAsia="宋体" w:cs="宋体"/>
          <w:sz w:val="28"/>
          <w:szCs w:val="28"/>
        </w:rPr>
        <w:fldChar w:fldCharType="separate"/>
      </w:r>
      <w:r>
        <w:rPr>
          <w:rFonts w:hint="eastAsia" w:ascii="宋体" w:hAnsi="宋体" w:eastAsia="宋体" w:cs="宋体"/>
          <w:sz w:val="28"/>
          <w:szCs w:val="28"/>
        </w:rPr>
        <w:t>44</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59A70BE5">
      <w:pPr>
        <w:pStyle w:val="23"/>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_Toc18608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en-US" w:eastAsia="zh-CN"/>
        </w:rPr>
        <w:t>三、</w:t>
      </w:r>
      <w:r>
        <w:rPr>
          <w:rFonts w:hint="eastAsia" w:ascii="宋体" w:hAnsi="宋体" w:eastAsia="宋体" w:cs="宋体"/>
          <w:sz w:val="28"/>
          <w:szCs w:val="28"/>
          <w:highlight w:val="none"/>
          <w:lang w:val="zh-CN" w:eastAsia="zh-CN"/>
        </w:rPr>
        <w:t>评审</w:t>
      </w:r>
      <w:r>
        <w:rPr>
          <w:rFonts w:hint="eastAsia" w:ascii="宋体" w:hAnsi="宋体" w:eastAsia="宋体" w:cs="宋体"/>
          <w:sz w:val="28"/>
          <w:szCs w:val="28"/>
          <w:highlight w:val="none"/>
          <w:lang w:val="en-US" w:eastAsia="zh-CN"/>
        </w:rPr>
        <w:t>其他要求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_Toc18608 \h </w:instrText>
      </w:r>
      <w:r>
        <w:rPr>
          <w:rFonts w:hint="eastAsia" w:ascii="宋体" w:hAnsi="宋体" w:eastAsia="宋体" w:cs="宋体"/>
          <w:sz w:val="28"/>
          <w:szCs w:val="28"/>
        </w:rPr>
        <w:fldChar w:fldCharType="separate"/>
      </w:r>
      <w:r>
        <w:rPr>
          <w:rFonts w:hint="eastAsia" w:ascii="宋体" w:hAnsi="宋体" w:eastAsia="宋体" w:cs="宋体"/>
          <w:sz w:val="28"/>
          <w:szCs w:val="28"/>
        </w:rPr>
        <w:t>51</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4E4EF8A1">
      <w:pPr>
        <w:pStyle w:val="23"/>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_Toc8432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en-US" w:eastAsia="zh-CN"/>
        </w:rPr>
        <w:t>四、</w:t>
      </w:r>
      <w:r>
        <w:rPr>
          <w:rFonts w:hint="eastAsia" w:ascii="宋体" w:hAnsi="宋体" w:eastAsia="宋体" w:cs="宋体"/>
          <w:sz w:val="28"/>
          <w:szCs w:val="28"/>
          <w:highlight w:val="none"/>
          <w:lang w:val="zh-CN" w:eastAsia="zh-CN"/>
        </w:rPr>
        <w:t>评审标准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_Toc8432 \h </w:instrText>
      </w:r>
      <w:r>
        <w:rPr>
          <w:rFonts w:hint="eastAsia" w:ascii="宋体" w:hAnsi="宋体" w:eastAsia="宋体" w:cs="宋体"/>
          <w:sz w:val="28"/>
          <w:szCs w:val="28"/>
        </w:rPr>
        <w:fldChar w:fldCharType="separate"/>
      </w:r>
      <w:r>
        <w:rPr>
          <w:rFonts w:hint="eastAsia" w:ascii="宋体" w:hAnsi="宋体" w:eastAsia="宋体" w:cs="宋体"/>
          <w:sz w:val="28"/>
          <w:szCs w:val="28"/>
        </w:rPr>
        <w:t>51</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4D9B3307">
      <w:pPr>
        <w:pStyle w:val="19"/>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_Toc11813 </w:instrText>
      </w:r>
      <w:r>
        <w:rPr>
          <w:rFonts w:hint="eastAsia" w:ascii="宋体" w:hAnsi="宋体" w:eastAsia="宋体" w:cs="宋体"/>
          <w:sz w:val="28"/>
          <w:szCs w:val="28"/>
          <w:highlight w:val="none"/>
        </w:rPr>
        <w:fldChar w:fldCharType="separate"/>
      </w:r>
      <w:r>
        <w:rPr>
          <w:rFonts w:hint="eastAsia" w:ascii="宋体" w:hAnsi="宋体" w:eastAsia="宋体" w:cs="宋体"/>
          <w:bCs/>
          <w:kern w:val="44"/>
          <w:sz w:val="28"/>
          <w:szCs w:val="28"/>
          <w:highlight w:val="none"/>
          <w:lang w:val="en-US" w:eastAsia="zh-CN" w:bidi="ar-SA"/>
        </w:rPr>
        <w:t xml:space="preserve">第五章 </w:t>
      </w:r>
      <w:r>
        <w:rPr>
          <w:rFonts w:hint="eastAsia" w:ascii="宋体" w:hAnsi="宋体" w:eastAsia="宋体" w:cs="宋体"/>
          <w:bCs/>
          <w:kern w:val="44"/>
          <w:sz w:val="28"/>
          <w:szCs w:val="28"/>
          <w:highlight w:val="none"/>
          <w:lang w:val="zh-CN" w:eastAsia="zh-CN" w:bidi="ar-SA"/>
        </w:rPr>
        <w:t>合同草案</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_Toc11813 \h </w:instrText>
      </w:r>
      <w:r>
        <w:rPr>
          <w:rFonts w:hint="eastAsia" w:ascii="宋体" w:hAnsi="宋体" w:eastAsia="宋体" w:cs="宋体"/>
          <w:sz w:val="28"/>
          <w:szCs w:val="28"/>
        </w:rPr>
        <w:fldChar w:fldCharType="separate"/>
      </w:r>
      <w:r>
        <w:rPr>
          <w:rFonts w:hint="eastAsia" w:ascii="宋体" w:hAnsi="宋体" w:eastAsia="宋体" w:cs="宋体"/>
          <w:sz w:val="28"/>
          <w:szCs w:val="28"/>
        </w:rPr>
        <w:t>57</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09CE44A6">
      <w:pPr>
        <w:pStyle w:val="23"/>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_Toc25367 </w:instrText>
      </w:r>
      <w:r>
        <w:rPr>
          <w:rFonts w:hint="eastAsia" w:ascii="宋体" w:hAnsi="宋体" w:eastAsia="宋体" w:cs="宋体"/>
          <w:sz w:val="28"/>
          <w:szCs w:val="28"/>
          <w:highlight w:val="none"/>
        </w:rPr>
        <w:fldChar w:fldCharType="separate"/>
      </w:r>
      <w:r>
        <w:rPr>
          <w:rFonts w:hint="eastAsia" w:ascii="宋体" w:hAnsi="宋体" w:eastAsia="宋体" w:cs="宋体"/>
          <w:bCs/>
          <w:sz w:val="28"/>
          <w:szCs w:val="28"/>
          <w:highlight w:val="none"/>
        </w:rPr>
        <w:t>第一节 政府采购合同协议书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_Toc25367 \h </w:instrText>
      </w:r>
      <w:r>
        <w:rPr>
          <w:rFonts w:hint="eastAsia" w:ascii="宋体" w:hAnsi="宋体" w:eastAsia="宋体" w:cs="宋体"/>
          <w:sz w:val="28"/>
          <w:szCs w:val="28"/>
        </w:rPr>
        <w:fldChar w:fldCharType="separate"/>
      </w:r>
      <w:r>
        <w:rPr>
          <w:rFonts w:hint="eastAsia" w:ascii="宋体" w:hAnsi="宋体" w:eastAsia="宋体" w:cs="宋体"/>
          <w:sz w:val="28"/>
          <w:szCs w:val="28"/>
        </w:rPr>
        <w:t>58</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16EE3A01">
      <w:pPr>
        <w:pStyle w:val="23"/>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_Toc4926 </w:instrText>
      </w:r>
      <w:r>
        <w:rPr>
          <w:rFonts w:hint="eastAsia" w:ascii="宋体" w:hAnsi="宋体" w:eastAsia="宋体" w:cs="宋体"/>
          <w:sz w:val="28"/>
          <w:szCs w:val="28"/>
          <w:highlight w:val="none"/>
        </w:rPr>
        <w:fldChar w:fldCharType="separate"/>
      </w:r>
      <w:r>
        <w:rPr>
          <w:rFonts w:hint="eastAsia" w:ascii="宋体" w:hAnsi="宋体" w:eastAsia="宋体" w:cs="宋体"/>
          <w:bCs/>
          <w:sz w:val="28"/>
          <w:szCs w:val="28"/>
          <w:highlight w:val="none"/>
        </w:rPr>
        <w:t>第二节 政府采购合同通用条款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_Toc4926 \h </w:instrText>
      </w:r>
      <w:r>
        <w:rPr>
          <w:rFonts w:hint="eastAsia" w:ascii="宋体" w:hAnsi="宋体" w:eastAsia="宋体" w:cs="宋体"/>
          <w:sz w:val="28"/>
          <w:szCs w:val="28"/>
        </w:rPr>
        <w:fldChar w:fldCharType="separate"/>
      </w:r>
      <w:r>
        <w:rPr>
          <w:rFonts w:hint="eastAsia" w:ascii="宋体" w:hAnsi="宋体" w:eastAsia="宋体" w:cs="宋体"/>
          <w:sz w:val="28"/>
          <w:szCs w:val="28"/>
        </w:rPr>
        <w:t>63</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6544809A">
      <w:pPr>
        <w:pStyle w:val="23"/>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_Toc10183 </w:instrText>
      </w:r>
      <w:r>
        <w:rPr>
          <w:rFonts w:hint="eastAsia" w:ascii="宋体" w:hAnsi="宋体" w:eastAsia="宋体" w:cs="宋体"/>
          <w:sz w:val="28"/>
          <w:szCs w:val="28"/>
          <w:highlight w:val="none"/>
        </w:rPr>
        <w:fldChar w:fldCharType="separate"/>
      </w:r>
      <w:r>
        <w:rPr>
          <w:rFonts w:hint="eastAsia" w:ascii="宋体" w:hAnsi="宋体" w:eastAsia="宋体" w:cs="宋体"/>
          <w:bCs/>
          <w:sz w:val="28"/>
          <w:szCs w:val="28"/>
          <w:highlight w:val="none"/>
        </w:rPr>
        <w:t>第三节 政府采购合同专用条款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_Toc10183 \h </w:instrText>
      </w:r>
      <w:r>
        <w:rPr>
          <w:rFonts w:hint="eastAsia" w:ascii="宋体" w:hAnsi="宋体" w:eastAsia="宋体" w:cs="宋体"/>
          <w:sz w:val="28"/>
          <w:szCs w:val="28"/>
        </w:rPr>
        <w:fldChar w:fldCharType="separate"/>
      </w:r>
      <w:r>
        <w:rPr>
          <w:rFonts w:hint="eastAsia" w:ascii="宋体" w:hAnsi="宋体" w:eastAsia="宋体" w:cs="宋体"/>
          <w:sz w:val="28"/>
          <w:szCs w:val="28"/>
        </w:rPr>
        <w:t>70</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326AC6A7">
      <w:pPr>
        <w:pStyle w:val="19"/>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_Toc1381 </w:instrText>
      </w:r>
      <w:r>
        <w:rPr>
          <w:rFonts w:hint="eastAsia" w:ascii="宋体" w:hAnsi="宋体" w:eastAsia="宋体" w:cs="宋体"/>
          <w:sz w:val="28"/>
          <w:szCs w:val="28"/>
          <w:highlight w:val="none"/>
        </w:rPr>
        <w:fldChar w:fldCharType="separate"/>
      </w:r>
      <w:r>
        <w:rPr>
          <w:rFonts w:hint="eastAsia" w:ascii="宋体" w:hAnsi="宋体" w:eastAsia="宋体" w:cs="宋体"/>
          <w:bCs/>
          <w:kern w:val="44"/>
          <w:sz w:val="28"/>
          <w:szCs w:val="28"/>
          <w:highlight w:val="none"/>
          <w:lang w:val="en-US" w:eastAsia="zh-CN" w:bidi="ar-SA"/>
        </w:rPr>
        <w:t xml:space="preserve">第六章 </w:t>
      </w:r>
      <w:r>
        <w:rPr>
          <w:rFonts w:hint="eastAsia" w:ascii="宋体" w:hAnsi="宋体" w:eastAsia="宋体" w:cs="宋体"/>
          <w:sz w:val="28"/>
          <w:szCs w:val="28"/>
          <w:highlight w:val="none"/>
        </w:rPr>
        <w:t>响应文件的格式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_Toc1381 \h </w:instrText>
      </w:r>
      <w:r>
        <w:rPr>
          <w:rFonts w:hint="eastAsia" w:ascii="宋体" w:hAnsi="宋体" w:eastAsia="宋体" w:cs="宋体"/>
          <w:sz w:val="28"/>
          <w:szCs w:val="28"/>
        </w:rPr>
        <w:fldChar w:fldCharType="separate"/>
      </w:r>
      <w:r>
        <w:rPr>
          <w:rFonts w:hint="eastAsia" w:ascii="宋体" w:hAnsi="宋体" w:eastAsia="宋体" w:cs="宋体"/>
          <w:sz w:val="28"/>
          <w:szCs w:val="28"/>
        </w:rPr>
        <w:t>74</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757D9F17">
      <w:pPr>
        <w:pStyle w:val="23"/>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_Toc15436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资格证明文件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_Toc15436 \h </w:instrText>
      </w:r>
      <w:r>
        <w:rPr>
          <w:rFonts w:hint="eastAsia" w:ascii="宋体" w:hAnsi="宋体" w:eastAsia="宋体" w:cs="宋体"/>
          <w:sz w:val="28"/>
          <w:szCs w:val="28"/>
        </w:rPr>
        <w:fldChar w:fldCharType="separate"/>
      </w:r>
      <w:r>
        <w:rPr>
          <w:rFonts w:hint="eastAsia" w:ascii="宋体" w:hAnsi="宋体" w:eastAsia="宋体" w:cs="宋体"/>
          <w:sz w:val="28"/>
          <w:szCs w:val="28"/>
        </w:rPr>
        <w:t>74</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0826FB31">
      <w:pPr>
        <w:pStyle w:val="23"/>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_Toc1023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en-US" w:eastAsia="zh-CN"/>
        </w:rPr>
        <w:t>报价文件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_Toc1023 \h </w:instrText>
      </w:r>
      <w:r>
        <w:rPr>
          <w:rFonts w:hint="eastAsia" w:ascii="宋体" w:hAnsi="宋体" w:eastAsia="宋体" w:cs="宋体"/>
          <w:sz w:val="28"/>
          <w:szCs w:val="28"/>
        </w:rPr>
        <w:fldChar w:fldCharType="separate"/>
      </w:r>
      <w:r>
        <w:rPr>
          <w:rFonts w:hint="eastAsia" w:ascii="宋体" w:hAnsi="宋体" w:eastAsia="宋体" w:cs="宋体"/>
          <w:sz w:val="28"/>
          <w:szCs w:val="28"/>
        </w:rPr>
        <w:t>99</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1DBADE4E">
      <w:pPr>
        <w:pStyle w:val="23"/>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_Toc5283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en-US" w:eastAsia="zh-CN"/>
        </w:rPr>
        <w:t>商务技术文件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_Toc5283 \h </w:instrText>
      </w:r>
      <w:r>
        <w:rPr>
          <w:rFonts w:hint="eastAsia" w:ascii="宋体" w:hAnsi="宋体" w:eastAsia="宋体" w:cs="宋体"/>
          <w:sz w:val="28"/>
          <w:szCs w:val="28"/>
        </w:rPr>
        <w:fldChar w:fldCharType="separate"/>
      </w:r>
      <w:r>
        <w:rPr>
          <w:rFonts w:hint="eastAsia" w:ascii="宋体" w:hAnsi="宋体" w:eastAsia="宋体" w:cs="宋体"/>
          <w:sz w:val="28"/>
          <w:szCs w:val="28"/>
        </w:rPr>
        <w:t>104</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4D90D7D4">
      <w:pPr>
        <w:spacing w:line="360" w:lineRule="auto"/>
        <w:rPr>
          <w:rFonts w:ascii="黑体" w:hAnsi="黑体" w:eastAsia="黑体"/>
          <w:color w:val="auto"/>
          <w:sz w:val="32"/>
          <w:szCs w:val="32"/>
          <w:highlight w:val="none"/>
        </w:rPr>
      </w:pPr>
      <w:r>
        <w:rPr>
          <w:rFonts w:hint="eastAsia" w:ascii="宋体" w:hAnsi="宋体" w:eastAsia="宋体" w:cs="宋体"/>
          <w:color w:val="auto"/>
          <w:sz w:val="28"/>
          <w:szCs w:val="28"/>
          <w:highlight w:val="none"/>
        </w:rPr>
        <w:fldChar w:fldCharType="end"/>
      </w:r>
    </w:p>
    <w:p w14:paraId="63C53D3C">
      <w:pPr>
        <w:jc w:val="center"/>
        <w:rPr>
          <w:rFonts w:ascii="黑体" w:hAnsi="黑体" w:eastAsia="黑体"/>
          <w:color w:val="auto"/>
          <w:sz w:val="32"/>
          <w:szCs w:val="32"/>
          <w:highlight w:val="none"/>
        </w:rPr>
        <w:sectPr>
          <w:headerReference r:id="rId5" w:type="default"/>
          <w:pgSz w:w="11906" w:h="16838"/>
          <w:pgMar w:top="1440" w:right="1800" w:bottom="1440" w:left="1800" w:header="851" w:footer="992" w:gutter="0"/>
          <w:pgNumType w:fmt="numberInDash"/>
          <w:cols w:space="425" w:num="1"/>
          <w:docGrid w:type="lines" w:linePitch="312" w:charSpace="0"/>
        </w:sectPr>
      </w:pPr>
    </w:p>
    <w:p w14:paraId="0DDCC6E5">
      <w:pPr>
        <w:pStyle w:val="2"/>
        <w:keepNext/>
        <w:keepLines/>
        <w:pageBreakBefore w:val="0"/>
        <w:widowControl w:val="0"/>
        <w:numPr>
          <w:ilvl w:val="0"/>
          <w:numId w:val="0"/>
        </w:numPr>
        <w:kinsoku/>
        <w:wordWrap/>
        <w:overflowPunct/>
        <w:topLinePunct w:val="0"/>
        <w:autoSpaceDE/>
        <w:autoSpaceDN/>
        <w:bidi w:val="0"/>
        <w:adjustRightInd/>
        <w:snapToGrid/>
        <w:spacing w:before="100" w:after="90" w:line="360" w:lineRule="auto"/>
        <w:ind w:left="420" w:leftChars="0" w:hanging="420" w:firstLineChars="0"/>
        <w:textAlignment w:val="auto"/>
        <w:rPr>
          <w:color w:val="auto"/>
          <w:highlight w:val="none"/>
        </w:rPr>
      </w:pPr>
      <w:bookmarkStart w:id="0" w:name="_Toc27583"/>
      <w:bookmarkStart w:id="1" w:name="_Toc12423"/>
      <w:r>
        <w:rPr>
          <w:rFonts w:hint="eastAsia" w:ascii="宋体" w:hAnsi="宋体" w:eastAsia="宋体" w:cs="宋体"/>
          <w:b/>
          <w:bCs/>
          <w:color w:val="auto"/>
          <w:kern w:val="44"/>
          <w:sz w:val="36"/>
          <w:szCs w:val="36"/>
          <w:highlight w:val="none"/>
          <w:lang w:val="en-US" w:eastAsia="zh-CN" w:bidi="ar-SA"/>
        </w:rPr>
        <w:t xml:space="preserve">第一章 </w:t>
      </w:r>
      <w:r>
        <w:rPr>
          <w:rFonts w:hint="eastAsia" w:ascii="宋体" w:hAnsi="宋体" w:eastAsia="宋体" w:cs="宋体"/>
          <w:color w:val="auto"/>
          <w:sz w:val="36"/>
          <w:szCs w:val="36"/>
          <w:highlight w:val="none"/>
        </w:rPr>
        <w:t>竞争性</w:t>
      </w:r>
      <w:r>
        <w:rPr>
          <w:rFonts w:hint="eastAsia" w:eastAsia="宋体" w:cs="宋体"/>
          <w:color w:val="auto"/>
          <w:sz w:val="36"/>
          <w:szCs w:val="36"/>
          <w:highlight w:val="none"/>
          <w:lang w:val="en-US" w:eastAsia="zh-CN"/>
        </w:rPr>
        <w:t>谈判</w:t>
      </w:r>
      <w:r>
        <w:rPr>
          <w:rFonts w:hint="eastAsia" w:ascii="宋体" w:hAnsi="宋体" w:eastAsia="宋体" w:cs="宋体"/>
          <w:color w:val="auto"/>
          <w:sz w:val="36"/>
          <w:szCs w:val="36"/>
          <w:highlight w:val="none"/>
          <w:lang w:val="en-US" w:eastAsia="zh-CN"/>
        </w:rPr>
        <w:t>公告</w:t>
      </w:r>
      <w:bookmarkEnd w:id="0"/>
      <w:bookmarkEnd w:id="1"/>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756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14:paraId="66770E71">
            <w:pPr>
              <w:rPr>
                <w:rFonts w:hint="eastAsia"/>
                <w:lang w:val="en-US" w:eastAsia="zh-CN"/>
              </w:rPr>
            </w:pPr>
            <w:bookmarkStart w:id="2" w:name="_Toc19242"/>
            <w:bookmarkStart w:id="3" w:name="_Toc10432"/>
            <w:bookmarkStart w:id="4" w:name="_Toc6986"/>
            <w:bookmarkStart w:id="5" w:name="_Toc140132745"/>
            <w:bookmarkStart w:id="6" w:name="_Toc109899410"/>
            <w:bookmarkStart w:id="7" w:name="_Toc109900248"/>
            <w:bookmarkStart w:id="8" w:name="_Toc163492812"/>
            <w:bookmarkStart w:id="9" w:name="_Toc35393798"/>
            <w:bookmarkStart w:id="10" w:name="_Toc28359012"/>
            <w:bookmarkStart w:id="11" w:name="_Toc28359089"/>
            <w:bookmarkStart w:id="12" w:name="_Toc109899829"/>
            <w:bookmarkStart w:id="13" w:name="_Toc35393629"/>
            <w:bookmarkStart w:id="14" w:name="_Toc155185860"/>
            <w:bookmarkStart w:id="15" w:name="_Toc44583628"/>
            <w:r>
              <w:rPr>
                <w:rFonts w:hint="eastAsia"/>
                <w:lang w:val="en-US" w:eastAsia="zh-CN"/>
              </w:rPr>
              <w:t>项目概况：</w:t>
            </w:r>
            <w:bookmarkEnd w:id="2"/>
            <w:bookmarkEnd w:id="3"/>
            <w:bookmarkEnd w:id="4"/>
          </w:p>
          <w:p w14:paraId="6E3F83A4">
            <w:pPr>
              <w:ind w:firstLine="480" w:firstLineChars="200"/>
              <w:rPr>
                <w:rFonts w:hint="default"/>
                <w:color w:val="auto"/>
                <w:highlight w:val="none"/>
                <w:lang w:val="en-US" w:eastAsia="zh-CN"/>
              </w:rPr>
            </w:pP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阿克苏地区检验检测中心采购束纤维快速测试仪（智能纤维检测训练系统）设备项目 </w:t>
            </w:r>
            <w:r>
              <w:rPr>
                <w:rFonts w:hint="default" w:ascii="宋体" w:hAnsi="宋体" w:eastAsia="宋体" w:cstheme="minorBidi"/>
                <w:i w:val="0"/>
                <w:iCs w:val="0"/>
                <w:color w:val="auto"/>
                <w:kern w:val="2"/>
                <w:sz w:val="24"/>
                <w:szCs w:val="22"/>
                <w:highlight w:val="none"/>
                <w:u w:val="none"/>
                <w:lang w:val="en-US" w:eastAsia="zh-CN" w:bidi="ar-SA"/>
              </w:rPr>
              <w:t>采购项目的潜在供应商应在</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政采云平台线上</w:t>
            </w:r>
            <w:r>
              <w:rPr>
                <w:rFonts w:hint="default" w:ascii="宋体" w:hAnsi="宋体" w:eastAsia="宋体" w:cstheme="minorBidi"/>
                <w:i w:val="0"/>
                <w:iCs w:val="0"/>
                <w:color w:val="auto"/>
                <w:kern w:val="2"/>
                <w:sz w:val="24"/>
                <w:szCs w:val="22"/>
                <w:highlight w:val="none"/>
                <w:u w:val="none"/>
                <w:lang w:val="en-US" w:eastAsia="zh-CN" w:bidi="ar-SA"/>
              </w:rPr>
              <w:t>获取采购文件，并于</w:t>
            </w:r>
            <w:r>
              <w:rPr>
                <w:rFonts w:hint="eastAsia" w:cstheme="minorBidi"/>
                <w:iCs/>
                <w:color w:val="auto"/>
                <w:kern w:val="2"/>
                <w:sz w:val="24"/>
                <w:szCs w:val="24"/>
                <w:highlight w:val="none"/>
                <w:u w:val="single"/>
                <w:shd w:val="clear" w:color="auto" w:fill="FFFFFF" w:themeFill="background1"/>
                <w:lang w:val="en-US" w:eastAsia="zh-CN" w:bidi="ar-SA"/>
              </w:rPr>
              <w:t>2026</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年</w:t>
            </w:r>
            <w:r>
              <w:rPr>
                <w:rFonts w:hint="eastAsia" w:cstheme="minorBidi"/>
                <w:iCs/>
                <w:color w:val="auto"/>
                <w:kern w:val="2"/>
                <w:sz w:val="24"/>
                <w:szCs w:val="24"/>
                <w:highlight w:val="none"/>
                <w:u w:val="single"/>
                <w:shd w:val="clear" w:color="auto" w:fill="FFFFFF" w:themeFill="background1"/>
                <w:lang w:val="en-US" w:eastAsia="zh-CN" w:bidi="ar-SA"/>
              </w:rPr>
              <w:t>7</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月 </w:t>
            </w:r>
            <w:r>
              <w:rPr>
                <w:rFonts w:hint="eastAsia" w:cstheme="minorBidi"/>
                <w:iCs/>
                <w:color w:val="auto"/>
                <w:kern w:val="2"/>
                <w:sz w:val="24"/>
                <w:szCs w:val="24"/>
                <w:highlight w:val="none"/>
                <w:u w:val="single"/>
                <w:shd w:val="clear" w:color="auto" w:fill="FFFFFF" w:themeFill="background1"/>
                <w:lang w:val="en-US" w:eastAsia="zh-CN" w:bidi="ar-SA"/>
              </w:rPr>
              <w:t>1</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日</w:t>
            </w:r>
            <w:r>
              <w:rPr>
                <w:rFonts w:hint="eastAsia" w:cstheme="minorBidi"/>
                <w:iCs/>
                <w:color w:val="auto"/>
                <w:kern w:val="2"/>
                <w:sz w:val="24"/>
                <w:szCs w:val="24"/>
                <w:highlight w:val="none"/>
                <w:u w:val="single"/>
                <w:shd w:val="clear" w:color="auto" w:fill="FFFFFF" w:themeFill="background1"/>
                <w:lang w:val="en-US" w:eastAsia="zh-CN" w:bidi="ar-SA"/>
              </w:rPr>
              <w:t>11:00</w:t>
            </w:r>
            <w:r>
              <w:rPr>
                <w:rFonts w:hint="eastAsia" w:ascii="宋体" w:hAnsi="宋体" w:eastAsia="宋体" w:cstheme="minorBidi"/>
                <w:iCs/>
                <w:color w:val="auto"/>
                <w:kern w:val="2"/>
                <w:sz w:val="24"/>
                <w:szCs w:val="24"/>
                <w:highlight w:val="none"/>
                <w:shd w:val="clear" w:color="auto" w:fill="FFFFFF" w:themeFill="background1"/>
                <w:lang w:val="hr-HR" w:eastAsia="zh-CN" w:bidi="ar-SA"/>
              </w:rPr>
              <w:t>（北京时间）</w:t>
            </w:r>
            <w:r>
              <w:rPr>
                <w:rFonts w:hint="default" w:ascii="宋体" w:hAnsi="宋体" w:eastAsia="宋体" w:cstheme="minorBidi"/>
                <w:i w:val="0"/>
                <w:iCs w:val="0"/>
                <w:color w:val="auto"/>
                <w:kern w:val="2"/>
                <w:sz w:val="24"/>
                <w:szCs w:val="22"/>
                <w:highlight w:val="none"/>
                <w:u w:val="none"/>
                <w:lang w:val="en-US" w:eastAsia="zh-CN" w:bidi="ar-SA"/>
              </w:rPr>
              <w:t>前提交响应文件。</w:t>
            </w:r>
          </w:p>
        </w:tc>
      </w:tr>
    </w:tbl>
    <w:p w14:paraId="4072DEF0">
      <w:pPr>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outlineLvl w:val="9"/>
        <w:rPr>
          <w:rFonts w:hint="eastAsia" w:ascii="宋体" w:hAnsi="宋体" w:eastAsia="宋体" w:cs="宋体"/>
          <w:color w:val="auto"/>
          <w:sz w:val="24"/>
          <w:szCs w:val="24"/>
          <w:highlight w:val="none"/>
          <w:lang w:val="hr-HR"/>
        </w:rPr>
      </w:pPr>
      <w:bookmarkStart w:id="16" w:name="_Toc7440"/>
      <w:bookmarkStart w:id="17" w:name="_Toc12894"/>
      <w:r>
        <w:rPr>
          <w:rFonts w:hint="eastAsia" w:ascii="宋体" w:hAnsi="宋体" w:eastAsia="宋体" w:cs="宋体"/>
          <w:b/>
          <w:bCs/>
          <w:color w:val="auto"/>
          <w:kern w:val="2"/>
          <w:sz w:val="24"/>
          <w:szCs w:val="24"/>
          <w:highlight w:val="none"/>
          <w:lang w:val="hr-HR" w:eastAsia="zh-CN" w:bidi="ar-SA"/>
        </w:rPr>
        <w:t>一、</w:t>
      </w:r>
      <w:r>
        <w:rPr>
          <w:rFonts w:hint="eastAsia" w:ascii="宋体" w:hAnsi="宋体" w:eastAsia="宋体" w:cs="宋体"/>
          <w:color w:val="auto"/>
          <w:sz w:val="24"/>
          <w:szCs w:val="24"/>
          <w:highlight w:val="none"/>
          <w:lang w:val="hr-HR"/>
        </w:rPr>
        <w:t>项目基本情况</w:t>
      </w:r>
      <w:bookmarkEnd w:id="5"/>
      <w:bookmarkEnd w:id="6"/>
      <w:bookmarkEnd w:id="7"/>
      <w:bookmarkEnd w:id="8"/>
      <w:bookmarkEnd w:id="9"/>
      <w:bookmarkEnd w:id="10"/>
      <w:bookmarkEnd w:id="11"/>
      <w:bookmarkEnd w:id="12"/>
      <w:bookmarkEnd w:id="13"/>
      <w:bookmarkEnd w:id="14"/>
      <w:bookmarkEnd w:id="15"/>
      <w:bookmarkEnd w:id="16"/>
      <w:bookmarkEnd w:id="17"/>
    </w:p>
    <w:p w14:paraId="5E3A1EB6">
      <w:pPr>
        <w:pStyle w:val="35"/>
        <w:outlineLvl w:val="9"/>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rPr>
        <w:t>项目编号：</w:t>
      </w:r>
      <w:r>
        <w:rPr>
          <w:rFonts w:hint="eastAsia" w:ascii="宋体" w:hAnsi="宋体" w:eastAsia="宋体" w:cs="宋体"/>
          <w:i w:val="0"/>
          <w:iCs w:val="0"/>
          <w:color w:val="auto"/>
          <w:sz w:val="24"/>
          <w:szCs w:val="24"/>
          <w:highlight w:val="none"/>
          <w:lang w:val="hr-HR" w:eastAsia="zh-CN"/>
        </w:rPr>
        <w:t>(2026)823</w:t>
      </w:r>
    </w:p>
    <w:p w14:paraId="544AA4B7">
      <w:pPr>
        <w:pStyle w:val="35"/>
        <w:outlineLvl w:val="9"/>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rPr>
        <w:t>项目名称：</w:t>
      </w:r>
      <w:r>
        <w:rPr>
          <w:rFonts w:hint="eastAsia" w:cs="宋体"/>
          <w:color w:val="auto"/>
          <w:sz w:val="24"/>
          <w:szCs w:val="24"/>
          <w:highlight w:val="none"/>
          <w:u w:val="none"/>
          <w:lang w:eastAsia="zh-CN"/>
        </w:rPr>
        <w:t>阿克苏地区检验检测中心采购束纤维快速测试仪（智能纤维检测训练系统）设备项目</w:t>
      </w:r>
    </w:p>
    <w:p w14:paraId="3CE35A7E">
      <w:pPr>
        <w:pStyle w:val="35"/>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val="en-US" w:eastAsia="zh-CN"/>
        </w:rPr>
        <w:t>竞争性</w:t>
      </w:r>
      <w:r>
        <w:rPr>
          <w:rFonts w:hint="eastAsia" w:cs="宋体"/>
          <w:color w:val="auto"/>
          <w:sz w:val="24"/>
          <w:szCs w:val="24"/>
          <w:highlight w:val="none"/>
          <w:lang w:val="en-US" w:eastAsia="zh-CN"/>
        </w:rPr>
        <w:t>谈判</w:t>
      </w:r>
    </w:p>
    <w:p w14:paraId="78A90596">
      <w:pPr>
        <w:pStyle w:val="35"/>
        <w:outlineLvl w:val="9"/>
        <w:rPr>
          <w:rFonts w:hint="eastAsia" w:ascii="宋体" w:hAnsi="宋体" w:eastAsia="宋体" w:cs="宋体"/>
          <w:color w:val="auto"/>
          <w:sz w:val="24"/>
          <w:szCs w:val="24"/>
          <w:highlight w:val="none"/>
          <w:u w:val="none"/>
          <w:lang w:val="hr-HR"/>
        </w:rPr>
      </w:pPr>
      <w:r>
        <w:rPr>
          <w:rFonts w:hint="eastAsia" w:ascii="宋体" w:hAnsi="宋体" w:eastAsia="宋体" w:cs="宋体"/>
          <w:color w:val="auto"/>
          <w:sz w:val="24"/>
          <w:szCs w:val="24"/>
          <w:highlight w:val="none"/>
          <w:u w:val="none"/>
          <w:lang w:val="hr-HR"/>
        </w:rPr>
        <w:t>预算金额：</w:t>
      </w:r>
      <w:r>
        <w:rPr>
          <w:rFonts w:hint="eastAsia" w:ascii="宋体" w:hAnsi="宋体" w:eastAsia="宋体" w:cs="宋体"/>
          <w:color w:val="auto"/>
          <w:sz w:val="24"/>
          <w:szCs w:val="24"/>
          <w:highlight w:val="none"/>
          <w:u w:val="none"/>
        </w:rPr>
        <w:t>1580000.00</w:t>
      </w:r>
    </w:p>
    <w:p w14:paraId="7851BE2C">
      <w:pPr>
        <w:pStyle w:val="35"/>
        <w:outlineLvl w:val="9"/>
        <w:rPr>
          <w:rFonts w:hint="eastAsia" w:ascii="宋体" w:hAnsi="宋体" w:eastAsia="宋体" w:cs="宋体"/>
          <w:color w:val="auto"/>
          <w:sz w:val="24"/>
          <w:szCs w:val="24"/>
          <w:highlight w:val="none"/>
          <w:u w:val="none"/>
          <w:lang w:val="hr-HR"/>
        </w:rPr>
      </w:pPr>
      <w:r>
        <w:rPr>
          <w:rFonts w:hint="eastAsia" w:ascii="宋体" w:hAnsi="宋体" w:eastAsia="宋体" w:cs="宋体"/>
          <w:color w:val="auto"/>
          <w:sz w:val="24"/>
          <w:szCs w:val="24"/>
          <w:highlight w:val="none"/>
          <w:u w:val="none"/>
        </w:rPr>
        <w:t>最高限价</w:t>
      </w:r>
      <w:r>
        <w:rPr>
          <w:rFonts w:hint="eastAsia" w:ascii="宋体" w:hAnsi="宋体" w:eastAsia="宋体" w:cs="宋体"/>
          <w:color w:val="auto"/>
          <w:sz w:val="24"/>
          <w:szCs w:val="24"/>
          <w:highlight w:val="none"/>
          <w:u w:val="none"/>
          <w:lang w:val="hr-HR"/>
        </w:rPr>
        <w:t>：1580000.00</w:t>
      </w:r>
    </w:p>
    <w:p w14:paraId="601A9C8F">
      <w:pPr>
        <w:ind w:firstLine="480" w:firstLineChars="200"/>
        <w:outlineLvl w:val="9"/>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sz w:val="24"/>
          <w:szCs w:val="24"/>
          <w:highlight w:val="none"/>
          <w:lang w:val="hr-HR"/>
        </w:rPr>
        <w:t>采购需求：</w:t>
      </w:r>
    </w:p>
    <w:p w14:paraId="3139676E">
      <w:pPr>
        <w:ind w:firstLine="480" w:firstLineChars="200"/>
        <w:outlineLvl w:val="9"/>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 xml:space="preserve">标项名称： </w:t>
      </w:r>
      <w:r>
        <w:rPr>
          <w:rFonts w:hint="eastAsia" w:cs="宋体"/>
          <w:i w:val="0"/>
          <w:iCs w:val="0"/>
          <w:color w:val="auto"/>
          <w:kern w:val="2"/>
          <w:sz w:val="24"/>
          <w:szCs w:val="24"/>
          <w:highlight w:val="none"/>
          <w:u w:val="none"/>
          <w:lang w:val="en-US" w:eastAsia="zh-CN" w:bidi="ar-SA"/>
        </w:rPr>
        <w:t>阿克苏地区检验检测中心采购束纤维快速测试仪（智能纤维检测训练系统）设备项目</w:t>
      </w:r>
      <w:r>
        <w:rPr>
          <w:rFonts w:hint="eastAsia" w:ascii="宋体" w:hAnsi="宋体" w:eastAsia="宋体" w:cs="宋体"/>
          <w:i w:val="0"/>
          <w:iCs w:val="0"/>
          <w:color w:val="auto"/>
          <w:kern w:val="2"/>
          <w:sz w:val="24"/>
          <w:szCs w:val="24"/>
          <w:highlight w:val="none"/>
          <w:u w:val="none"/>
          <w:lang w:val="en-US" w:eastAsia="zh-CN" w:bidi="ar-SA"/>
        </w:rPr>
        <w:t xml:space="preserve"> </w:t>
      </w:r>
    </w:p>
    <w:p w14:paraId="161F3857">
      <w:pPr>
        <w:ind w:firstLine="480" w:firstLineChars="200"/>
        <w:outlineLvl w:val="9"/>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 xml:space="preserve">数量： 1 </w:t>
      </w:r>
    </w:p>
    <w:p w14:paraId="0AAB6D8C">
      <w:pPr>
        <w:ind w:firstLine="480" w:firstLineChars="200"/>
        <w:outlineLvl w:val="9"/>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预算金额（元）：</w:t>
      </w:r>
      <w:r>
        <w:rPr>
          <w:rFonts w:hint="eastAsia" w:ascii="宋体" w:hAnsi="宋体" w:eastAsia="宋体" w:cs="宋体"/>
          <w:color w:val="auto"/>
          <w:sz w:val="24"/>
          <w:szCs w:val="24"/>
          <w:highlight w:val="none"/>
          <w:u w:val="none"/>
          <w:lang w:val="hr-HR"/>
        </w:rPr>
        <w:t>1580000.00</w:t>
      </w:r>
      <w:r>
        <w:rPr>
          <w:rFonts w:hint="eastAsia" w:ascii="宋体" w:hAnsi="宋体" w:eastAsia="宋体" w:cs="宋体"/>
          <w:i w:val="0"/>
          <w:iCs w:val="0"/>
          <w:color w:val="auto"/>
          <w:kern w:val="2"/>
          <w:sz w:val="24"/>
          <w:szCs w:val="24"/>
          <w:highlight w:val="none"/>
          <w:u w:val="none"/>
          <w:lang w:val="en-US" w:eastAsia="zh-CN" w:bidi="ar-SA"/>
        </w:rPr>
        <w:t xml:space="preserve">  </w:t>
      </w:r>
    </w:p>
    <w:p w14:paraId="36E0A5DF">
      <w:pPr>
        <w:ind w:firstLine="480" w:firstLineChars="200"/>
        <w:outlineLvl w:val="9"/>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单位：</w:t>
      </w:r>
      <w:r>
        <w:rPr>
          <w:rFonts w:hint="eastAsia" w:cs="宋体"/>
          <w:i w:val="0"/>
          <w:iCs w:val="0"/>
          <w:color w:val="auto"/>
          <w:kern w:val="2"/>
          <w:sz w:val="24"/>
          <w:szCs w:val="24"/>
          <w:highlight w:val="none"/>
          <w:u w:val="none"/>
          <w:lang w:val="en-US" w:eastAsia="zh-CN" w:bidi="ar-SA"/>
        </w:rPr>
        <w:t>台</w:t>
      </w:r>
    </w:p>
    <w:p w14:paraId="13716D9B">
      <w:pPr>
        <w:ind w:firstLine="480" w:firstLineChars="200"/>
        <w:outlineLvl w:val="9"/>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简要规格描述：采购束纤维快速测试仪设备1台（详见</w:t>
      </w:r>
      <w:r>
        <w:rPr>
          <w:rFonts w:hint="eastAsia" w:cs="宋体"/>
          <w:i w:val="0"/>
          <w:iCs w:val="0"/>
          <w:color w:val="auto"/>
          <w:kern w:val="2"/>
          <w:sz w:val="24"/>
          <w:szCs w:val="24"/>
          <w:highlight w:val="none"/>
          <w:u w:val="none"/>
          <w:lang w:val="en-US" w:eastAsia="zh-CN" w:bidi="ar-SA"/>
        </w:rPr>
        <w:t>采购文件</w:t>
      </w:r>
      <w:r>
        <w:rPr>
          <w:rFonts w:hint="eastAsia" w:ascii="宋体" w:hAnsi="宋体" w:eastAsia="宋体" w:cs="宋体"/>
          <w:i w:val="0"/>
          <w:iCs w:val="0"/>
          <w:color w:val="auto"/>
          <w:kern w:val="2"/>
          <w:sz w:val="24"/>
          <w:szCs w:val="24"/>
          <w:highlight w:val="none"/>
          <w:u w:val="none"/>
          <w:lang w:val="en-US" w:eastAsia="zh-CN" w:bidi="ar-SA"/>
        </w:rPr>
        <w:t xml:space="preserve">第三章项目采购需求） </w:t>
      </w:r>
    </w:p>
    <w:p w14:paraId="210B8346">
      <w:pPr>
        <w:ind w:firstLine="480" w:firstLineChars="200"/>
        <w:outlineLvl w:val="9"/>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 xml:space="preserve"> 备注：</w:t>
      </w:r>
      <w:r>
        <w:rPr>
          <w:rFonts w:hint="eastAsia" w:cs="宋体"/>
          <w:i w:val="0"/>
          <w:iCs w:val="0"/>
          <w:color w:val="auto"/>
          <w:kern w:val="2"/>
          <w:sz w:val="24"/>
          <w:szCs w:val="24"/>
          <w:highlight w:val="none"/>
          <w:u w:val="none"/>
          <w:lang w:val="en-US" w:eastAsia="zh-CN" w:bidi="ar-SA"/>
        </w:rPr>
        <w:t>/</w:t>
      </w:r>
    </w:p>
    <w:p w14:paraId="56FBF6DA">
      <w:pPr>
        <w:pStyle w:val="35"/>
        <w:keepNext w:val="0"/>
        <w:keepLines w:val="0"/>
        <w:pageBreakBefore w:val="0"/>
        <w:widowControl w:val="0"/>
        <w:kinsoku/>
        <w:wordWrap w:val="0"/>
        <w:overflowPunct/>
        <w:topLinePunct w:val="0"/>
        <w:autoSpaceDE/>
        <w:autoSpaceDN/>
        <w:bidi w:val="0"/>
        <w:adjustRightInd/>
        <w:snapToGrid/>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r>
        <w:rPr>
          <w:rFonts w:hint="eastAsia" w:ascii="宋体" w:hAnsi="宋体" w:eastAsia="宋体" w:cs="宋体"/>
          <w:color w:val="auto"/>
          <w:sz w:val="24"/>
          <w:szCs w:val="24"/>
          <w:highlight w:val="none"/>
          <w:u w:val="none"/>
        </w:rPr>
        <w:t>自合同签订起60天。</w:t>
      </w:r>
    </w:p>
    <w:p w14:paraId="08DFAE05">
      <w:pPr>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80" w:leftChars="200" w:firstLine="60" w:firstLineChars="25"/>
        <w:textAlignment w:val="auto"/>
        <w:outlineLvl w:val="9"/>
        <w:rPr>
          <w:rFonts w:hint="eastAsia" w:ascii="宋体" w:hAnsi="宋体" w:eastAsia="宋体" w:cs="宋体"/>
          <w:b w:val="0"/>
          <w:bCs w:val="0"/>
          <w:color w:val="auto"/>
          <w:kern w:val="2"/>
          <w:sz w:val="24"/>
          <w:szCs w:val="24"/>
          <w:highlight w:val="none"/>
          <w:u w:val="none"/>
          <w:lang w:val="en-US" w:eastAsia="zh-CN" w:bidi="ar-SA"/>
        </w:rPr>
      </w:pPr>
      <w:bookmarkStart w:id="18" w:name="_Toc18424"/>
      <w:bookmarkStart w:id="19" w:name="_Toc28359013"/>
      <w:bookmarkStart w:id="20" w:name="_Toc155185861"/>
      <w:bookmarkStart w:id="21" w:name="_Toc109899830"/>
      <w:bookmarkStart w:id="22" w:name="_Toc109899411"/>
      <w:bookmarkStart w:id="23" w:name="_Toc163492813"/>
      <w:bookmarkStart w:id="24" w:name="_Toc140132746"/>
      <w:bookmarkStart w:id="25" w:name="_Toc5661"/>
      <w:bookmarkStart w:id="26" w:name="_Toc44583629"/>
      <w:bookmarkStart w:id="27" w:name="_Toc109900249"/>
      <w:bookmarkStart w:id="28" w:name="_Toc35393630"/>
      <w:bookmarkStart w:id="29" w:name="_Toc35393799"/>
      <w:bookmarkStart w:id="30" w:name="_Toc28359090"/>
      <w:r>
        <w:rPr>
          <w:rFonts w:hint="eastAsia" w:ascii="宋体" w:hAnsi="宋体" w:eastAsia="宋体" w:cs="宋体"/>
          <w:b w:val="0"/>
          <w:bCs w:val="0"/>
          <w:color w:val="auto"/>
          <w:kern w:val="2"/>
          <w:sz w:val="24"/>
          <w:szCs w:val="24"/>
          <w:highlight w:val="none"/>
          <w:u w:val="none"/>
          <w:lang w:val="en-US" w:eastAsia="zh-CN" w:bidi="ar-SA"/>
        </w:rPr>
        <w:t>本项目（否）接受联合体投标。</w:t>
      </w:r>
    </w:p>
    <w:p w14:paraId="1EEB1622">
      <w:pPr>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outlineLvl w:val="9"/>
        <w:rPr>
          <w:rFonts w:hint="eastAsia" w:ascii="宋体" w:hAnsi="宋体" w:eastAsia="宋体" w:cs="宋体"/>
          <w:b/>
          <w:bCs/>
          <w:color w:val="auto"/>
          <w:kern w:val="2"/>
          <w:sz w:val="24"/>
          <w:szCs w:val="24"/>
          <w:highlight w:val="none"/>
          <w:lang w:val="hr-HR" w:eastAsia="zh-CN" w:bidi="ar-SA"/>
        </w:rPr>
      </w:pPr>
      <w:r>
        <w:rPr>
          <w:rFonts w:hint="eastAsia" w:ascii="宋体" w:hAnsi="宋体" w:eastAsia="宋体" w:cs="宋体"/>
          <w:b/>
          <w:bCs/>
          <w:color w:val="auto"/>
          <w:kern w:val="2"/>
          <w:sz w:val="24"/>
          <w:szCs w:val="24"/>
          <w:highlight w:val="none"/>
          <w:lang w:val="en-US" w:eastAsia="zh-CN" w:bidi="ar-SA"/>
        </w:rPr>
        <w:t>二、申请人的</w:t>
      </w:r>
      <w:r>
        <w:rPr>
          <w:rFonts w:hint="eastAsia" w:ascii="宋体" w:hAnsi="宋体" w:eastAsia="宋体" w:cs="宋体"/>
          <w:b/>
          <w:bCs/>
          <w:color w:val="auto"/>
          <w:kern w:val="2"/>
          <w:sz w:val="24"/>
          <w:szCs w:val="24"/>
          <w:highlight w:val="none"/>
          <w:lang w:val="hr-HR" w:eastAsia="zh-CN" w:bidi="ar-SA"/>
        </w:rPr>
        <w:t>资格要求</w:t>
      </w:r>
      <w:bookmarkEnd w:id="18"/>
      <w:bookmarkEnd w:id="19"/>
      <w:bookmarkEnd w:id="20"/>
      <w:bookmarkEnd w:id="21"/>
      <w:bookmarkEnd w:id="22"/>
      <w:bookmarkEnd w:id="23"/>
      <w:bookmarkEnd w:id="24"/>
      <w:bookmarkEnd w:id="25"/>
      <w:bookmarkEnd w:id="26"/>
      <w:bookmarkEnd w:id="27"/>
      <w:bookmarkEnd w:id="28"/>
      <w:bookmarkEnd w:id="29"/>
      <w:bookmarkEnd w:id="30"/>
    </w:p>
    <w:p w14:paraId="25378D5E">
      <w:pPr>
        <w:pStyle w:val="35"/>
        <w:outlineLvl w:val="9"/>
        <w:rPr>
          <w:rFonts w:hint="eastAsia" w:ascii="宋体" w:hAnsi="宋体" w:eastAsia="宋体" w:cs="宋体"/>
          <w:color w:val="auto"/>
          <w:sz w:val="24"/>
          <w:szCs w:val="24"/>
          <w:highlight w:val="none"/>
          <w:lang w:val="en-US" w:eastAsia="zh-CN"/>
        </w:rPr>
      </w:pPr>
      <w:bookmarkStart w:id="31" w:name="_Hlk89807755"/>
      <w:bookmarkStart w:id="32" w:name="_Toc28359014"/>
      <w:bookmarkStart w:id="33" w:name="_Toc35393631"/>
      <w:bookmarkStart w:id="34" w:name="_Toc35393800"/>
      <w:bookmarkStart w:id="35" w:name="_Toc44583630"/>
      <w:bookmarkStart w:id="36" w:name="_Toc28359091"/>
      <w:r>
        <w:rPr>
          <w:rFonts w:hint="eastAsia" w:ascii="宋体" w:hAnsi="宋体" w:eastAsia="宋体" w:cs="宋体"/>
          <w:color w:val="auto"/>
          <w:sz w:val="24"/>
          <w:szCs w:val="24"/>
          <w:highlight w:val="none"/>
          <w:lang w:val="en-US" w:eastAsia="zh-CN"/>
        </w:rPr>
        <w:t>1.满足《中华人民共和国政府采购法》第二十二条规定；</w:t>
      </w:r>
    </w:p>
    <w:p w14:paraId="6D598DC8">
      <w:pPr>
        <w:pStyle w:val="35"/>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2.落实政府采购政策需满足的资格要求：标项1：本项目专门面向</w:t>
      </w:r>
      <w:r>
        <w:rPr>
          <w:rFonts w:hint="eastAsia" w:cs="宋体"/>
          <w:color w:val="auto"/>
          <w:sz w:val="24"/>
          <w:szCs w:val="24"/>
          <w:highlight w:val="none"/>
          <w:lang w:val="en-US" w:eastAsia="zh-CN"/>
        </w:rPr>
        <w:t>小微</w:t>
      </w:r>
      <w:r>
        <w:rPr>
          <w:rFonts w:hint="eastAsia" w:ascii="宋体" w:hAnsi="宋体" w:eastAsia="宋体" w:cs="宋体"/>
          <w:color w:val="auto"/>
          <w:sz w:val="24"/>
          <w:szCs w:val="24"/>
          <w:highlight w:val="none"/>
          <w:lang w:val="en-US" w:eastAsia="zh-CN"/>
        </w:rPr>
        <w:t>企业</w:t>
      </w:r>
    </w:p>
    <w:p w14:paraId="3E71FF43">
      <w:pPr>
        <w:pStyle w:val="35"/>
        <w:ind w:left="0" w:leftChars="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3.本项目的特定资格要求：无 </w:t>
      </w:r>
    </w:p>
    <w:bookmarkEnd w:id="31"/>
    <w:p w14:paraId="17F1ED43">
      <w:pPr>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outlineLvl w:val="9"/>
        <w:rPr>
          <w:rFonts w:hint="eastAsia" w:ascii="宋体" w:hAnsi="宋体" w:eastAsia="宋体" w:cs="宋体"/>
          <w:b/>
          <w:bCs/>
          <w:color w:val="auto"/>
          <w:kern w:val="2"/>
          <w:sz w:val="24"/>
          <w:szCs w:val="24"/>
          <w:highlight w:val="none"/>
          <w:lang w:val="hr-HR" w:eastAsia="zh-CN" w:bidi="ar-SA"/>
        </w:rPr>
      </w:pPr>
      <w:bookmarkStart w:id="37" w:name="_Toc109899412"/>
      <w:bookmarkStart w:id="38" w:name="_Toc155185862"/>
      <w:bookmarkStart w:id="39" w:name="_Toc140132747"/>
      <w:bookmarkStart w:id="40" w:name="_Toc24875"/>
      <w:bookmarkStart w:id="41" w:name="_Toc163492814"/>
      <w:bookmarkStart w:id="42" w:name="_Toc17020"/>
      <w:bookmarkStart w:id="43" w:name="_Toc109900250"/>
      <w:bookmarkStart w:id="44" w:name="_Toc109899831"/>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获取</w:t>
      </w:r>
      <w:r>
        <w:rPr>
          <w:rFonts w:hint="eastAsia" w:ascii="宋体" w:hAnsi="宋体" w:eastAsia="宋体" w:cs="宋体"/>
          <w:b/>
          <w:bCs/>
          <w:color w:val="auto"/>
          <w:kern w:val="2"/>
          <w:sz w:val="24"/>
          <w:szCs w:val="24"/>
          <w:highlight w:val="none"/>
          <w:lang w:val="en-US" w:eastAsia="zh-CN" w:bidi="ar-SA"/>
        </w:rPr>
        <w:t>采购</w:t>
      </w:r>
      <w:r>
        <w:rPr>
          <w:rFonts w:hint="eastAsia" w:ascii="宋体" w:hAnsi="宋体" w:eastAsia="宋体" w:cs="宋体"/>
          <w:b/>
          <w:bCs/>
          <w:color w:val="auto"/>
          <w:kern w:val="2"/>
          <w:sz w:val="24"/>
          <w:szCs w:val="24"/>
          <w:highlight w:val="none"/>
          <w:lang w:val="hr-HR" w:eastAsia="zh-CN" w:bidi="ar-SA"/>
        </w:rPr>
        <w:t>文件</w:t>
      </w:r>
      <w:bookmarkEnd w:id="32"/>
      <w:bookmarkEnd w:id="33"/>
      <w:bookmarkEnd w:id="34"/>
      <w:bookmarkEnd w:id="35"/>
      <w:bookmarkEnd w:id="36"/>
      <w:bookmarkEnd w:id="37"/>
      <w:bookmarkEnd w:id="38"/>
      <w:bookmarkEnd w:id="39"/>
      <w:bookmarkEnd w:id="40"/>
      <w:bookmarkEnd w:id="41"/>
      <w:bookmarkEnd w:id="42"/>
      <w:bookmarkEnd w:id="43"/>
      <w:bookmarkEnd w:id="44"/>
      <w:r>
        <w:rPr>
          <w:rFonts w:hint="eastAsia" w:ascii="宋体" w:hAnsi="宋体" w:eastAsia="宋体" w:cs="宋体"/>
          <w:b/>
          <w:bCs/>
          <w:color w:val="auto"/>
          <w:kern w:val="2"/>
          <w:sz w:val="24"/>
          <w:szCs w:val="24"/>
          <w:highlight w:val="none"/>
          <w:lang w:val="hr-HR" w:eastAsia="zh-CN" w:bidi="ar-SA"/>
        </w:rPr>
        <w:t xml:space="preserve"> </w:t>
      </w:r>
    </w:p>
    <w:p w14:paraId="72CD21E6">
      <w:pPr>
        <w:pStyle w:val="35"/>
        <w:outlineLvl w:val="9"/>
        <w:rPr>
          <w:rFonts w:hint="eastAsia" w:ascii="宋体" w:hAnsi="宋体" w:eastAsia="宋体" w:cs="宋体"/>
          <w:i w:val="0"/>
          <w:iCs w:val="0"/>
          <w:color w:val="auto"/>
          <w:sz w:val="24"/>
          <w:szCs w:val="24"/>
          <w:highlight w:val="none"/>
          <w:lang w:val="hr-HR"/>
        </w:rPr>
      </w:pPr>
      <w:bookmarkStart w:id="45" w:name="_Toc28359015"/>
      <w:bookmarkStart w:id="46" w:name="_Hlk130457327"/>
      <w:bookmarkStart w:id="47" w:name="_Toc35393801"/>
      <w:bookmarkStart w:id="48" w:name="_Toc35393632"/>
      <w:bookmarkStart w:id="49" w:name="_Toc28359092"/>
      <w:bookmarkStart w:id="50" w:name="_Hlk130457261"/>
      <w:r>
        <w:rPr>
          <w:rFonts w:hint="eastAsia" w:ascii="宋体" w:hAnsi="宋体" w:eastAsia="宋体" w:cs="宋体"/>
          <w:i w:val="0"/>
          <w:iCs w:val="0"/>
          <w:color w:val="auto"/>
          <w:sz w:val="24"/>
          <w:szCs w:val="24"/>
          <w:highlight w:val="none"/>
          <w:lang w:val="hr-HR"/>
        </w:rPr>
        <w:t>时间：2026年</w:t>
      </w:r>
      <w:r>
        <w:rPr>
          <w:rFonts w:hint="eastAsia"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lang w:val="hr-HR"/>
        </w:rPr>
        <w:t>月</w:t>
      </w:r>
      <w:r>
        <w:rPr>
          <w:rFonts w:hint="eastAsia" w:cs="宋体"/>
          <w:i w:val="0"/>
          <w:iCs w:val="0"/>
          <w:color w:val="auto"/>
          <w:sz w:val="24"/>
          <w:szCs w:val="24"/>
          <w:highlight w:val="none"/>
          <w:lang w:val="en-US" w:eastAsia="zh-CN"/>
        </w:rPr>
        <w:t>22</w:t>
      </w:r>
      <w:r>
        <w:rPr>
          <w:rFonts w:hint="eastAsia" w:ascii="宋体" w:hAnsi="宋体" w:eastAsia="宋体" w:cs="宋体"/>
          <w:i w:val="0"/>
          <w:iCs w:val="0"/>
          <w:color w:val="auto"/>
          <w:sz w:val="24"/>
          <w:szCs w:val="24"/>
          <w:highlight w:val="none"/>
          <w:lang w:val="hr-HR"/>
        </w:rPr>
        <w:t>日至2026年</w:t>
      </w:r>
      <w:r>
        <w:rPr>
          <w:rFonts w:hint="eastAsia"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lang w:val="hr-HR"/>
        </w:rPr>
        <w:t>月</w:t>
      </w:r>
      <w:r>
        <w:rPr>
          <w:rFonts w:hint="eastAsia" w:cs="宋体"/>
          <w:i w:val="0"/>
          <w:iCs w:val="0"/>
          <w:color w:val="auto"/>
          <w:sz w:val="24"/>
          <w:szCs w:val="24"/>
          <w:highlight w:val="none"/>
          <w:lang w:val="en-US" w:eastAsia="zh-CN"/>
        </w:rPr>
        <w:t>25</w:t>
      </w:r>
      <w:r>
        <w:rPr>
          <w:rFonts w:hint="eastAsia" w:ascii="宋体" w:hAnsi="宋体" w:eastAsia="宋体" w:cs="宋体"/>
          <w:i w:val="0"/>
          <w:iCs w:val="0"/>
          <w:color w:val="auto"/>
          <w:sz w:val="24"/>
          <w:szCs w:val="24"/>
          <w:highlight w:val="none"/>
          <w:lang w:val="hr-HR"/>
        </w:rPr>
        <w:t>日，每天上午00:00至14:00，下午14:00至23:59（北京时间，法定节假日除外）</w:t>
      </w:r>
    </w:p>
    <w:p w14:paraId="11DE1DE6">
      <w:pPr>
        <w:pStyle w:val="35"/>
        <w:outlineLvl w:val="9"/>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 xml:space="preserve">地点：政采云平台线上  </w:t>
      </w:r>
    </w:p>
    <w:p w14:paraId="4A8566B5">
      <w:pPr>
        <w:pStyle w:val="35"/>
        <w:outlineLvl w:val="9"/>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 xml:space="preserve">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14:paraId="6565D40F">
      <w:pPr>
        <w:pStyle w:val="35"/>
        <w:outlineLvl w:val="9"/>
        <w:rPr>
          <w:rFonts w:hint="eastAsia" w:ascii="宋体" w:hAnsi="宋体" w:eastAsia="宋体" w:cs="宋体"/>
          <w:color w:val="auto"/>
          <w:sz w:val="24"/>
          <w:szCs w:val="24"/>
          <w:highlight w:val="none"/>
          <w:lang w:val="hr-HR"/>
        </w:rPr>
      </w:pPr>
      <w:r>
        <w:rPr>
          <w:rFonts w:hint="eastAsia" w:ascii="宋体" w:hAnsi="宋体" w:eastAsia="宋体" w:cs="宋体"/>
          <w:i w:val="0"/>
          <w:iCs w:val="0"/>
          <w:color w:val="auto"/>
          <w:sz w:val="24"/>
          <w:szCs w:val="24"/>
          <w:highlight w:val="none"/>
          <w:lang w:val="hr-HR"/>
        </w:rPr>
        <w:t>售价（元）：0</w:t>
      </w:r>
    </w:p>
    <w:bookmarkEnd w:id="45"/>
    <w:bookmarkEnd w:id="46"/>
    <w:bookmarkEnd w:id="47"/>
    <w:bookmarkEnd w:id="48"/>
    <w:bookmarkEnd w:id="49"/>
    <w:bookmarkEnd w:id="50"/>
    <w:p w14:paraId="66DADC54">
      <w:pPr>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outlineLvl w:val="9"/>
        <w:rPr>
          <w:rFonts w:hint="eastAsia" w:ascii="宋体" w:hAnsi="宋体" w:eastAsia="宋体" w:cs="宋体"/>
          <w:b/>
          <w:bCs/>
          <w:color w:val="auto"/>
          <w:kern w:val="2"/>
          <w:sz w:val="24"/>
          <w:szCs w:val="24"/>
          <w:highlight w:val="none"/>
          <w:lang w:val="hr-HR" w:eastAsia="zh-CN" w:bidi="ar-SA"/>
        </w:rPr>
      </w:pPr>
      <w:bookmarkStart w:id="51" w:name="_Toc155185863"/>
      <w:bookmarkStart w:id="52" w:name="_Toc140132748"/>
      <w:bookmarkStart w:id="53" w:name="_Toc109900251"/>
      <w:bookmarkStart w:id="54" w:name="_Toc109899832"/>
      <w:bookmarkStart w:id="55" w:name="_Toc109899413"/>
      <w:bookmarkStart w:id="56" w:name="_Toc163492815"/>
      <w:bookmarkStart w:id="57" w:name="_Toc5645"/>
      <w:bookmarkStart w:id="58" w:name="_Toc26860"/>
      <w:r>
        <w:rPr>
          <w:rFonts w:hint="eastAsia" w:ascii="宋体" w:hAnsi="宋体" w:eastAsia="宋体" w:cs="宋体"/>
          <w:b/>
          <w:bCs/>
          <w:color w:val="auto"/>
          <w:kern w:val="2"/>
          <w:sz w:val="24"/>
          <w:szCs w:val="24"/>
          <w:highlight w:val="none"/>
          <w:lang w:val="en-US" w:eastAsia="zh-CN" w:bidi="ar-SA"/>
        </w:rPr>
        <w:t>四、</w:t>
      </w:r>
      <w:bookmarkEnd w:id="51"/>
      <w:bookmarkEnd w:id="52"/>
      <w:bookmarkEnd w:id="53"/>
      <w:bookmarkEnd w:id="54"/>
      <w:bookmarkEnd w:id="55"/>
      <w:bookmarkEnd w:id="56"/>
      <w:r>
        <w:rPr>
          <w:rFonts w:hint="eastAsia" w:ascii="宋体" w:hAnsi="宋体" w:eastAsia="宋体" w:cs="宋体"/>
          <w:b/>
          <w:bCs/>
          <w:color w:val="auto"/>
          <w:spacing w:val="-6"/>
          <w:kern w:val="2"/>
          <w:sz w:val="24"/>
          <w:szCs w:val="24"/>
          <w:highlight w:val="none"/>
          <w:lang w:val="hr-HR" w:eastAsia="zh-CN" w:bidi="ar-SA"/>
        </w:rPr>
        <w:t>响应文件提交</w:t>
      </w:r>
      <w:bookmarkEnd w:id="57"/>
      <w:bookmarkEnd w:id="58"/>
    </w:p>
    <w:p w14:paraId="08C30F17">
      <w:pPr>
        <w:pStyle w:val="35"/>
        <w:outlineLvl w:val="9"/>
        <w:rPr>
          <w:rFonts w:hint="eastAsia" w:ascii="宋体" w:hAnsi="宋体" w:eastAsia="宋体" w:cs="宋体"/>
          <w:color w:val="auto"/>
          <w:sz w:val="24"/>
          <w:szCs w:val="24"/>
          <w:highlight w:val="none"/>
        </w:rPr>
      </w:pPr>
      <w:bookmarkStart w:id="59" w:name="_Hlk130457395"/>
      <w:bookmarkStart w:id="60" w:name="_Toc35393634"/>
      <w:bookmarkStart w:id="61" w:name="_Toc28359017"/>
      <w:bookmarkStart w:id="62" w:name="_Toc44583633"/>
      <w:bookmarkStart w:id="63" w:name="_Toc35393803"/>
      <w:bookmarkStart w:id="64" w:name="_Toc28359094"/>
      <w:r>
        <w:rPr>
          <w:rFonts w:hint="eastAsia" w:ascii="宋体" w:hAnsi="宋体" w:eastAsia="宋体" w:cs="宋体"/>
          <w:color w:val="auto"/>
          <w:sz w:val="24"/>
          <w:szCs w:val="24"/>
          <w:highlight w:val="none"/>
        </w:rPr>
        <w:t>截止时间：2026年</w:t>
      </w:r>
      <w:r>
        <w:rPr>
          <w:rFonts w:hint="eastAsia"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日 </w:t>
      </w:r>
      <w:r>
        <w:rPr>
          <w:rFonts w:hint="eastAsia" w:cs="宋体"/>
          <w:color w:val="auto"/>
          <w:sz w:val="24"/>
          <w:szCs w:val="24"/>
          <w:highlight w:val="none"/>
          <w:lang w:val="en-US" w:eastAsia="zh-CN"/>
        </w:rPr>
        <w:t>16</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0（北京时间）</w:t>
      </w:r>
    </w:p>
    <w:p w14:paraId="63FC81BC">
      <w:pPr>
        <w:pStyle w:val="3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地点：请登录政采云投标客户端投标</w:t>
      </w:r>
    </w:p>
    <w:bookmarkEnd w:id="59"/>
    <w:p w14:paraId="6BAC9797">
      <w:pPr>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outlineLvl w:val="9"/>
        <w:rPr>
          <w:rFonts w:hint="eastAsia" w:ascii="宋体" w:hAnsi="宋体" w:eastAsia="宋体" w:cs="宋体"/>
          <w:b/>
          <w:bCs/>
          <w:color w:val="auto"/>
          <w:kern w:val="2"/>
          <w:sz w:val="24"/>
          <w:szCs w:val="24"/>
          <w:highlight w:val="none"/>
          <w:lang w:val="en-US" w:eastAsia="zh-CN" w:bidi="ar-SA"/>
        </w:rPr>
      </w:pPr>
      <w:bookmarkStart w:id="65" w:name="_Toc7125"/>
      <w:bookmarkStart w:id="66" w:name="_Toc19249"/>
      <w:bookmarkStart w:id="67" w:name="_Toc163492816"/>
      <w:bookmarkStart w:id="68" w:name="_Toc140132749"/>
      <w:bookmarkStart w:id="69" w:name="_Toc109899833"/>
      <w:bookmarkStart w:id="70" w:name="_Toc109900252"/>
      <w:bookmarkStart w:id="71" w:name="_Toc109899414"/>
      <w:bookmarkStart w:id="72" w:name="_Toc155185864"/>
      <w:r>
        <w:rPr>
          <w:rFonts w:hint="eastAsia" w:ascii="宋体" w:hAnsi="宋体" w:eastAsia="宋体" w:cs="宋体"/>
          <w:b/>
          <w:bCs/>
          <w:color w:val="auto"/>
          <w:kern w:val="2"/>
          <w:sz w:val="24"/>
          <w:szCs w:val="24"/>
          <w:highlight w:val="none"/>
          <w:lang w:val="en-US" w:eastAsia="zh-CN" w:bidi="ar-SA"/>
        </w:rPr>
        <w:t>五、开启</w:t>
      </w:r>
      <w:bookmarkEnd w:id="65"/>
      <w:bookmarkEnd w:id="66"/>
    </w:p>
    <w:p w14:paraId="74790D4F">
      <w:pPr>
        <w:pStyle w:val="35"/>
        <w:outlineLvl w:val="9"/>
        <w:rPr>
          <w:rFonts w:hint="eastAsia" w:ascii="宋体" w:hAnsi="宋体" w:eastAsia="宋体" w:cs="宋体"/>
          <w:color w:val="auto"/>
          <w:sz w:val="24"/>
          <w:szCs w:val="24"/>
          <w:highlight w:val="none"/>
          <w:lang w:val="en-US" w:eastAsia="zh-CN"/>
        </w:rPr>
      </w:pPr>
      <w:bookmarkStart w:id="73" w:name="_Toc11928"/>
      <w:bookmarkStart w:id="74" w:name="_Toc6105"/>
      <w:r>
        <w:rPr>
          <w:rFonts w:hint="eastAsia" w:ascii="宋体" w:hAnsi="宋体" w:eastAsia="宋体" w:cs="宋体"/>
          <w:color w:val="auto"/>
          <w:sz w:val="24"/>
          <w:szCs w:val="24"/>
          <w:highlight w:val="none"/>
          <w:lang w:val="en-US" w:eastAsia="zh-CN"/>
        </w:rPr>
        <w:t>开启时间：2026年</w:t>
      </w:r>
      <w:r>
        <w:rPr>
          <w:rFonts w:hint="eastAsia"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日 </w:t>
      </w:r>
      <w:r>
        <w:rPr>
          <w:rFonts w:hint="eastAsia" w:cs="宋体"/>
          <w:color w:val="auto"/>
          <w:sz w:val="24"/>
          <w:szCs w:val="24"/>
          <w:highlight w:val="none"/>
          <w:lang w:val="en-US" w:eastAsia="zh-CN"/>
        </w:rPr>
        <w:t>16</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（北京时间）</w:t>
      </w:r>
      <w:bookmarkStart w:id="592" w:name="_GoBack"/>
      <w:bookmarkEnd w:id="592"/>
    </w:p>
    <w:p w14:paraId="071B34CF">
      <w:pPr>
        <w:pStyle w:val="35"/>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地点：投标人登录政采云平台https://www.zcygov.cn/，进入“项目采购-开标评标-右边选择对应项目点击“进入项目”进入开标大厅。</w:t>
      </w:r>
    </w:p>
    <w:p w14:paraId="679A69E0">
      <w:pPr>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outlineLvl w:val="9"/>
        <w:rPr>
          <w:rFonts w:hint="eastAsia" w:ascii="宋体" w:hAnsi="宋体" w:eastAsia="宋体" w:cs="宋体"/>
          <w:b/>
          <w:bCs/>
          <w:color w:val="auto"/>
          <w:kern w:val="2"/>
          <w:sz w:val="24"/>
          <w:szCs w:val="24"/>
          <w:highlight w:val="none"/>
          <w:lang w:val="hr-HR" w:eastAsia="zh-CN" w:bidi="ar-SA"/>
        </w:rPr>
      </w:pP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公告期限</w:t>
      </w:r>
      <w:bookmarkEnd w:id="60"/>
      <w:bookmarkEnd w:id="61"/>
      <w:bookmarkEnd w:id="62"/>
      <w:bookmarkEnd w:id="63"/>
      <w:bookmarkEnd w:id="64"/>
      <w:bookmarkEnd w:id="67"/>
      <w:bookmarkEnd w:id="68"/>
      <w:bookmarkEnd w:id="69"/>
      <w:bookmarkEnd w:id="70"/>
      <w:bookmarkEnd w:id="71"/>
      <w:bookmarkEnd w:id="72"/>
      <w:bookmarkEnd w:id="73"/>
      <w:bookmarkEnd w:id="74"/>
    </w:p>
    <w:p w14:paraId="187C1FE3">
      <w:pPr>
        <w:pageBreakBefore w:val="0"/>
        <w:kinsoku/>
        <w:wordWrap/>
        <w:overflowPunct/>
        <w:topLinePunct w:val="0"/>
        <w:bidi w:val="0"/>
        <w:snapToGrid w:val="0"/>
        <w:spacing w:line="348" w:lineRule="auto"/>
        <w:ind w:left="0" w:leftChars="0" w:firstLine="480" w:firstLineChars="200"/>
        <w:jc w:val="both"/>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自本公告发布之日起3个工作日。</w:t>
      </w:r>
      <w:bookmarkStart w:id="75" w:name="_Toc109900253"/>
      <w:bookmarkStart w:id="76" w:name="_Toc140132750"/>
      <w:bookmarkStart w:id="77" w:name="_Toc109899834"/>
      <w:bookmarkStart w:id="78" w:name="_Toc109899415"/>
      <w:bookmarkStart w:id="79" w:name="_Toc155185865"/>
      <w:bookmarkStart w:id="80" w:name="_Toc35393804"/>
      <w:bookmarkStart w:id="81" w:name="_Toc44583634"/>
      <w:bookmarkStart w:id="82" w:name="_Toc35393635"/>
      <w:bookmarkStart w:id="83" w:name="_Toc163492817"/>
    </w:p>
    <w:p w14:paraId="20DD1AA0">
      <w:pPr>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outlineLvl w:val="9"/>
        <w:rPr>
          <w:rFonts w:hint="eastAsia" w:ascii="宋体" w:hAnsi="宋体" w:eastAsia="宋体" w:cs="宋体"/>
          <w:b w:val="0"/>
          <w:bCs w:val="0"/>
          <w:color w:val="auto"/>
          <w:kern w:val="2"/>
          <w:sz w:val="24"/>
          <w:szCs w:val="24"/>
          <w:highlight w:val="none"/>
          <w:lang w:val="hr-HR" w:eastAsia="zh-CN" w:bidi="ar-SA"/>
        </w:rPr>
      </w:pPr>
      <w:r>
        <w:rPr>
          <w:rFonts w:hint="eastAsia" w:ascii="宋体" w:hAnsi="宋体" w:eastAsia="宋体" w:cs="宋体"/>
          <w:b/>
          <w:bCs/>
          <w:color w:val="auto"/>
          <w:kern w:val="2"/>
          <w:sz w:val="24"/>
          <w:szCs w:val="24"/>
          <w:highlight w:val="none"/>
          <w:lang w:val="hr-HR" w:eastAsia="zh-CN" w:bidi="ar-SA"/>
        </w:rPr>
        <w:t>七、其他补充事宜</w:t>
      </w:r>
      <w:bookmarkEnd w:id="75"/>
      <w:bookmarkEnd w:id="76"/>
      <w:bookmarkEnd w:id="77"/>
      <w:bookmarkEnd w:id="78"/>
      <w:bookmarkEnd w:id="79"/>
      <w:bookmarkEnd w:id="80"/>
      <w:bookmarkEnd w:id="81"/>
      <w:bookmarkEnd w:id="82"/>
      <w:bookmarkEnd w:id="83"/>
    </w:p>
    <w:p w14:paraId="3DA860B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lang w:val="en-US" w:eastAsia="zh-CN"/>
        </w:rPr>
      </w:pPr>
      <w:bookmarkStart w:id="84" w:name="_Toc16732"/>
      <w:bookmarkStart w:id="85" w:name="_Toc3905"/>
      <w:r>
        <w:rPr>
          <w:rFonts w:hint="eastAsia" w:ascii="宋体" w:hAnsi="宋体" w:eastAsia="宋体" w:cs="宋体"/>
          <w:color w:val="auto"/>
          <w:sz w:val="24"/>
          <w:szCs w:val="24"/>
          <w:lang w:val="en-US" w:eastAsia="zh-CN"/>
        </w:rPr>
        <w:t>1.本次公告在新疆政府采购网发布。</w:t>
      </w:r>
    </w:p>
    <w:p w14:paraId="5FCAF95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2.请各投标人随时关注本项目的澄清、答疑、变更事项。</w:t>
      </w:r>
    </w:p>
    <w:p w14:paraId="557205D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供应商未被“信用中国”（www.creditchina.gov.cn）、中国政府采购网（www.ccgp.gov.cn）列入失信被执行人、重大税收违法案件当事人名单、政府采购严重违法失信行为记录名单，投标人如在“信用中国”网站或中国政府采购网被列入严重违法失信行为记录名单的（尚在处罚期内的），将拒绝其参加本次采购活动；</w:t>
      </w:r>
    </w:p>
    <w:p w14:paraId="2C28DC4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4.法定代表人或单位负责人为同一人或者存在直接控股、管理关系的不同供应商，不得参加同一合同项下的政府采购活动。</w:t>
      </w:r>
    </w:p>
    <w:p w14:paraId="13B9EBD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次采购项目采用电子交易方式，电子交易平台为政府采购云平台。投标人参与本项目电子交易活动前，应注册成为政府采购云平台供应商。编制电子投标文件前还需申领CA证书并绑定帐号。投标人应充分考虑完成平台注册、申领CA证书等所需的时间。因未注册入库、未办理CA数字证书等原因造成无法投标或投标失败等后果由投标人自行承担。</w:t>
      </w:r>
    </w:p>
    <w:p w14:paraId="28BFFD1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供应商可前往新疆政府采购网（http://www.ccgp-xinjiang.gov.cn/）下载专区，下载政采云投标客户端，安装完成后，可通过账号密码或CA登录客户端进行投标文件制作。在使用政采云电子投标客户端时，如有问题可拨打政采云客户服务热线400-881-7190进行咨询。</w:t>
      </w:r>
    </w:p>
    <w:p w14:paraId="7F5ECF2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特别提示：</w:t>
      </w:r>
    </w:p>
    <w:p w14:paraId="33B1453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14:paraId="098D3F6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2.对于未预留份额专门面向中小企业的采购项目，以及预留份额项目中的非预留部分采购包，采购人、采购代理机构应当对符合规定的小微企业报价给予10%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lang w:val="en-US" w:eastAsia="zh-CN"/>
        </w:rPr>
        <w:t>20%（工程项目为6%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lang w:val="en-US" w:eastAsia="zh-CN"/>
        </w:rPr>
        <w:t>10%）的扣除，用扣除后的价格参加评审。适用招标投标法的政府采购工程建设项目，采用综合评估法但未采用低价优先法计算价格分的，评标时应当在采用原报价进行评分的基础上增加其价格得分的6%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lang w:val="en-US" w:eastAsia="zh-CN"/>
        </w:rPr>
        <w:t>10%作为其价格分。</w:t>
      </w:r>
    </w:p>
    <w:p w14:paraId="22C4E9D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3.</w:t>
      </w:r>
      <w:r>
        <w:rPr>
          <w:rFonts w:hint="eastAsia" w:ascii="宋体" w:hAnsi="宋体" w:eastAsia="宋体" w:cs="宋体"/>
          <w:color w:val="auto"/>
          <w:sz w:val="21"/>
          <w:szCs w:val="21"/>
          <w:lang w:val="en-US" w:eastAsia="zh-CN"/>
        </w:rPr>
        <w:t>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lang w:val="en-US" w:eastAsia="zh-CN"/>
        </w:rPr>
        <w:t>6%（工程项目为2%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lang w:val="en-US" w:eastAsia="zh-CN"/>
        </w:rPr>
        <w:t>4%）的扣除，用扣除后的价格参加评审。适用招标投标法的政府采购工程建设项目，采用综合评估法但未采用低价优先法计算价格分的，评标时应当在采用原报价进行评分的基础上增加其价格得分的2%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lang w:val="en-US" w:eastAsia="zh-CN"/>
        </w:rPr>
        <w:t>4%作为其价格分。</w:t>
      </w:r>
    </w:p>
    <w:p w14:paraId="692B7884">
      <w:pPr>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outlineLvl w:val="9"/>
        <w:rPr>
          <w:rFonts w:hint="eastAsia" w:ascii="宋体" w:hAnsi="宋体" w:eastAsia="宋体" w:cs="宋体"/>
          <w:color w:val="auto"/>
          <w:sz w:val="24"/>
          <w:szCs w:val="24"/>
          <w:highlight w:val="none"/>
          <w:lang w:val="hr-HR" w:eastAsia="zh-CN"/>
        </w:rPr>
      </w:pP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hr-HR" w:eastAsia="zh-CN" w:bidi="ar-SA"/>
        </w:rPr>
        <w:t>凡对本次采购提出询问，请按以下方式联系</w:t>
      </w:r>
      <w:bookmarkEnd w:id="84"/>
      <w:bookmarkEnd w:id="85"/>
    </w:p>
    <w:p w14:paraId="3EEAC95D">
      <w:pPr>
        <w:pStyle w:val="35"/>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outlineLvl w:val="9"/>
        <w:rPr>
          <w:rFonts w:hint="eastAsia" w:ascii="宋体" w:hAnsi="宋体" w:eastAsia="宋体" w:cs="宋体"/>
          <w:color w:val="auto"/>
          <w:sz w:val="24"/>
          <w:szCs w:val="24"/>
          <w:highlight w:val="none"/>
        </w:rPr>
      </w:pPr>
      <w:bookmarkStart w:id="86" w:name="_Toc35393806"/>
      <w:bookmarkStart w:id="87" w:name="_Toc35393637"/>
      <w:bookmarkStart w:id="88" w:name="_Toc28359019"/>
      <w:bookmarkStart w:id="89" w:name="_Toc28359096"/>
      <w:r>
        <w:rPr>
          <w:rFonts w:hint="eastAsia" w:ascii="宋体" w:hAnsi="宋体" w:eastAsia="宋体" w:cs="宋体"/>
          <w:color w:val="auto"/>
          <w:sz w:val="24"/>
          <w:szCs w:val="24"/>
          <w:highlight w:val="none"/>
        </w:rPr>
        <w:t>1.采购人信息</w:t>
      </w:r>
      <w:bookmarkEnd w:id="86"/>
      <w:bookmarkEnd w:id="87"/>
      <w:bookmarkEnd w:id="88"/>
      <w:bookmarkEnd w:id="89"/>
    </w:p>
    <w:p w14:paraId="547EE99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lang w:eastAsia="zh-CN"/>
        </w:rPr>
      </w:pPr>
      <w:bookmarkStart w:id="90" w:name="_Toc35393807"/>
      <w:bookmarkStart w:id="91" w:name="_Toc28359097"/>
      <w:bookmarkStart w:id="92" w:name="_Toc28359020"/>
      <w:bookmarkStart w:id="93" w:name="_Toc35393638"/>
      <w:r>
        <w:rPr>
          <w:rFonts w:hint="eastAsia" w:ascii="宋体" w:hAnsi="宋体" w:eastAsia="宋体" w:cs="宋体"/>
          <w:color w:val="auto"/>
          <w:sz w:val="24"/>
          <w:szCs w:val="24"/>
        </w:rPr>
        <w:t>名称：</w:t>
      </w:r>
      <w:r>
        <w:rPr>
          <w:rFonts w:hint="eastAsia" w:ascii="宋体" w:hAnsi="宋体" w:eastAsia="宋体" w:cs="宋体"/>
          <w:color w:val="auto"/>
          <w:sz w:val="24"/>
          <w:szCs w:val="24"/>
          <w:highlight w:val="none"/>
          <w:lang w:val="en-US" w:eastAsia="zh-CN"/>
        </w:rPr>
        <w:t>阿克苏地区检验检测中心</w:t>
      </w:r>
    </w:p>
    <w:p w14:paraId="2141E73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w:t>
      </w:r>
      <w:r>
        <w:rPr>
          <w:rFonts w:hint="eastAsia" w:ascii="宋体" w:hAnsi="宋体" w:eastAsia="宋体" w:cs="宋体"/>
          <w:i w:val="0"/>
          <w:iCs w:val="0"/>
          <w:caps w:val="0"/>
          <w:color w:val="auto"/>
          <w:spacing w:val="0"/>
          <w:sz w:val="24"/>
          <w:szCs w:val="24"/>
          <w:lang w:val="en-US" w:eastAsia="zh-CN"/>
        </w:rPr>
        <w:t>阿克苏市塔里木大道16号</w:t>
      </w:r>
    </w:p>
    <w:p w14:paraId="3EE7EB32">
      <w:pPr>
        <w:keepNext w:val="0"/>
        <w:keepLines w:val="0"/>
        <w:pageBreakBefore w:val="0"/>
        <w:widowControl w:val="0"/>
        <w:kinsoku/>
        <w:wordWrap/>
        <w:overflowPunct/>
        <w:topLinePunct w:val="0"/>
        <w:autoSpaceDE/>
        <w:autoSpaceDN/>
        <w:bidi w:val="0"/>
        <w:adjustRightInd/>
        <w:snapToGrid/>
        <w:spacing w:line="400" w:lineRule="exact"/>
        <w:ind w:left="547" w:leftChars="228" w:firstLine="0" w:firstLineChars="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13279808889</w:t>
      </w:r>
    </w:p>
    <w:p w14:paraId="5C798AB6">
      <w:pPr>
        <w:pStyle w:val="35"/>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bookmarkEnd w:id="90"/>
      <w:bookmarkEnd w:id="91"/>
      <w:bookmarkEnd w:id="92"/>
      <w:bookmarkEnd w:id="93"/>
    </w:p>
    <w:p w14:paraId="2673E21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rPr>
      </w:pPr>
      <w:bookmarkStart w:id="94" w:name="_Toc35393808"/>
      <w:bookmarkStart w:id="95" w:name="_Toc35393639"/>
      <w:bookmarkStart w:id="96" w:name="_Toc28359098"/>
      <w:bookmarkStart w:id="97" w:name="_Toc28359021"/>
      <w:r>
        <w:rPr>
          <w:rFonts w:hint="eastAsia" w:ascii="宋体" w:hAnsi="宋体" w:eastAsia="宋体" w:cs="宋体"/>
          <w:color w:val="auto"/>
          <w:sz w:val="24"/>
          <w:szCs w:val="24"/>
        </w:rPr>
        <w:t>名称：新疆泽煜航项目管理有限公司</w:t>
      </w:r>
    </w:p>
    <w:p w14:paraId="53729FD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cs="宋体"/>
          <w:color w:val="auto"/>
          <w:sz w:val="24"/>
          <w:szCs w:val="24"/>
          <w:lang w:val="en-US" w:eastAsia="zh-CN"/>
        </w:rPr>
        <w:t>新疆喀什地区喀什市恰萨街道班超社区帕依纳普路住276号(西城名都住宅小区二期)1栋A区11层1112号</w:t>
      </w:r>
    </w:p>
    <w:p w14:paraId="7D1AE60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联系方式：</w:t>
      </w:r>
      <w:r>
        <w:rPr>
          <w:rFonts w:hint="eastAsia" w:ascii="宋体" w:hAnsi="宋体" w:eastAsia="宋体" w:cs="宋体"/>
          <w:color w:val="auto"/>
          <w:kern w:val="0"/>
          <w:sz w:val="24"/>
          <w:lang w:val="en-US" w:eastAsia="zh-CN"/>
        </w:rPr>
        <w:t>18096960101</w:t>
      </w:r>
    </w:p>
    <w:p w14:paraId="28B1182B">
      <w:pPr>
        <w:pStyle w:val="35"/>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项目联系方式</w:t>
      </w:r>
    </w:p>
    <w:bookmarkEnd w:id="94"/>
    <w:bookmarkEnd w:id="95"/>
    <w:bookmarkEnd w:id="96"/>
    <w:bookmarkEnd w:id="97"/>
    <w:p w14:paraId="5CDBEE5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项目联系人：</w:t>
      </w:r>
      <w:r>
        <w:rPr>
          <w:rStyle w:val="34"/>
          <w:rFonts w:hint="eastAsia" w:ascii="宋体" w:hAnsi="宋体" w:eastAsia="宋体" w:cs="宋体"/>
          <w:i w:val="0"/>
          <w:iCs w:val="0"/>
          <w:caps w:val="0"/>
          <w:color w:val="auto"/>
          <w:spacing w:val="0"/>
          <w:sz w:val="24"/>
          <w:szCs w:val="24"/>
          <w:lang w:val="en-US" w:eastAsia="zh-CN"/>
        </w:rPr>
        <w:t>姚佳</w:t>
      </w:r>
    </w:p>
    <w:p w14:paraId="20A3584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lang w:val="en-US"/>
        </w:rPr>
      </w:pPr>
      <w:r>
        <w:rPr>
          <w:rFonts w:hint="eastAsia" w:ascii="宋体" w:hAnsi="宋体" w:eastAsia="宋体" w:cs="宋体"/>
          <w:color w:val="auto"/>
          <w:sz w:val="24"/>
          <w:szCs w:val="24"/>
        </w:rPr>
        <w:t>电话：</w:t>
      </w:r>
      <w:r>
        <w:rPr>
          <w:rFonts w:hint="eastAsia" w:ascii="宋体" w:hAnsi="宋体" w:eastAsia="宋体" w:cs="宋体"/>
          <w:color w:val="auto"/>
          <w:kern w:val="0"/>
          <w:sz w:val="24"/>
          <w:lang w:val="en-US" w:eastAsia="zh-CN"/>
        </w:rPr>
        <w:t>18096960101</w:t>
      </w:r>
    </w:p>
    <w:p w14:paraId="61AA7B2A">
      <w:pPr>
        <w:rPr>
          <w:color w:val="auto"/>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1E2C9AB2">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98" w:name="_Toc6599"/>
      <w:bookmarkStart w:id="99" w:name="_Toc16855"/>
      <w:r>
        <w:rPr>
          <w:rFonts w:hint="eastAsia" w:ascii="宋体" w:hAnsi="宋体" w:eastAsia="宋体" w:cs="宋体"/>
          <w:b/>
          <w:bCs/>
          <w:color w:val="auto"/>
          <w:kern w:val="44"/>
          <w:sz w:val="36"/>
          <w:szCs w:val="36"/>
          <w:highlight w:val="none"/>
          <w:lang w:val="en-US" w:eastAsia="zh-CN" w:bidi="ar-SA"/>
        </w:rPr>
        <w:t>第二章 供应商须知</w:t>
      </w:r>
      <w:bookmarkEnd w:id="98"/>
      <w:bookmarkEnd w:id="99"/>
    </w:p>
    <w:p w14:paraId="224924B5">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00" w:name="_Toc32561"/>
      <w:bookmarkStart w:id="101" w:name="_Toc1792"/>
      <w:r>
        <w:rPr>
          <w:rFonts w:hint="eastAsia" w:eastAsia="宋体" w:asciiTheme="majorHAnsi" w:hAnsiTheme="majorHAnsi" w:cstheme="majorBidi"/>
          <w:b/>
          <w:bCs/>
          <w:color w:val="auto"/>
          <w:kern w:val="2"/>
          <w:sz w:val="28"/>
          <w:szCs w:val="28"/>
          <w:highlight w:val="none"/>
          <w:lang w:val="en-US" w:eastAsia="zh-CN" w:bidi="ar-SA"/>
        </w:rPr>
        <w:t>一、供应商须知前附表</w:t>
      </w:r>
      <w:bookmarkEnd w:id="100"/>
      <w:bookmarkEnd w:id="101"/>
    </w:p>
    <w:p w14:paraId="016068EF">
      <w:pPr>
        <w:pStyle w:val="35"/>
        <w:ind w:firstLine="480"/>
        <w:rPr>
          <w:color w:val="auto"/>
          <w:highlight w:val="none"/>
        </w:rPr>
      </w:pPr>
      <w:r>
        <w:rPr>
          <w:rFonts w:hint="eastAsia"/>
          <w:color w:val="auto"/>
          <w:highlight w:val="none"/>
          <w:lang w:val="en-US" w:eastAsia="zh-CN"/>
        </w:rPr>
        <w:t>谈判</w:t>
      </w:r>
      <w:r>
        <w:rPr>
          <w:rFonts w:hint="eastAsia"/>
          <w:color w:val="auto"/>
          <w:highlight w:val="none"/>
        </w:rPr>
        <w:t>供应商应仔细阅读本</w:t>
      </w:r>
      <w:r>
        <w:rPr>
          <w:rFonts w:hint="eastAsia"/>
          <w:color w:val="auto"/>
          <w:highlight w:val="none"/>
          <w:lang w:val="en-US" w:eastAsia="zh-CN"/>
        </w:rPr>
        <w:t>谈判</w:t>
      </w:r>
      <w:r>
        <w:rPr>
          <w:rFonts w:hint="eastAsia"/>
          <w:color w:val="auto"/>
          <w:highlight w:val="none"/>
        </w:rPr>
        <w:t>文件的第二章“供应商须知”，下面所列资料是对“供应商须知”的具体补充和说明。如有矛盾，应以本表为准。</w:t>
      </w:r>
      <w:r>
        <w:rPr>
          <w:rFonts w:hint="eastAsia"/>
          <w:color w:val="auto"/>
          <w:highlight w:val="none"/>
          <w:lang w:val="en-US" w:eastAsia="zh-CN"/>
        </w:rPr>
        <w:t>标记“</w:t>
      </w:r>
      <w:r>
        <w:rPr>
          <w:rFonts w:hint="eastAsia" w:ascii="宋体" w:hAnsi="宋体" w:eastAsia="宋体"/>
          <w:color w:val="auto"/>
          <w:highlight w:val="none"/>
          <w:lang w:val="en-US" w:eastAsia="zh-CN"/>
        </w:rPr>
        <w:t>☑”的选项意为适用于本项目，标记“</w:t>
      </w:r>
      <w:r>
        <w:rPr>
          <w:rFonts w:hint="eastAsia" w:cs="宋体"/>
          <w:color w:val="auto"/>
          <w:sz w:val="24"/>
          <w:szCs w:val="24"/>
          <w:highlight w:val="none"/>
        </w:rPr>
        <w:sym w:font="Wingdings" w:char="00A8"/>
      </w:r>
      <w:r>
        <w:rPr>
          <w:rFonts w:hint="eastAsia" w:ascii="宋体" w:hAnsi="宋体" w:eastAsia="宋体"/>
          <w:color w:val="auto"/>
          <w:highlight w:val="none"/>
          <w:lang w:val="en-US" w:eastAsia="zh-CN"/>
        </w:rPr>
        <w:t>”的选项意为不适用于本项目。</w:t>
      </w:r>
    </w:p>
    <w:tbl>
      <w:tblPr>
        <w:tblStyle w:val="28"/>
        <w:tblW w:w="9391" w:type="dxa"/>
        <w:tblInd w:w="-45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21"/>
        <w:gridCol w:w="6700"/>
      </w:tblGrid>
      <w:tr w14:paraId="5EEA9A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32"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55EA5529">
            <w:pPr>
              <w:pStyle w:val="46"/>
              <w:jc w:val="center"/>
              <w:rPr>
                <w:rFonts w:hint="eastAsia" w:ascii="宋体" w:hAnsi="宋体" w:eastAsia="宋体" w:cs="宋体"/>
                <w:b/>
                <w:bCs/>
                <w:color w:val="auto"/>
                <w:sz w:val="24"/>
                <w:szCs w:val="24"/>
                <w:highlight w:val="none"/>
              </w:rPr>
            </w:pPr>
            <w:bookmarkStart w:id="102" w:name="_Hlk161703381"/>
            <w:r>
              <w:rPr>
                <w:rFonts w:hint="eastAsia" w:ascii="宋体" w:hAnsi="宋体" w:eastAsia="宋体" w:cs="宋体"/>
                <w:b/>
                <w:bCs/>
                <w:color w:val="auto"/>
                <w:sz w:val="24"/>
                <w:szCs w:val="24"/>
                <w:highlight w:val="none"/>
              </w:rPr>
              <w:t>条款号</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560503F1">
            <w:pPr>
              <w:pStyle w:val="46"/>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auto"/>
            <w:vAlign w:val="center"/>
          </w:tcPr>
          <w:p w14:paraId="6777820C">
            <w:pPr>
              <w:pStyle w:val="46"/>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00CDAA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6D2FF53">
            <w:pPr>
              <w:pStyle w:val="46"/>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721" w:type="dxa"/>
            <w:tcBorders>
              <w:top w:val="single" w:color="auto" w:sz="2" w:space="0"/>
              <w:left w:val="single" w:color="auto" w:sz="2" w:space="0"/>
              <w:bottom w:val="single" w:color="auto" w:sz="2" w:space="0"/>
              <w:right w:val="single" w:color="auto" w:sz="2" w:space="0"/>
            </w:tcBorders>
            <w:vAlign w:val="center"/>
          </w:tcPr>
          <w:p w14:paraId="551BCB83">
            <w:pPr>
              <w:pStyle w:val="4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核心产品</w:t>
            </w:r>
          </w:p>
        </w:tc>
        <w:tc>
          <w:tcPr>
            <w:tcW w:w="6700" w:type="dxa"/>
            <w:tcBorders>
              <w:top w:val="single" w:color="auto" w:sz="2" w:space="0"/>
              <w:left w:val="single" w:color="auto" w:sz="2" w:space="0"/>
              <w:bottom w:val="single" w:color="auto" w:sz="2" w:space="0"/>
              <w:right w:val="single" w:color="auto" w:sz="2" w:space="0"/>
            </w:tcBorders>
            <w:vAlign w:val="center"/>
          </w:tcPr>
          <w:p w14:paraId="0A60E333">
            <w:pPr>
              <w:pStyle w:val="4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本项目第_</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_包不适用。 </w:t>
            </w:r>
          </w:p>
          <w:p w14:paraId="603E08B8">
            <w:pPr>
              <w:pStyle w:val="4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本项目第_</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_包为单一产品采购项目。 </w:t>
            </w:r>
          </w:p>
          <w:p w14:paraId="61FC74A4">
            <w:pPr>
              <w:pStyle w:val="4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本项目第_</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_包为非单一产品采购项目，其中核心产品为：</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tc>
      </w:tr>
      <w:tr w14:paraId="1D8B4A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48EF93E">
            <w:pPr>
              <w:pStyle w:val="46"/>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w:t>
            </w:r>
          </w:p>
        </w:tc>
        <w:tc>
          <w:tcPr>
            <w:tcW w:w="1721" w:type="dxa"/>
            <w:tcBorders>
              <w:top w:val="single" w:color="auto" w:sz="2" w:space="0"/>
              <w:left w:val="single" w:color="auto" w:sz="2" w:space="0"/>
              <w:bottom w:val="single" w:color="auto" w:sz="2" w:space="0"/>
              <w:right w:val="single" w:color="auto" w:sz="2" w:space="0"/>
            </w:tcBorders>
            <w:vAlign w:val="center"/>
          </w:tcPr>
          <w:p w14:paraId="684D5D8B">
            <w:pPr>
              <w:keepNext w:val="0"/>
              <w:keepLines w:val="0"/>
              <w:widowControl/>
              <w:suppressLineNumbers w:val="0"/>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科研仪器设备</w:t>
            </w:r>
          </w:p>
        </w:tc>
        <w:tc>
          <w:tcPr>
            <w:tcW w:w="6700" w:type="dxa"/>
            <w:tcBorders>
              <w:top w:val="single" w:color="auto" w:sz="2" w:space="0"/>
              <w:left w:val="single" w:color="auto" w:sz="2" w:space="0"/>
              <w:bottom w:val="single" w:color="auto" w:sz="2" w:space="0"/>
              <w:right w:val="single" w:color="auto" w:sz="2" w:space="0"/>
            </w:tcBorders>
            <w:vAlign w:val="center"/>
          </w:tcPr>
          <w:p w14:paraId="19FDECD0">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是否属于科研仪器设备采购项目： </w:t>
            </w:r>
          </w:p>
          <w:p w14:paraId="341E7760">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 xml:space="preserve">是 </w:t>
            </w:r>
          </w:p>
          <w:p w14:paraId="2C80CB22">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否</w:t>
            </w:r>
          </w:p>
        </w:tc>
      </w:tr>
      <w:tr w14:paraId="705471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2AEE4073">
            <w:pPr>
              <w:pStyle w:val="46"/>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.1</w:t>
            </w:r>
          </w:p>
        </w:tc>
        <w:tc>
          <w:tcPr>
            <w:tcW w:w="1721" w:type="dxa"/>
            <w:tcBorders>
              <w:top w:val="single" w:color="auto" w:sz="2" w:space="0"/>
              <w:left w:val="single" w:color="auto" w:sz="2" w:space="0"/>
              <w:bottom w:val="single" w:color="auto" w:sz="2" w:space="0"/>
              <w:right w:val="single" w:color="auto" w:sz="2" w:space="0"/>
            </w:tcBorders>
            <w:shd w:val="clear" w:color="auto" w:fill="auto"/>
            <w:vAlign w:val="center"/>
          </w:tcPr>
          <w:p w14:paraId="71CF8DC6">
            <w:pPr>
              <w:pStyle w:val="46"/>
              <w:rPr>
                <w:rFonts w:hint="eastAsia" w:ascii="宋体" w:hAnsi="宋体" w:eastAsia="宋体" w:cs="宋体"/>
                <w:color w:val="auto"/>
                <w:sz w:val="24"/>
                <w:szCs w:val="24"/>
                <w:highlight w:val="none"/>
              </w:rPr>
            </w:pPr>
            <w:bookmarkStart w:id="103" w:name="_Hlk143529175"/>
            <w:r>
              <w:rPr>
                <w:rFonts w:hint="eastAsia" w:ascii="宋体" w:hAnsi="宋体" w:eastAsia="宋体" w:cs="宋体"/>
                <w:color w:val="auto"/>
                <w:sz w:val="24"/>
                <w:szCs w:val="24"/>
                <w:highlight w:val="none"/>
              </w:rPr>
              <w:t>现场考察</w:t>
            </w:r>
            <w:bookmarkEnd w:id="103"/>
          </w:p>
        </w:tc>
        <w:tc>
          <w:tcPr>
            <w:tcW w:w="6700" w:type="dxa"/>
            <w:tcBorders>
              <w:top w:val="single" w:color="auto" w:sz="2" w:space="0"/>
              <w:left w:val="single" w:color="auto" w:sz="2" w:space="0"/>
              <w:bottom w:val="single" w:color="auto" w:sz="2" w:space="0"/>
              <w:right w:val="single" w:color="auto" w:sz="2" w:space="0"/>
            </w:tcBorders>
            <w:shd w:val="clear" w:color="auto" w:fill="auto"/>
            <w:vAlign w:val="center"/>
          </w:tcPr>
          <w:p w14:paraId="5E2B3EE4">
            <w:pPr>
              <w:pStyle w:val="4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不组织，供应商自行前往</w:t>
            </w:r>
            <w:r>
              <w:rPr>
                <w:rFonts w:hint="eastAsia" w:ascii="宋体" w:hAnsi="宋体" w:eastAsia="宋体" w:cs="宋体"/>
                <w:color w:val="auto"/>
                <w:sz w:val="24"/>
                <w:szCs w:val="24"/>
                <w:highlight w:val="none"/>
                <w:lang w:eastAsia="zh-CN"/>
              </w:rPr>
              <w:t>。</w:t>
            </w:r>
          </w:p>
          <w:p w14:paraId="2238EF6A">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047A7004">
            <w:pPr>
              <w:pStyle w:val="46"/>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520FC15">
            <w:pPr>
              <w:pStyle w:val="46"/>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B8528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3AA490D3">
            <w:pPr>
              <w:pStyle w:val="46"/>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9.5</w:t>
            </w:r>
          </w:p>
        </w:tc>
        <w:tc>
          <w:tcPr>
            <w:tcW w:w="1721" w:type="dxa"/>
            <w:tcBorders>
              <w:top w:val="single" w:color="auto" w:sz="2" w:space="0"/>
              <w:left w:val="single" w:color="auto" w:sz="2" w:space="0"/>
              <w:bottom w:val="single" w:color="auto" w:sz="2" w:space="0"/>
              <w:right w:val="single" w:color="auto" w:sz="2" w:space="0"/>
            </w:tcBorders>
            <w:shd w:val="clear" w:color="auto" w:fill="auto"/>
            <w:vAlign w:val="center"/>
          </w:tcPr>
          <w:p w14:paraId="06B687FF">
            <w:pPr>
              <w:pStyle w:val="4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答疑会</w:t>
            </w:r>
          </w:p>
        </w:tc>
        <w:tc>
          <w:tcPr>
            <w:tcW w:w="6700" w:type="dxa"/>
            <w:tcBorders>
              <w:top w:val="single" w:color="auto" w:sz="2" w:space="0"/>
              <w:left w:val="single" w:color="auto" w:sz="2" w:space="0"/>
              <w:bottom w:val="single" w:color="auto" w:sz="2" w:space="0"/>
              <w:right w:val="single" w:color="auto" w:sz="2" w:space="0"/>
            </w:tcBorders>
            <w:shd w:val="clear" w:color="auto" w:fill="auto"/>
            <w:vAlign w:val="center"/>
          </w:tcPr>
          <w:p w14:paraId="2311FEB9">
            <w:pPr>
              <w:pStyle w:val="4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0460CD8F">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0485F5E8">
            <w:pPr>
              <w:pStyle w:val="46"/>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51C6642">
            <w:pPr>
              <w:pStyle w:val="46"/>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0FF56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CBF1A30">
            <w:pPr>
              <w:pStyle w:val="4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vAlign w:val="center"/>
          </w:tcPr>
          <w:p w14:paraId="4A7BE250">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询问</w:t>
            </w:r>
          </w:p>
        </w:tc>
        <w:tc>
          <w:tcPr>
            <w:tcW w:w="6700" w:type="dxa"/>
            <w:tcBorders>
              <w:top w:val="single" w:color="auto" w:sz="2" w:space="0"/>
              <w:left w:val="single" w:color="auto" w:sz="2" w:space="0"/>
              <w:bottom w:val="single" w:color="auto" w:sz="2" w:space="0"/>
              <w:right w:val="single" w:color="auto" w:sz="2" w:space="0"/>
            </w:tcBorders>
            <w:vAlign w:val="center"/>
          </w:tcPr>
          <w:p w14:paraId="5CEFB72E">
            <w:pPr>
              <w:pStyle w:val="46"/>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方式：</w:t>
            </w:r>
            <w:r>
              <w:rPr>
                <w:rFonts w:hint="eastAsia" w:ascii="宋体" w:hAnsi="宋体" w:eastAsia="宋体" w:cs="宋体"/>
                <w:i w:val="0"/>
                <w:iCs w:val="0"/>
                <w:color w:val="auto"/>
                <w:sz w:val="24"/>
                <w:szCs w:val="24"/>
                <w:highlight w:val="none"/>
                <w:u w:val="single"/>
              </w:rPr>
              <w:t>在</w:t>
            </w:r>
            <w:r>
              <w:rPr>
                <w:rFonts w:hint="eastAsia" w:cs="宋体"/>
                <w:i w:val="0"/>
                <w:iCs w:val="0"/>
                <w:color w:val="auto"/>
                <w:sz w:val="24"/>
                <w:szCs w:val="24"/>
                <w:highlight w:val="none"/>
                <w:u w:val="single"/>
                <w:lang w:eastAsia="zh-CN"/>
              </w:rPr>
              <w:t>供应商投标客户端</w:t>
            </w:r>
            <w:r>
              <w:rPr>
                <w:rFonts w:hint="eastAsia" w:ascii="宋体" w:hAnsi="宋体" w:eastAsia="宋体" w:cs="宋体"/>
                <w:i w:val="0"/>
                <w:iCs w:val="0"/>
                <w:color w:val="auto"/>
                <w:sz w:val="24"/>
                <w:szCs w:val="24"/>
                <w:highlight w:val="none"/>
                <w:u w:val="single"/>
              </w:rPr>
              <w:t>中按照格式填写询问函，并在生成询问函后加盖电子印章提交</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其他询问方式：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电话</w:t>
            </w:r>
            <w:r>
              <w:rPr>
                <w:rFonts w:hint="eastAsia" w:cs="宋体"/>
                <w:i w:val="0"/>
                <w:iCs w:val="0"/>
                <w:color w:val="auto"/>
                <w:sz w:val="24"/>
                <w:szCs w:val="24"/>
                <w:highlight w:val="none"/>
                <w:u w:val="single"/>
                <w:lang w:val="en-US" w:eastAsia="zh-CN"/>
              </w:rPr>
              <w:t>咨询</w:t>
            </w:r>
            <w:r>
              <w:rPr>
                <w:rFonts w:hint="eastAsia" w:ascii="宋体" w:hAnsi="宋体" w:eastAsia="宋体" w:cs="宋体"/>
                <w:i w:val="0"/>
                <w:iCs w:val="0"/>
                <w:color w:val="auto"/>
                <w:sz w:val="24"/>
                <w:szCs w:val="24"/>
                <w:highlight w:val="none"/>
              </w:rPr>
              <w:t>。</w:t>
            </w:r>
          </w:p>
          <w:p w14:paraId="64192C39">
            <w:pPr>
              <w:pStyle w:val="46"/>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rPr>
              <w:t xml:space="preserve">  每天上午</w:t>
            </w:r>
            <w:r>
              <w:rPr>
                <w:rFonts w:hint="eastAsia" w:cs="宋体"/>
                <w:i w:val="0"/>
                <w:iCs w:val="0"/>
                <w:color w:val="auto"/>
                <w:sz w:val="24"/>
                <w:szCs w:val="24"/>
                <w:highlight w:val="none"/>
                <w:u w:val="single"/>
                <w:lang w:val="en-US" w:eastAsia="zh-CN"/>
              </w:rPr>
              <w:t>1</w:t>
            </w:r>
            <w:r>
              <w:rPr>
                <w:rFonts w:hint="eastAsia" w:ascii="宋体" w:hAnsi="宋体" w:eastAsia="宋体" w:cs="宋体"/>
                <w:i w:val="0"/>
                <w:iCs w:val="0"/>
                <w:color w:val="auto"/>
                <w:sz w:val="24"/>
                <w:szCs w:val="24"/>
                <w:highlight w:val="none"/>
                <w:u w:val="single"/>
              </w:rPr>
              <w:t>0:00 至</w:t>
            </w:r>
            <w:r>
              <w:rPr>
                <w:rFonts w:hint="eastAsia" w:cs="宋体"/>
                <w:i w:val="0"/>
                <w:iCs w:val="0"/>
                <w:color w:val="auto"/>
                <w:sz w:val="24"/>
                <w:szCs w:val="24"/>
                <w:highlight w:val="none"/>
                <w:u w:val="single"/>
                <w:lang w:val="en-US" w:eastAsia="zh-CN"/>
              </w:rPr>
              <w:t>14</w:t>
            </w:r>
            <w:r>
              <w:rPr>
                <w:rFonts w:hint="eastAsia" w:ascii="宋体" w:hAnsi="宋体" w:eastAsia="宋体" w:cs="宋体"/>
                <w:i w:val="0"/>
                <w:iCs w:val="0"/>
                <w:color w:val="auto"/>
                <w:sz w:val="24"/>
                <w:szCs w:val="24"/>
                <w:highlight w:val="none"/>
                <w:u w:val="single"/>
              </w:rPr>
              <w:t>:</w:t>
            </w:r>
            <w:r>
              <w:rPr>
                <w:rFonts w:hint="eastAsia" w:cs="宋体"/>
                <w:i w:val="0"/>
                <w:iCs w:val="0"/>
                <w:color w:val="auto"/>
                <w:sz w:val="24"/>
                <w:szCs w:val="24"/>
                <w:highlight w:val="none"/>
                <w:u w:val="single"/>
                <w:lang w:val="en-US" w:eastAsia="zh-CN"/>
              </w:rPr>
              <w:t>0</w:t>
            </w:r>
            <w:r>
              <w:rPr>
                <w:rFonts w:hint="eastAsia" w:ascii="宋体" w:hAnsi="宋体" w:eastAsia="宋体" w:cs="宋体"/>
                <w:i w:val="0"/>
                <w:iCs w:val="0"/>
                <w:color w:val="auto"/>
                <w:sz w:val="24"/>
                <w:szCs w:val="24"/>
                <w:highlight w:val="none"/>
                <w:u w:val="single"/>
              </w:rPr>
              <w:t>0，下午1</w:t>
            </w:r>
            <w:r>
              <w:rPr>
                <w:rFonts w:hint="eastAsia" w:cs="宋体"/>
                <w:i w:val="0"/>
                <w:iCs w:val="0"/>
                <w:color w:val="auto"/>
                <w:sz w:val="24"/>
                <w:szCs w:val="24"/>
                <w:highlight w:val="none"/>
                <w:u w:val="single"/>
                <w:lang w:val="en-US" w:eastAsia="zh-CN"/>
              </w:rPr>
              <w:t>6</w:t>
            </w:r>
            <w:r>
              <w:rPr>
                <w:rFonts w:hint="eastAsia" w:ascii="宋体" w:hAnsi="宋体" w:eastAsia="宋体" w:cs="宋体"/>
                <w:i w:val="0"/>
                <w:iCs w:val="0"/>
                <w:color w:val="auto"/>
                <w:sz w:val="24"/>
                <w:szCs w:val="24"/>
                <w:highlight w:val="none"/>
                <w:u w:val="single"/>
              </w:rPr>
              <w:t>:</w:t>
            </w:r>
            <w:r>
              <w:rPr>
                <w:rFonts w:hint="eastAsia" w:cs="宋体"/>
                <w:i w:val="0"/>
                <w:iCs w:val="0"/>
                <w:color w:val="auto"/>
                <w:sz w:val="24"/>
                <w:szCs w:val="24"/>
                <w:highlight w:val="none"/>
                <w:u w:val="single"/>
                <w:lang w:val="en-US" w:eastAsia="zh-CN"/>
              </w:rPr>
              <w:t>0</w:t>
            </w:r>
            <w:r>
              <w:rPr>
                <w:rFonts w:hint="eastAsia" w:ascii="宋体" w:hAnsi="宋体" w:eastAsia="宋体" w:cs="宋体"/>
                <w:i w:val="0"/>
                <w:iCs w:val="0"/>
                <w:color w:val="auto"/>
                <w:sz w:val="24"/>
                <w:szCs w:val="24"/>
                <w:highlight w:val="none"/>
                <w:u w:val="single"/>
              </w:rPr>
              <w:t>0至</w:t>
            </w:r>
            <w:r>
              <w:rPr>
                <w:rFonts w:hint="eastAsia" w:cs="宋体"/>
                <w:i w:val="0"/>
                <w:iCs w:val="0"/>
                <w:color w:val="auto"/>
                <w:sz w:val="24"/>
                <w:szCs w:val="24"/>
                <w:highlight w:val="none"/>
                <w:u w:val="single"/>
                <w:lang w:val="en-US" w:eastAsia="zh-CN"/>
              </w:rPr>
              <w:t>20</w:t>
            </w:r>
            <w:r>
              <w:rPr>
                <w:rFonts w:hint="eastAsia" w:ascii="宋体" w:hAnsi="宋体" w:eastAsia="宋体" w:cs="宋体"/>
                <w:i w:val="0"/>
                <w:iCs w:val="0"/>
                <w:color w:val="auto"/>
                <w:sz w:val="24"/>
                <w:szCs w:val="24"/>
                <w:highlight w:val="none"/>
                <w:u w:val="single"/>
              </w:rPr>
              <w:t>:</w:t>
            </w:r>
            <w:r>
              <w:rPr>
                <w:rFonts w:hint="eastAsia" w:cs="宋体"/>
                <w:i w:val="0"/>
                <w:iCs w:val="0"/>
                <w:color w:val="auto"/>
                <w:sz w:val="24"/>
                <w:szCs w:val="24"/>
                <w:highlight w:val="none"/>
                <w:u w:val="single"/>
                <w:lang w:val="en-US" w:eastAsia="zh-CN"/>
              </w:rPr>
              <w:t>00</w:t>
            </w:r>
            <w:r>
              <w:rPr>
                <w:rFonts w:hint="eastAsia" w:ascii="宋体" w:hAnsi="宋体" w:eastAsia="宋体" w:cs="宋体"/>
                <w:i w:val="0"/>
                <w:iCs w:val="0"/>
                <w:color w:val="auto"/>
                <w:sz w:val="24"/>
                <w:szCs w:val="24"/>
                <w:highlight w:val="none"/>
                <w:u w:val="single"/>
              </w:rPr>
              <w:t xml:space="preserve">（北京时间，法定节假日除外）  </w:t>
            </w:r>
            <w:r>
              <w:rPr>
                <w:rFonts w:hint="eastAsia" w:ascii="宋体" w:hAnsi="宋体" w:eastAsia="宋体" w:cs="宋体"/>
                <w:i w:val="0"/>
                <w:iCs w:val="0"/>
                <w:color w:val="auto"/>
                <w:sz w:val="24"/>
                <w:szCs w:val="24"/>
                <w:highlight w:val="none"/>
              </w:rPr>
              <w:t>。</w:t>
            </w:r>
          </w:p>
        </w:tc>
      </w:tr>
      <w:tr w14:paraId="4571B9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97CBDA8">
            <w:pPr>
              <w:pStyle w:val="4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vAlign w:val="center"/>
          </w:tcPr>
          <w:p w14:paraId="56E4A3E9">
            <w:pPr>
              <w:pStyle w:val="46"/>
              <w:rPr>
                <w:rFonts w:hint="eastAsia" w:ascii="宋体" w:hAnsi="宋体" w:eastAsia="宋体" w:cs="宋体"/>
                <w:color w:val="auto"/>
                <w:sz w:val="24"/>
                <w:szCs w:val="24"/>
                <w:highlight w:val="none"/>
                <w:lang w:eastAsia="zh-CN"/>
              </w:rPr>
            </w:pPr>
            <w:r>
              <w:rPr>
                <w:rFonts w:hint="default" w:ascii="Times New Roman" w:hAnsi="Times New Roman" w:eastAsia="仿宋_GB2312" w:cs="Times New Roman"/>
                <w:color w:val="auto"/>
                <w:spacing w:val="17"/>
                <w:sz w:val="28"/>
                <w:szCs w:val="28"/>
                <w:highlight w:val="none"/>
              </w:rPr>
              <w:t>★</w:t>
            </w:r>
            <w:r>
              <w:rPr>
                <w:rFonts w:hint="eastAsia" w:ascii="宋体" w:hAnsi="宋体" w:eastAsia="宋体" w:cs="宋体"/>
                <w:color w:val="auto"/>
                <w:sz w:val="24"/>
                <w:szCs w:val="24"/>
                <w:highlight w:val="none"/>
                <w:lang w:eastAsia="zh-CN"/>
              </w:rPr>
              <w:t>响应文件有效期</w:t>
            </w:r>
          </w:p>
        </w:tc>
        <w:tc>
          <w:tcPr>
            <w:tcW w:w="6700" w:type="dxa"/>
            <w:tcBorders>
              <w:top w:val="single" w:color="auto" w:sz="2" w:space="0"/>
              <w:left w:val="single" w:color="auto" w:sz="2" w:space="0"/>
              <w:bottom w:val="single" w:color="auto" w:sz="2" w:space="0"/>
              <w:right w:val="single" w:color="auto" w:sz="2" w:space="0"/>
            </w:tcBorders>
            <w:vAlign w:val="center"/>
          </w:tcPr>
          <w:p w14:paraId="7A8404D2">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响应文件递交截止日期后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49C77E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6C48057">
            <w:pPr>
              <w:pStyle w:val="46"/>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721" w:type="dxa"/>
            <w:tcBorders>
              <w:top w:val="single" w:color="auto" w:sz="2" w:space="0"/>
              <w:left w:val="single" w:color="auto" w:sz="2" w:space="0"/>
              <w:bottom w:val="single" w:color="auto" w:sz="2" w:space="0"/>
              <w:right w:val="single" w:color="auto" w:sz="2" w:space="0"/>
            </w:tcBorders>
            <w:vAlign w:val="center"/>
          </w:tcPr>
          <w:p w14:paraId="60D2F551">
            <w:pPr>
              <w:pStyle w:val="46"/>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保证金</w:t>
            </w:r>
          </w:p>
        </w:tc>
        <w:tc>
          <w:tcPr>
            <w:tcW w:w="6700" w:type="dxa"/>
            <w:tcBorders>
              <w:top w:val="single" w:color="auto" w:sz="2" w:space="0"/>
              <w:left w:val="single" w:color="auto" w:sz="2" w:space="0"/>
              <w:bottom w:val="single" w:color="auto" w:sz="2" w:space="0"/>
              <w:right w:val="single" w:color="auto" w:sz="2" w:space="0"/>
            </w:tcBorders>
            <w:vAlign w:val="center"/>
          </w:tcPr>
          <w:p w14:paraId="6A5BD78D">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1F705AC0">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5033BC8E">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预算金额</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w:t>
            </w:r>
          </w:p>
          <w:p w14:paraId="31FDD906">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定额收取：</w:t>
            </w:r>
            <w:r>
              <w:rPr>
                <w:rFonts w:hint="eastAsia" w:ascii="宋体" w:hAnsi="宋体" w:eastAsia="宋体" w:cs="宋体"/>
                <w:color w:val="auto"/>
                <w:sz w:val="24"/>
                <w:szCs w:val="24"/>
                <w:highlight w:val="none"/>
                <w:u w:val="single"/>
              </w:rPr>
              <w:t xml:space="preserve">人民币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元</w:t>
            </w:r>
            <w:r>
              <w:rPr>
                <w:rFonts w:hint="eastAsia" w:ascii="宋体" w:hAnsi="宋体" w:eastAsia="宋体" w:cs="宋体"/>
                <w:color w:val="auto"/>
                <w:sz w:val="24"/>
                <w:szCs w:val="24"/>
                <w:highlight w:val="none"/>
                <w:lang w:eastAsia="zh-CN"/>
              </w:rPr>
              <w:t>。</w:t>
            </w:r>
          </w:p>
          <w:p w14:paraId="73F09281">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4077D0C0">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供应商可自主选择以支票、汇票、本票、电汇、转账、网银、保函等非现金形式缴纳或提交保证金。</w:t>
            </w:r>
          </w:p>
          <w:p w14:paraId="3BF881EC">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收取单位：</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p w14:paraId="0D11824F">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4.收取账号：</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p w14:paraId="1F174ACF">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退还时间：</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p w14:paraId="0C79EF6C">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7CEAD366">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51E0176B">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以担保函、保证保险形式缴纳保证金的，受益人和收取单位须为采购人。</w:t>
            </w:r>
          </w:p>
        </w:tc>
      </w:tr>
      <w:tr w14:paraId="7111AC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444" w:hRule="atLeast"/>
        </w:trPr>
        <w:tc>
          <w:tcPr>
            <w:tcW w:w="970" w:type="dxa"/>
            <w:tcBorders>
              <w:top w:val="single" w:color="auto" w:sz="2" w:space="0"/>
              <w:left w:val="single" w:color="auto" w:sz="2" w:space="0"/>
              <w:bottom w:val="single" w:color="auto" w:sz="2" w:space="0"/>
              <w:right w:val="single" w:color="auto" w:sz="2" w:space="0"/>
            </w:tcBorders>
            <w:vAlign w:val="center"/>
          </w:tcPr>
          <w:p w14:paraId="61BD2EB4">
            <w:pPr>
              <w:pStyle w:val="4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tc>
        <w:tc>
          <w:tcPr>
            <w:tcW w:w="1721" w:type="dxa"/>
            <w:tcBorders>
              <w:top w:val="single" w:color="auto" w:sz="2" w:space="0"/>
              <w:left w:val="single" w:color="auto" w:sz="2" w:space="0"/>
              <w:bottom w:val="single" w:color="auto" w:sz="2" w:space="0"/>
              <w:right w:val="single" w:color="auto" w:sz="2" w:space="0"/>
            </w:tcBorders>
            <w:vAlign w:val="center"/>
          </w:tcPr>
          <w:p w14:paraId="5DF09144">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6700" w:type="dxa"/>
            <w:tcBorders>
              <w:top w:val="single" w:color="auto" w:sz="2" w:space="0"/>
              <w:left w:val="single" w:color="auto" w:sz="2" w:space="0"/>
              <w:bottom w:val="single" w:color="auto" w:sz="2" w:space="0"/>
              <w:right w:val="single" w:color="auto" w:sz="2" w:space="0"/>
            </w:tcBorders>
            <w:vAlign w:val="center"/>
          </w:tcPr>
          <w:p w14:paraId="1A755E2A">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样品递交： </w:t>
            </w:r>
          </w:p>
          <w:p w14:paraId="2DA6B3DD">
            <w:pPr>
              <w:pStyle w:val="46"/>
              <w:ind w:firstLine="240" w:firstLineChars="100"/>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6CF1D977">
            <w:pPr>
              <w:pStyle w:val="46"/>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□需要，具体要求如下： </w:t>
            </w:r>
          </w:p>
          <w:p w14:paraId="057180A3">
            <w:pPr>
              <w:pStyle w:val="46"/>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1.样品制作的标准和要求：</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3BD1F4B">
            <w:pPr>
              <w:pStyle w:val="46"/>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2.是否需要随样品提交相关检测报告： </w:t>
            </w:r>
          </w:p>
          <w:p w14:paraId="1C722A75">
            <w:pPr>
              <w:pStyle w:val="46"/>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□不需要 </w:t>
            </w:r>
          </w:p>
          <w:p w14:paraId="612E9C11">
            <w:pPr>
              <w:pStyle w:val="46"/>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 </w:t>
            </w:r>
          </w:p>
          <w:p w14:paraId="140A7E83">
            <w:pPr>
              <w:pStyle w:val="46"/>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3.样品递交要求：</w:t>
            </w:r>
          </w:p>
          <w:p w14:paraId="163503B2">
            <w:pPr>
              <w:pStyle w:val="46"/>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递交时间：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p>
          <w:p w14:paraId="405BE77E">
            <w:pPr>
              <w:pStyle w:val="46"/>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，逾期提供的样品将不予接受。</w:t>
            </w:r>
            <w:r>
              <w:rPr>
                <w:rFonts w:hint="eastAsia" w:ascii="宋体" w:hAnsi="宋体" w:eastAsia="宋体" w:cs="宋体"/>
                <w:color w:val="auto"/>
                <w:sz w:val="24"/>
                <w:szCs w:val="24"/>
                <w:highlight w:val="none"/>
                <w:lang w:val="en-US" w:eastAsia="zh-CN"/>
              </w:rPr>
              <w:t xml:space="preserve"> </w:t>
            </w:r>
          </w:p>
          <w:p w14:paraId="66E8902D">
            <w:pPr>
              <w:pStyle w:val="46"/>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4.未中标人样品退还：</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61DDB2E5">
            <w:pPr>
              <w:pStyle w:val="46"/>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5.中标人样品保管、封存及退还：</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6985B4A7">
            <w:pPr>
              <w:pStyle w:val="46"/>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6.其他要求（如有）：</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tc>
      </w:tr>
      <w:tr w14:paraId="0492E4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853" w:hRule="atLeast"/>
        </w:trPr>
        <w:tc>
          <w:tcPr>
            <w:tcW w:w="970" w:type="dxa"/>
            <w:tcBorders>
              <w:top w:val="single" w:color="auto" w:sz="2" w:space="0"/>
              <w:left w:val="single" w:color="auto" w:sz="2" w:space="0"/>
              <w:bottom w:val="single" w:color="auto" w:sz="2" w:space="0"/>
              <w:right w:val="single" w:color="auto" w:sz="2" w:space="0"/>
            </w:tcBorders>
            <w:vAlign w:val="center"/>
          </w:tcPr>
          <w:p w14:paraId="733F5245">
            <w:pPr>
              <w:pStyle w:val="4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w:t>
            </w:r>
          </w:p>
        </w:tc>
        <w:tc>
          <w:tcPr>
            <w:tcW w:w="1721" w:type="dxa"/>
            <w:tcBorders>
              <w:top w:val="single" w:color="auto" w:sz="2" w:space="0"/>
              <w:left w:val="single" w:color="auto" w:sz="2" w:space="0"/>
              <w:bottom w:val="single" w:color="auto" w:sz="2" w:space="0"/>
              <w:right w:val="single" w:color="auto" w:sz="2" w:space="0"/>
            </w:tcBorders>
            <w:vAlign w:val="center"/>
          </w:tcPr>
          <w:p w14:paraId="4ABD3E07">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6700" w:type="dxa"/>
            <w:tcBorders>
              <w:top w:val="single" w:color="auto" w:sz="2" w:space="0"/>
              <w:left w:val="single" w:color="auto" w:sz="2" w:space="0"/>
              <w:bottom w:val="single" w:color="auto" w:sz="2" w:space="0"/>
              <w:right w:val="single" w:color="auto" w:sz="2" w:space="0"/>
            </w:tcBorders>
            <w:vAlign w:val="center"/>
          </w:tcPr>
          <w:p w14:paraId="2F127983">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不进行</w:t>
            </w:r>
          </w:p>
          <w:p w14:paraId="3E1D5472">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78D358FD">
            <w:pPr>
              <w:pStyle w:val="46"/>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分钟。</w:t>
            </w:r>
          </w:p>
          <w:p w14:paraId="4FF9BE53">
            <w:pPr>
              <w:pStyle w:val="46"/>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2.进行远程线上演示的，供应商应提前自行准备好演示的软硬配置环境和网络环境，做好演示的各项准备工作。因供应商自身原因无法演示或者演示效果不理想的，导致的后果由供应商自行承担。</w:t>
            </w:r>
          </w:p>
          <w:p w14:paraId="727E4770">
            <w:pPr>
              <w:pStyle w:val="46"/>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人，演示现场提供</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4181FF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19" w:hRule="atLeast"/>
        </w:trPr>
        <w:tc>
          <w:tcPr>
            <w:tcW w:w="970" w:type="dxa"/>
            <w:tcBorders>
              <w:top w:val="single" w:color="auto" w:sz="2" w:space="0"/>
              <w:left w:val="single" w:color="auto" w:sz="2" w:space="0"/>
              <w:bottom w:val="single" w:color="auto" w:sz="2" w:space="0"/>
              <w:right w:val="single" w:color="auto" w:sz="2" w:space="0"/>
            </w:tcBorders>
            <w:vAlign w:val="center"/>
          </w:tcPr>
          <w:p w14:paraId="75DCCD86">
            <w:pPr>
              <w:pStyle w:val="4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w:t>
            </w:r>
          </w:p>
        </w:tc>
        <w:tc>
          <w:tcPr>
            <w:tcW w:w="1721" w:type="dxa"/>
            <w:tcBorders>
              <w:top w:val="single" w:color="auto" w:sz="2" w:space="0"/>
              <w:left w:val="single" w:color="auto" w:sz="2" w:space="0"/>
              <w:bottom w:val="single" w:color="auto" w:sz="2" w:space="0"/>
              <w:right w:val="single" w:color="auto" w:sz="2" w:space="0"/>
            </w:tcBorders>
            <w:vAlign w:val="center"/>
          </w:tcPr>
          <w:p w14:paraId="747E8F82">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解密响应文件的时限</w:t>
            </w:r>
          </w:p>
        </w:tc>
        <w:tc>
          <w:tcPr>
            <w:tcW w:w="6700" w:type="dxa"/>
            <w:tcBorders>
              <w:top w:val="single" w:color="auto" w:sz="2" w:space="0"/>
              <w:left w:val="single" w:color="auto" w:sz="2" w:space="0"/>
              <w:bottom w:val="single" w:color="auto" w:sz="2" w:space="0"/>
              <w:right w:val="single" w:color="auto" w:sz="2" w:space="0"/>
            </w:tcBorders>
            <w:vAlign w:val="center"/>
          </w:tcPr>
          <w:p w14:paraId="023E6148">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608EF5D4">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注：</w:t>
            </w:r>
            <w:r>
              <w:rPr>
                <w:rFonts w:hint="eastAsia" w:ascii="宋体" w:hAnsi="宋体" w:eastAsia="宋体" w:cs="宋体"/>
                <w:color w:val="auto"/>
                <w:sz w:val="24"/>
                <w:szCs w:val="24"/>
                <w:highlight w:val="none"/>
              </w:rPr>
              <w:t>除因交易平台发生故障导致响应文件无法按时解密外，响应文件未按时解密的，视为未按规定提交响应文件</w:t>
            </w:r>
            <w:r>
              <w:rPr>
                <w:rFonts w:hint="eastAsia" w:ascii="宋体" w:hAnsi="宋体" w:eastAsia="宋体" w:cs="宋体"/>
                <w:color w:val="auto"/>
                <w:sz w:val="24"/>
                <w:szCs w:val="24"/>
                <w:highlight w:val="none"/>
                <w:lang w:eastAsia="zh-CN"/>
              </w:rPr>
              <w:t>，响应无效。</w:t>
            </w:r>
          </w:p>
        </w:tc>
      </w:tr>
      <w:tr w14:paraId="550466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19"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45CEBC2C">
            <w:pPr>
              <w:pStyle w:val="46"/>
              <w:jc w:val="center"/>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29.1</w:t>
            </w:r>
          </w:p>
        </w:tc>
        <w:tc>
          <w:tcPr>
            <w:tcW w:w="1721" w:type="dxa"/>
            <w:tcBorders>
              <w:top w:val="single" w:color="auto" w:sz="2" w:space="0"/>
              <w:left w:val="single" w:color="auto" w:sz="2" w:space="0"/>
              <w:bottom w:val="single" w:color="auto" w:sz="2" w:space="0"/>
              <w:right w:val="single" w:color="auto" w:sz="2" w:space="0"/>
            </w:tcBorders>
            <w:shd w:val="clear" w:color="auto" w:fill="auto"/>
            <w:vAlign w:val="center"/>
          </w:tcPr>
          <w:p w14:paraId="79CB7E8C">
            <w:pPr>
              <w:pStyle w:val="46"/>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谈判轮次及谈判顺序</w:t>
            </w:r>
          </w:p>
        </w:tc>
        <w:tc>
          <w:tcPr>
            <w:tcW w:w="6700" w:type="dxa"/>
            <w:tcBorders>
              <w:top w:val="single" w:color="auto" w:sz="2" w:space="0"/>
              <w:left w:val="single" w:color="auto" w:sz="2" w:space="0"/>
              <w:bottom w:val="single" w:color="auto" w:sz="2" w:space="0"/>
              <w:right w:val="single" w:color="auto" w:sz="2" w:space="0"/>
            </w:tcBorders>
            <w:shd w:val="clear" w:color="auto" w:fill="auto"/>
            <w:vAlign w:val="center"/>
          </w:tcPr>
          <w:p w14:paraId="2BBE5A5D">
            <w:pPr>
              <w:pStyle w:val="46"/>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谈判轮次：</w:t>
            </w:r>
          </w:p>
          <w:p w14:paraId="74F5ED1C">
            <w:pPr>
              <w:pStyle w:val="46"/>
              <w:ind w:firstLine="240" w:firstLineChars="100"/>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cs="宋体"/>
                <w:color w:val="auto"/>
                <w:sz w:val="24"/>
                <w:szCs w:val="24"/>
                <w:highlight w:val="none"/>
                <w:lang w:val="en-US" w:eastAsia="zh-CN"/>
              </w:rPr>
              <w:t>本项目共进行</w:t>
            </w:r>
            <w:r>
              <w:rPr>
                <w:rFonts w:hint="eastAsia" w:cs="宋体"/>
                <w:color w:val="auto"/>
                <w:sz w:val="24"/>
                <w:szCs w:val="24"/>
                <w:highlight w:val="none"/>
                <w:u w:val="single"/>
                <w:lang w:val="en-US" w:eastAsia="zh-CN"/>
              </w:rPr>
              <w:t xml:space="preserve">    2    </w:t>
            </w:r>
            <w:r>
              <w:rPr>
                <w:rFonts w:hint="eastAsia" w:cs="宋体"/>
                <w:color w:val="auto"/>
                <w:sz w:val="24"/>
                <w:szCs w:val="24"/>
                <w:highlight w:val="none"/>
                <w:lang w:val="en-US" w:eastAsia="zh-CN"/>
              </w:rPr>
              <w:t>轮谈判（</w:t>
            </w:r>
            <w:r>
              <w:rPr>
                <w:rFonts w:hint="eastAsia" w:cs="宋体"/>
                <w:kern w:val="0"/>
                <w:sz w:val="24"/>
                <w:lang w:val="en-US" w:eastAsia="zh-CN"/>
              </w:rPr>
              <w:t>不含最后报价，</w:t>
            </w:r>
            <w:r>
              <w:rPr>
                <w:rFonts w:hint="eastAsia" w:ascii="宋体" w:hAnsi="宋体" w:eastAsia="宋体" w:cs="宋体"/>
                <w:kern w:val="0"/>
                <w:sz w:val="24"/>
                <w:lang w:val="en-US" w:eastAsia="zh-CN"/>
              </w:rPr>
              <w:t>响应文件内的报价为首</w:t>
            </w:r>
            <w:r>
              <w:rPr>
                <w:rFonts w:hint="eastAsia" w:cs="宋体"/>
                <w:kern w:val="0"/>
                <w:sz w:val="24"/>
                <w:lang w:val="en-US" w:eastAsia="zh-CN"/>
              </w:rPr>
              <w:t>轮</w:t>
            </w:r>
            <w:r>
              <w:rPr>
                <w:rFonts w:hint="eastAsia" w:ascii="宋体" w:hAnsi="宋体" w:eastAsia="宋体" w:cs="宋体"/>
                <w:kern w:val="0"/>
                <w:sz w:val="24"/>
                <w:lang w:val="en-US" w:eastAsia="zh-CN"/>
              </w:rPr>
              <w:t>报价，</w:t>
            </w:r>
            <w:r>
              <w:rPr>
                <w:rFonts w:hint="eastAsia" w:cs="宋体"/>
                <w:kern w:val="0"/>
                <w:sz w:val="24"/>
                <w:lang w:val="en-US" w:eastAsia="zh-CN"/>
              </w:rPr>
              <w:t>再进行</w:t>
            </w:r>
            <w:r>
              <w:rPr>
                <w:rFonts w:hint="eastAsia" w:ascii="宋体" w:hAnsi="宋体" w:eastAsia="宋体" w:cs="宋体"/>
                <w:kern w:val="0"/>
                <w:sz w:val="24"/>
                <w:lang w:val="en-US" w:eastAsia="zh-CN"/>
              </w:rPr>
              <w:t>第二轮报价</w:t>
            </w:r>
            <w:r>
              <w:rPr>
                <w:rFonts w:hint="eastAsia" w:cs="宋体"/>
                <w:color w:val="auto"/>
                <w:sz w:val="24"/>
                <w:szCs w:val="24"/>
                <w:highlight w:val="none"/>
                <w:lang w:val="en-US" w:eastAsia="zh-CN"/>
              </w:rPr>
              <w:t>）。</w:t>
            </w:r>
          </w:p>
          <w:p w14:paraId="204972B3">
            <w:pPr>
              <w:pStyle w:val="46"/>
              <w:ind w:firstLine="240" w:firstLineChars="100"/>
              <w:rPr>
                <w:rFonts w:hint="eastAsia" w:cs="宋体"/>
                <w:color w:val="auto"/>
                <w:sz w:val="24"/>
                <w:szCs w:val="24"/>
                <w:highlight w:val="none"/>
                <w:lang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本项目不事先确定</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轮次，</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小组根据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情况确定，并在最后一轮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前告知供应商</w:t>
            </w:r>
            <w:r>
              <w:rPr>
                <w:rFonts w:hint="eastAsia" w:cs="宋体"/>
                <w:color w:val="auto"/>
                <w:sz w:val="24"/>
                <w:szCs w:val="24"/>
                <w:highlight w:val="none"/>
                <w:lang w:eastAsia="zh-CN"/>
              </w:rPr>
              <w:t>。</w:t>
            </w:r>
          </w:p>
          <w:p w14:paraId="5231539D">
            <w:pPr>
              <w:pStyle w:val="46"/>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宋体" w:hAnsi="宋体" w:eastAsia="宋体" w:cs="宋体"/>
                <w:color w:val="auto"/>
                <w:kern w:val="2"/>
                <w:sz w:val="24"/>
                <w:szCs w:val="24"/>
                <w:highlight w:val="none"/>
                <w:u w:val="none"/>
                <w:lang w:val="en-US" w:eastAsia="zh-CN" w:bidi="ar-SA"/>
              </w:rPr>
            </w:pPr>
            <w:r>
              <w:rPr>
                <w:rFonts w:hint="eastAsia" w:cs="宋体"/>
                <w:color w:val="auto"/>
                <w:sz w:val="24"/>
                <w:szCs w:val="24"/>
                <w:highlight w:val="none"/>
                <w:lang w:val="en-US" w:eastAsia="zh-CN"/>
              </w:rPr>
              <w:t>谈判顺序：</w:t>
            </w:r>
            <w:r>
              <w:rPr>
                <w:rFonts w:hint="eastAsia" w:cs="宋体"/>
                <w:color w:val="auto"/>
                <w:sz w:val="24"/>
                <w:szCs w:val="24"/>
                <w:highlight w:val="none"/>
                <w:u w:val="single"/>
                <w:lang w:val="en-US" w:eastAsia="zh-CN"/>
              </w:rPr>
              <w:t xml:space="preserve"> 由谈判小组现场确定    </w:t>
            </w:r>
            <w:r>
              <w:rPr>
                <w:rFonts w:hint="eastAsia" w:cs="宋体"/>
                <w:color w:val="auto"/>
                <w:sz w:val="24"/>
                <w:szCs w:val="24"/>
                <w:highlight w:val="none"/>
                <w:u w:val="none"/>
                <w:lang w:val="en-US" w:eastAsia="zh-CN"/>
              </w:rPr>
              <w:t>。</w:t>
            </w:r>
          </w:p>
        </w:tc>
      </w:tr>
      <w:tr w14:paraId="55F302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tcBorders>
              <w:top w:val="single" w:color="auto" w:sz="2" w:space="0"/>
              <w:left w:val="single" w:color="auto" w:sz="2" w:space="0"/>
              <w:bottom w:val="single" w:color="auto" w:sz="2" w:space="0"/>
              <w:right w:val="single" w:color="auto" w:sz="2" w:space="0"/>
            </w:tcBorders>
            <w:vAlign w:val="center"/>
          </w:tcPr>
          <w:p w14:paraId="0A512A01">
            <w:pPr>
              <w:pStyle w:val="46"/>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29.2</w:t>
            </w:r>
          </w:p>
        </w:tc>
        <w:tc>
          <w:tcPr>
            <w:tcW w:w="1721" w:type="dxa"/>
            <w:tcBorders>
              <w:top w:val="single" w:color="auto" w:sz="2" w:space="0"/>
              <w:left w:val="single" w:color="auto" w:sz="2" w:space="0"/>
              <w:bottom w:val="single" w:color="auto" w:sz="2" w:space="0"/>
              <w:right w:val="single" w:color="auto" w:sz="2" w:space="0"/>
            </w:tcBorders>
            <w:vAlign w:val="center"/>
          </w:tcPr>
          <w:p w14:paraId="3B1D8DC9">
            <w:pPr>
              <w:pStyle w:val="4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推荐成交候选供应商</w:t>
            </w:r>
          </w:p>
        </w:tc>
        <w:tc>
          <w:tcPr>
            <w:tcW w:w="6700" w:type="dxa"/>
            <w:tcBorders>
              <w:top w:val="single" w:color="auto" w:sz="2" w:space="0"/>
              <w:left w:val="single" w:color="auto" w:sz="2" w:space="0"/>
              <w:bottom w:val="single" w:color="auto" w:sz="2" w:space="0"/>
              <w:right w:val="single" w:color="auto" w:sz="2" w:space="0"/>
            </w:tcBorders>
            <w:vAlign w:val="center"/>
          </w:tcPr>
          <w:p w14:paraId="67201373">
            <w:pPr>
              <w:pStyle w:val="46"/>
              <w:rPr>
                <w:rFonts w:hint="eastAsia" w:ascii="宋体" w:hAnsi="宋体" w:eastAsia="宋体" w:cs="宋体"/>
                <w:color w:val="auto"/>
                <w:sz w:val="24"/>
                <w:szCs w:val="24"/>
                <w:highlight w:val="none"/>
                <w:u w:val="none"/>
                <w:lang w:val="en-US" w:eastAsia="zh-CN"/>
              </w:rPr>
            </w:pPr>
            <w:r>
              <w:rPr>
                <w:rFonts w:hint="eastAsia" w:cs="宋体"/>
                <w:color w:val="auto"/>
                <w:sz w:val="24"/>
                <w:szCs w:val="24"/>
                <w:highlight w:val="none"/>
                <w:lang w:val="en-US" w:eastAsia="zh-CN"/>
              </w:rPr>
              <w:t>推荐</w:t>
            </w:r>
            <w:r>
              <w:rPr>
                <w:rFonts w:hint="eastAsia" w:ascii="宋体" w:hAnsi="宋体" w:eastAsia="宋体" w:cs="宋体"/>
                <w:color w:val="auto"/>
                <w:sz w:val="24"/>
                <w:szCs w:val="24"/>
                <w:highlight w:val="none"/>
                <w:lang w:val="en-US" w:eastAsia="zh-CN"/>
              </w:rPr>
              <w:t>数量</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家</w:t>
            </w:r>
            <w:r>
              <w:rPr>
                <w:rFonts w:hint="eastAsia" w:cs="宋体"/>
                <w:color w:val="auto"/>
                <w:sz w:val="24"/>
                <w:szCs w:val="24"/>
                <w:highlight w:val="none"/>
                <w:u w:val="none"/>
                <w:lang w:val="en-US" w:eastAsia="zh-CN"/>
              </w:rPr>
              <w:t>。</w:t>
            </w:r>
          </w:p>
        </w:tc>
      </w:tr>
      <w:tr w14:paraId="15B571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060" w:hRule="atLeast"/>
        </w:trPr>
        <w:tc>
          <w:tcPr>
            <w:tcW w:w="970" w:type="dxa"/>
            <w:tcBorders>
              <w:top w:val="single" w:color="auto" w:sz="2" w:space="0"/>
              <w:left w:val="single" w:color="auto" w:sz="2" w:space="0"/>
              <w:bottom w:val="single" w:color="auto" w:sz="2" w:space="0"/>
              <w:right w:val="single" w:color="auto" w:sz="2" w:space="0"/>
            </w:tcBorders>
            <w:vAlign w:val="center"/>
          </w:tcPr>
          <w:p w14:paraId="37AC9C03">
            <w:pPr>
              <w:pStyle w:val="4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vAlign w:val="center"/>
          </w:tcPr>
          <w:p w14:paraId="7F769072">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确定成交供应商</w:t>
            </w:r>
          </w:p>
        </w:tc>
        <w:tc>
          <w:tcPr>
            <w:tcW w:w="6700" w:type="dxa"/>
            <w:tcBorders>
              <w:top w:val="single" w:color="auto" w:sz="2" w:space="0"/>
              <w:left w:val="single" w:color="auto" w:sz="2" w:space="0"/>
              <w:bottom w:val="single" w:color="auto" w:sz="2" w:space="0"/>
              <w:right w:val="single" w:color="auto" w:sz="2" w:space="0"/>
            </w:tcBorders>
            <w:vAlign w:val="center"/>
          </w:tcPr>
          <w:p w14:paraId="77284D4E">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rPr>
              <w:t>收到评审报告后5个工作日内，按评审报告中推荐的成交候选人排序确定成交供应商。</w:t>
            </w:r>
          </w:p>
          <w:p w14:paraId="20F6D23A">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小组直接确定成交供应商。</w:t>
            </w:r>
          </w:p>
          <w:p w14:paraId="7CD921DD">
            <w:pPr>
              <w:pStyle w:val="46"/>
              <w:rPr>
                <w:rFonts w:hint="default" w:ascii="宋体" w:hAnsi="宋体" w:eastAsia="宋体" w:cs="宋体"/>
                <w:color w:val="auto"/>
                <w:sz w:val="24"/>
                <w:szCs w:val="24"/>
                <w:highlight w:val="none"/>
                <w:u w:val="none"/>
                <w:lang w:val="en-US" w:eastAsia="zh-CN"/>
              </w:rPr>
            </w:pPr>
            <w:r>
              <w:rPr>
                <w:rFonts w:hint="eastAsia" w:cs="宋体"/>
                <w:color w:val="auto"/>
                <w:sz w:val="24"/>
                <w:szCs w:val="24"/>
                <w:highlight w:val="none"/>
                <w:lang w:val="en-US" w:eastAsia="zh-CN"/>
              </w:rPr>
              <w:t>成交候选人并列的，按照以下方式确定成交供应商：</w:t>
            </w:r>
            <w:r>
              <w:rPr>
                <w:rFonts w:hint="eastAsia" w:cs="宋体"/>
                <w:color w:val="auto"/>
                <w:sz w:val="24"/>
                <w:szCs w:val="24"/>
                <w:highlight w:val="none"/>
                <w:u w:val="single"/>
                <w:lang w:val="en-US" w:eastAsia="zh-CN"/>
              </w:rPr>
              <w:t xml:space="preserve">    /   </w:t>
            </w:r>
            <w:r>
              <w:rPr>
                <w:rFonts w:hint="eastAsia" w:cs="宋体"/>
                <w:color w:val="auto"/>
                <w:sz w:val="24"/>
                <w:szCs w:val="24"/>
                <w:highlight w:val="none"/>
                <w:u w:val="none"/>
                <w:lang w:val="en-US" w:eastAsia="zh-CN"/>
              </w:rPr>
              <w:t>。</w:t>
            </w:r>
          </w:p>
        </w:tc>
      </w:tr>
      <w:tr w14:paraId="024268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27ED33D">
            <w:pPr>
              <w:pStyle w:val="4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vAlign w:val="center"/>
          </w:tcPr>
          <w:p w14:paraId="6AB44AED">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700" w:type="dxa"/>
            <w:tcBorders>
              <w:top w:val="single" w:color="auto" w:sz="2" w:space="0"/>
              <w:left w:val="single" w:color="auto" w:sz="2" w:space="0"/>
              <w:bottom w:val="single" w:color="auto" w:sz="2" w:space="0"/>
              <w:right w:val="single" w:color="auto" w:sz="2" w:space="0"/>
            </w:tcBorders>
            <w:vAlign w:val="center"/>
          </w:tcPr>
          <w:p w14:paraId="790E0B45">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31157547">
            <w:pPr>
              <w:pStyle w:val="46"/>
              <w:ind w:firstLine="240" w:firstLineChars="100"/>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1B5A19AA">
            <w:pPr>
              <w:pStyle w:val="46"/>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49B6D208">
            <w:pPr>
              <w:pStyle w:val="46"/>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w:t>
            </w:r>
            <w:r>
              <w:rPr>
                <w:rFonts w:hint="eastAsia" w:ascii="宋体" w:hAnsi="宋体" w:eastAsia="宋体" w:cs="宋体"/>
                <w:color w:val="auto"/>
                <w:sz w:val="24"/>
                <w:szCs w:val="24"/>
                <w:highlight w:val="none"/>
                <w:u w:val="single"/>
              </w:rPr>
              <w:t xml:space="preserve">人民币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元</w:t>
            </w:r>
          </w:p>
          <w:p w14:paraId="52DC4B48">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63ACCF21">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供应商可自主选择以支票、汇票、本票、电汇、转账、网银、保函等非现金形式缴纳或提交保证金。</w:t>
            </w:r>
          </w:p>
          <w:p w14:paraId="412117C6">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收取单位：</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p w14:paraId="2664878C">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4.收取账号：</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p w14:paraId="22C7C956">
            <w:pPr>
              <w:pStyle w:val="46"/>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退还时间：</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p w14:paraId="151176AB">
            <w:pPr>
              <w:pStyle w:val="4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64BE45E6">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28DC084A">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以担保函、保证保险形式缴纳履约保证金的，受益人和收取单位须为采购人。</w:t>
            </w:r>
          </w:p>
        </w:tc>
      </w:tr>
      <w:tr w14:paraId="64B5E4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861755C">
            <w:pPr>
              <w:pStyle w:val="46"/>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34.5</w:t>
            </w:r>
          </w:p>
        </w:tc>
        <w:tc>
          <w:tcPr>
            <w:tcW w:w="1721" w:type="dxa"/>
            <w:tcBorders>
              <w:top w:val="single" w:color="auto" w:sz="2" w:space="0"/>
              <w:left w:val="single" w:color="auto" w:sz="2" w:space="0"/>
              <w:bottom w:val="single" w:color="auto" w:sz="2" w:space="0"/>
              <w:right w:val="single" w:color="auto" w:sz="2" w:space="0"/>
            </w:tcBorders>
            <w:vAlign w:val="center"/>
          </w:tcPr>
          <w:p w14:paraId="04D9510B">
            <w:pPr>
              <w:pStyle w:val="4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合同分包</w:t>
            </w:r>
          </w:p>
        </w:tc>
        <w:tc>
          <w:tcPr>
            <w:tcW w:w="6700" w:type="dxa"/>
            <w:tcBorders>
              <w:top w:val="single" w:color="auto" w:sz="2" w:space="0"/>
              <w:left w:val="single" w:color="auto" w:sz="2" w:space="0"/>
              <w:bottom w:val="single" w:color="auto" w:sz="2" w:space="0"/>
              <w:right w:val="single" w:color="auto" w:sz="2" w:space="0"/>
            </w:tcBorders>
            <w:vAlign w:val="center"/>
          </w:tcPr>
          <w:p w14:paraId="4344EC45">
            <w:pPr>
              <w:pStyle w:val="4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本项目的非主体、非关键性工作是否允许分包： </w:t>
            </w:r>
          </w:p>
          <w:p w14:paraId="3D901FC0">
            <w:pPr>
              <w:pStyle w:val="46"/>
              <w:ind w:firstLine="240" w:firstLineChars="100"/>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不允许 </w:t>
            </w:r>
          </w:p>
          <w:p w14:paraId="56DFA0F7">
            <w:pPr>
              <w:pStyle w:val="46"/>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□允许，具体要求： </w:t>
            </w:r>
          </w:p>
          <w:p w14:paraId="6C445FF2">
            <w:pPr>
              <w:pStyle w:val="4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1.可以分包履行的具体内容：</w:t>
            </w:r>
            <w:r>
              <w:rPr>
                <w:rFonts w:hint="eastAsia" w:ascii="宋体" w:hAnsi="宋体" w:eastAsia="宋体" w:cs="宋体"/>
                <w:color w:val="auto"/>
                <w:kern w:val="2"/>
                <w:sz w:val="24"/>
                <w:szCs w:val="24"/>
                <w:highlight w:val="none"/>
                <w:u w:val="single"/>
                <w:lang w:val="en-US" w:eastAsia="zh-CN" w:bidi="ar-SA"/>
              </w:rPr>
              <w:t xml:space="preserve">       </w:t>
            </w:r>
            <w:r>
              <w:rPr>
                <w:rFonts w:hint="eastAsia" w:cs="宋体"/>
                <w:color w:val="auto"/>
                <w:kern w:val="2"/>
                <w:sz w:val="24"/>
                <w:szCs w:val="24"/>
                <w:highlight w:val="none"/>
                <w:u w:val="single"/>
                <w:lang w:val="en-US" w:eastAsia="zh-CN" w:bidi="ar-SA"/>
              </w:rPr>
              <w:t>/</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w:t>
            </w:r>
          </w:p>
          <w:p w14:paraId="71BE067E">
            <w:pPr>
              <w:pStyle w:val="4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2.允许分包的金额或者比例：</w:t>
            </w:r>
            <w:r>
              <w:rPr>
                <w:rFonts w:hint="eastAsia" w:ascii="宋体" w:hAnsi="宋体" w:eastAsia="宋体" w:cs="宋体"/>
                <w:color w:val="auto"/>
                <w:kern w:val="2"/>
                <w:sz w:val="24"/>
                <w:szCs w:val="24"/>
                <w:highlight w:val="none"/>
                <w:u w:val="single"/>
                <w:lang w:val="en-US" w:eastAsia="zh-CN" w:bidi="ar-SA"/>
              </w:rPr>
              <w:t xml:space="preserve">       </w:t>
            </w:r>
            <w:r>
              <w:rPr>
                <w:rFonts w:hint="eastAsia" w:cs="宋体"/>
                <w:color w:val="auto"/>
                <w:kern w:val="2"/>
                <w:sz w:val="24"/>
                <w:szCs w:val="24"/>
                <w:highlight w:val="none"/>
                <w:u w:val="single"/>
                <w:lang w:val="en-US" w:eastAsia="zh-CN" w:bidi="ar-SA"/>
              </w:rPr>
              <w:t>/</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w:t>
            </w:r>
          </w:p>
          <w:p w14:paraId="3628979B">
            <w:pPr>
              <w:pStyle w:val="46"/>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3.其他要求：</w:t>
            </w:r>
            <w:r>
              <w:rPr>
                <w:rFonts w:hint="eastAsia" w:ascii="宋体" w:hAnsi="宋体" w:eastAsia="宋体" w:cs="宋体"/>
                <w:color w:val="auto"/>
                <w:kern w:val="2"/>
                <w:sz w:val="24"/>
                <w:szCs w:val="24"/>
                <w:highlight w:val="none"/>
                <w:u w:val="single"/>
                <w:lang w:val="en-US" w:eastAsia="zh-CN" w:bidi="ar-SA"/>
              </w:rPr>
              <w:t xml:space="preserve">         </w:t>
            </w:r>
            <w:r>
              <w:rPr>
                <w:rFonts w:hint="eastAsia" w:cs="宋体"/>
                <w:color w:val="auto"/>
                <w:kern w:val="2"/>
                <w:sz w:val="24"/>
                <w:szCs w:val="24"/>
                <w:highlight w:val="none"/>
                <w:u w:val="single"/>
                <w:lang w:val="en-US" w:eastAsia="zh-CN" w:bidi="ar-SA"/>
              </w:rPr>
              <w:t>/</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w:t>
            </w:r>
          </w:p>
        </w:tc>
      </w:tr>
      <w:tr w14:paraId="749FBC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F3EF9C4">
            <w:pPr>
              <w:pStyle w:val="46"/>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721" w:type="dxa"/>
            <w:tcBorders>
              <w:top w:val="single" w:color="auto" w:sz="2" w:space="0"/>
              <w:left w:val="single" w:color="auto" w:sz="2" w:space="0"/>
              <w:bottom w:val="single" w:color="auto" w:sz="2" w:space="0"/>
              <w:right w:val="single" w:color="auto" w:sz="2" w:space="0"/>
            </w:tcBorders>
            <w:vAlign w:val="center"/>
          </w:tcPr>
          <w:p w14:paraId="66EBB004">
            <w:pPr>
              <w:pStyle w:val="4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质疑</w:t>
            </w:r>
          </w:p>
        </w:tc>
        <w:tc>
          <w:tcPr>
            <w:tcW w:w="6700" w:type="dxa"/>
            <w:tcBorders>
              <w:top w:val="single" w:color="auto" w:sz="2" w:space="0"/>
              <w:left w:val="single" w:color="auto" w:sz="2" w:space="0"/>
              <w:bottom w:val="single" w:color="auto" w:sz="2" w:space="0"/>
              <w:right w:val="single" w:color="auto" w:sz="2" w:space="0"/>
            </w:tcBorders>
            <w:vAlign w:val="center"/>
          </w:tcPr>
          <w:p w14:paraId="7D52326F">
            <w:pPr>
              <w:pStyle w:val="54"/>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递交方式：</w:t>
            </w:r>
            <w:r>
              <w:rPr>
                <w:rFonts w:hint="eastAsia" w:ascii="宋体" w:hAnsi="宋体" w:eastAsia="宋体" w:cs="宋体"/>
                <w:i w:val="0"/>
                <w:iCs w:val="0"/>
                <w:color w:val="auto"/>
                <w:kern w:val="2"/>
                <w:sz w:val="24"/>
                <w:szCs w:val="24"/>
                <w:highlight w:val="none"/>
                <w:u w:val="single"/>
                <w:lang w:val="zh-CN" w:eastAsia="zh-CN" w:bidi="ar-SA"/>
              </w:rPr>
              <w:t>纸质版盖章质疑函原件递交至采购代理公司</w:t>
            </w:r>
            <w:r>
              <w:rPr>
                <w:rFonts w:hint="eastAsia" w:ascii="宋体" w:hAnsi="宋体" w:cs="宋体"/>
                <w:i w:val="0"/>
                <w:iCs w:val="0"/>
                <w:color w:val="auto"/>
                <w:kern w:val="2"/>
                <w:sz w:val="24"/>
                <w:szCs w:val="24"/>
                <w:highlight w:val="none"/>
                <w:u w:val="single"/>
                <w:lang w:val="en-US" w:eastAsia="zh-CN" w:bidi="ar-SA"/>
              </w:rPr>
              <w:t>或扫描件盖章发送至代理邮箱并电话告知</w:t>
            </w:r>
            <w:r>
              <w:rPr>
                <w:rFonts w:hint="eastAsia" w:ascii="宋体" w:hAnsi="宋体" w:eastAsia="宋体" w:cs="宋体"/>
                <w:i w:val="0"/>
                <w:iCs w:val="0"/>
                <w:color w:val="auto"/>
                <w:kern w:val="2"/>
                <w:sz w:val="24"/>
                <w:szCs w:val="24"/>
                <w:highlight w:val="none"/>
                <w:lang w:val="zh-CN" w:eastAsia="zh-CN" w:bidi="ar-SA"/>
              </w:rPr>
              <w:t xml:space="preserve">         </w:t>
            </w:r>
          </w:p>
          <w:p w14:paraId="48E32B47">
            <w:pPr>
              <w:pStyle w:val="54"/>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接收部门：</w:t>
            </w:r>
            <w:r>
              <w:rPr>
                <w:rFonts w:hint="eastAsia" w:ascii="宋体" w:hAnsi="宋体" w:cs="宋体"/>
                <w:i w:val="0"/>
                <w:iCs w:val="0"/>
                <w:color w:val="auto"/>
                <w:kern w:val="2"/>
                <w:sz w:val="24"/>
                <w:szCs w:val="24"/>
                <w:highlight w:val="none"/>
                <w:u w:val="single"/>
                <w:lang w:val="en-US" w:eastAsia="zh-CN" w:bidi="ar-SA"/>
              </w:rPr>
              <w:t>新疆泽煜航项目管理有限公司</w:t>
            </w:r>
            <w:r>
              <w:rPr>
                <w:rFonts w:hint="eastAsia" w:ascii="宋体" w:hAnsi="宋体" w:eastAsia="宋体" w:cs="宋体"/>
                <w:i w:val="0"/>
                <w:iCs w:val="0"/>
                <w:color w:val="auto"/>
                <w:kern w:val="2"/>
                <w:sz w:val="24"/>
                <w:szCs w:val="24"/>
                <w:highlight w:val="none"/>
                <w:lang w:val="zh-CN" w:eastAsia="zh-CN" w:bidi="ar-SA"/>
              </w:rPr>
              <w:t xml:space="preserve">           </w:t>
            </w:r>
          </w:p>
          <w:p w14:paraId="61C29C32">
            <w:pPr>
              <w:pStyle w:val="54"/>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联系电话：</w:t>
            </w:r>
            <w:r>
              <w:rPr>
                <w:rFonts w:hint="eastAsia" w:ascii="宋体" w:hAnsi="宋体" w:eastAsia="宋体" w:cs="宋体"/>
                <w:color w:val="auto"/>
                <w:kern w:val="0"/>
                <w:sz w:val="24"/>
                <w:u w:val="single"/>
                <w:lang w:val="en-US" w:eastAsia="zh-CN"/>
              </w:rPr>
              <w:t>18096960101</w:t>
            </w:r>
            <w:r>
              <w:rPr>
                <w:rFonts w:hint="eastAsia" w:ascii="宋体" w:hAnsi="宋体" w:eastAsia="宋体" w:cs="宋体"/>
                <w:i w:val="0"/>
                <w:iCs w:val="0"/>
                <w:color w:val="auto"/>
                <w:kern w:val="2"/>
                <w:sz w:val="24"/>
                <w:szCs w:val="24"/>
                <w:highlight w:val="none"/>
                <w:u w:val="single"/>
                <w:lang w:val="zh-CN" w:eastAsia="zh-CN" w:bidi="ar-SA"/>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47F23E09">
            <w:pPr>
              <w:pStyle w:val="54"/>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i w:val="0"/>
                <w:iCs w:val="0"/>
                <w:color w:val="auto"/>
                <w:kern w:val="2"/>
                <w:sz w:val="24"/>
                <w:szCs w:val="24"/>
                <w:highlight w:val="none"/>
                <w:u w:val="single"/>
                <w:lang w:val="en-US" w:eastAsia="zh-CN" w:bidi="ar-SA"/>
              </w:rPr>
            </w:pPr>
            <w:r>
              <w:rPr>
                <w:rFonts w:hint="eastAsia" w:ascii="宋体" w:hAnsi="宋体" w:eastAsia="宋体" w:cs="宋体"/>
                <w:i w:val="0"/>
                <w:iCs w:val="0"/>
                <w:color w:val="auto"/>
                <w:kern w:val="2"/>
                <w:sz w:val="24"/>
                <w:szCs w:val="24"/>
                <w:highlight w:val="none"/>
                <w:lang w:val="zh-CN" w:eastAsia="zh-CN" w:bidi="ar-SA"/>
              </w:rPr>
              <w:t>通讯地址：</w:t>
            </w:r>
            <w:r>
              <w:rPr>
                <w:rFonts w:hint="eastAsia" w:ascii="宋体" w:hAnsi="宋体" w:cs="宋体"/>
                <w:i w:val="0"/>
                <w:iCs w:val="0"/>
                <w:color w:val="auto"/>
                <w:kern w:val="2"/>
                <w:sz w:val="24"/>
                <w:szCs w:val="24"/>
                <w:highlight w:val="none"/>
                <w:u w:val="single"/>
                <w:lang w:val="zh-CN" w:eastAsia="zh-CN" w:bidi="ar-SA"/>
              </w:rPr>
              <w:t>新疆喀什地区喀什市恰萨街道班超社区帕依纳普路住276号(西城名都住宅小区二期)1栋A区11层1112号</w:t>
            </w:r>
          </w:p>
          <w:p w14:paraId="0B51C06B">
            <w:pPr>
              <w:pStyle w:val="54"/>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cs="宋体"/>
                <w:b w:val="0"/>
                <w:bCs w:val="0"/>
                <w:i w:val="0"/>
                <w:iCs w:val="0"/>
                <w:color w:val="auto"/>
                <w:kern w:val="2"/>
                <w:sz w:val="24"/>
                <w:szCs w:val="24"/>
                <w:highlight w:val="none"/>
                <w:lang w:val="en-US" w:eastAsia="zh-CN" w:bidi="ar-SA"/>
              </w:rPr>
            </w:pPr>
            <w:r>
              <w:rPr>
                <w:rFonts w:hint="eastAsia" w:ascii="宋体" w:hAnsi="宋体" w:cs="宋体"/>
                <w:b w:val="0"/>
                <w:bCs w:val="0"/>
                <w:i w:val="0"/>
                <w:iCs w:val="0"/>
                <w:color w:val="auto"/>
                <w:kern w:val="2"/>
                <w:sz w:val="24"/>
                <w:szCs w:val="24"/>
                <w:highlight w:val="none"/>
                <w:lang w:val="en-US" w:eastAsia="zh-CN" w:bidi="ar-SA"/>
              </w:rPr>
              <w:t>邮</w:t>
            </w:r>
            <w:r>
              <w:rPr>
                <w:rFonts w:hint="eastAsia" w:ascii="宋体" w:hAnsi="宋体" w:eastAsia="宋体" w:cs="宋体"/>
                <w:b w:val="0"/>
                <w:bCs w:val="0"/>
                <w:i w:val="0"/>
                <w:iCs w:val="0"/>
                <w:color w:val="auto"/>
                <w:kern w:val="2"/>
                <w:sz w:val="24"/>
                <w:szCs w:val="24"/>
                <w:highlight w:val="none"/>
                <w:lang w:val="en-US" w:eastAsia="zh-CN" w:bidi="ar-SA"/>
              </w:rPr>
              <w:t>箱：</w:t>
            </w:r>
            <w:r>
              <w:rPr>
                <w:rFonts w:hint="eastAsia" w:ascii="宋体" w:hAnsi="宋体" w:eastAsia="宋体" w:cs="宋体"/>
                <w:b w:val="0"/>
                <w:bCs w:val="0"/>
                <w:i w:val="0"/>
                <w:iCs w:val="0"/>
                <w:color w:val="auto"/>
                <w:kern w:val="2"/>
                <w:sz w:val="24"/>
                <w:szCs w:val="24"/>
                <w:highlight w:val="none"/>
                <w:u w:val="single"/>
                <w:lang w:val="en-US" w:eastAsia="zh-CN" w:bidi="ar-SA"/>
              </w:rPr>
              <w:fldChar w:fldCharType="begin"/>
            </w:r>
            <w:r>
              <w:rPr>
                <w:rFonts w:hint="eastAsia" w:ascii="宋体" w:hAnsi="宋体" w:eastAsia="宋体" w:cs="宋体"/>
                <w:b w:val="0"/>
                <w:bCs w:val="0"/>
                <w:i w:val="0"/>
                <w:iCs w:val="0"/>
                <w:color w:val="auto"/>
                <w:kern w:val="2"/>
                <w:sz w:val="24"/>
                <w:szCs w:val="24"/>
                <w:highlight w:val="none"/>
                <w:u w:val="single"/>
                <w:lang w:val="en-US" w:eastAsia="zh-CN" w:bidi="ar-SA"/>
              </w:rPr>
              <w:instrText xml:space="preserve"> HYPERLINK "mailto:934595713@qq.com" </w:instrText>
            </w:r>
            <w:r>
              <w:rPr>
                <w:rFonts w:hint="eastAsia" w:ascii="宋体" w:hAnsi="宋体" w:eastAsia="宋体" w:cs="宋体"/>
                <w:b w:val="0"/>
                <w:bCs w:val="0"/>
                <w:i w:val="0"/>
                <w:iCs w:val="0"/>
                <w:color w:val="auto"/>
                <w:kern w:val="2"/>
                <w:sz w:val="24"/>
                <w:szCs w:val="24"/>
                <w:highlight w:val="none"/>
                <w:u w:val="single"/>
                <w:lang w:val="en-US" w:eastAsia="zh-CN" w:bidi="ar-SA"/>
              </w:rPr>
              <w:fldChar w:fldCharType="separate"/>
            </w:r>
            <w:r>
              <w:rPr>
                <w:rFonts w:hint="eastAsia" w:ascii="宋体" w:hAnsi="宋体" w:cs="宋体"/>
                <w:b w:val="0"/>
                <w:bCs w:val="0"/>
                <w:i w:val="0"/>
                <w:iCs w:val="0"/>
                <w:color w:val="auto"/>
                <w:kern w:val="2"/>
                <w:sz w:val="24"/>
                <w:szCs w:val="24"/>
                <w:highlight w:val="none"/>
                <w:u w:val="single"/>
                <w:lang w:val="en-US" w:eastAsia="zh-CN" w:bidi="ar-SA"/>
              </w:rPr>
              <w:t xml:space="preserve"> 873716490</w:t>
            </w:r>
            <w:r>
              <w:rPr>
                <w:rFonts w:hint="eastAsia" w:ascii="宋体" w:hAnsi="宋体" w:eastAsia="宋体" w:cs="宋体"/>
                <w:b w:val="0"/>
                <w:bCs w:val="0"/>
                <w:i w:val="0"/>
                <w:iCs w:val="0"/>
                <w:color w:val="auto"/>
                <w:kern w:val="2"/>
                <w:sz w:val="24"/>
                <w:szCs w:val="24"/>
                <w:highlight w:val="none"/>
                <w:u w:val="single"/>
                <w:lang w:val="en-US" w:eastAsia="zh-CN" w:bidi="ar-SA"/>
              </w:rPr>
              <w:t>@qq.com</w:t>
            </w:r>
            <w:r>
              <w:rPr>
                <w:rFonts w:hint="eastAsia" w:ascii="宋体" w:hAnsi="宋体" w:eastAsia="宋体" w:cs="宋体"/>
                <w:b w:val="0"/>
                <w:bCs w:val="0"/>
                <w:i w:val="0"/>
                <w:iCs w:val="0"/>
                <w:color w:val="auto"/>
                <w:kern w:val="2"/>
                <w:sz w:val="24"/>
                <w:szCs w:val="24"/>
                <w:highlight w:val="none"/>
                <w:u w:val="single"/>
                <w:lang w:val="en-US" w:eastAsia="zh-CN" w:bidi="ar-SA"/>
              </w:rPr>
              <w:fldChar w:fldCharType="end"/>
            </w:r>
          </w:p>
          <w:p w14:paraId="3CE537DA">
            <w:pPr>
              <w:pStyle w:val="54"/>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质疑程序：供应商应在法定质疑期内一次性提出针对同一采购程序环节的质疑，对于</w:t>
            </w:r>
            <w:r>
              <w:rPr>
                <w:rFonts w:hint="eastAsia" w:ascii="宋体" w:hAnsi="宋体" w:cs="宋体"/>
                <w:i w:val="0"/>
                <w:iCs w:val="0"/>
                <w:color w:val="auto"/>
                <w:kern w:val="2"/>
                <w:sz w:val="24"/>
                <w:szCs w:val="24"/>
                <w:highlight w:val="none"/>
                <w:lang w:val="zh-CN" w:eastAsia="zh-CN" w:bidi="ar-SA"/>
              </w:rPr>
              <w:t>采购文件</w:t>
            </w:r>
            <w:r>
              <w:rPr>
                <w:rFonts w:hint="eastAsia" w:ascii="宋体" w:hAnsi="宋体" w:eastAsia="宋体" w:cs="宋体"/>
                <w:i w:val="0"/>
                <w:iCs w:val="0"/>
                <w:color w:val="auto"/>
                <w:kern w:val="2"/>
                <w:sz w:val="24"/>
                <w:szCs w:val="24"/>
                <w:highlight w:val="none"/>
                <w:lang w:val="zh-CN" w:eastAsia="zh-CN" w:bidi="ar-SA"/>
              </w:rPr>
              <w:t>、采购过程、采购结果的质疑应在知道或者应知其权益受到损害之日起七个工作日内，提供纸质版的质疑函并交至采购代理机构处。对于</w:t>
            </w:r>
            <w:r>
              <w:rPr>
                <w:rFonts w:hint="eastAsia" w:ascii="宋体" w:hAnsi="宋体" w:cs="宋体"/>
                <w:i w:val="0"/>
                <w:iCs w:val="0"/>
                <w:color w:val="auto"/>
                <w:kern w:val="2"/>
                <w:sz w:val="24"/>
                <w:szCs w:val="24"/>
                <w:highlight w:val="none"/>
                <w:lang w:val="zh-CN" w:eastAsia="zh-CN" w:bidi="ar-SA"/>
              </w:rPr>
              <w:t>采购文件</w:t>
            </w:r>
            <w:r>
              <w:rPr>
                <w:rFonts w:hint="eastAsia" w:ascii="宋体" w:hAnsi="宋体" w:eastAsia="宋体" w:cs="宋体"/>
                <w:i w:val="0"/>
                <w:iCs w:val="0"/>
                <w:color w:val="auto"/>
                <w:kern w:val="2"/>
                <w:sz w:val="24"/>
                <w:szCs w:val="24"/>
                <w:highlight w:val="none"/>
                <w:lang w:val="zh-CN" w:eastAsia="zh-CN" w:bidi="ar-SA"/>
              </w:rPr>
              <w:t>的质疑未在规定的时间内提出，视为对</w:t>
            </w:r>
            <w:r>
              <w:rPr>
                <w:rFonts w:hint="eastAsia" w:ascii="宋体" w:hAnsi="宋体" w:cs="宋体"/>
                <w:i w:val="0"/>
                <w:iCs w:val="0"/>
                <w:color w:val="auto"/>
                <w:kern w:val="2"/>
                <w:sz w:val="24"/>
                <w:szCs w:val="24"/>
                <w:highlight w:val="none"/>
                <w:lang w:val="zh-CN" w:eastAsia="zh-CN" w:bidi="ar-SA"/>
              </w:rPr>
              <w:t>采购文件</w:t>
            </w:r>
            <w:r>
              <w:rPr>
                <w:rFonts w:hint="eastAsia" w:ascii="宋体" w:hAnsi="宋体" w:eastAsia="宋体" w:cs="宋体"/>
                <w:i w:val="0"/>
                <w:iCs w:val="0"/>
                <w:color w:val="auto"/>
                <w:kern w:val="2"/>
                <w:sz w:val="24"/>
                <w:szCs w:val="24"/>
                <w:highlight w:val="none"/>
                <w:lang w:val="zh-CN" w:eastAsia="zh-CN" w:bidi="ar-SA"/>
              </w:rPr>
              <w:t>内容无异议。</w:t>
            </w:r>
          </w:p>
          <w:p w14:paraId="371A7DCF">
            <w:pPr>
              <w:pStyle w:val="54"/>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注：根据《中华人民共和国政府采购法》的规定，供应商质疑不得超出</w:t>
            </w:r>
            <w:r>
              <w:rPr>
                <w:rFonts w:hint="eastAsia" w:ascii="宋体" w:hAnsi="宋体" w:cs="宋体"/>
                <w:i w:val="0"/>
                <w:iCs w:val="0"/>
                <w:color w:val="auto"/>
                <w:kern w:val="2"/>
                <w:sz w:val="24"/>
                <w:szCs w:val="24"/>
                <w:highlight w:val="none"/>
                <w:lang w:val="zh-CN" w:eastAsia="zh-CN" w:bidi="ar-SA"/>
              </w:rPr>
              <w:t>采购文件</w:t>
            </w:r>
            <w:r>
              <w:rPr>
                <w:rFonts w:hint="eastAsia" w:ascii="宋体" w:hAnsi="宋体" w:eastAsia="宋体" w:cs="宋体"/>
                <w:i w:val="0"/>
                <w:iCs w:val="0"/>
                <w:color w:val="auto"/>
                <w:kern w:val="2"/>
                <w:sz w:val="24"/>
                <w:szCs w:val="24"/>
                <w:highlight w:val="none"/>
                <w:lang w:val="zh-CN" w:eastAsia="zh-CN" w:bidi="ar-SA"/>
              </w:rPr>
              <w:t>、采购过程、采购结果的范围。依据《政府采购质疑和投诉办法94号令》的规定：供应商提出质疑应当提交质疑函和必要的证明材料。质疑函应当包括下列内容：</w:t>
            </w:r>
          </w:p>
          <w:p w14:paraId="5681E255">
            <w:pPr>
              <w:pStyle w:val="54"/>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（一）供应商的姓名或者名称、地址、邮编、联系人及联系电话；</w:t>
            </w:r>
          </w:p>
          <w:p w14:paraId="3DE8DFB7">
            <w:pPr>
              <w:pStyle w:val="54"/>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（二）质疑项目的名称、编号；</w:t>
            </w:r>
          </w:p>
          <w:p w14:paraId="6893E54A">
            <w:pPr>
              <w:pStyle w:val="54"/>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（三）具体、明确的质疑事项和与质疑事项相关的请求；</w:t>
            </w:r>
          </w:p>
          <w:p w14:paraId="0A0D234F">
            <w:pPr>
              <w:pStyle w:val="54"/>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（四）事实依据；</w:t>
            </w:r>
          </w:p>
          <w:p w14:paraId="5432AC94">
            <w:pPr>
              <w:pStyle w:val="54"/>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（五）必要的法律依据；</w:t>
            </w:r>
          </w:p>
          <w:p w14:paraId="1FA23E0A">
            <w:pPr>
              <w:pStyle w:val="54"/>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（六）提出质疑的日期。</w:t>
            </w:r>
          </w:p>
          <w:p w14:paraId="3A31A77F">
            <w:pPr>
              <w:pStyle w:val="54"/>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供应商为自然人的，应当由本人签字；供应商为法人或者其他组织的，应当由法定代表人、主要负责人，或者其授权代表签字或者盖章，并加盖公章；代理人提出质疑和投诉，应当提交供应商签署的授权委托书。</w:t>
            </w:r>
          </w:p>
        </w:tc>
      </w:tr>
      <w:tr w14:paraId="33386A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65" w:hRule="atLeast"/>
        </w:trPr>
        <w:tc>
          <w:tcPr>
            <w:tcW w:w="970" w:type="dxa"/>
            <w:tcBorders>
              <w:top w:val="single" w:color="auto" w:sz="2" w:space="0"/>
              <w:left w:val="single" w:color="auto" w:sz="2" w:space="0"/>
              <w:bottom w:val="single" w:color="auto" w:sz="2" w:space="0"/>
              <w:right w:val="single" w:color="auto" w:sz="2" w:space="0"/>
            </w:tcBorders>
            <w:vAlign w:val="center"/>
          </w:tcPr>
          <w:p w14:paraId="0B4B8253">
            <w:pPr>
              <w:pStyle w:val="4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vAlign w:val="center"/>
          </w:tcPr>
          <w:p w14:paraId="620FF725">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采购代理服务费收取方式和标准</w:t>
            </w:r>
          </w:p>
        </w:tc>
        <w:tc>
          <w:tcPr>
            <w:tcW w:w="6700" w:type="dxa"/>
            <w:tcBorders>
              <w:top w:val="single" w:color="auto" w:sz="2" w:space="0"/>
              <w:left w:val="single" w:color="auto" w:sz="2" w:space="0"/>
              <w:bottom w:val="single" w:color="auto" w:sz="2" w:space="0"/>
              <w:right w:val="single" w:color="auto" w:sz="2" w:space="0"/>
            </w:tcBorders>
            <w:vAlign w:val="center"/>
          </w:tcPr>
          <w:p w14:paraId="50481589">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收</w:t>
            </w:r>
            <w:r>
              <w:rPr>
                <w:rFonts w:hint="eastAsia" w:ascii="宋体" w:hAnsi="宋体" w:eastAsia="宋体" w:cs="宋体"/>
                <w:color w:val="auto"/>
                <w:sz w:val="24"/>
                <w:szCs w:val="24"/>
                <w:highlight w:val="none"/>
              </w:rPr>
              <w:t>费</w:t>
            </w:r>
            <w:r>
              <w:rPr>
                <w:rFonts w:hint="eastAsia" w:ascii="宋体" w:hAnsi="宋体" w:eastAsia="宋体" w:cs="宋体"/>
                <w:color w:val="auto"/>
                <w:sz w:val="24"/>
                <w:szCs w:val="24"/>
                <w:highlight w:val="none"/>
                <w:lang w:val="en-US" w:eastAsia="zh-CN"/>
              </w:rPr>
              <w:t>对象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 xml:space="preserve">人支付 </w:t>
            </w:r>
          </w:p>
          <w:p w14:paraId="627B8AA5">
            <w:pPr>
              <w:pStyle w:val="4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yellow"/>
                <w:u w:val="single"/>
                <w:lang w:eastAsia="zh-CN"/>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收费</w:t>
            </w:r>
            <w:r>
              <w:rPr>
                <w:rFonts w:hint="eastAsia" w:ascii="宋体" w:hAnsi="宋体" w:eastAsia="宋体" w:cs="宋体"/>
                <w:i w:val="0"/>
                <w:iCs w:val="0"/>
                <w:color w:val="auto"/>
                <w:sz w:val="24"/>
                <w:szCs w:val="24"/>
                <w:highlight w:val="none"/>
              </w:rPr>
              <w:t>标准：</w:t>
            </w:r>
            <w:r>
              <w:rPr>
                <w:rFonts w:hint="eastAsia" w:ascii="宋体" w:hAnsi="宋体" w:eastAsia="宋体" w:cs="宋体"/>
                <w:color w:val="auto"/>
                <w:sz w:val="24"/>
                <w:highlight w:val="none"/>
                <w:u w:val="single"/>
                <w:lang w:eastAsia="zh-CN"/>
              </w:rPr>
              <w:t>按照发改价格〔2015〕299号通知要求，参照国家计委计价格〔20</w:t>
            </w:r>
            <w:r>
              <w:rPr>
                <w:rFonts w:hint="eastAsia" w:ascii="宋体" w:hAnsi="宋体" w:eastAsia="宋体" w:cs="宋体"/>
                <w:color w:val="auto"/>
                <w:sz w:val="24"/>
                <w:highlight w:val="none"/>
                <w:u w:val="single"/>
                <w:lang w:val="en-US" w:eastAsia="zh-CN"/>
              </w:rPr>
              <w:t>02</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1980</w:t>
            </w:r>
            <w:r>
              <w:rPr>
                <w:rFonts w:hint="eastAsia" w:ascii="宋体" w:hAnsi="宋体" w:eastAsia="宋体" w:cs="宋体"/>
                <w:color w:val="auto"/>
                <w:sz w:val="24"/>
                <w:highlight w:val="none"/>
                <w:u w:val="single"/>
                <w:lang w:eastAsia="zh-CN"/>
              </w:rPr>
              <w:t>号文及发改价格〔20</w:t>
            </w:r>
            <w:r>
              <w:rPr>
                <w:rFonts w:hint="eastAsia" w:ascii="宋体" w:hAnsi="宋体" w:eastAsia="宋体" w:cs="宋体"/>
                <w:color w:val="auto"/>
                <w:sz w:val="24"/>
                <w:highlight w:val="none"/>
                <w:u w:val="single"/>
                <w:lang w:val="en-US" w:eastAsia="zh-CN"/>
              </w:rPr>
              <w:t>11</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534</w:t>
            </w:r>
            <w:r>
              <w:rPr>
                <w:rFonts w:hint="eastAsia" w:ascii="宋体" w:hAnsi="宋体" w:eastAsia="宋体" w:cs="宋体"/>
                <w:color w:val="auto"/>
                <w:sz w:val="24"/>
                <w:highlight w:val="none"/>
                <w:u w:val="single"/>
                <w:lang w:eastAsia="zh-CN"/>
              </w:rPr>
              <w:t>号文的差额定率累进法计算，以中标金额为基准价收取招标代理服务费</w:t>
            </w:r>
            <w:r>
              <w:rPr>
                <w:rFonts w:hint="eastAsia" w:cs="宋体"/>
                <w:i w:val="0"/>
                <w:iCs w:val="0"/>
                <w:color w:val="auto"/>
                <w:sz w:val="24"/>
                <w:szCs w:val="24"/>
                <w:highlight w:val="none"/>
                <w:u w:val="single"/>
                <w:lang w:eastAsia="zh-CN"/>
              </w:rPr>
              <w:t>。</w:t>
            </w:r>
          </w:p>
          <w:p w14:paraId="4774D978">
            <w:pPr>
              <w:pStyle w:val="46"/>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收取</w:t>
            </w: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u w:val="single"/>
                <w:lang w:val="en-US" w:eastAsia="zh-CN"/>
              </w:rPr>
              <w:t>中标结果公告发布后，领取</w:t>
            </w:r>
            <w:r>
              <w:rPr>
                <w:rFonts w:hint="eastAsia" w:cs="宋体"/>
                <w:i w:val="0"/>
                <w:iCs w:val="0"/>
                <w:color w:val="auto"/>
                <w:sz w:val="24"/>
                <w:szCs w:val="24"/>
                <w:highlight w:val="none"/>
                <w:u w:val="single"/>
                <w:lang w:val="en-US" w:eastAsia="zh-CN"/>
              </w:rPr>
              <w:t>中标(成交)通知书领取前</w:t>
            </w:r>
          </w:p>
          <w:p w14:paraId="04E7752D">
            <w:pPr>
              <w:pStyle w:val="4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收取</w:t>
            </w:r>
            <w:r>
              <w:rPr>
                <w:rFonts w:hint="eastAsia" w:ascii="宋体" w:hAnsi="宋体" w:eastAsia="宋体" w:cs="宋体"/>
                <w:i w:val="0"/>
                <w:iCs w:val="0"/>
                <w:color w:val="auto"/>
                <w:sz w:val="24"/>
                <w:szCs w:val="24"/>
                <w:highlight w:val="none"/>
              </w:rPr>
              <w:t>方式：</w:t>
            </w:r>
            <w:r>
              <w:rPr>
                <w:rFonts w:hint="eastAsia" w:cs="宋体"/>
                <w:i w:val="0"/>
                <w:iCs w:val="0"/>
                <w:color w:val="auto"/>
                <w:sz w:val="24"/>
                <w:szCs w:val="24"/>
                <w:highlight w:val="none"/>
                <w:u w:val="single"/>
                <w:lang w:val="en-US" w:eastAsia="zh-CN"/>
              </w:rPr>
              <w:t>电汇或网银转账至我公司账户</w:t>
            </w:r>
          </w:p>
          <w:p w14:paraId="5018147F">
            <w:pPr>
              <w:pStyle w:val="5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40" w:lineRule="exact"/>
              <w:textAlignment w:val="auto"/>
              <w:rPr>
                <w:rFonts w:hint="default" w:ascii="宋体" w:hAnsi="宋体" w:cs="宋体"/>
                <w:color w:val="auto"/>
                <w:kern w:val="0"/>
                <w:sz w:val="24"/>
                <w:lang w:val="en-US" w:eastAsia="zh-CN"/>
              </w:rPr>
            </w:pPr>
            <w:r>
              <w:rPr>
                <w:rFonts w:hint="eastAsia" w:ascii="宋体" w:hAnsi="宋体" w:eastAsia="宋体" w:cs="宋体"/>
                <w:color w:val="auto"/>
                <w:sz w:val="24"/>
                <w:szCs w:val="24"/>
                <w:highlight w:val="none"/>
              </w:rPr>
              <w:t>收取</w:t>
            </w:r>
            <w:r>
              <w:rPr>
                <w:rFonts w:hint="eastAsia" w:ascii="宋体" w:hAnsi="宋体" w:cs="宋体"/>
                <w:color w:val="auto"/>
                <w:sz w:val="24"/>
                <w:szCs w:val="24"/>
                <w:highlight w:val="none"/>
                <w:lang w:val="en-US" w:eastAsia="zh-CN"/>
              </w:rPr>
              <w:t>户名</w:t>
            </w:r>
            <w:r>
              <w:rPr>
                <w:rFonts w:hint="eastAsia" w:ascii="宋体" w:hAnsi="宋体" w:eastAsia="宋体" w:cs="宋体"/>
                <w:color w:val="auto"/>
                <w:sz w:val="24"/>
                <w:szCs w:val="24"/>
                <w:highlight w:val="none"/>
              </w:rPr>
              <w:t>：</w:t>
            </w:r>
            <w:r>
              <w:rPr>
                <w:rFonts w:hint="eastAsia" w:ascii="宋体" w:hAnsi="宋体" w:cs="宋体"/>
                <w:color w:val="auto"/>
                <w:kern w:val="0"/>
                <w:sz w:val="24"/>
                <w:lang w:val="en-US" w:eastAsia="zh-CN"/>
              </w:rPr>
              <w:t>新疆泽煜航项目管理有限公司阿克苏分公司</w:t>
            </w:r>
          </w:p>
          <w:p w14:paraId="1BCFE08D">
            <w:pPr>
              <w:pStyle w:val="5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收取户号：</w:t>
            </w:r>
            <w:r>
              <w:rPr>
                <w:rFonts w:hint="eastAsia" w:ascii="宋体" w:hAnsi="宋体" w:eastAsia="宋体" w:cs="宋体"/>
                <w:color w:val="auto"/>
                <w:sz w:val="24"/>
                <w:szCs w:val="24"/>
                <w:highlight w:val="none"/>
                <w:lang w:val="en-US" w:eastAsia="zh-CN"/>
              </w:rPr>
              <w:t>201000386736805</w:t>
            </w:r>
          </w:p>
          <w:p w14:paraId="5AB0AB11">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开户银行</w:t>
            </w:r>
            <w:r>
              <w:rPr>
                <w:rFonts w:hint="eastAsia" w:ascii="宋体" w:hAnsi="宋体" w:cs="宋体"/>
                <w:color w:val="auto"/>
                <w:sz w:val="24"/>
                <w:szCs w:val="24"/>
                <w:highlight w:val="none"/>
                <w:lang w:val="en-US" w:eastAsia="zh-CN"/>
              </w:rPr>
              <w:t>：杭州联合农村商业银行股份有限公司阿克苏分行</w:t>
            </w:r>
          </w:p>
        </w:tc>
      </w:tr>
      <w:tr w14:paraId="01ADAD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4"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4C62DB7D">
            <w:pPr>
              <w:pStyle w:val="46"/>
              <w:jc w:val="center"/>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41.1</w:t>
            </w:r>
          </w:p>
        </w:tc>
        <w:tc>
          <w:tcPr>
            <w:tcW w:w="1721" w:type="dxa"/>
            <w:tcBorders>
              <w:top w:val="single" w:color="auto" w:sz="2" w:space="0"/>
              <w:left w:val="single" w:color="auto" w:sz="2" w:space="0"/>
              <w:bottom w:val="single" w:color="auto" w:sz="2" w:space="0"/>
              <w:right w:val="single" w:color="auto" w:sz="2" w:space="0"/>
            </w:tcBorders>
            <w:shd w:val="clear" w:color="auto" w:fill="auto"/>
            <w:vAlign w:val="center"/>
          </w:tcPr>
          <w:p w14:paraId="246287AB">
            <w:pPr>
              <w:pStyle w:val="46"/>
              <w:jc w:val="center"/>
              <w:rPr>
                <w:rFonts w:hint="eastAsia" w:ascii="宋体" w:hAnsi="宋体" w:eastAsia="宋体" w:cs="宋体"/>
                <w:color w:val="auto"/>
                <w:kern w:val="2"/>
                <w:sz w:val="24"/>
                <w:szCs w:val="24"/>
                <w:highlight w:val="none"/>
                <w:lang w:val="zh-CN" w:eastAsia="zh-CN" w:bidi="ar-SA"/>
              </w:rPr>
            </w:pPr>
            <w:r>
              <w:rPr>
                <w:rFonts w:hint="eastAsia" w:cs="宋体"/>
                <w:color w:val="auto"/>
                <w:sz w:val="24"/>
                <w:szCs w:val="24"/>
                <w:highlight w:val="none"/>
                <w:lang w:eastAsia="zh-CN"/>
              </w:rPr>
              <w:t>支持本国产品政策</w:t>
            </w:r>
          </w:p>
        </w:tc>
        <w:tc>
          <w:tcPr>
            <w:tcW w:w="6700" w:type="dxa"/>
            <w:tcBorders>
              <w:top w:val="single" w:color="auto" w:sz="2" w:space="0"/>
              <w:left w:val="single" w:color="auto" w:sz="2" w:space="0"/>
              <w:bottom w:val="single" w:color="auto" w:sz="2" w:space="0"/>
              <w:right w:val="single" w:color="auto" w:sz="2" w:space="0"/>
            </w:tcBorders>
            <w:shd w:val="clear" w:color="auto" w:fill="auto"/>
            <w:vAlign w:val="center"/>
          </w:tcPr>
          <w:p w14:paraId="064293A1">
            <w:pPr>
              <w:pStyle w:val="59"/>
              <w:widowControl w:val="0"/>
              <w:spacing w:before="0" w:beforeAutospacing="0" w:after="0" w:afterAutospacing="0" w:line="240" w:lineRule="auto"/>
              <w:jc w:val="both"/>
              <w:rPr>
                <w:rFonts w:hint="eastAsia" w:ascii="宋体" w:hAnsi="宋体" w:eastAsia="宋体" w:cs="宋体"/>
                <w:b/>
                <w:bCs/>
                <w:color w:val="auto"/>
                <w:kern w:val="0"/>
                <w:sz w:val="24"/>
                <w:szCs w:val="24"/>
                <w:highlight w:val="none"/>
                <w:lang w:val="en-US" w:eastAsia="zh-CN" w:bidi="ar-SA"/>
              </w:rPr>
            </w:pPr>
            <w:r>
              <w:rPr>
                <w:rFonts w:hint="eastAsia" w:cs="宋体"/>
                <w:b w:val="0"/>
                <w:bCs/>
                <w:color w:val="auto"/>
                <w:kern w:val="0"/>
                <w:sz w:val="24"/>
                <w:szCs w:val="24"/>
                <w:highlight w:val="none"/>
                <w:lang w:val="en-US" w:eastAsia="zh-CN" w:bidi="ar-SA"/>
              </w:rPr>
              <w:t>对符合本国产品标准的，依法对本国产品给予价格评审优惠，用扣除后的价格参与评审。</w:t>
            </w:r>
          </w:p>
        </w:tc>
      </w:tr>
      <w:tr w14:paraId="399E08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4" w:hRule="atLeast"/>
        </w:trPr>
        <w:tc>
          <w:tcPr>
            <w:tcW w:w="970" w:type="dxa"/>
            <w:tcBorders>
              <w:top w:val="single" w:color="auto" w:sz="2" w:space="0"/>
              <w:left w:val="single" w:color="auto" w:sz="2" w:space="0"/>
              <w:bottom w:val="single" w:color="auto" w:sz="2" w:space="0"/>
              <w:right w:val="single" w:color="auto" w:sz="2" w:space="0"/>
            </w:tcBorders>
            <w:vAlign w:val="center"/>
          </w:tcPr>
          <w:p w14:paraId="0A071A53">
            <w:pPr>
              <w:pStyle w:val="46"/>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41</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2</w:t>
            </w:r>
          </w:p>
        </w:tc>
        <w:tc>
          <w:tcPr>
            <w:tcW w:w="1721" w:type="dxa"/>
            <w:tcBorders>
              <w:top w:val="single" w:color="auto" w:sz="2" w:space="0"/>
              <w:left w:val="single" w:color="auto" w:sz="2" w:space="0"/>
              <w:bottom w:val="single" w:color="auto" w:sz="2" w:space="0"/>
              <w:right w:val="single" w:color="auto" w:sz="2" w:space="0"/>
            </w:tcBorders>
            <w:vAlign w:val="center"/>
          </w:tcPr>
          <w:p w14:paraId="1785FF1B">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6700" w:type="dxa"/>
            <w:tcBorders>
              <w:top w:val="single" w:color="auto" w:sz="2" w:space="0"/>
              <w:left w:val="single" w:color="auto" w:sz="2" w:space="0"/>
              <w:bottom w:val="single" w:color="auto" w:sz="2" w:space="0"/>
              <w:right w:val="single" w:color="auto" w:sz="2" w:space="0"/>
            </w:tcBorders>
            <w:vAlign w:val="center"/>
          </w:tcPr>
          <w:p w14:paraId="3B4D5E17">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14:paraId="77F5BFD2">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F0A8"/>
            </w:r>
            <w:r>
              <w:rPr>
                <w:rFonts w:hint="eastAsia" w:ascii="宋体" w:hAnsi="宋体" w:eastAsia="宋体" w:cs="宋体"/>
                <w:color w:val="auto"/>
                <w:sz w:val="24"/>
                <w:szCs w:val="24"/>
                <w:highlight w:val="none"/>
                <w:lang w:val="zh-CN"/>
              </w:rPr>
              <w:t>接受</w:t>
            </w:r>
          </w:p>
        </w:tc>
      </w:tr>
      <w:tr w14:paraId="6F7014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5EB639A">
            <w:pPr>
              <w:pStyle w:val="46"/>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p>
        </w:tc>
        <w:tc>
          <w:tcPr>
            <w:tcW w:w="1721" w:type="dxa"/>
            <w:tcBorders>
              <w:top w:val="single" w:color="auto" w:sz="2" w:space="0"/>
              <w:left w:val="single" w:color="auto" w:sz="2" w:space="0"/>
              <w:bottom w:val="single" w:color="auto" w:sz="2" w:space="0"/>
              <w:right w:val="single" w:color="auto" w:sz="2" w:space="0"/>
            </w:tcBorders>
            <w:vAlign w:val="center"/>
          </w:tcPr>
          <w:p w14:paraId="623E81DC">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支持中小企业政策</w:t>
            </w:r>
            <w:r>
              <w:rPr>
                <w:rFonts w:hint="eastAsia" w:ascii="宋体" w:hAnsi="宋体" w:eastAsia="宋体" w:cs="宋体"/>
                <w:b w:val="0"/>
                <w:bCs/>
                <w:i w:val="0"/>
                <w:iCs/>
                <w:color w:val="auto"/>
                <w:kern w:val="0"/>
                <w:sz w:val="24"/>
                <w:szCs w:val="24"/>
                <w:highlight w:val="none"/>
                <w:lang w:val="en-US" w:eastAsia="zh-CN" w:bidi="ar-SA"/>
              </w:rPr>
              <w:t>（非专门面向中小企业采购项目适用）</w:t>
            </w:r>
          </w:p>
        </w:tc>
        <w:tc>
          <w:tcPr>
            <w:tcW w:w="6700" w:type="dxa"/>
            <w:tcBorders>
              <w:top w:val="single" w:color="auto" w:sz="2" w:space="0"/>
              <w:left w:val="single" w:color="auto" w:sz="2" w:space="0"/>
              <w:bottom w:val="single" w:color="auto" w:sz="2" w:space="0"/>
              <w:right w:val="single" w:color="auto" w:sz="2" w:space="0"/>
            </w:tcBorders>
            <w:vAlign w:val="center"/>
          </w:tcPr>
          <w:p w14:paraId="494A9BAF">
            <w:pPr>
              <w:pStyle w:val="59"/>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小型和微型企业价格扣除：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1EC73829">
            <w:pPr>
              <w:pStyle w:val="59"/>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498559E5">
            <w:pPr>
              <w:pStyle w:val="59"/>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56AB8547">
            <w:pPr>
              <w:pStyle w:val="59"/>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符合条件的联合体价格扣除：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083F702C">
            <w:pPr>
              <w:pStyle w:val="59"/>
              <w:widowControl w:val="0"/>
              <w:spacing w:before="0" w:beforeAutospacing="0" w:after="0" w:afterAutospacing="0" w:line="240" w:lineRule="auto"/>
              <w:jc w:val="both"/>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5</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符合条件的向小微企业分包的大中型企业价格扣除：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r>
              <w:rPr>
                <w:rFonts w:hint="eastAsia" w:ascii="宋体" w:hAnsi="宋体" w:eastAsia="宋体" w:cs="宋体"/>
                <w:b w:val="0"/>
                <w:i w:val="0"/>
                <w:iCs/>
                <w:color w:val="auto"/>
                <w:sz w:val="24"/>
                <w:szCs w:val="24"/>
                <w:highlight w:val="none"/>
              </w:rPr>
              <w:t>（允许大中型企业向小微企业分包的项目适用）</w:t>
            </w:r>
          </w:p>
        </w:tc>
      </w:tr>
      <w:tr w14:paraId="016051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9" w:hRule="atLeast"/>
        </w:trPr>
        <w:tc>
          <w:tcPr>
            <w:tcW w:w="970" w:type="dxa"/>
            <w:tcBorders>
              <w:top w:val="single" w:color="auto" w:sz="2" w:space="0"/>
              <w:left w:val="single" w:color="auto" w:sz="2" w:space="0"/>
              <w:bottom w:val="single" w:color="auto" w:sz="2" w:space="0"/>
              <w:right w:val="single" w:color="auto" w:sz="2" w:space="0"/>
            </w:tcBorders>
            <w:vAlign w:val="center"/>
          </w:tcPr>
          <w:p w14:paraId="790F1479">
            <w:pPr>
              <w:pStyle w:val="46"/>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42.9</w:t>
            </w:r>
          </w:p>
        </w:tc>
        <w:tc>
          <w:tcPr>
            <w:tcW w:w="1721" w:type="dxa"/>
            <w:tcBorders>
              <w:top w:val="single" w:color="auto" w:sz="2" w:space="0"/>
              <w:left w:val="single" w:color="auto" w:sz="2" w:space="0"/>
              <w:bottom w:val="single" w:color="auto" w:sz="2" w:space="0"/>
              <w:right w:val="single" w:color="auto" w:sz="2" w:space="0"/>
            </w:tcBorders>
            <w:vAlign w:val="center"/>
          </w:tcPr>
          <w:p w14:paraId="46C03D62">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标的所属行业</w:t>
            </w:r>
          </w:p>
          <w:p w14:paraId="10DBCCB6">
            <w:pPr>
              <w:pStyle w:val="46"/>
              <w:rPr>
                <w:rFonts w:hint="eastAsia" w:ascii="宋体" w:hAnsi="宋体" w:eastAsia="宋体" w:cs="宋体"/>
                <w:color w:val="auto"/>
                <w:sz w:val="24"/>
                <w:szCs w:val="24"/>
                <w:highlight w:val="none"/>
              </w:rPr>
            </w:pPr>
            <w:r>
              <w:rPr>
                <w:rFonts w:hint="eastAsia" w:ascii="宋体" w:hAnsi="宋体" w:eastAsia="宋体" w:cs="宋体"/>
                <w:b w:val="0"/>
                <w:bCs/>
                <w:i w:val="0"/>
                <w:iCs/>
                <w:color w:val="auto"/>
                <w:kern w:val="0"/>
                <w:sz w:val="24"/>
                <w:szCs w:val="24"/>
                <w:highlight w:val="none"/>
                <w:lang w:val="en-US" w:eastAsia="zh-CN" w:bidi="ar-SA"/>
              </w:rPr>
              <w:t>（参照后附《工信部联企业〔2011〕300号》文件规定）</w:t>
            </w:r>
          </w:p>
        </w:tc>
        <w:tc>
          <w:tcPr>
            <w:tcW w:w="6700" w:type="dxa"/>
            <w:tcBorders>
              <w:top w:val="single" w:color="auto" w:sz="2" w:space="0"/>
              <w:left w:val="single" w:color="auto" w:sz="2" w:space="0"/>
              <w:bottom w:val="single" w:color="auto" w:sz="2" w:space="0"/>
              <w:right w:val="single" w:color="auto" w:sz="2" w:space="0"/>
            </w:tcBorders>
            <w:vAlign w:val="center"/>
          </w:tcPr>
          <w:p w14:paraId="73639D39">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本项目采购标的对应的中小企业划分标准所属行业： </w:t>
            </w:r>
          </w:p>
          <w:tbl>
            <w:tblPr>
              <w:tblStyle w:val="29"/>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824"/>
              <w:gridCol w:w="3245"/>
            </w:tblGrid>
            <w:tr w14:paraId="385E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6A664177">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包号</w:t>
                  </w:r>
                </w:p>
              </w:tc>
              <w:tc>
                <w:tcPr>
                  <w:tcW w:w="1824" w:type="dxa"/>
                  <w:vAlign w:val="center"/>
                </w:tcPr>
                <w:p w14:paraId="0AD36816">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标的名称</w:t>
                  </w:r>
                </w:p>
              </w:tc>
              <w:tc>
                <w:tcPr>
                  <w:tcW w:w="3245" w:type="dxa"/>
                  <w:vAlign w:val="center"/>
                </w:tcPr>
                <w:p w14:paraId="2C78D772">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中小企业划分标准所属行业</w:t>
                  </w:r>
                </w:p>
              </w:tc>
            </w:tr>
            <w:tr w14:paraId="531A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45DA92CB">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第</w:t>
                  </w:r>
                  <w:r>
                    <w:rPr>
                      <w:rFonts w:hint="eastAsia" w:cs="宋体"/>
                      <w:color w:val="auto"/>
                      <w:kern w:val="0"/>
                      <w:sz w:val="24"/>
                      <w:szCs w:val="24"/>
                      <w:highlight w:val="none"/>
                      <w:vertAlign w:val="baseline"/>
                      <w:lang w:val="en-US" w:eastAsia="zh-CN" w:bidi="ar"/>
                    </w:rPr>
                    <w:t xml:space="preserve">/ </w:t>
                  </w:r>
                  <w:r>
                    <w:rPr>
                      <w:rFonts w:hint="eastAsia" w:ascii="宋体" w:hAnsi="宋体" w:eastAsia="宋体" w:cs="宋体"/>
                      <w:color w:val="auto"/>
                      <w:kern w:val="0"/>
                      <w:sz w:val="24"/>
                      <w:szCs w:val="24"/>
                      <w:highlight w:val="none"/>
                      <w:vertAlign w:val="baseline"/>
                      <w:lang w:val="en-US" w:eastAsia="zh-CN" w:bidi="ar"/>
                    </w:rPr>
                    <w:t>包</w:t>
                  </w:r>
                </w:p>
              </w:tc>
              <w:tc>
                <w:tcPr>
                  <w:tcW w:w="1824" w:type="dxa"/>
                  <w:vAlign w:val="center"/>
                </w:tcPr>
                <w:p w14:paraId="7B94C3FE">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束纤维快速测试仪</w:t>
                  </w:r>
                </w:p>
              </w:tc>
              <w:tc>
                <w:tcPr>
                  <w:tcW w:w="3245" w:type="dxa"/>
                  <w:vAlign w:val="center"/>
                </w:tcPr>
                <w:p w14:paraId="33535D95">
                  <w:pPr>
                    <w:keepNext w:val="0"/>
                    <w:keepLines w:val="0"/>
                    <w:widowControl/>
                    <w:suppressLineNumbers w:val="0"/>
                    <w:jc w:val="center"/>
                    <w:rPr>
                      <w:rFonts w:hint="default" w:ascii="宋体" w:hAnsi="宋体" w:eastAsia="宋体" w:cs="宋体"/>
                      <w:color w:val="auto"/>
                      <w:kern w:val="0"/>
                      <w:sz w:val="24"/>
                      <w:szCs w:val="24"/>
                      <w:highlight w:val="none"/>
                      <w:vertAlign w:val="baseline"/>
                      <w:lang w:val="en-US" w:eastAsia="zh-CN" w:bidi="ar"/>
                    </w:rPr>
                  </w:pPr>
                  <w:r>
                    <w:rPr>
                      <w:rFonts w:hint="eastAsia" w:cs="宋体"/>
                      <w:color w:val="auto"/>
                      <w:kern w:val="0"/>
                      <w:sz w:val="24"/>
                      <w:szCs w:val="24"/>
                      <w:highlight w:val="none"/>
                      <w:vertAlign w:val="baseline"/>
                      <w:lang w:val="en-US" w:eastAsia="zh-CN" w:bidi="ar"/>
                    </w:rPr>
                    <w:t>工业</w:t>
                  </w:r>
                </w:p>
              </w:tc>
            </w:tr>
          </w:tbl>
          <w:p w14:paraId="4176FC14">
            <w:pPr>
              <w:pStyle w:val="46"/>
              <w:rPr>
                <w:rFonts w:hint="eastAsia" w:ascii="宋体" w:hAnsi="宋体" w:eastAsia="宋体" w:cs="宋体"/>
                <w:color w:val="auto"/>
                <w:sz w:val="24"/>
                <w:szCs w:val="24"/>
                <w:highlight w:val="none"/>
              </w:rPr>
            </w:pPr>
          </w:p>
        </w:tc>
      </w:tr>
      <w:tr w14:paraId="05BF20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9" w:hRule="atLeast"/>
        </w:trPr>
        <w:tc>
          <w:tcPr>
            <w:tcW w:w="970" w:type="dxa"/>
            <w:tcBorders>
              <w:top w:val="single" w:color="auto" w:sz="2" w:space="0"/>
              <w:left w:val="single" w:color="auto" w:sz="2" w:space="0"/>
              <w:bottom w:val="single" w:color="auto" w:sz="2" w:space="0"/>
              <w:right w:val="single" w:color="auto" w:sz="2" w:space="0"/>
            </w:tcBorders>
            <w:vAlign w:val="center"/>
          </w:tcPr>
          <w:p w14:paraId="369A7B1B">
            <w:pPr>
              <w:pStyle w:val="46"/>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43.5</w:t>
            </w:r>
          </w:p>
        </w:tc>
        <w:tc>
          <w:tcPr>
            <w:tcW w:w="1721" w:type="dxa"/>
            <w:tcBorders>
              <w:top w:val="single" w:color="auto" w:sz="2" w:space="0"/>
              <w:left w:val="single" w:color="auto" w:sz="2" w:space="0"/>
              <w:bottom w:val="single" w:color="auto" w:sz="2" w:space="0"/>
              <w:right w:val="single" w:color="auto" w:sz="2" w:space="0"/>
            </w:tcBorders>
            <w:vAlign w:val="center"/>
          </w:tcPr>
          <w:p w14:paraId="7250B4B7">
            <w:pPr>
              <w:pStyle w:val="4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优先采购创新节能环保产品</w:t>
            </w:r>
          </w:p>
        </w:tc>
        <w:tc>
          <w:tcPr>
            <w:tcW w:w="6700" w:type="dxa"/>
            <w:tcBorders>
              <w:top w:val="single" w:color="auto" w:sz="2" w:space="0"/>
              <w:left w:val="single" w:color="auto" w:sz="2" w:space="0"/>
              <w:bottom w:val="single" w:color="auto" w:sz="2" w:space="0"/>
              <w:right w:val="single" w:color="auto" w:sz="2" w:space="0"/>
            </w:tcBorders>
            <w:vAlign w:val="center"/>
          </w:tcPr>
          <w:p w14:paraId="09930298">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产品纳入创新产品应用示范推荐目录内企业、所</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产品获得节能产品或环境标志产品认证证书的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给予</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lang w:val="en-US" w:eastAsia="zh-CN"/>
              </w:rPr>
              <w:t>评审优惠</w:t>
            </w:r>
            <w:r>
              <w:rPr>
                <w:rFonts w:hint="eastAsia" w:ascii="宋体" w:hAnsi="宋体" w:eastAsia="宋体" w:cs="宋体"/>
                <w:color w:val="auto"/>
                <w:sz w:val="24"/>
                <w:szCs w:val="24"/>
                <w:highlight w:val="none"/>
              </w:rPr>
              <w:t>。</w:t>
            </w:r>
          </w:p>
        </w:tc>
      </w:tr>
      <w:tr w14:paraId="5DE88C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2786DB02">
            <w:pPr>
              <w:pStyle w:val="46"/>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shd w:val="clear" w:color="auto" w:fill="auto"/>
            <w:vAlign w:val="center"/>
          </w:tcPr>
          <w:p w14:paraId="47B74754">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w:t>
            </w:r>
          </w:p>
          <w:p w14:paraId="21C72458">
            <w:pPr>
              <w:pStyle w:val="4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合同融资政策</w:t>
            </w:r>
          </w:p>
        </w:tc>
        <w:tc>
          <w:tcPr>
            <w:tcW w:w="6700" w:type="dxa"/>
            <w:tcBorders>
              <w:top w:val="single" w:color="auto" w:sz="2" w:space="0"/>
              <w:left w:val="single" w:color="auto" w:sz="2" w:space="0"/>
              <w:bottom w:val="single" w:color="auto" w:sz="2" w:space="0"/>
              <w:right w:val="single" w:color="auto" w:sz="2" w:space="0"/>
            </w:tcBorders>
            <w:shd w:val="clear" w:color="auto" w:fill="auto"/>
            <w:vAlign w:val="center"/>
          </w:tcPr>
          <w:p w14:paraId="6591D216">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1.有融资需求的成交人在获得政府采购成交通知书后，即可向开展“政采贷”业务的金融机构提出申请，金融机构依据政府采购成交通知书和政府采购合同，为中小微企业提供融资服务。</w:t>
            </w:r>
          </w:p>
          <w:p w14:paraId="073C66E9">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渠道和方式：</w:t>
            </w:r>
            <w:r>
              <w:rPr>
                <w:rFonts w:hint="eastAsia" w:ascii="宋体" w:hAnsi="宋体" w:eastAsia="宋体" w:cs="宋体"/>
                <w:color w:val="auto"/>
                <w:sz w:val="24"/>
                <w:szCs w:val="24"/>
                <w:highlight w:val="none"/>
                <w:u w:val="single"/>
                <w:lang w:val="en-US" w:eastAsia="zh-CN"/>
              </w:rPr>
              <w:t>详见</w:t>
            </w:r>
            <w:r>
              <w:rPr>
                <w:rFonts w:hint="eastAsia" w:cs="宋体"/>
                <w:color w:val="auto"/>
                <w:sz w:val="24"/>
                <w:szCs w:val="24"/>
                <w:highlight w:val="none"/>
                <w:u w:val="single"/>
                <w:lang w:val="en-US" w:eastAsia="zh-CN"/>
              </w:rPr>
              <w:t>新疆</w:t>
            </w:r>
            <w:r>
              <w:rPr>
                <w:rFonts w:hint="eastAsia" w:ascii="宋体" w:hAnsi="宋体" w:eastAsia="宋体" w:cs="宋体"/>
                <w:color w:val="auto"/>
                <w:sz w:val="24"/>
                <w:szCs w:val="24"/>
                <w:highlight w:val="none"/>
                <w:u w:val="single"/>
                <w:lang w:val="en-US" w:eastAsia="zh-CN"/>
              </w:rPr>
              <w:t>政府采购网</w:t>
            </w:r>
            <w:r>
              <w:rPr>
                <w:rFonts w:hint="eastAsia" w:ascii="宋体" w:hAnsi="宋体" w:eastAsia="宋体" w:cs="宋体"/>
                <w:color w:val="auto"/>
                <w:sz w:val="24"/>
                <w:szCs w:val="24"/>
                <w:highlight w:val="none"/>
              </w:rPr>
              <w:t>。</w:t>
            </w:r>
          </w:p>
          <w:p w14:paraId="4FBEC518">
            <w:pPr>
              <w:pStyle w:val="4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 xml:space="preserve">  2.“政采贷”融资指引：在取得政府采购成交通知书后，可访问“兵团政采贷融资服务平台”，查看和联系第三方平台或者金融机构，商洽融资事项，确定融资意向。成交人签署政府采购成交合同后，登录“兵团政采贷融资服务平台”，选择意向产品进行申请，并填写相关信息，“兵团政采贷融资服务平台”将中标人融资申请信息推送第三方平台、意向金融机构。</w:t>
            </w:r>
          </w:p>
        </w:tc>
      </w:tr>
      <w:tr w14:paraId="54F8D0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42" w:hRule="atLeast"/>
        </w:trPr>
        <w:tc>
          <w:tcPr>
            <w:tcW w:w="970" w:type="dxa"/>
            <w:tcBorders>
              <w:top w:val="single" w:color="auto" w:sz="2" w:space="0"/>
              <w:left w:val="single" w:color="auto" w:sz="2" w:space="0"/>
              <w:bottom w:val="single" w:color="auto" w:sz="2" w:space="0"/>
              <w:right w:val="single" w:color="auto" w:sz="4" w:space="0"/>
            </w:tcBorders>
            <w:vAlign w:val="center"/>
          </w:tcPr>
          <w:p w14:paraId="342D37A4">
            <w:pPr>
              <w:pStyle w:val="4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21" w:type="dxa"/>
            <w:tcBorders>
              <w:top w:val="single" w:color="auto" w:sz="2" w:space="0"/>
              <w:left w:val="single" w:color="auto" w:sz="2" w:space="0"/>
              <w:bottom w:val="single" w:color="auto" w:sz="2" w:space="0"/>
              <w:right w:val="single" w:color="auto" w:sz="4" w:space="0"/>
            </w:tcBorders>
            <w:vAlign w:val="center"/>
          </w:tcPr>
          <w:p w14:paraId="57A459C3">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6700" w:type="dxa"/>
            <w:tcBorders>
              <w:top w:val="single" w:color="auto" w:sz="2" w:space="0"/>
              <w:left w:val="single" w:color="auto" w:sz="4" w:space="0"/>
              <w:bottom w:val="single" w:color="auto" w:sz="2" w:space="0"/>
              <w:right w:val="single" w:color="auto" w:sz="2" w:space="0"/>
            </w:tcBorders>
            <w:vAlign w:val="center"/>
          </w:tcPr>
          <w:p w14:paraId="0B825742">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谈判小组</w:t>
            </w:r>
            <w:r>
              <w:rPr>
                <w:rFonts w:hint="eastAsia" w:ascii="宋体" w:hAnsi="宋体"/>
                <w:szCs w:val="21"/>
                <w:highlight w:val="none"/>
              </w:rPr>
              <w:t>的组建及评审专家的确定方式：采购单位依法组建</w:t>
            </w:r>
            <w:r>
              <w:rPr>
                <w:rFonts w:hint="eastAsia" w:ascii="宋体" w:hAnsi="宋体"/>
                <w:szCs w:val="21"/>
                <w:highlight w:val="none"/>
                <w:lang w:val="en-US" w:eastAsia="zh-CN"/>
              </w:rPr>
              <w:t>谈判小组</w:t>
            </w:r>
            <w:r>
              <w:rPr>
                <w:rFonts w:hint="eastAsia" w:ascii="宋体" w:hAnsi="宋体"/>
                <w:szCs w:val="21"/>
                <w:highlight w:val="none"/>
              </w:rPr>
              <w:t>共</w:t>
            </w:r>
            <w:r>
              <w:rPr>
                <w:rFonts w:hint="eastAsia" w:ascii="宋体" w:hAnsi="宋体"/>
                <w:szCs w:val="21"/>
                <w:highlight w:val="none"/>
                <w:u w:val="single"/>
              </w:rPr>
              <w:t xml:space="preserve"> </w:t>
            </w:r>
            <w:r>
              <w:rPr>
                <w:rFonts w:hint="eastAsia" w:ascii="宋体" w:hAnsi="宋体"/>
                <w:szCs w:val="21"/>
                <w:highlight w:val="none"/>
                <w:u w:val="single"/>
                <w:lang w:val="en-US" w:eastAsia="zh-CN"/>
              </w:rPr>
              <w:t>3</w:t>
            </w:r>
            <w:r>
              <w:rPr>
                <w:rFonts w:hint="eastAsia" w:ascii="宋体" w:hAnsi="宋体"/>
                <w:szCs w:val="21"/>
                <w:highlight w:val="none"/>
                <w:u w:val="single"/>
              </w:rPr>
              <w:t xml:space="preserve"> </w:t>
            </w:r>
            <w:r>
              <w:rPr>
                <w:rFonts w:hint="eastAsia" w:ascii="宋体" w:hAnsi="宋体"/>
                <w:szCs w:val="21"/>
                <w:highlight w:val="none"/>
              </w:rPr>
              <w:t>人组成，其中采购人代表</w:t>
            </w:r>
            <w:r>
              <w:rPr>
                <w:rFonts w:hint="eastAsia" w:ascii="宋体" w:hAnsi="宋体"/>
                <w:szCs w:val="21"/>
                <w:highlight w:val="none"/>
                <w:u w:val="single"/>
              </w:rPr>
              <w:t xml:space="preserve"> 1 </w:t>
            </w:r>
            <w:r>
              <w:rPr>
                <w:rFonts w:hint="eastAsia" w:ascii="宋体" w:hAnsi="宋体"/>
                <w:szCs w:val="21"/>
                <w:highlight w:val="none"/>
              </w:rPr>
              <w:t>人和评审专家</w:t>
            </w:r>
            <w:r>
              <w:rPr>
                <w:rFonts w:hint="eastAsia" w:ascii="宋体" w:hAnsi="宋体"/>
                <w:szCs w:val="21"/>
                <w:highlight w:val="none"/>
                <w:u w:val="single"/>
              </w:rPr>
              <w:t xml:space="preserve"> </w:t>
            </w:r>
            <w:r>
              <w:rPr>
                <w:rFonts w:hint="eastAsia" w:ascii="宋体" w:hAnsi="宋体"/>
                <w:szCs w:val="21"/>
                <w:highlight w:val="none"/>
                <w:u w:val="single"/>
                <w:lang w:val="en-US" w:eastAsia="zh-CN"/>
              </w:rPr>
              <w:t>2</w:t>
            </w:r>
            <w:r>
              <w:rPr>
                <w:rFonts w:hint="eastAsia" w:ascii="宋体" w:hAnsi="宋体"/>
                <w:szCs w:val="21"/>
                <w:highlight w:val="none"/>
                <w:u w:val="single"/>
              </w:rPr>
              <w:t xml:space="preserve"> </w:t>
            </w:r>
            <w:r>
              <w:rPr>
                <w:rFonts w:hint="eastAsia" w:ascii="宋体" w:hAnsi="宋体"/>
                <w:szCs w:val="21"/>
                <w:highlight w:val="none"/>
              </w:rPr>
              <w:t>人。</w:t>
            </w:r>
          </w:p>
          <w:p w14:paraId="63CFD2E9">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szCs w:val="21"/>
                <w:highlight w:val="none"/>
              </w:rPr>
            </w:pPr>
            <w:r>
              <w:rPr>
                <w:rFonts w:hint="eastAsia" w:ascii="宋体" w:hAnsi="宋体"/>
                <w:szCs w:val="21"/>
                <w:highlight w:val="none"/>
                <w:lang w:val="en-US" w:eastAsia="zh-CN"/>
              </w:rPr>
              <w:t>谈判小组</w:t>
            </w:r>
            <w:r>
              <w:rPr>
                <w:rFonts w:hint="eastAsia" w:ascii="宋体" w:hAnsi="宋体"/>
                <w:szCs w:val="21"/>
                <w:highlight w:val="none"/>
              </w:rPr>
              <w:t>确定方式：</w:t>
            </w:r>
          </w:p>
          <w:p w14:paraId="6A162922">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szCs w:val="21"/>
                <w:highlight w:val="none"/>
                <w:lang w:val="en-US" w:eastAsia="zh-CN"/>
              </w:rPr>
            </w:pPr>
            <w:r>
              <w:rPr>
                <w:rFonts w:hint="eastAsia" w:ascii="宋体" w:hAnsi="宋体"/>
                <w:szCs w:val="21"/>
                <w:highlight w:val="none"/>
                <w:lang w:val="en-US" w:eastAsia="zh-CN"/>
              </w:rPr>
              <w:t>☑政采云系统随机抽取</w:t>
            </w:r>
          </w:p>
          <w:p w14:paraId="4847B3EC">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theme="minorBidi"/>
                <w:kern w:val="2"/>
                <w:sz w:val="24"/>
                <w:szCs w:val="21"/>
                <w:highlight w:val="none"/>
                <w:u w:val="single"/>
                <w:lang w:val="en-US" w:eastAsia="zh-CN" w:bidi="ar-SA"/>
              </w:rPr>
            </w:pPr>
            <w:r>
              <w:rPr>
                <w:rFonts w:hint="eastAsia" w:ascii="宋体" w:hAnsi="宋体"/>
                <w:szCs w:val="21"/>
                <w:highlight w:val="none"/>
                <w:lang w:val="en-US" w:eastAsia="zh-CN"/>
              </w:rPr>
              <w:t>□其他方式：</w:t>
            </w:r>
            <w:r>
              <w:rPr>
                <w:rFonts w:hint="eastAsia" w:ascii="宋体" w:hAnsi="宋体"/>
                <w:szCs w:val="21"/>
                <w:highlight w:val="none"/>
                <w:u w:val="single"/>
                <w:lang w:val="en-US" w:eastAsia="zh-CN"/>
              </w:rPr>
              <w:t xml:space="preserve">  /  </w:t>
            </w:r>
          </w:p>
          <w:p w14:paraId="6CEAED8C">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color w:val="auto"/>
                <w:sz w:val="24"/>
                <w:szCs w:val="24"/>
                <w:highlight w:val="none"/>
              </w:rPr>
            </w:pPr>
            <w:r>
              <w:rPr>
                <w:rFonts w:hint="eastAsia"/>
                <w:szCs w:val="21"/>
                <w:highlight w:val="none"/>
                <w:lang w:val="en-US" w:eastAsia="zh-CN"/>
              </w:rPr>
              <w:t>2.</w:t>
            </w:r>
            <w:r>
              <w:rPr>
                <w:rFonts w:hint="eastAsia" w:ascii="宋体" w:hAnsi="宋体"/>
                <w:szCs w:val="21"/>
                <w:highlight w:val="none"/>
              </w:rPr>
              <w:t>温馨提示：由于政采云响应文件编制软件的原因，</w:t>
            </w:r>
            <w:r>
              <w:rPr>
                <w:rFonts w:hint="eastAsia" w:ascii="宋体" w:hAnsi="宋体" w:eastAsia="宋体" w:cstheme="minorBidi"/>
                <w:kern w:val="2"/>
                <w:sz w:val="24"/>
                <w:szCs w:val="21"/>
                <w:highlight w:val="none"/>
                <w:lang w:val="en-US" w:eastAsia="zh-CN" w:bidi="ar-SA"/>
              </w:rPr>
              <w:t>供应商的响应文件会被政采云系统分割成几个部分，供应商在制作响应文件时应积极与政采云平台联系，确保响应文件每部分及整体内容均完善齐全。若供应商未按照采购文件要求和政采云平台上的标签提示制作导入和关联，由此造成的一切后果由供应商自行承担。</w:t>
            </w:r>
          </w:p>
        </w:tc>
      </w:tr>
      <w:tr w14:paraId="1707FD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391" w:type="dxa"/>
            <w:gridSpan w:val="3"/>
            <w:tcBorders>
              <w:top w:val="single" w:color="auto" w:sz="2" w:space="0"/>
              <w:left w:val="single" w:color="auto" w:sz="2" w:space="0"/>
              <w:bottom w:val="single" w:color="auto" w:sz="2" w:space="0"/>
              <w:right w:val="single" w:color="auto" w:sz="2" w:space="0"/>
            </w:tcBorders>
            <w:vAlign w:val="center"/>
          </w:tcPr>
          <w:p w14:paraId="45AC7FA3">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除本竞争性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文件另有规定外，竞争性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文件中出现的类似于“近三年”或“前三年”、“近五年”或“前五年”均指递交响应文件时间以前三年或前五年，以此类推。如：递交响应文件时间为  年  月  日，则“近三年”是指  年  月  日至  年  月  日。</w:t>
            </w:r>
          </w:p>
          <w:p w14:paraId="27269E57">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文件所称的“以上”、“以下”、“内”、“以内”，包括本数；所称的“不足”，不包括本数。</w:t>
            </w:r>
          </w:p>
        </w:tc>
      </w:tr>
      <w:bookmarkEnd w:id="102"/>
    </w:tbl>
    <w:p w14:paraId="131AFDDB">
      <w:pPr>
        <w:rPr>
          <w:color w:val="auto"/>
          <w:highlight w:val="none"/>
        </w:rPr>
      </w:pPr>
    </w:p>
    <w:p w14:paraId="3C80B303">
      <w:pPr>
        <w:rPr>
          <w:rFonts w:hint="eastAsia" w:eastAsia="宋体" w:asciiTheme="majorHAnsi" w:hAnsiTheme="majorHAnsi" w:cstheme="majorBidi"/>
          <w:b/>
          <w:bCs/>
          <w:color w:val="auto"/>
          <w:kern w:val="2"/>
          <w:sz w:val="28"/>
          <w:szCs w:val="28"/>
          <w:highlight w:val="none"/>
          <w:lang w:val="en-US" w:eastAsia="zh-CN" w:bidi="ar-SA"/>
        </w:rPr>
      </w:pPr>
      <w:bookmarkStart w:id="104" w:name="_Toc20713"/>
      <w:r>
        <w:rPr>
          <w:rFonts w:hint="eastAsia" w:eastAsia="宋体" w:asciiTheme="majorHAnsi" w:hAnsiTheme="majorHAnsi" w:cstheme="majorBidi"/>
          <w:b/>
          <w:bCs/>
          <w:color w:val="auto"/>
          <w:kern w:val="2"/>
          <w:sz w:val="28"/>
          <w:szCs w:val="28"/>
          <w:highlight w:val="none"/>
          <w:lang w:val="en-US" w:eastAsia="zh-CN" w:bidi="ar-SA"/>
        </w:rPr>
        <w:br w:type="page"/>
      </w:r>
    </w:p>
    <w:p w14:paraId="1CF0D4F4">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05" w:name="_Toc5318"/>
      <w:r>
        <w:rPr>
          <w:rFonts w:hint="eastAsia" w:eastAsia="宋体" w:asciiTheme="majorHAnsi" w:hAnsiTheme="majorHAnsi" w:cstheme="majorBidi"/>
          <w:b/>
          <w:bCs/>
          <w:color w:val="auto"/>
          <w:kern w:val="2"/>
          <w:sz w:val="28"/>
          <w:szCs w:val="28"/>
          <w:highlight w:val="none"/>
          <w:lang w:val="en-US" w:eastAsia="zh-CN" w:bidi="ar-SA"/>
        </w:rPr>
        <w:t>二、供应商须知</w:t>
      </w:r>
      <w:bookmarkEnd w:id="104"/>
      <w:bookmarkEnd w:id="105"/>
    </w:p>
    <w:p w14:paraId="04978FCD">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06" w:name="_Toc163493611"/>
      <w:bookmarkStart w:id="107" w:name="_Toc109899951"/>
      <w:bookmarkStart w:id="108" w:name="_Toc8053"/>
      <w:bookmarkStart w:id="109" w:name="_Toc109897433"/>
      <w:bookmarkStart w:id="110" w:name="_Toc109900370"/>
      <w:bookmarkStart w:id="111" w:name="_Toc46771638"/>
      <w:bookmarkStart w:id="112" w:name="_Toc109899532"/>
      <w:bookmarkStart w:id="113" w:name="_Toc470172694"/>
      <w:r>
        <w:rPr>
          <w:rFonts w:hint="eastAsia" w:ascii="宋体" w:hAnsi="宋体" w:eastAsia="宋体" w:cs="宋体"/>
          <w:b/>
          <w:bCs/>
          <w:color w:val="auto"/>
          <w:kern w:val="2"/>
          <w:sz w:val="24"/>
          <w:szCs w:val="24"/>
          <w:highlight w:val="none"/>
          <w:lang w:val="en-US" w:eastAsia="zh-CN" w:bidi="ar-SA"/>
        </w:rPr>
        <w:t>（一）总则</w:t>
      </w:r>
      <w:bookmarkEnd w:id="106"/>
      <w:bookmarkEnd w:id="107"/>
      <w:bookmarkEnd w:id="108"/>
      <w:bookmarkEnd w:id="109"/>
      <w:bookmarkEnd w:id="110"/>
      <w:bookmarkEnd w:id="111"/>
      <w:bookmarkEnd w:id="112"/>
    </w:p>
    <w:p w14:paraId="18977FAF">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14" w:name="_Toc52962726"/>
      <w:bookmarkStart w:id="115" w:name="_Toc109899952"/>
      <w:bookmarkStart w:id="116" w:name="_Toc52960552"/>
      <w:bookmarkStart w:id="117" w:name="_Toc48688788"/>
      <w:bookmarkStart w:id="118" w:name="_Toc51674210"/>
      <w:bookmarkStart w:id="119" w:name="_Toc46772240"/>
      <w:bookmarkStart w:id="120" w:name="_Toc109899533"/>
      <w:bookmarkStart w:id="121" w:name="_Toc109897434"/>
      <w:bookmarkStart w:id="122" w:name="_Toc470172664"/>
      <w:bookmarkStart w:id="123" w:name="_Toc46771639"/>
      <w:bookmarkStart w:id="124" w:name="_Toc48846108"/>
      <w:bookmarkStart w:id="125" w:name="_Toc109900371"/>
      <w:bookmarkStart w:id="126" w:name="_Toc27243"/>
      <w:r>
        <w:rPr>
          <w:rFonts w:hint="eastAsia" w:ascii="宋体" w:hAnsi="宋体" w:eastAsia="宋体" w:cs="宋体"/>
          <w:b/>
          <w:bCs/>
          <w:color w:val="auto"/>
          <w:kern w:val="2"/>
          <w:sz w:val="24"/>
          <w:szCs w:val="24"/>
          <w:highlight w:val="none"/>
          <w:lang w:val="en-US" w:eastAsia="zh-CN" w:bidi="ar-SA"/>
        </w:rPr>
        <w:t>1.适用范围</w:t>
      </w:r>
      <w:bookmarkEnd w:id="114"/>
      <w:bookmarkEnd w:id="115"/>
      <w:bookmarkEnd w:id="116"/>
      <w:bookmarkEnd w:id="117"/>
      <w:bookmarkEnd w:id="118"/>
      <w:bookmarkEnd w:id="119"/>
      <w:bookmarkEnd w:id="120"/>
      <w:bookmarkEnd w:id="121"/>
      <w:bookmarkEnd w:id="122"/>
      <w:bookmarkEnd w:id="123"/>
      <w:bookmarkEnd w:id="124"/>
      <w:bookmarkEnd w:id="125"/>
      <w:bookmarkEnd w:id="126"/>
    </w:p>
    <w:p w14:paraId="3FAC17DD">
      <w:pPr>
        <w:pStyle w:val="35"/>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1.1本竞争性</w:t>
      </w:r>
      <w:r>
        <w:rPr>
          <w:rFonts w:hint="eastAsia" w:cs="宋体"/>
          <w:snapToGrid w:val="0"/>
          <w:color w:val="auto"/>
          <w:sz w:val="24"/>
          <w:szCs w:val="24"/>
          <w:highlight w:val="none"/>
          <w:lang w:val="en-US" w:eastAsia="zh-CN"/>
        </w:rPr>
        <w:t>谈判</w:t>
      </w:r>
      <w:r>
        <w:rPr>
          <w:rFonts w:hint="eastAsia" w:ascii="宋体" w:hAnsi="宋体" w:eastAsia="宋体" w:cs="宋体"/>
          <w:snapToGrid w:val="0"/>
          <w:color w:val="auto"/>
          <w:sz w:val="24"/>
          <w:szCs w:val="24"/>
          <w:highlight w:val="none"/>
        </w:rPr>
        <w:t>文件（也称</w:t>
      </w:r>
      <w:r>
        <w:rPr>
          <w:rFonts w:hint="eastAsia" w:cs="宋体"/>
          <w:snapToGrid w:val="0"/>
          <w:color w:val="auto"/>
          <w:sz w:val="24"/>
          <w:szCs w:val="24"/>
          <w:highlight w:val="none"/>
          <w:lang w:val="en-US" w:eastAsia="zh-CN"/>
        </w:rPr>
        <w:t>谈判</w:t>
      </w:r>
      <w:r>
        <w:rPr>
          <w:rFonts w:hint="eastAsia" w:ascii="宋体" w:hAnsi="宋体" w:eastAsia="宋体" w:cs="宋体"/>
          <w:snapToGrid w:val="0"/>
          <w:color w:val="auto"/>
          <w:sz w:val="24"/>
          <w:szCs w:val="24"/>
          <w:highlight w:val="none"/>
        </w:rPr>
        <w:t>文件或采购文件）仅适用于本次竞争性</w:t>
      </w:r>
      <w:r>
        <w:rPr>
          <w:rFonts w:hint="eastAsia" w:cs="宋体"/>
          <w:snapToGrid w:val="0"/>
          <w:color w:val="auto"/>
          <w:sz w:val="24"/>
          <w:szCs w:val="24"/>
          <w:highlight w:val="none"/>
          <w:lang w:val="en-US" w:eastAsia="zh-CN"/>
        </w:rPr>
        <w:t>谈判</w:t>
      </w:r>
      <w:r>
        <w:rPr>
          <w:rFonts w:hint="eastAsia" w:ascii="宋体" w:hAnsi="宋体" w:eastAsia="宋体" w:cs="宋体"/>
          <w:snapToGrid w:val="0"/>
          <w:color w:val="auto"/>
          <w:sz w:val="24"/>
          <w:szCs w:val="24"/>
          <w:highlight w:val="none"/>
        </w:rPr>
        <w:t>中所述项目的采购活动。</w:t>
      </w:r>
    </w:p>
    <w:p w14:paraId="34F08411">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27" w:name="_Toc163492824"/>
      <w:r>
        <w:rPr>
          <w:rFonts w:hint="eastAsia" w:ascii="宋体" w:hAnsi="宋体" w:eastAsia="宋体" w:cs="宋体"/>
          <w:b/>
          <w:bCs/>
          <w:color w:val="auto"/>
          <w:kern w:val="2"/>
          <w:sz w:val="24"/>
          <w:szCs w:val="24"/>
          <w:highlight w:val="none"/>
          <w:lang w:val="en-US" w:eastAsia="zh-CN" w:bidi="ar-SA"/>
        </w:rPr>
        <w:t>2.基本定义</w:t>
      </w:r>
      <w:bookmarkEnd w:id="127"/>
    </w:p>
    <w:p w14:paraId="768D70C2">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2.1根据《中华人民共和国政府采购法》及其实施条例等有关法律、法规和规章的规定，制定本竞争性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ascii="宋体" w:hAnsi="宋体" w:eastAsia="宋体" w:cs="宋体"/>
          <w:color w:val="auto"/>
          <w:sz w:val="24"/>
          <w:szCs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ascii="宋体" w:hAnsi="宋体" w:eastAsia="宋体" w:cs="宋体"/>
          <w:color w:val="auto"/>
          <w:sz w:val="24"/>
          <w:szCs w:val="24"/>
          <w:highlight w:val="none"/>
          <w:lang w:val="en-US" w:eastAsia="zh-CN"/>
        </w:rPr>
        <w:t>委托的采购代理机构</w:t>
      </w:r>
      <w:r>
        <w:rPr>
          <w:rFonts w:hint="eastAsia" w:ascii="宋体" w:hAnsi="宋体" w:eastAsia="宋体" w:cs="宋体"/>
          <w:color w:val="auto"/>
          <w:sz w:val="24"/>
          <w:szCs w:val="24"/>
          <w:highlight w:val="none"/>
        </w:rPr>
        <w:t>。</w:t>
      </w:r>
    </w:p>
    <w:p w14:paraId="26D50742">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2.5核心产品见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w:t>
      </w:r>
      <w:r>
        <w:rPr>
          <w:rFonts w:hint="eastAsia" w:ascii="宋体" w:hAnsi="宋体" w:eastAsia="宋体" w:cs="宋体"/>
          <w:color w:val="auto"/>
          <w:sz w:val="24"/>
          <w:szCs w:val="24"/>
          <w:highlight w:val="none"/>
          <w:lang w:val="en-US" w:eastAsia="zh-CN"/>
        </w:rPr>
        <w:t>。</w:t>
      </w:r>
    </w:p>
    <w:p w14:paraId="6557BF30">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2.6是否属于</w:t>
      </w:r>
      <w:r>
        <w:rPr>
          <w:rFonts w:hint="eastAsia" w:ascii="宋体" w:hAnsi="宋体" w:eastAsia="宋体" w:cs="宋体"/>
          <w:color w:val="auto"/>
          <w:kern w:val="0"/>
          <w:sz w:val="24"/>
          <w:szCs w:val="24"/>
          <w:highlight w:val="none"/>
          <w:lang w:val="en-US" w:eastAsia="zh-CN" w:bidi="ar"/>
        </w:rPr>
        <w:t>科研仪器设备采购</w:t>
      </w:r>
      <w:r>
        <w:rPr>
          <w:rFonts w:hint="eastAsia" w:ascii="宋体" w:hAnsi="宋体" w:eastAsia="宋体" w:cs="宋体"/>
          <w:color w:val="auto"/>
          <w:sz w:val="24"/>
          <w:szCs w:val="24"/>
          <w:highlight w:val="none"/>
          <w:lang w:val="en-US" w:eastAsia="zh-CN"/>
        </w:rPr>
        <w:t>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w:t>
      </w:r>
      <w:r>
        <w:rPr>
          <w:rFonts w:hint="eastAsia" w:ascii="宋体" w:hAnsi="宋体" w:eastAsia="宋体" w:cs="宋体"/>
          <w:color w:val="auto"/>
          <w:sz w:val="24"/>
          <w:szCs w:val="24"/>
          <w:highlight w:val="none"/>
          <w:lang w:val="en-US" w:eastAsia="zh-CN"/>
        </w:rPr>
        <w:t>。</w:t>
      </w:r>
    </w:p>
    <w:p w14:paraId="65E6A6B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2.7供应商（也称“申请人”）：指向采购人提供货物、工程或者服务的法人、其他组织或者自然人。</w:t>
      </w:r>
      <w:r>
        <w:rPr>
          <w:rFonts w:hint="eastAsia" w:ascii="宋体" w:hAnsi="宋体" w:eastAsia="宋体" w:cs="宋体"/>
          <w:color w:val="auto"/>
          <w:sz w:val="24"/>
          <w:szCs w:val="24"/>
          <w:highlight w:val="none"/>
        </w:rPr>
        <w:t>分支机构不得参加政府采购活动，但银行、保险、石油石化、电力、电信等</w:t>
      </w: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rPr>
        <w:t>行业特殊</w:t>
      </w:r>
      <w:r>
        <w:rPr>
          <w:rFonts w:hint="eastAsia" w:ascii="宋体" w:hAnsi="宋体" w:eastAsia="宋体" w:cs="宋体"/>
          <w:color w:val="auto"/>
          <w:sz w:val="24"/>
          <w:szCs w:val="24"/>
          <w:highlight w:val="none"/>
          <w:lang w:val="en-US" w:eastAsia="zh-CN"/>
        </w:rPr>
        <w:t>情况的</w:t>
      </w:r>
      <w:r>
        <w:rPr>
          <w:rFonts w:hint="eastAsia" w:ascii="宋体" w:hAnsi="宋体" w:eastAsia="宋体" w:cs="宋体"/>
          <w:color w:val="auto"/>
          <w:sz w:val="24"/>
          <w:szCs w:val="24"/>
          <w:highlight w:val="none"/>
        </w:rPr>
        <w:t>除外。本项目的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须满足以下条件：</w:t>
      </w:r>
    </w:p>
    <w:p w14:paraId="211E915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具备《中华人民共和国政府采购法》第二十二条规定的</w:t>
      </w:r>
      <w:r>
        <w:rPr>
          <w:rFonts w:hint="eastAsia" w:ascii="宋体" w:hAnsi="宋体" w:eastAsia="宋体" w:cs="宋体"/>
          <w:color w:val="auto"/>
          <w:sz w:val="24"/>
          <w:szCs w:val="24"/>
          <w:highlight w:val="none"/>
          <w:lang w:val="en-US" w:eastAsia="zh-CN"/>
        </w:rPr>
        <w:t>条件</w:t>
      </w:r>
      <w:r>
        <w:rPr>
          <w:rFonts w:hint="eastAsia" w:ascii="宋体" w:hAnsi="宋体" w:eastAsia="宋体" w:cs="宋体"/>
          <w:color w:val="auto"/>
          <w:sz w:val="24"/>
          <w:szCs w:val="24"/>
          <w:highlight w:val="none"/>
        </w:rPr>
        <w:t>，遵守本项目采购人本级和上级财政部门政府采购的有关规定。</w:t>
      </w:r>
    </w:p>
    <w:p w14:paraId="323DC0B9">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lang w:val="en-US" w:eastAsia="zh-CN"/>
        </w:rPr>
        <w:t>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公告中发布</w:t>
      </w:r>
      <w:r>
        <w:rPr>
          <w:rFonts w:hint="eastAsia" w:ascii="宋体" w:hAnsi="宋体" w:eastAsia="宋体" w:cs="宋体"/>
          <w:color w:val="auto"/>
          <w:sz w:val="24"/>
          <w:szCs w:val="24"/>
          <w:highlight w:val="none"/>
        </w:rPr>
        <w:t>的方式</w:t>
      </w:r>
      <w:r>
        <w:rPr>
          <w:rFonts w:hint="eastAsia" w:ascii="宋体" w:hAnsi="宋体" w:eastAsia="宋体" w:cs="宋体"/>
          <w:color w:val="auto"/>
          <w:sz w:val="24"/>
          <w:szCs w:val="24"/>
          <w:highlight w:val="none"/>
          <w:lang w:eastAsia="zh-CN"/>
        </w:rPr>
        <w:t>依法</w:t>
      </w:r>
      <w:r>
        <w:rPr>
          <w:rFonts w:hint="eastAsia" w:ascii="宋体" w:hAnsi="宋体" w:eastAsia="宋体" w:cs="宋体"/>
          <w:color w:val="auto"/>
          <w:sz w:val="24"/>
          <w:szCs w:val="24"/>
          <w:highlight w:val="none"/>
        </w:rPr>
        <w:t>获得了本项目的</w:t>
      </w:r>
      <w:r>
        <w:rPr>
          <w:rFonts w:hint="eastAsia" w:ascii="宋体" w:hAnsi="宋体" w:eastAsia="宋体" w:cs="宋体"/>
          <w:color w:val="auto"/>
          <w:sz w:val="24"/>
          <w:szCs w:val="24"/>
          <w:highlight w:val="none"/>
          <w:lang w:val="en-US" w:eastAsia="zh-CN"/>
        </w:rPr>
        <w:t>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w:t>
      </w:r>
    </w:p>
    <w:p w14:paraId="07B83632">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2.7.3符合本</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文件规定并参加</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的供应商。</w:t>
      </w:r>
    </w:p>
    <w:p w14:paraId="3098B7A0">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w:t>
      </w:r>
      <w:r>
        <w:rPr>
          <w:rFonts w:hint="eastAsia" w:ascii="宋体" w:hAnsi="宋体" w:eastAsia="宋体" w:cs="宋体"/>
          <w:iCs/>
          <w:color w:val="auto"/>
          <w:sz w:val="24"/>
          <w:szCs w:val="24"/>
          <w:highlight w:val="none"/>
          <w:shd w:val="clear" w:color="auto" w:fill="FFFFFF" w:themeFill="background1"/>
        </w:rPr>
        <w:t>潜在供应商</w:t>
      </w:r>
      <w:r>
        <w:rPr>
          <w:rFonts w:hint="eastAsia" w:ascii="宋体" w:hAnsi="宋体" w:eastAsia="宋体" w:cs="宋体"/>
          <w:iCs/>
          <w:color w:val="auto"/>
          <w:sz w:val="24"/>
          <w:szCs w:val="24"/>
          <w:highlight w:val="none"/>
          <w:shd w:val="clear" w:color="auto" w:fill="FFFFFF" w:themeFill="background1"/>
          <w:lang w:eastAsia="zh-CN"/>
        </w:rPr>
        <w:t>：</w:t>
      </w:r>
      <w:r>
        <w:rPr>
          <w:rFonts w:hint="eastAsia" w:ascii="宋体" w:hAnsi="宋体" w:eastAsia="宋体" w:cs="宋体"/>
          <w:iCs/>
          <w:color w:val="auto"/>
          <w:sz w:val="24"/>
          <w:szCs w:val="24"/>
          <w:highlight w:val="none"/>
          <w:shd w:val="clear" w:color="auto" w:fill="FFFFFF" w:themeFill="background1"/>
          <w:lang w:val="en-US" w:eastAsia="zh-CN"/>
        </w:rPr>
        <w:t>指</w:t>
      </w:r>
      <w:r>
        <w:rPr>
          <w:rFonts w:hint="eastAsia" w:ascii="宋体" w:hAnsi="宋体" w:eastAsia="宋体" w:cs="宋体"/>
          <w:color w:val="auto"/>
          <w:sz w:val="24"/>
          <w:szCs w:val="24"/>
          <w:highlight w:val="none"/>
          <w:lang w:val="en-US" w:eastAsia="zh-CN"/>
        </w:rPr>
        <w:t>符合本</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文件规定的供应商</w:t>
      </w:r>
      <w:r>
        <w:rPr>
          <w:rFonts w:hint="eastAsia" w:ascii="宋体" w:hAnsi="宋体" w:eastAsia="宋体" w:cs="宋体"/>
          <w:color w:val="auto"/>
          <w:sz w:val="24"/>
          <w:szCs w:val="24"/>
          <w:highlight w:val="none"/>
        </w:rPr>
        <w:t>。</w:t>
      </w:r>
    </w:p>
    <w:p w14:paraId="4FFEB4B0">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28" w:name="_Toc52962729"/>
      <w:bookmarkStart w:id="129" w:name="_Toc109899536"/>
      <w:bookmarkStart w:id="130" w:name="_Toc470172667"/>
      <w:bookmarkStart w:id="131" w:name="_Toc109899955"/>
      <w:bookmarkStart w:id="132" w:name="_Toc46771642"/>
      <w:bookmarkStart w:id="133" w:name="_Toc51674213"/>
      <w:bookmarkStart w:id="134" w:name="_Toc52960555"/>
      <w:bookmarkStart w:id="135" w:name="_Toc109900374"/>
      <w:bookmarkStart w:id="136" w:name="_Toc46772243"/>
      <w:bookmarkStart w:id="137" w:name="_Toc48688791"/>
      <w:bookmarkStart w:id="138" w:name="_Toc48846111"/>
      <w:bookmarkStart w:id="139" w:name="_Toc9974"/>
      <w:bookmarkStart w:id="140" w:name="_Toc109897437"/>
      <w:r>
        <w:rPr>
          <w:rFonts w:hint="eastAsia" w:ascii="宋体" w:hAnsi="宋体" w:eastAsia="宋体" w:cs="宋体"/>
          <w:b/>
          <w:bCs/>
          <w:color w:val="auto"/>
          <w:kern w:val="2"/>
          <w:sz w:val="24"/>
          <w:szCs w:val="24"/>
          <w:highlight w:val="none"/>
          <w:lang w:val="en-US" w:eastAsia="zh-CN" w:bidi="ar-SA"/>
        </w:rPr>
        <w:t>3.资金来源</w:t>
      </w:r>
    </w:p>
    <w:p w14:paraId="7E10FE0B">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3.1资金来源：</w:t>
      </w:r>
      <w:r>
        <w:rPr>
          <w:rFonts w:hint="eastAsia" w:ascii="宋体" w:hAnsi="宋体" w:eastAsia="宋体" w:cs="宋体"/>
          <w:color w:val="auto"/>
          <w:sz w:val="24"/>
          <w:szCs w:val="24"/>
          <w:highlight w:val="none"/>
          <w:lang w:val="en-US" w:eastAsia="zh-CN"/>
        </w:rPr>
        <w:t>为财政性资金即</w:t>
      </w:r>
      <w:r>
        <w:rPr>
          <w:rFonts w:hint="eastAsia" w:ascii="宋体" w:hAnsi="宋体" w:eastAsia="宋体" w:cs="宋体"/>
          <w:color w:val="auto"/>
          <w:sz w:val="24"/>
          <w:szCs w:val="24"/>
          <w:highlight w:val="none"/>
        </w:rPr>
        <w:t>纳入预算管理的资金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以财政性资金作为还款来源的借贷资金，视同财政性资金。财政性资金与非财政性资金无法分割采购的，统一适用《中华人民共和国政府采购法》及其实施条例。</w:t>
      </w:r>
    </w:p>
    <w:p w14:paraId="5B4402E6">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4.供应商资格要求</w:t>
      </w:r>
    </w:p>
    <w:p w14:paraId="522AD9C1">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资格要求：见“</w:t>
      </w:r>
      <w:r>
        <w:rPr>
          <w:rFonts w:hint="eastAsia" w:ascii="宋体" w:hAnsi="宋体" w:eastAsia="宋体" w:cs="宋体"/>
          <w:color w:val="auto"/>
          <w:sz w:val="24"/>
          <w:szCs w:val="24"/>
          <w:highlight w:val="none"/>
          <w:lang w:val="en-US" w:eastAsia="zh-CN"/>
        </w:rPr>
        <w:t>第一章 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w:t>
      </w:r>
      <w:r>
        <w:rPr>
          <w:rFonts w:hint="eastAsia" w:ascii="宋体" w:hAnsi="宋体" w:eastAsia="宋体" w:cs="宋体"/>
          <w:color w:val="auto"/>
          <w:sz w:val="24"/>
          <w:szCs w:val="24"/>
          <w:highlight w:val="none"/>
        </w:rPr>
        <w:t>”；</w:t>
      </w:r>
    </w:p>
    <w:p w14:paraId="3B57853B">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第一章 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w:t>
      </w:r>
      <w:r>
        <w:rPr>
          <w:rFonts w:hint="eastAsia" w:ascii="宋体" w:hAnsi="宋体" w:eastAsia="宋体" w:cs="宋体"/>
          <w:color w:val="auto"/>
          <w:sz w:val="24"/>
          <w:szCs w:val="24"/>
          <w:highlight w:val="none"/>
          <w:lang w:val="zh-CN" w:eastAsia="zh-CN"/>
        </w:rPr>
        <w:t>”规定接受联合体</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eastAsia="zh-CN"/>
        </w:rPr>
        <w:t>的，还应遵守以下规定：</w:t>
      </w:r>
    </w:p>
    <w:p w14:paraId="512308FF">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1两个以上的自然人、法人或者其他组织可以组成一个联合体，以一个供应商的身份共同参加政府采购。</w:t>
      </w:r>
      <w:r>
        <w:rPr>
          <w:rFonts w:hint="eastAsia" w:ascii="宋体" w:hAnsi="宋体" w:eastAsia="宋体" w:cs="宋体"/>
          <w:iCs/>
          <w:color w:val="auto"/>
          <w:kern w:val="2"/>
          <w:sz w:val="24"/>
          <w:szCs w:val="24"/>
          <w:highlight w:val="none"/>
          <w:shd w:val="clear" w:color="auto" w:fill="FFFFFF" w:themeFill="background1"/>
          <w:lang w:val="zh-CN" w:eastAsia="zh-CN" w:bidi="ar-SA"/>
        </w:rPr>
        <w:t>以联合体形式进行政府采购的，参加联合体的供应商均应当具备《政府采购法》第二十二条规定的条件。</w:t>
      </w:r>
    </w:p>
    <w:p w14:paraId="7EFB49B3">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2.2</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联合体各方应按竞争性</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zh-CN" w:eastAsia="zh-CN" w:bidi="ar-SA"/>
        </w:rPr>
        <w:t>文件提供的格式签订联合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作为</w:t>
      </w:r>
      <w:r>
        <w:rPr>
          <w:rFonts w:hint="eastAsia" w:ascii="宋体" w:hAnsi="宋体" w:eastAsia="宋体" w:cs="宋体"/>
          <w:iCs/>
          <w:color w:val="auto"/>
          <w:kern w:val="2"/>
          <w:sz w:val="24"/>
          <w:szCs w:val="24"/>
          <w:highlight w:val="none"/>
          <w:shd w:val="clear" w:color="auto" w:fill="FFFFFF" w:themeFill="background1"/>
          <w:lang w:val="en-US" w:eastAsia="zh-CN" w:bidi="ar-SA"/>
        </w:rPr>
        <w:t>响应</w:t>
      </w:r>
      <w:r>
        <w:rPr>
          <w:rFonts w:hint="eastAsia" w:ascii="宋体" w:hAnsi="宋体" w:eastAsia="宋体" w:cs="宋体"/>
          <w:iCs/>
          <w:color w:val="auto"/>
          <w:kern w:val="2"/>
          <w:sz w:val="24"/>
          <w:szCs w:val="24"/>
          <w:highlight w:val="none"/>
          <w:shd w:val="clear" w:color="auto" w:fill="FFFFFF" w:themeFill="background1"/>
          <w:lang w:val="zh-CN" w:eastAsia="zh-CN" w:bidi="ar-SA"/>
        </w:rPr>
        <w:t>文件的一部分提交，该协议书对联合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体所有成员</w:t>
      </w:r>
      <w:r>
        <w:rPr>
          <w:rFonts w:hint="eastAsia" w:ascii="宋体" w:hAnsi="宋体" w:eastAsia="宋体" w:cs="宋体"/>
          <w:iCs/>
          <w:color w:val="auto"/>
          <w:kern w:val="2"/>
          <w:sz w:val="24"/>
          <w:szCs w:val="24"/>
          <w:highlight w:val="none"/>
          <w:shd w:val="clear" w:color="auto" w:fill="FFFFFF" w:themeFill="background1"/>
          <w:lang w:val="zh-CN" w:eastAsia="zh-CN" w:bidi="ar-SA"/>
        </w:rPr>
        <w:t>均具有法律约束力。</w:t>
      </w:r>
    </w:p>
    <w:p w14:paraId="5343E5B5">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4.2.3</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4</w:t>
      </w:r>
      <w:r>
        <w:rPr>
          <w:rFonts w:hint="eastAsia" w:ascii="宋体" w:hAnsi="宋体" w:eastAsia="宋体" w:cs="宋体"/>
          <w:iCs/>
          <w:color w:val="auto"/>
          <w:kern w:val="2"/>
          <w:sz w:val="24"/>
          <w:szCs w:val="24"/>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宋体"/>
          <w:iCs/>
          <w:color w:val="auto"/>
          <w:kern w:val="2"/>
          <w:sz w:val="24"/>
          <w:szCs w:val="24"/>
          <w:highlight w:val="none"/>
          <w:shd w:val="clear" w:color="auto" w:fill="FFFFFF" w:themeFill="background1"/>
          <w:lang w:val="en-US" w:eastAsia="zh-CN" w:bidi="ar-SA"/>
        </w:rPr>
        <w:t>同一合同项下的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zh-CN" w:eastAsia="zh-CN" w:bidi="ar-SA"/>
        </w:rPr>
        <w:t>，否则相关</w:t>
      </w:r>
      <w:r>
        <w:rPr>
          <w:rFonts w:hint="eastAsia" w:ascii="宋体" w:hAnsi="宋体" w:eastAsia="宋体" w:cs="宋体"/>
          <w:iCs/>
          <w:color w:val="auto"/>
          <w:kern w:val="2"/>
          <w:sz w:val="24"/>
          <w:szCs w:val="24"/>
          <w:highlight w:val="none"/>
          <w:shd w:val="clear" w:color="auto" w:fill="FFFFFF" w:themeFill="background1"/>
          <w:lang w:val="en-US" w:eastAsia="zh-CN" w:bidi="ar-SA"/>
        </w:rPr>
        <w:t>响应</w:t>
      </w:r>
      <w:r>
        <w:rPr>
          <w:rFonts w:hint="eastAsia" w:ascii="宋体" w:hAnsi="宋体" w:eastAsia="宋体" w:cs="宋体"/>
          <w:iCs/>
          <w:color w:val="auto"/>
          <w:kern w:val="2"/>
          <w:sz w:val="24"/>
          <w:szCs w:val="24"/>
          <w:highlight w:val="none"/>
          <w:shd w:val="clear" w:color="auto" w:fill="FFFFFF" w:themeFill="background1"/>
          <w:lang w:val="zh-CN" w:eastAsia="zh-CN" w:bidi="ar-SA"/>
        </w:rPr>
        <w:t>将被认定为</w:t>
      </w:r>
      <w:r>
        <w:rPr>
          <w:rFonts w:hint="eastAsia" w:ascii="宋体" w:hAnsi="宋体" w:eastAsia="宋体" w:cs="宋体"/>
          <w:b/>
          <w:bCs/>
          <w:iCs/>
          <w:color w:val="auto"/>
          <w:kern w:val="2"/>
          <w:sz w:val="24"/>
          <w:szCs w:val="24"/>
          <w:highlight w:val="none"/>
          <w:shd w:val="clear" w:color="auto" w:fill="FFFFFF" w:themeFill="background1"/>
          <w:lang w:val="en-US" w:eastAsia="zh-CN" w:bidi="ar-SA"/>
        </w:rPr>
        <w:t>响应</w:t>
      </w:r>
      <w:r>
        <w:rPr>
          <w:rFonts w:hint="eastAsia" w:ascii="宋体" w:hAnsi="宋体" w:eastAsia="宋体" w:cs="宋体"/>
          <w:b/>
          <w:bCs/>
          <w:iCs/>
          <w:color w:val="auto"/>
          <w:kern w:val="2"/>
          <w:sz w:val="24"/>
          <w:szCs w:val="24"/>
          <w:highlight w:val="none"/>
          <w:shd w:val="clear" w:color="auto" w:fill="FFFFFF" w:themeFill="background1"/>
          <w:lang w:val="zh-CN" w:eastAsia="zh-CN" w:bidi="ar-SA"/>
        </w:rPr>
        <w:t>无效</w:t>
      </w:r>
      <w:r>
        <w:rPr>
          <w:rFonts w:hint="eastAsia" w:ascii="宋体" w:hAnsi="宋体" w:eastAsia="宋体" w:cs="宋体"/>
          <w:iCs/>
          <w:color w:val="auto"/>
          <w:kern w:val="2"/>
          <w:sz w:val="24"/>
          <w:szCs w:val="24"/>
          <w:highlight w:val="none"/>
          <w:shd w:val="clear" w:color="auto" w:fill="FFFFFF" w:themeFill="background1"/>
          <w:lang w:val="zh-CN" w:eastAsia="zh-CN" w:bidi="ar-SA"/>
        </w:rPr>
        <w:t>。</w:t>
      </w:r>
    </w:p>
    <w:p w14:paraId="2E60D00D">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.5大中型企业、其他自然人、法人或者非法人组织与小型、微型企业组成联合体共同参加</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的</w:t>
      </w:r>
      <w:r>
        <w:rPr>
          <w:rFonts w:hint="eastAsia" w:ascii="宋体" w:hAnsi="宋体" w:eastAsia="宋体" w:cs="宋体"/>
          <w:iCs/>
          <w:color w:val="auto"/>
          <w:kern w:val="2"/>
          <w:sz w:val="24"/>
          <w:szCs w:val="24"/>
          <w:highlight w:val="none"/>
          <w:shd w:val="clear" w:color="auto" w:fill="FFFFFF" w:themeFill="background1"/>
          <w:lang w:val="zh-CN" w:eastAsia="zh-CN" w:bidi="ar-SA"/>
        </w:rPr>
        <w:t>，联合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中应写明小型、微型企业的合同金额占到联合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合同</w:t>
      </w:r>
      <w:r>
        <w:rPr>
          <w:rFonts w:hint="eastAsia" w:ascii="宋体" w:hAnsi="宋体" w:eastAsia="宋体" w:cs="宋体"/>
          <w:iCs/>
          <w:color w:val="auto"/>
          <w:kern w:val="2"/>
          <w:sz w:val="24"/>
          <w:szCs w:val="24"/>
          <w:highlight w:val="none"/>
          <w:shd w:val="clear" w:color="auto" w:fill="FFFFFF" w:themeFill="background1"/>
          <w:lang w:val="zh-CN" w:eastAsia="zh-CN" w:bidi="ar-SA"/>
        </w:rPr>
        <w:t>总金额的比例。</w:t>
      </w:r>
    </w:p>
    <w:p w14:paraId="7127D169">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zh-CN" w:eastAsia="zh-CN" w:bidi="ar-SA"/>
        </w:rPr>
        <w:t>4.2</w:t>
      </w:r>
      <w:r>
        <w:rPr>
          <w:rFonts w:hint="eastAsia" w:ascii="宋体" w:hAnsi="宋体" w:eastAsia="宋体" w:cs="宋体"/>
          <w:iCs/>
          <w:color w:val="auto"/>
          <w:kern w:val="2"/>
          <w:sz w:val="24"/>
          <w:szCs w:val="24"/>
          <w:highlight w:val="none"/>
          <w:shd w:val="clear" w:color="auto" w:fill="FFFFFF" w:themeFill="background1"/>
          <w:lang w:val="en-US" w:eastAsia="zh-CN" w:bidi="ar-SA"/>
        </w:rPr>
        <w:t>.6</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w:t>
      </w:r>
      <w:r>
        <w:rPr>
          <w:rFonts w:hint="eastAsia" w:ascii="宋体" w:hAnsi="宋体" w:eastAsia="宋体" w:cs="宋体"/>
          <w:iCs/>
          <w:color w:val="auto"/>
          <w:kern w:val="2"/>
          <w:sz w:val="24"/>
          <w:szCs w:val="24"/>
          <w:highlight w:val="none"/>
          <w:shd w:val="clear" w:color="auto" w:fill="FFFFFF" w:themeFill="background1"/>
          <w:lang w:val="en-US" w:eastAsia="zh-CN" w:bidi="ar-SA"/>
        </w:rPr>
        <w:t>成交的</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采购</w:t>
      </w:r>
      <w:r>
        <w:rPr>
          <w:rFonts w:hint="eastAsia" w:ascii="宋体" w:hAnsi="宋体" w:eastAsia="宋体" w:cs="宋体"/>
          <w:iCs/>
          <w:color w:val="auto"/>
          <w:kern w:val="2"/>
          <w:sz w:val="24"/>
          <w:szCs w:val="24"/>
          <w:highlight w:val="none"/>
          <w:shd w:val="clear" w:color="auto" w:fill="FFFFFF" w:themeFill="background1"/>
          <w:lang w:val="zh-CN" w:eastAsia="zh-CN" w:bidi="ar-SA"/>
        </w:rPr>
        <w:t>合同应由</w:t>
      </w:r>
      <w:r>
        <w:rPr>
          <w:rFonts w:hint="eastAsia" w:ascii="宋体" w:hAnsi="宋体" w:eastAsia="宋体" w:cs="宋体"/>
          <w:iCs/>
          <w:color w:val="auto"/>
          <w:kern w:val="2"/>
          <w:sz w:val="24"/>
          <w:szCs w:val="24"/>
          <w:highlight w:val="none"/>
          <w:shd w:val="clear" w:color="auto" w:fill="FFFFFF" w:themeFill="background1"/>
          <w:lang w:val="en-US" w:eastAsia="zh-CN" w:bidi="ar-SA"/>
        </w:rPr>
        <w:t>联合体</w:t>
      </w:r>
      <w:r>
        <w:rPr>
          <w:rFonts w:hint="eastAsia" w:ascii="宋体" w:hAnsi="宋体" w:eastAsia="宋体" w:cs="宋体"/>
          <w:iCs/>
          <w:color w:val="auto"/>
          <w:kern w:val="2"/>
          <w:sz w:val="24"/>
          <w:szCs w:val="24"/>
          <w:highlight w:val="none"/>
          <w:shd w:val="clear" w:color="auto" w:fill="FFFFFF" w:themeFill="background1"/>
          <w:lang w:val="zh-CN" w:eastAsia="zh-CN" w:bidi="ar-SA"/>
        </w:rPr>
        <w:t>各成员的合法授权代表签字</w:t>
      </w:r>
      <w:r>
        <w:rPr>
          <w:rFonts w:hint="eastAsia" w:ascii="宋体" w:hAnsi="宋体" w:eastAsia="宋体" w:cs="宋体"/>
          <w:iCs/>
          <w:color w:val="auto"/>
          <w:kern w:val="2"/>
          <w:sz w:val="24"/>
          <w:szCs w:val="24"/>
          <w:highlight w:val="none"/>
          <w:shd w:val="clear" w:color="auto" w:fill="FFFFFF" w:themeFill="background1"/>
          <w:lang w:val="en-US" w:eastAsia="zh-CN" w:bidi="ar-SA"/>
        </w:rPr>
        <w:t>及</w:t>
      </w:r>
      <w:r>
        <w:rPr>
          <w:rFonts w:hint="eastAsia" w:ascii="宋体" w:hAnsi="宋体" w:eastAsia="宋体" w:cs="宋体"/>
          <w:iCs/>
          <w:color w:val="auto"/>
          <w:kern w:val="2"/>
          <w:sz w:val="24"/>
          <w:szCs w:val="24"/>
          <w:highlight w:val="none"/>
          <w:shd w:val="clear" w:color="auto" w:fill="FFFFFF" w:themeFill="background1"/>
          <w:lang w:val="zh-CN" w:eastAsia="zh-CN" w:bidi="ar-SA"/>
        </w:rPr>
        <w:t>加盖</w:t>
      </w:r>
      <w:r>
        <w:rPr>
          <w:rFonts w:hint="eastAsia" w:ascii="宋体" w:hAnsi="宋体" w:eastAsia="宋体" w:cs="宋体"/>
          <w:iCs/>
          <w:color w:val="auto"/>
          <w:kern w:val="2"/>
          <w:sz w:val="24"/>
          <w:szCs w:val="24"/>
          <w:highlight w:val="none"/>
          <w:shd w:val="clear" w:color="auto" w:fill="FFFFFF" w:themeFill="background1"/>
          <w:lang w:val="en-US" w:eastAsia="zh-CN" w:bidi="ar-SA"/>
        </w:rPr>
        <w:t>联合体</w:t>
      </w:r>
      <w:r>
        <w:rPr>
          <w:rFonts w:hint="eastAsia" w:ascii="宋体" w:hAnsi="宋体" w:eastAsia="宋体" w:cs="宋体"/>
          <w:iCs/>
          <w:color w:val="auto"/>
          <w:kern w:val="2"/>
          <w:sz w:val="24"/>
          <w:szCs w:val="24"/>
          <w:highlight w:val="none"/>
          <w:shd w:val="clear" w:color="auto" w:fill="FFFFFF" w:themeFill="background1"/>
          <w:lang w:val="zh-CN" w:eastAsia="zh-CN" w:bidi="ar-SA"/>
        </w:rPr>
        <w:t>各成员公章，</w:t>
      </w:r>
      <w:r>
        <w:rPr>
          <w:rFonts w:hint="eastAsia" w:ascii="宋体" w:hAnsi="宋体" w:eastAsia="宋体" w:cs="宋体"/>
          <w:iCs/>
          <w:color w:val="auto"/>
          <w:kern w:val="2"/>
          <w:sz w:val="24"/>
          <w:szCs w:val="24"/>
          <w:highlight w:val="none"/>
          <w:shd w:val="clear" w:color="auto" w:fill="FFFFFF" w:themeFill="background1"/>
          <w:lang w:val="en-US" w:eastAsia="zh-CN" w:bidi="ar-SA"/>
        </w:rPr>
        <w:t>并</w:t>
      </w:r>
      <w:r>
        <w:rPr>
          <w:rFonts w:hint="eastAsia" w:ascii="宋体" w:hAnsi="宋体" w:eastAsia="宋体" w:cs="宋体"/>
          <w:iCs/>
          <w:color w:val="auto"/>
          <w:kern w:val="2"/>
          <w:sz w:val="24"/>
          <w:szCs w:val="24"/>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zh-CN" w:eastAsia="zh-CN" w:bidi="ar-SA"/>
        </w:rPr>
        <w:t>4.2</w:t>
      </w:r>
      <w:r>
        <w:rPr>
          <w:rFonts w:hint="eastAsia" w:ascii="宋体" w:hAnsi="宋体" w:eastAsia="宋体" w:cs="宋体"/>
          <w:iCs/>
          <w:color w:val="auto"/>
          <w:kern w:val="2"/>
          <w:sz w:val="24"/>
          <w:szCs w:val="24"/>
          <w:highlight w:val="none"/>
          <w:shd w:val="clear" w:color="auto" w:fill="FFFFFF" w:themeFill="background1"/>
          <w:lang w:val="en-US" w:eastAsia="zh-CN" w:bidi="ar-SA"/>
        </w:rPr>
        <w:t>.7</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宋体"/>
          <w:iCs/>
          <w:color w:val="auto"/>
          <w:kern w:val="2"/>
          <w:sz w:val="24"/>
          <w:szCs w:val="24"/>
          <w:highlight w:val="none"/>
          <w:shd w:val="clear" w:color="auto" w:fill="FFFFFF" w:themeFill="background1"/>
          <w:lang w:val="en-US" w:eastAsia="zh-CN" w:bidi="ar-SA"/>
        </w:rPr>
        <w:t>人</w:t>
      </w:r>
      <w:r>
        <w:rPr>
          <w:rFonts w:hint="eastAsia" w:ascii="宋体" w:hAnsi="宋体" w:eastAsia="宋体" w:cs="宋体"/>
          <w:iCs/>
          <w:color w:val="auto"/>
          <w:kern w:val="2"/>
          <w:sz w:val="24"/>
          <w:szCs w:val="24"/>
          <w:highlight w:val="none"/>
          <w:shd w:val="clear" w:color="auto" w:fill="FFFFFF" w:themeFill="background1"/>
          <w:lang w:val="zh-CN" w:eastAsia="zh-CN" w:bidi="ar-SA"/>
        </w:rPr>
        <w:t>书面同意并且须遵守相关法律、法规、本次</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zh-CN" w:eastAsia="zh-CN" w:bidi="ar-SA"/>
        </w:rPr>
        <w:t>的全部相关规定。</w:t>
      </w:r>
    </w:p>
    <w:p w14:paraId="1C0E489A">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8</w:t>
      </w:r>
      <w:r>
        <w:rPr>
          <w:rFonts w:hint="eastAsia" w:ascii="宋体" w:hAnsi="宋体" w:eastAsia="宋体" w:cs="宋体"/>
          <w:iCs/>
          <w:color w:val="auto"/>
          <w:kern w:val="2"/>
          <w:sz w:val="24"/>
          <w:szCs w:val="24"/>
          <w:highlight w:val="none"/>
          <w:shd w:val="clear" w:color="auto" w:fill="FFFFFF" w:themeFill="background1"/>
          <w:lang w:val="zh-CN" w:eastAsia="zh-CN" w:bidi="ar-SA"/>
        </w:rPr>
        <w:t>对联合体</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zh-CN" w:eastAsia="zh-CN" w:bidi="ar-SA"/>
        </w:rPr>
        <w:t>的其他资格要求见“</w:t>
      </w:r>
      <w:r>
        <w:rPr>
          <w:rFonts w:hint="eastAsia" w:ascii="宋体" w:hAnsi="宋体" w:eastAsia="宋体" w:cs="宋体"/>
          <w:iCs/>
          <w:color w:val="auto"/>
          <w:kern w:val="2"/>
          <w:sz w:val="24"/>
          <w:szCs w:val="24"/>
          <w:highlight w:val="none"/>
          <w:shd w:val="clear" w:color="auto" w:fill="FFFFFF" w:themeFill="background1"/>
          <w:lang w:val="en-US" w:eastAsia="zh-CN" w:bidi="ar-SA"/>
        </w:rPr>
        <w:t>第一章 竞争性</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公告</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中的“二、供应商的</w:t>
      </w:r>
      <w:r>
        <w:rPr>
          <w:rFonts w:hint="eastAsia" w:ascii="宋体" w:hAnsi="宋体" w:eastAsia="宋体" w:cs="宋体"/>
          <w:iCs/>
          <w:color w:val="auto"/>
          <w:kern w:val="2"/>
          <w:sz w:val="24"/>
          <w:szCs w:val="24"/>
          <w:highlight w:val="none"/>
          <w:shd w:val="clear" w:color="auto" w:fill="FFFFFF" w:themeFill="background1"/>
          <w:lang w:val="zh-CN" w:eastAsia="zh-CN" w:bidi="ar-SA"/>
        </w:rPr>
        <w:t>资格</w:t>
      </w:r>
      <w:r>
        <w:rPr>
          <w:rFonts w:hint="eastAsia" w:ascii="宋体" w:hAnsi="宋体" w:eastAsia="宋体" w:cs="宋体"/>
          <w:iCs/>
          <w:color w:val="auto"/>
          <w:kern w:val="2"/>
          <w:sz w:val="24"/>
          <w:szCs w:val="24"/>
          <w:highlight w:val="none"/>
          <w:shd w:val="clear" w:color="auto" w:fill="FFFFFF" w:themeFill="background1"/>
          <w:lang w:val="en-US" w:eastAsia="zh-CN" w:bidi="ar-SA"/>
        </w:rPr>
        <w:t>要求”</w:t>
      </w:r>
      <w:r>
        <w:rPr>
          <w:rFonts w:hint="eastAsia" w:ascii="宋体" w:hAnsi="宋体" w:eastAsia="宋体" w:cs="宋体"/>
          <w:iCs/>
          <w:color w:val="auto"/>
          <w:kern w:val="2"/>
          <w:sz w:val="24"/>
          <w:szCs w:val="24"/>
          <w:highlight w:val="none"/>
          <w:shd w:val="clear" w:color="auto" w:fill="FFFFFF" w:themeFill="background1"/>
          <w:lang w:val="zh-CN" w:eastAsia="zh-CN" w:bidi="ar-SA"/>
        </w:rPr>
        <w:t>。</w:t>
      </w:r>
    </w:p>
    <w:p w14:paraId="485F4964">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5.费用</w:t>
      </w:r>
      <w:bookmarkEnd w:id="128"/>
      <w:bookmarkEnd w:id="129"/>
      <w:bookmarkEnd w:id="130"/>
      <w:bookmarkEnd w:id="131"/>
      <w:bookmarkEnd w:id="132"/>
      <w:bookmarkEnd w:id="133"/>
      <w:bookmarkEnd w:id="134"/>
      <w:bookmarkEnd w:id="135"/>
      <w:bookmarkEnd w:id="136"/>
      <w:bookmarkEnd w:id="137"/>
      <w:bookmarkEnd w:id="138"/>
      <w:bookmarkEnd w:id="139"/>
      <w:bookmarkEnd w:id="140"/>
      <w:r>
        <w:rPr>
          <w:rFonts w:hint="eastAsia" w:ascii="宋体" w:hAnsi="宋体" w:eastAsia="宋体" w:cs="宋体"/>
          <w:b/>
          <w:bCs/>
          <w:color w:val="auto"/>
          <w:kern w:val="2"/>
          <w:sz w:val="24"/>
          <w:szCs w:val="24"/>
          <w:highlight w:val="none"/>
          <w:lang w:val="en-US" w:eastAsia="zh-CN" w:bidi="ar-SA"/>
        </w:rPr>
        <w:t>承担</w:t>
      </w:r>
    </w:p>
    <w:p w14:paraId="3C6741ED">
      <w:pPr>
        <w:pStyle w:val="35"/>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5.1</w:t>
      </w:r>
      <w:r>
        <w:rPr>
          <w:rFonts w:hint="eastAsia" w:ascii="宋体" w:hAnsi="宋体" w:eastAsia="宋体" w:cs="宋体"/>
          <w:snapToGrid w:val="0"/>
          <w:color w:val="auto"/>
          <w:sz w:val="24"/>
          <w:szCs w:val="24"/>
          <w:highlight w:val="none"/>
          <w:lang w:val="zh-CN" w:eastAsia="zh-CN"/>
        </w:rPr>
        <w:t>不论</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eastAsia="zh-CN"/>
        </w:rPr>
        <w:t>的结果如何，</w:t>
      </w:r>
      <w:r>
        <w:rPr>
          <w:rFonts w:hint="eastAsia" w:ascii="宋体" w:hAnsi="宋体" w:eastAsia="宋体" w:cs="宋体"/>
          <w:snapToGrid w:val="0"/>
          <w:color w:val="auto"/>
          <w:sz w:val="24"/>
          <w:szCs w:val="24"/>
          <w:highlight w:val="none"/>
          <w:lang w:val="en-US" w:eastAsia="zh-CN"/>
        </w:rPr>
        <w:t>供应商</w:t>
      </w:r>
      <w:r>
        <w:rPr>
          <w:rFonts w:hint="eastAsia" w:ascii="宋体" w:hAnsi="宋体" w:eastAsia="宋体" w:cs="宋体"/>
          <w:snapToGrid w:val="0"/>
          <w:color w:val="auto"/>
          <w:sz w:val="24"/>
          <w:szCs w:val="24"/>
          <w:highlight w:val="none"/>
          <w:lang w:val="zh-CN" w:eastAsia="zh-CN"/>
        </w:rPr>
        <w:t>应承担所有与准备和参加</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eastAsia="zh-CN"/>
        </w:rPr>
        <w:t>有关的费用。</w:t>
      </w:r>
    </w:p>
    <w:p w14:paraId="6DDD89B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1" w:name="_Toc140132761"/>
      <w:bookmarkStart w:id="142" w:name="_Toc161600293"/>
      <w:r>
        <w:rPr>
          <w:rFonts w:hint="eastAsia" w:ascii="宋体" w:hAnsi="宋体" w:eastAsia="宋体" w:cs="宋体"/>
          <w:b/>
          <w:bCs/>
          <w:color w:val="auto"/>
          <w:kern w:val="2"/>
          <w:sz w:val="24"/>
          <w:szCs w:val="24"/>
          <w:highlight w:val="none"/>
          <w:lang w:val="en-US" w:eastAsia="zh-CN" w:bidi="ar-SA"/>
        </w:rPr>
        <w:t>6.保密</w:t>
      </w:r>
      <w:bookmarkEnd w:id="141"/>
      <w:bookmarkEnd w:id="142"/>
    </w:p>
    <w:p w14:paraId="1361C439">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参与</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活动的各方应对竞争</w:t>
      </w:r>
      <w:r>
        <w:rPr>
          <w:rFonts w:hint="eastAsia" w:ascii="宋体" w:hAnsi="宋体" w:eastAsia="宋体" w:cs="宋体"/>
          <w:color w:val="auto"/>
          <w:sz w:val="24"/>
          <w:szCs w:val="24"/>
          <w:highlight w:val="none"/>
          <w:lang w:val="en-US" w:eastAsia="zh-CN"/>
        </w:rPr>
        <w:t>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文件和响应文件中的商业和技术等秘密保密，否则应承担相应的法律责任。</w:t>
      </w:r>
    </w:p>
    <w:p w14:paraId="0F89755A">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2 供应商</w:t>
      </w:r>
      <w:r>
        <w:rPr>
          <w:rFonts w:hint="eastAsia" w:ascii="宋体" w:hAnsi="宋体" w:eastAsia="宋体" w:cs="宋体"/>
          <w:color w:val="auto"/>
          <w:kern w:val="2"/>
          <w:sz w:val="24"/>
          <w:szCs w:val="24"/>
          <w:highlight w:val="none"/>
        </w:rPr>
        <w:t>自领取竞争</w:t>
      </w:r>
      <w:r>
        <w:rPr>
          <w:rFonts w:hint="eastAsia" w:ascii="宋体" w:hAnsi="宋体" w:eastAsia="宋体" w:cs="宋体"/>
          <w:color w:val="auto"/>
          <w:kern w:val="2"/>
          <w:sz w:val="24"/>
          <w:szCs w:val="24"/>
          <w:highlight w:val="none"/>
          <w:lang w:val="en-US" w:eastAsia="zh-CN"/>
        </w:rPr>
        <w:t>性</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文件之日起，须承担本竞争</w:t>
      </w:r>
      <w:r>
        <w:rPr>
          <w:rFonts w:hint="eastAsia" w:ascii="宋体" w:hAnsi="宋体" w:eastAsia="宋体" w:cs="宋体"/>
          <w:color w:val="auto"/>
          <w:kern w:val="2"/>
          <w:sz w:val="24"/>
          <w:szCs w:val="24"/>
          <w:highlight w:val="none"/>
          <w:lang w:val="en-US" w:eastAsia="zh-CN"/>
        </w:rPr>
        <w:t>性</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项目保密义务，不得将因本次竞争</w:t>
      </w:r>
      <w:r>
        <w:rPr>
          <w:rFonts w:hint="eastAsia" w:ascii="宋体" w:hAnsi="宋体" w:eastAsia="宋体" w:cs="宋体"/>
          <w:color w:val="auto"/>
          <w:kern w:val="2"/>
          <w:sz w:val="24"/>
          <w:szCs w:val="24"/>
          <w:highlight w:val="none"/>
          <w:lang w:val="en-US" w:eastAsia="zh-CN"/>
        </w:rPr>
        <w:t>性</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获得的信息向第三人外传。由采购人向</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提供的图纸、详细资料、样品、模型、模件和所有其它资料，被视为保密资料，仅被用于它所规定的用途。除非得到采购人的同意，不能向任何第三方透露。竞争</w:t>
      </w:r>
      <w:r>
        <w:rPr>
          <w:rFonts w:hint="eastAsia" w:ascii="宋体" w:hAnsi="宋体" w:eastAsia="宋体" w:cs="宋体"/>
          <w:color w:val="auto"/>
          <w:kern w:val="2"/>
          <w:sz w:val="24"/>
          <w:szCs w:val="24"/>
          <w:highlight w:val="none"/>
          <w:lang w:val="en-US" w:eastAsia="zh-CN"/>
        </w:rPr>
        <w:t>性</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结束后，应采购人要求，</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应归还所有从采购人处获得的保密资料。</w:t>
      </w:r>
    </w:p>
    <w:p w14:paraId="67E49FDD">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3 </w:t>
      </w:r>
      <w:r>
        <w:rPr>
          <w:rFonts w:hint="eastAsia" w:ascii="宋体" w:hAnsi="宋体" w:eastAsia="宋体" w:cs="宋体"/>
          <w:color w:val="auto"/>
          <w:kern w:val="2"/>
          <w:sz w:val="24"/>
          <w:szCs w:val="24"/>
          <w:highlight w:val="none"/>
        </w:rPr>
        <w:t>采购代理机构有权将</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提供的所有资料向有关政府部门或竞争</w:t>
      </w:r>
      <w:r>
        <w:rPr>
          <w:rFonts w:hint="eastAsia" w:ascii="宋体" w:hAnsi="宋体" w:eastAsia="宋体" w:cs="宋体"/>
          <w:color w:val="auto"/>
          <w:kern w:val="2"/>
          <w:sz w:val="24"/>
          <w:szCs w:val="24"/>
          <w:highlight w:val="none"/>
          <w:lang w:val="en-US" w:eastAsia="zh-CN"/>
        </w:rPr>
        <w:t>性</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的有关人员披露。</w:t>
      </w:r>
    </w:p>
    <w:p w14:paraId="232A1AD6">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4 各级人民政府财政部门对政府采购活动进行监督检查，有权查阅、复制有关文件、资料，相关单位和人员应当予以配合</w:t>
      </w:r>
      <w:r>
        <w:rPr>
          <w:rFonts w:hint="eastAsia" w:ascii="宋体" w:hAnsi="宋体" w:eastAsia="宋体" w:cs="宋体"/>
          <w:color w:val="auto"/>
          <w:kern w:val="2"/>
          <w:sz w:val="24"/>
          <w:szCs w:val="24"/>
          <w:highlight w:val="none"/>
        </w:rPr>
        <w:t>。</w:t>
      </w:r>
      <w:r>
        <w:rPr>
          <w:rFonts w:hint="eastAsia" w:ascii="宋体" w:hAnsi="宋体" w:eastAsia="宋体" w:cs="宋体"/>
          <w:color w:val="auto"/>
          <w:sz w:val="24"/>
          <w:szCs w:val="24"/>
          <w:highlight w:val="none"/>
        </w:rPr>
        <w:t xml:space="preserve"> </w:t>
      </w:r>
    </w:p>
    <w:p w14:paraId="47EBAEFC">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3" w:name="_Toc140132762"/>
      <w:bookmarkStart w:id="144" w:name="_Toc161600294"/>
      <w:r>
        <w:rPr>
          <w:rFonts w:hint="eastAsia" w:ascii="宋体" w:hAnsi="宋体" w:eastAsia="宋体" w:cs="宋体"/>
          <w:b/>
          <w:bCs/>
          <w:color w:val="auto"/>
          <w:kern w:val="2"/>
          <w:sz w:val="24"/>
          <w:szCs w:val="24"/>
          <w:highlight w:val="none"/>
          <w:lang w:val="en-US" w:eastAsia="zh-CN" w:bidi="ar-SA"/>
        </w:rPr>
        <w:t>7.语言文字</w:t>
      </w:r>
      <w:bookmarkEnd w:id="143"/>
      <w:bookmarkEnd w:id="144"/>
    </w:p>
    <w:p w14:paraId="3121AAFC">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7.1竞争</w:t>
      </w:r>
      <w:r>
        <w:rPr>
          <w:rFonts w:hint="eastAsia" w:ascii="宋体" w:hAnsi="宋体" w:eastAsia="宋体" w:cs="宋体"/>
          <w:color w:val="auto"/>
          <w:sz w:val="24"/>
          <w:szCs w:val="24"/>
          <w:highlight w:val="none"/>
          <w:lang w:val="en-US" w:eastAsia="zh-CN"/>
        </w:rPr>
        <w:t>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文件及响应</w:t>
      </w:r>
      <w:r>
        <w:rPr>
          <w:rFonts w:hint="eastAsia" w:ascii="宋体" w:hAnsi="宋体" w:eastAsia="宋体" w:cs="宋体"/>
          <w:color w:val="auto"/>
          <w:sz w:val="24"/>
          <w:szCs w:val="24"/>
          <w:highlight w:val="none"/>
        </w:rPr>
        <w:t>文件使用的语言文字为中文。专用术语使用外文的，应附有中文注释。</w:t>
      </w:r>
      <w:r>
        <w:rPr>
          <w:rFonts w:hint="eastAsia" w:ascii="宋体" w:hAnsi="宋体" w:eastAsia="宋体" w:cs="宋体"/>
          <w:color w:val="auto"/>
          <w:sz w:val="24"/>
          <w:szCs w:val="24"/>
          <w:highlight w:val="none"/>
          <w:lang w:val="en-US" w:eastAsia="zh-CN"/>
        </w:rPr>
        <w:t>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670762F">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5" w:name="_Toc161600295"/>
      <w:bookmarkStart w:id="146" w:name="_Toc140132763"/>
      <w:r>
        <w:rPr>
          <w:rFonts w:hint="eastAsia" w:ascii="宋体" w:hAnsi="宋体" w:eastAsia="宋体" w:cs="宋体"/>
          <w:b/>
          <w:bCs/>
          <w:color w:val="auto"/>
          <w:kern w:val="2"/>
          <w:sz w:val="24"/>
          <w:szCs w:val="24"/>
          <w:highlight w:val="none"/>
          <w:lang w:val="en-US" w:eastAsia="zh-CN" w:bidi="ar-SA"/>
        </w:rPr>
        <w:t>8.计量单位</w:t>
      </w:r>
      <w:bookmarkEnd w:id="145"/>
      <w:bookmarkEnd w:id="146"/>
    </w:p>
    <w:p w14:paraId="0DC441D4">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8.1所有计量均采用中华人民共和国法定计量单位。</w:t>
      </w:r>
    </w:p>
    <w:p w14:paraId="37E10A03">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7" w:name="_Toc161600296"/>
      <w:bookmarkStart w:id="148" w:name="_Toc140132764"/>
      <w:r>
        <w:rPr>
          <w:rFonts w:hint="eastAsia" w:ascii="宋体" w:hAnsi="宋体" w:eastAsia="宋体" w:cs="宋体"/>
          <w:b/>
          <w:bCs/>
          <w:color w:val="auto"/>
          <w:kern w:val="2"/>
          <w:sz w:val="24"/>
          <w:szCs w:val="24"/>
          <w:highlight w:val="none"/>
          <w:lang w:val="en-US" w:eastAsia="zh-CN" w:bidi="ar-SA"/>
        </w:rPr>
        <w:t>9.现场考察和答疑会</w:t>
      </w:r>
      <w:bookmarkEnd w:id="147"/>
      <w:bookmarkEnd w:id="148"/>
    </w:p>
    <w:p w14:paraId="70E7733A">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bookmarkStart w:id="149" w:name="_Hlk143529198"/>
      <w:r>
        <w:rPr>
          <w:rFonts w:hint="eastAsia" w:ascii="宋体" w:hAnsi="宋体" w:eastAsia="宋体" w:cs="宋体"/>
          <w:color w:val="auto"/>
          <w:sz w:val="24"/>
          <w:szCs w:val="24"/>
          <w:highlight w:val="none"/>
        </w:rPr>
        <w:t xml:space="preserve">9.1 “供应商须知前附表”规定组织现场考察的，采购代理机构按“供应商须知前附表”规定的时间、地点组织供应商项目现场考察。 </w:t>
      </w:r>
    </w:p>
    <w:p w14:paraId="473C15DA">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供应商现场考察发生的费用自理。</w:t>
      </w:r>
    </w:p>
    <w:p w14:paraId="417B1E0B">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在现场考察中，因供应商自身原因发生的人员伤亡和财产损失，由供应商自行负责。</w:t>
      </w:r>
    </w:p>
    <w:p w14:paraId="2BF7B5CD">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采购人在现场考察中介绍的项目场地和相关的周边环境情况，仅供供应商在编制响应文件时参考，采购人和采购代理机构不对供应商据此作出的判断和决策负责。</w:t>
      </w:r>
    </w:p>
    <w:p w14:paraId="521951E4">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 “供应商须知前附表”规定召开答疑会的，采购代理机构按“供应商须知前附表”规定的时间和地点召开答疑会，澄清供应商提出的问题。</w:t>
      </w:r>
    </w:p>
    <w:p w14:paraId="7BC8ED9F">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9.6 由于未参加现场考察或未参加答疑会而导致对项目实际情况不了解，影响响应文件编制、</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报价准确性、综合因素响应不全面等问题的，由供应商自行承担不利评审后果。</w:t>
      </w:r>
    </w:p>
    <w:bookmarkEnd w:id="149"/>
    <w:p w14:paraId="020D8BF4">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50" w:name="_Toc161600298"/>
      <w:bookmarkStart w:id="151" w:name="_Toc155185858"/>
      <w:r>
        <w:rPr>
          <w:rFonts w:hint="eastAsia" w:ascii="宋体" w:hAnsi="宋体" w:eastAsia="宋体" w:cs="宋体"/>
          <w:b/>
          <w:bCs/>
          <w:color w:val="auto"/>
          <w:kern w:val="2"/>
          <w:sz w:val="24"/>
          <w:szCs w:val="24"/>
          <w:highlight w:val="none"/>
          <w:lang w:val="en-US" w:eastAsia="zh-CN" w:bidi="ar-SA"/>
        </w:rPr>
        <w:t>10.电子标说明</w:t>
      </w:r>
      <w:bookmarkEnd w:id="150"/>
      <w:bookmarkEnd w:id="151"/>
    </w:p>
    <w:p w14:paraId="111A1565">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10.1 本次采购采用电子交易方式，电子交易平台为</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val="en-US" w:eastAsia="zh-CN"/>
        </w:rPr>
        <w:t>政府采购电子交易云平台（网址：https://www.zcygov.cn/）。供应商参与本项目电子交易活动前，</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政</w:t>
      </w:r>
      <w:r>
        <w:rPr>
          <w:rFonts w:hint="eastAsia" w:ascii="宋体" w:hAnsi="宋体" w:eastAsia="宋体" w:cs="宋体"/>
          <w:color w:val="auto"/>
          <w:sz w:val="24"/>
          <w:szCs w:val="24"/>
          <w:highlight w:val="none"/>
          <w:lang w:val="en-US" w:eastAsia="zh-CN"/>
        </w:rPr>
        <w:t>采</w:t>
      </w:r>
      <w:r>
        <w:rPr>
          <w:rFonts w:hint="eastAsia" w:ascii="宋体" w:hAnsi="宋体" w:eastAsia="宋体" w:cs="宋体"/>
          <w:color w:val="auto"/>
          <w:sz w:val="24"/>
          <w:szCs w:val="24"/>
          <w:highlight w:val="none"/>
          <w:lang w:val="en-US"/>
        </w:rPr>
        <w:t>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en-US" w:eastAsia="zh-CN"/>
        </w:rPr>
        <w:t>上</w:t>
      </w:r>
      <w:r>
        <w:rPr>
          <w:rFonts w:hint="eastAsia" w:ascii="宋体" w:hAnsi="宋体" w:eastAsia="宋体" w:cs="宋体"/>
          <w:color w:val="auto"/>
          <w:sz w:val="24"/>
          <w:szCs w:val="24"/>
          <w:highlight w:val="none"/>
        </w:rPr>
        <w:t>注册</w:t>
      </w:r>
      <w:r>
        <w:rPr>
          <w:rFonts w:hint="eastAsia" w:ascii="宋体" w:hAnsi="宋体" w:eastAsia="宋体" w:cs="宋体"/>
          <w:color w:val="auto"/>
          <w:sz w:val="24"/>
          <w:szCs w:val="24"/>
          <w:highlight w:val="none"/>
          <w:lang w:val="en-US" w:eastAsia="zh-CN"/>
        </w:rPr>
        <w:t>供应商账号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编制电子响应文件前还需申领CA证书并绑定帐号。供应商应充分考虑完成平台注册、申领CA证书等所需的时间。潜在供应商领取文件须提前完成注册、CA证书和电子签章申领和绑定、下载投标客户端。因未办理CA数字证书、CA证书故障、操作不当等原因造成无法</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或</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失败等后果由供应商自行承担。供应商登录</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val="en-US" w:eastAsia="zh-CN"/>
        </w:rPr>
        <w:t>政府采购网“供应商注册”—“新疆政府采购供应商入驻登记”—“立即登记”进行自助注册绑定。</w:t>
      </w:r>
    </w:p>
    <w:p w14:paraId="18ECC266">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 供应商将</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val="en-US" w:eastAsia="zh-CN"/>
        </w:rPr>
        <w:t>政府采购电子交易云平台电子交易客户端下载、安装完成后，可通过账号密码或CA登录客户端进行响应文件制作。在使用政采云投标客户端时，建议使用WIN7及以上操作系统。供应商登录</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val="en-US" w:eastAsia="zh-CN"/>
        </w:rPr>
        <w:t>政府采购网“下载专区”—“电子招投标客户端下载”下载相关客户端，如有问题可拨打政采云客户服务热线95763进行咨询。</w:t>
      </w:r>
    </w:p>
    <w:p w14:paraId="1E16A3EF">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10.3 加密的电子响应文件应在响应文件递交截止时间前通过政采云平台上传完成。逾期上传或者未上传指定地点的响应文件，不予受理。</w:t>
      </w:r>
    </w:p>
    <w:p w14:paraId="53B28965">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10.4 供应商在</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前须提前配置好电脑及浏览器，</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时请使用制作加密电子响应文件的CA锁进行解密及报价确认。本项目响应文件解密时间详“供应商须知前附表”，如因自身原因导致无法正常解密，后果由供应商自行承担。</w:t>
      </w:r>
    </w:p>
    <w:p w14:paraId="469768F0">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10.5 如遇“</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val="en-US" w:eastAsia="zh-CN"/>
        </w:rPr>
        <w:t>政府采购电子交易云平台（网址：https://www.zcygov.cn/）”电子交易规则调整，以最新要求为准。</w:t>
      </w:r>
    </w:p>
    <w:p w14:paraId="08AA0ABB">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10.6 电子交易系统咨询：供应商应当充分考虑到电子响应可能会发生的各种问题和风险，特别是响应文件签署、提交等问题，可按照“第一章 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公告”的联系方式咨询相关人员。</w:t>
      </w:r>
    </w:p>
    <w:p w14:paraId="39CA1037">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10.7 由于本项目采用电子</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方式，潜在供应商的名单将在递交响应文件截止时间后才会解密。因此，采购人或采购代理机构无法通过传统的传真或邮件方式，将竞争性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文件的澄清或修改内容逐一通知到每位已获取竞争性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文件的潜在供应商。为确保信息的及时性和准确性，澄清或修改的内容将仅在政采云平台以更正公告的形式发布。潜在供应商需密切关注该网站，及时查看并下载相关更正公告。若因潜在供应商未能及时查看或下载相关更正公告，而导致的一切后果，将由潜在供应商自行承担。</w:t>
      </w:r>
    </w:p>
    <w:p w14:paraId="17FBA29F">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52" w:name="_Toc163493612"/>
      <w:bookmarkStart w:id="153" w:name="_Toc109897438"/>
      <w:bookmarkStart w:id="154" w:name="_Toc1455"/>
      <w:bookmarkStart w:id="155" w:name="_Toc109900375"/>
      <w:bookmarkStart w:id="156" w:name="_Toc109899956"/>
      <w:bookmarkStart w:id="157" w:name="_Toc470172668"/>
      <w:bookmarkStart w:id="158" w:name="_Toc46771643"/>
      <w:bookmarkStart w:id="159" w:name="_Toc109899537"/>
      <w:r>
        <w:rPr>
          <w:rFonts w:hint="eastAsia" w:ascii="宋体" w:hAnsi="宋体" w:eastAsia="宋体" w:cs="宋体"/>
          <w:b/>
          <w:bCs/>
          <w:color w:val="auto"/>
          <w:kern w:val="2"/>
          <w:sz w:val="24"/>
          <w:szCs w:val="24"/>
          <w:highlight w:val="none"/>
          <w:lang w:val="en-US" w:eastAsia="zh-CN" w:bidi="ar-SA"/>
        </w:rPr>
        <w:t>（二）谈判文件</w:t>
      </w:r>
      <w:bookmarkEnd w:id="152"/>
      <w:bookmarkEnd w:id="153"/>
      <w:bookmarkEnd w:id="154"/>
      <w:bookmarkEnd w:id="155"/>
      <w:bookmarkEnd w:id="156"/>
      <w:bookmarkEnd w:id="157"/>
      <w:bookmarkEnd w:id="158"/>
      <w:bookmarkEnd w:id="159"/>
    </w:p>
    <w:p w14:paraId="02C74752">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60" w:name="_Toc109899957"/>
      <w:bookmarkStart w:id="161" w:name="_Toc51674215"/>
      <w:bookmarkStart w:id="162" w:name="_Toc109900376"/>
      <w:bookmarkStart w:id="163" w:name="_Toc109899538"/>
      <w:bookmarkStart w:id="164" w:name="_Toc52960557"/>
      <w:bookmarkStart w:id="165" w:name="_Toc48688793"/>
      <w:bookmarkStart w:id="166" w:name="_Toc109897439"/>
      <w:bookmarkStart w:id="167" w:name="_Toc4547"/>
      <w:bookmarkStart w:id="168" w:name="_Toc52962731"/>
      <w:bookmarkStart w:id="169" w:name="_Toc46771644"/>
      <w:bookmarkStart w:id="170" w:name="_Toc470172669"/>
      <w:bookmarkStart w:id="171" w:name="_Toc46772245"/>
      <w:bookmarkStart w:id="172" w:name="_Toc48846113"/>
      <w:r>
        <w:rPr>
          <w:rFonts w:hint="eastAsia" w:ascii="宋体" w:hAnsi="宋体" w:eastAsia="宋体" w:cs="宋体"/>
          <w:b/>
          <w:bCs/>
          <w:color w:val="auto"/>
          <w:kern w:val="2"/>
          <w:sz w:val="24"/>
          <w:szCs w:val="24"/>
          <w:highlight w:val="none"/>
          <w:lang w:val="en-US" w:eastAsia="zh-CN" w:bidi="ar-SA"/>
        </w:rPr>
        <w:t>11.谈判文件的构成</w:t>
      </w:r>
      <w:bookmarkEnd w:id="160"/>
      <w:bookmarkEnd w:id="161"/>
      <w:bookmarkEnd w:id="162"/>
      <w:bookmarkEnd w:id="163"/>
      <w:bookmarkEnd w:id="164"/>
      <w:bookmarkEnd w:id="165"/>
      <w:bookmarkEnd w:id="166"/>
      <w:bookmarkEnd w:id="167"/>
      <w:bookmarkEnd w:id="168"/>
      <w:bookmarkEnd w:id="169"/>
      <w:bookmarkEnd w:id="170"/>
      <w:bookmarkEnd w:id="171"/>
      <w:bookmarkEnd w:id="172"/>
    </w:p>
    <w:p w14:paraId="54909DE4">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lang w:eastAsia="zh-CN"/>
        </w:rPr>
      </w:pPr>
      <w:bookmarkStart w:id="173" w:name="_Toc48688794"/>
      <w:bookmarkStart w:id="174" w:name="_Toc48846114"/>
      <w:bookmarkStart w:id="175" w:name="_Toc52960558"/>
      <w:bookmarkStart w:id="176" w:name="_Toc46772246"/>
      <w:bookmarkStart w:id="177" w:name="_Toc46771645"/>
      <w:bookmarkStart w:id="178" w:name="_Toc109899539"/>
      <w:bookmarkStart w:id="179" w:name="_Toc109900377"/>
      <w:bookmarkStart w:id="180" w:name="_Toc109899958"/>
      <w:bookmarkStart w:id="181" w:name="_Toc478415174"/>
      <w:bookmarkStart w:id="182" w:name="_Toc51674216"/>
      <w:bookmarkStart w:id="183" w:name="_Toc109897440"/>
      <w:bookmarkStart w:id="184" w:name="_Toc52962732"/>
      <w:r>
        <w:rPr>
          <w:rFonts w:hint="eastAsia" w:ascii="宋体" w:hAnsi="宋体" w:eastAsia="宋体" w:cs="宋体"/>
          <w:color w:val="auto"/>
          <w:sz w:val="24"/>
          <w:szCs w:val="24"/>
          <w:highlight w:val="none"/>
        </w:rPr>
        <w:t>第一章 竞争性</w:t>
      </w:r>
      <w:r>
        <w:rPr>
          <w:rFonts w:hint="eastAsia" w:ascii="宋体" w:hAnsi="宋体" w:eastAsia="宋体" w:cs="宋体"/>
          <w:color w:val="auto"/>
          <w:sz w:val="24"/>
          <w:szCs w:val="24"/>
          <w:highlight w:val="none"/>
          <w:lang w:val="en-US" w:eastAsia="zh-CN"/>
        </w:rPr>
        <w:t>谈判公告</w:t>
      </w:r>
    </w:p>
    <w:p w14:paraId="7147E8B4">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供应商须知</w:t>
      </w:r>
    </w:p>
    <w:p w14:paraId="61D89D76">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第三章 </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采购需求</w:t>
      </w:r>
    </w:p>
    <w:p w14:paraId="6D7BF4EF">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评审</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47AC85E7">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合同草案</w:t>
      </w:r>
    </w:p>
    <w:p w14:paraId="5706B4C2">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响应文件的格式</w:t>
      </w:r>
    </w:p>
    <w:p w14:paraId="2FA3C6F3">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12.谈判文件的澄清或修改</w:t>
      </w:r>
      <w:bookmarkEnd w:id="173"/>
      <w:bookmarkEnd w:id="174"/>
      <w:bookmarkEnd w:id="175"/>
      <w:bookmarkEnd w:id="176"/>
      <w:bookmarkEnd w:id="177"/>
      <w:bookmarkEnd w:id="178"/>
      <w:bookmarkEnd w:id="179"/>
      <w:bookmarkEnd w:id="180"/>
      <w:bookmarkEnd w:id="181"/>
      <w:bookmarkEnd w:id="182"/>
      <w:bookmarkEnd w:id="183"/>
      <w:bookmarkEnd w:id="184"/>
    </w:p>
    <w:p w14:paraId="2E6BAA4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1供应商</w:t>
      </w:r>
      <w:r>
        <w:rPr>
          <w:rFonts w:eastAsia="宋体" w:cs="仿宋_GB2312"/>
          <w:color w:val="auto"/>
          <w:sz w:val="24"/>
          <w:szCs w:val="24"/>
          <w:highlight w:val="none"/>
        </w:rPr>
        <w:t>如对</w:t>
      </w:r>
      <w:r>
        <w:rPr>
          <w:rFonts w:hint="eastAsia" w:eastAsia="宋体" w:cs="仿宋_GB2312"/>
          <w:color w:val="auto"/>
          <w:sz w:val="24"/>
          <w:szCs w:val="24"/>
          <w:highlight w:val="none"/>
        </w:rPr>
        <w:t>竞争性</w:t>
      </w:r>
      <w:r>
        <w:rPr>
          <w:rFonts w:hint="eastAsia" w:cs="仿宋_GB2312"/>
          <w:color w:val="auto"/>
          <w:sz w:val="24"/>
          <w:szCs w:val="24"/>
          <w:highlight w:val="none"/>
          <w:lang w:val="en-US" w:eastAsia="zh-CN"/>
        </w:rPr>
        <w:t>谈判</w:t>
      </w:r>
      <w:r>
        <w:rPr>
          <w:rFonts w:hint="eastAsia" w:eastAsia="宋体" w:cs="仿宋_GB2312"/>
          <w:color w:val="auto"/>
          <w:sz w:val="24"/>
          <w:szCs w:val="24"/>
          <w:highlight w:val="none"/>
        </w:rPr>
        <w:t>文件</w:t>
      </w:r>
      <w:r>
        <w:rPr>
          <w:rFonts w:eastAsia="宋体" w:cs="仿宋_GB2312"/>
          <w:color w:val="auto"/>
          <w:sz w:val="24"/>
          <w:szCs w:val="24"/>
          <w:highlight w:val="none"/>
        </w:rPr>
        <w:t>内容有疑问，须在</w:t>
      </w:r>
      <w:r>
        <w:rPr>
          <w:rFonts w:hint="eastAsia" w:cs="仿宋_GB2312"/>
          <w:color w:val="auto"/>
          <w:sz w:val="24"/>
          <w:szCs w:val="24"/>
          <w:highlight w:val="none"/>
          <w:lang w:eastAsia="zh-CN"/>
        </w:rPr>
        <w:t>“</w:t>
      </w:r>
      <w:r>
        <w:rPr>
          <w:rFonts w:hint="eastAsia" w:eastAsia="宋体" w:cs="仿宋_GB2312"/>
          <w:color w:val="auto"/>
          <w:sz w:val="24"/>
          <w:szCs w:val="24"/>
          <w:highlight w:val="none"/>
        </w:rPr>
        <w:t>供应商</w:t>
      </w:r>
      <w:r>
        <w:rPr>
          <w:rFonts w:eastAsia="宋体" w:cs="仿宋_GB2312"/>
          <w:color w:val="auto"/>
          <w:sz w:val="24"/>
          <w:szCs w:val="24"/>
          <w:highlight w:val="none"/>
        </w:rPr>
        <w:t>须知前附表</w:t>
      </w:r>
      <w:r>
        <w:rPr>
          <w:rFonts w:hint="eastAsia" w:cs="仿宋_GB2312"/>
          <w:color w:val="auto"/>
          <w:sz w:val="24"/>
          <w:szCs w:val="24"/>
          <w:highlight w:val="none"/>
          <w:lang w:eastAsia="zh-CN"/>
        </w:rPr>
        <w:t>”</w:t>
      </w:r>
      <w:r>
        <w:rPr>
          <w:rFonts w:eastAsia="宋体" w:cs="仿宋_GB2312"/>
          <w:color w:val="auto"/>
          <w:sz w:val="24"/>
          <w:szCs w:val="24"/>
          <w:highlight w:val="none"/>
        </w:rPr>
        <w:t>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6D96435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供应商提出的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时对竞争性</w:t>
      </w:r>
      <w:r>
        <w:rPr>
          <w:rFonts w:hint="eastAsia" w:cs="仿宋_GB2312"/>
          <w:color w:val="auto"/>
          <w:sz w:val="24"/>
          <w:szCs w:val="24"/>
          <w:highlight w:val="none"/>
          <w:lang w:val="en-US" w:eastAsia="zh-CN"/>
        </w:rPr>
        <w:t>谈判</w:t>
      </w:r>
      <w:r>
        <w:rPr>
          <w:rFonts w:hint="eastAsia" w:eastAsia="宋体" w:cs="仿宋_GB2312"/>
          <w:color w:val="auto"/>
          <w:sz w:val="24"/>
          <w:szCs w:val="24"/>
          <w:highlight w:val="none"/>
        </w:rPr>
        <w:t>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s="仿宋_GB2312"/>
          <w:color w:val="auto"/>
          <w:sz w:val="24"/>
          <w:szCs w:val="24"/>
          <w:highlight w:val="none"/>
          <w:lang w:val="en-US" w:eastAsia="zh-CN"/>
        </w:rPr>
        <w:t>兵团政府采购云平台</w:t>
      </w:r>
      <w:r>
        <w:rPr>
          <w:rFonts w:hint="eastAsia" w:eastAsia="宋体" w:cs="仿宋_GB2312"/>
          <w:color w:val="auto"/>
          <w:sz w:val="24"/>
          <w:szCs w:val="24"/>
          <w:highlight w:val="none"/>
        </w:rPr>
        <w:t>以发布更正公告的方式澄清或修改竞争性</w:t>
      </w:r>
      <w:r>
        <w:rPr>
          <w:rFonts w:hint="eastAsia" w:cs="仿宋_GB2312"/>
          <w:color w:val="auto"/>
          <w:sz w:val="24"/>
          <w:szCs w:val="24"/>
          <w:highlight w:val="none"/>
          <w:lang w:val="en-US" w:eastAsia="zh-CN"/>
        </w:rPr>
        <w:t>谈判</w:t>
      </w:r>
      <w:r>
        <w:rPr>
          <w:rFonts w:hint="eastAsia" w:eastAsia="宋体" w:cs="仿宋_GB2312"/>
          <w:color w:val="auto"/>
          <w:sz w:val="24"/>
          <w:szCs w:val="24"/>
          <w:highlight w:val="none"/>
        </w:rPr>
        <w:t>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w:t>
      </w:r>
      <w:r>
        <w:rPr>
          <w:rFonts w:hint="eastAsia" w:eastAsia="宋体" w:cs="仿宋_GB2312"/>
          <w:color w:val="auto"/>
          <w:sz w:val="24"/>
          <w:szCs w:val="24"/>
          <w:highlight w:val="none"/>
        </w:rPr>
        <w:t>竞争性</w:t>
      </w:r>
      <w:r>
        <w:rPr>
          <w:rFonts w:hint="eastAsia" w:cs="仿宋_GB2312"/>
          <w:color w:val="auto"/>
          <w:sz w:val="24"/>
          <w:szCs w:val="24"/>
          <w:highlight w:val="none"/>
          <w:lang w:val="en-US" w:eastAsia="zh-CN"/>
        </w:rPr>
        <w:t>谈判</w:t>
      </w:r>
      <w:r>
        <w:rPr>
          <w:rFonts w:hint="eastAsia" w:eastAsia="宋体" w:cs="仿宋_GB2312"/>
          <w:color w:val="auto"/>
          <w:sz w:val="24"/>
          <w:szCs w:val="24"/>
          <w:highlight w:val="none"/>
        </w:rPr>
        <w:t>文件的</w:t>
      </w:r>
      <w:r>
        <w:rPr>
          <w:rFonts w:eastAsia="宋体" w:cs="仿宋_GB2312"/>
          <w:color w:val="auto"/>
          <w:sz w:val="24"/>
          <w:szCs w:val="24"/>
          <w:highlight w:val="none"/>
        </w:rPr>
        <w:t>组成部分，对</w:t>
      </w:r>
      <w:r>
        <w:rPr>
          <w:rFonts w:hint="eastAsia" w:eastAsia="宋体" w:cs="仿宋_GB2312"/>
          <w:color w:val="auto"/>
          <w:sz w:val="24"/>
          <w:szCs w:val="24"/>
          <w:highlight w:val="none"/>
        </w:rPr>
        <w:t>供应商</w:t>
      </w:r>
      <w:r>
        <w:rPr>
          <w:rFonts w:eastAsia="宋体" w:cs="仿宋_GB2312"/>
          <w:color w:val="auto"/>
          <w:sz w:val="24"/>
          <w:szCs w:val="24"/>
          <w:highlight w:val="none"/>
        </w:rPr>
        <w:t>起约束作用</w:t>
      </w:r>
      <w:r>
        <w:rPr>
          <w:rFonts w:hint="eastAsia" w:eastAsia="宋体" w:cs="仿宋_GB2312"/>
          <w:color w:val="auto"/>
          <w:sz w:val="24"/>
          <w:szCs w:val="24"/>
          <w:highlight w:val="none"/>
        </w:rPr>
        <w:t>。供应商应主动上网查询。采购代理机构不承担供应商未及时关注相关信息引发的相关责任。</w:t>
      </w:r>
    </w:p>
    <w:p w14:paraId="3418D08E">
      <w:pPr>
        <w:keepNext w:val="0"/>
        <w:keepLines w:val="0"/>
        <w:pageBreakBefore w:val="0"/>
        <w:widowControl w:val="0"/>
        <w:kinsoku/>
        <w:overflowPunct/>
        <w:topLinePunct w:val="0"/>
        <w:autoSpaceDE/>
        <w:autoSpaceDN/>
        <w:bidi w:val="0"/>
        <w:adjustRightInd/>
        <w:ind w:firstLine="480" w:firstLineChars="200"/>
        <w:textAlignment w:val="auto"/>
        <w:rPr>
          <w:rFonts w:hint="eastAsia" w:cs="仿宋_GB2312"/>
          <w:color w:val="auto"/>
          <w:sz w:val="24"/>
          <w:szCs w:val="24"/>
          <w:highlight w:val="none"/>
          <w:lang w:val="en-US" w:eastAsia="zh-CN"/>
        </w:rPr>
      </w:pPr>
      <w:r>
        <w:rPr>
          <w:rFonts w:hint="eastAsia" w:cs="仿宋_GB2312"/>
          <w:color w:val="auto"/>
          <w:sz w:val="24"/>
          <w:szCs w:val="24"/>
          <w:highlight w:val="none"/>
          <w:lang w:val="en-US" w:eastAsia="zh-CN"/>
        </w:rPr>
        <w:t xml:space="preserve">12.3 </w:t>
      </w:r>
      <w:r>
        <w:rPr>
          <w:rFonts w:hint="eastAsia" w:cs="仿宋_GB2312"/>
          <w:color w:val="auto"/>
          <w:sz w:val="24"/>
          <w:szCs w:val="24"/>
          <w:highlight w:val="none"/>
          <w:lang w:val="zh-CN" w:eastAsia="zh-CN"/>
        </w:rPr>
        <w:t>对</w:t>
      </w:r>
      <w:r>
        <w:rPr>
          <w:rFonts w:hint="eastAsia" w:cs="仿宋_GB2312"/>
          <w:color w:val="auto"/>
          <w:sz w:val="24"/>
          <w:szCs w:val="24"/>
          <w:highlight w:val="none"/>
          <w:lang w:val="en-US" w:eastAsia="zh-CN"/>
        </w:rPr>
        <w:t>竞争性谈判</w:t>
      </w:r>
      <w:r>
        <w:rPr>
          <w:rFonts w:hint="eastAsia" w:cs="仿宋_GB2312"/>
          <w:color w:val="auto"/>
          <w:sz w:val="24"/>
          <w:szCs w:val="24"/>
          <w:highlight w:val="none"/>
          <w:lang w:val="zh-CN" w:eastAsia="zh-CN"/>
        </w:rPr>
        <w:t>文件澄清或者修改的内容可能影响响应文件编制的，采购人、采购代理机构或者</w:t>
      </w:r>
      <w:r>
        <w:rPr>
          <w:rFonts w:hint="eastAsia" w:cs="仿宋_GB2312"/>
          <w:color w:val="auto"/>
          <w:sz w:val="24"/>
          <w:szCs w:val="24"/>
          <w:highlight w:val="none"/>
          <w:lang w:val="en-US" w:eastAsia="zh-CN"/>
        </w:rPr>
        <w:t>谈判</w:t>
      </w:r>
      <w:r>
        <w:rPr>
          <w:rFonts w:hint="eastAsia" w:cs="仿宋_GB2312"/>
          <w:color w:val="auto"/>
          <w:sz w:val="24"/>
          <w:szCs w:val="24"/>
          <w:highlight w:val="none"/>
          <w:lang w:val="zh-CN" w:eastAsia="zh-CN"/>
        </w:rPr>
        <w:t>小组应当在提交首次响应文件截止之日</w:t>
      </w:r>
      <w:r>
        <w:rPr>
          <w:rFonts w:hint="eastAsia" w:cs="仿宋_GB2312"/>
          <w:color w:val="auto"/>
          <w:sz w:val="24"/>
          <w:szCs w:val="24"/>
          <w:highlight w:val="none"/>
          <w:lang w:val="en-US" w:eastAsia="zh-CN"/>
        </w:rPr>
        <w:t>3个工作</w:t>
      </w:r>
      <w:r>
        <w:rPr>
          <w:rFonts w:hint="eastAsia" w:cs="仿宋_GB2312"/>
          <w:color w:val="auto"/>
          <w:sz w:val="24"/>
          <w:szCs w:val="24"/>
          <w:highlight w:val="none"/>
          <w:lang w:val="zh-CN" w:eastAsia="zh-CN"/>
        </w:rPr>
        <w:t>日前，以书面形式通知所有接收</w:t>
      </w:r>
      <w:r>
        <w:rPr>
          <w:rFonts w:hint="eastAsia" w:cs="仿宋_GB2312"/>
          <w:color w:val="auto"/>
          <w:sz w:val="24"/>
          <w:szCs w:val="24"/>
          <w:highlight w:val="none"/>
          <w:lang w:val="en-US" w:eastAsia="zh-CN"/>
        </w:rPr>
        <w:t>竞争性谈判</w:t>
      </w:r>
      <w:r>
        <w:rPr>
          <w:rFonts w:hint="eastAsia" w:cs="仿宋_GB2312"/>
          <w:color w:val="auto"/>
          <w:sz w:val="24"/>
          <w:szCs w:val="24"/>
          <w:highlight w:val="none"/>
          <w:lang w:val="zh-CN" w:eastAsia="zh-CN"/>
        </w:rPr>
        <w:t>文件的供应商，不足</w:t>
      </w:r>
      <w:r>
        <w:rPr>
          <w:rFonts w:hint="eastAsia" w:cs="仿宋_GB2312"/>
          <w:color w:val="auto"/>
          <w:sz w:val="24"/>
          <w:szCs w:val="24"/>
          <w:highlight w:val="none"/>
          <w:lang w:val="en-US" w:eastAsia="zh-CN"/>
        </w:rPr>
        <w:t>3个工作</w:t>
      </w:r>
      <w:r>
        <w:rPr>
          <w:rFonts w:hint="eastAsia" w:cs="仿宋_GB2312"/>
          <w:color w:val="auto"/>
          <w:sz w:val="24"/>
          <w:szCs w:val="24"/>
          <w:highlight w:val="none"/>
          <w:lang w:val="zh-CN" w:eastAsia="zh-CN"/>
        </w:rPr>
        <w:t>日的，应当顺延提交首次响应文件</w:t>
      </w:r>
      <w:r>
        <w:rPr>
          <w:rFonts w:hint="eastAsia" w:cs="仿宋_GB2312"/>
          <w:color w:val="auto"/>
          <w:sz w:val="24"/>
          <w:szCs w:val="24"/>
          <w:highlight w:val="none"/>
          <w:lang w:val="en-US" w:eastAsia="zh-CN"/>
        </w:rPr>
        <w:t>的</w:t>
      </w:r>
      <w:r>
        <w:rPr>
          <w:rFonts w:hint="eastAsia" w:cs="仿宋_GB2312"/>
          <w:color w:val="auto"/>
          <w:sz w:val="24"/>
          <w:szCs w:val="24"/>
          <w:highlight w:val="none"/>
          <w:lang w:val="zh-CN" w:eastAsia="zh-CN"/>
        </w:rPr>
        <w:t>截止时间</w:t>
      </w:r>
      <w:r>
        <w:rPr>
          <w:rFonts w:hint="eastAsia" w:cs="仿宋_GB2312"/>
          <w:color w:val="auto"/>
          <w:sz w:val="24"/>
          <w:szCs w:val="24"/>
          <w:highlight w:val="none"/>
          <w:lang w:val="en-US" w:eastAsia="zh-CN"/>
        </w:rPr>
        <w:t>。</w:t>
      </w:r>
    </w:p>
    <w:p w14:paraId="593F433F">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w:t>
      </w:r>
      <w:r>
        <w:rPr>
          <w:rFonts w:hint="eastAsia" w:cs="仿宋_GB2312"/>
          <w:color w:val="auto"/>
          <w:sz w:val="24"/>
          <w:szCs w:val="24"/>
          <w:highlight w:val="none"/>
          <w:lang w:val="en-US" w:eastAsia="zh-CN"/>
        </w:rPr>
        <w:t>供应商</w:t>
      </w:r>
      <w:r>
        <w:rPr>
          <w:rFonts w:hint="eastAsia" w:eastAsia="宋体" w:cs="仿宋_GB2312"/>
          <w:color w:val="auto"/>
          <w:sz w:val="24"/>
          <w:szCs w:val="24"/>
          <w:highlight w:val="none"/>
        </w:rPr>
        <w:t>提供的任何书面或口头资料，未经采购代理机构在网上发布或书面通知，均作无效处理，不得作为竞争性</w:t>
      </w:r>
      <w:r>
        <w:rPr>
          <w:rFonts w:hint="eastAsia" w:cs="仿宋_GB2312"/>
          <w:color w:val="auto"/>
          <w:sz w:val="24"/>
          <w:szCs w:val="24"/>
          <w:highlight w:val="none"/>
          <w:lang w:val="en-US" w:eastAsia="zh-CN"/>
        </w:rPr>
        <w:t>谈判</w:t>
      </w:r>
      <w:r>
        <w:rPr>
          <w:rFonts w:hint="eastAsia" w:eastAsia="宋体" w:cs="仿宋_GB2312"/>
          <w:color w:val="auto"/>
          <w:sz w:val="24"/>
          <w:szCs w:val="24"/>
          <w:highlight w:val="none"/>
        </w:rPr>
        <w:t>文件的组成部分。采购代理机构对</w:t>
      </w:r>
      <w:r>
        <w:rPr>
          <w:rFonts w:hint="eastAsia" w:cs="仿宋_GB2312"/>
          <w:color w:val="auto"/>
          <w:sz w:val="24"/>
          <w:szCs w:val="24"/>
          <w:highlight w:val="none"/>
          <w:lang w:val="en-US" w:eastAsia="zh-CN"/>
        </w:rPr>
        <w:t>供应商</w:t>
      </w:r>
      <w:r>
        <w:rPr>
          <w:rFonts w:hint="eastAsia" w:eastAsia="宋体" w:cs="仿宋_GB2312"/>
          <w:color w:val="auto"/>
          <w:sz w:val="24"/>
          <w:szCs w:val="24"/>
          <w:highlight w:val="none"/>
        </w:rPr>
        <w:t>由此而做出的推论、理解和结论概不负责。</w:t>
      </w:r>
    </w:p>
    <w:p w14:paraId="715B866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w:t>
      </w:r>
      <w:r>
        <w:rPr>
          <w:rFonts w:hint="eastAsia" w:cs="仿宋_GB2312"/>
          <w:color w:val="auto"/>
          <w:sz w:val="24"/>
          <w:szCs w:val="24"/>
          <w:highlight w:val="none"/>
          <w:lang w:val="en-US" w:eastAsia="zh-CN"/>
        </w:rPr>
        <w:t>谈判</w:t>
      </w:r>
      <w:r>
        <w:rPr>
          <w:rFonts w:eastAsia="宋体" w:cs="仿宋_GB2312"/>
          <w:color w:val="auto"/>
          <w:sz w:val="24"/>
          <w:szCs w:val="24"/>
          <w:highlight w:val="none"/>
        </w:rPr>
        <w:t>的</w:t>
      </w:r>
      <w:r>
        <w:rPr>
          <w:rFonts w:hint="eastAsia" w:eastAsia="宋体" w:cs="仿宋_GB2312"/>
          <w:color w:val="auto"/>
          <w:sz w:val="24"/>
          <w:szCs w:val="24"/>
          <w:highlight w:val="none"/>
        </w:rPr>
        <w:t>供应商</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本竞争性</w:t>
      </w:r>
      <w:r>
        <w:rPr>
          <w:rFonts w:hint="eastAsia" w:cs="仿宋_GB2312"/>
          <w:color w:val="auto"/>
          <w:sz w:val="24"/>
          <w:szCs w:val="24"/>
          <w:highlight w:val="none"/>
          <w:lang w:val="en-US" w:eastAsia="zh-CN"/>
        </w:rPr>
        <w:t>谈判</w:t>
      </w:r>
      <w:r>
        <w:rPr>
          <w:rFonts w:hint="eastAsia" w:eastAsia="宋体" w:cs="仿宋_GB2312"/>
          <w:color w:val="auto"/>
          <w:sz w:val="24"/>
          <w:szCs w:val="24"/>
          <w:highlight w:val="none"/>
        </w:rPr>
        <w:t>文件</w:t>
      </w:r>
      <w:r>
        <w:rPr>
          <w:rFonts w:eastAsia="宋体" w:cs="仿宋_GB2312"/>
          <w:color w:val="auto"/>
          <w:sz w:val="24"/>
          <w:szCs w:val="24"/>
          <w:highlight w:val="none"/>
        </w:rPr>
        <w:t>（含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6F274E6E">
      <w:pPr>
        <w:pStyle w:val="3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供应商须知”所称“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571CE514">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当竞争性</w:t>
      </w:r>
      <w:r>
        <w:rPr>
          <w:rFonts w:hint="eastAsia" w:cs="仿宋_GB2312"/>
          <w:color w:val="auto"/>
          <w:sz w:val="24"/>
          <w:szCs w:val="24"/>
          <w:highlight w:val="none"/>
          <w:lang w:val="en-US" w:eastAsia="zh-CN"/>
        </w:rPr>
        <w:t>谈判</w:t>
      </w:r>
      <w:r>
        <w:rPr>
          <w:rFonts w:hint="eastAsia" w:ascii="宋体" w:hAnsi="宋体" w:eastAsia="宋体" w:cs="宋体"/>
          <w:color w:val="auto"/>
          <w:kern w:val="2"/>
          <w:sz w:val="24"/>
          <w:szCs w:val="22"/>
          <w:highlight w:val="none"/>
        </w:rPr>
        <w:t>文件的澄清、修改及其他答复等就同一内容的表述不一致时，以最后发布的内容为准。</w:t>
      </w:r>
    </w:p>
    <w:p w14:paraId="7D17D0F6">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85" w:name="_Toc109900379"/>
      <w:bookmarkStart w:id="186" w:name="_Toc109899541"/>
      <w:bookmarkStart w:id="187" w:name="_Toc109897442"/>
      <w:bookmarkStart w:id="188" w:name="_Toc46771647"/>
      <w:bookmarkStart w:id="189" w:name="_Toc109899960"/>
      <w:bookmarkStart w:id="190" w:name="_Toc163493613"/>
      <w:bookmarkStart w:id="191" w:name="_Toc470172672"/>
      <w:bookmarkStart w:id="192" w:name="_Toc6486"/>
      <w:r>
        <w:rPr>
          <w:rFonts w:hint="eastAsia" w:ascii="宋体" w:hAnsi="宋体" w:eastAsia="宋体" w:cs="宋体"/>
          <w:b/>
          <w:bCs/>
          <w:color w:val="auto"/>
          <w:kern w:val="2"/>
          <w:sz w:val="24"/>
          <w:szCs w:val="24"/>
          <w:highlight w:val="none"/>
          <w:lang w:val="en-US" w:eastAsia="zh-CN" w:bidi="ar-SA"/>
        </w:rPr>
        <w:t>（三）响应文件</w:t>
      </w:r>
      <w:bookmarkEnd w:id="185"/>
      <w:bookmarkEnd w:id="186"/>
      <w:bookmarkEnd w:id="187"/>
      <w:bookmarkEnd w:id="188"/>
      <w:bookmarkEnd w:id="189"/>
      <w:bookmarkEnd w:id="190"/>
      <w:bookmarkEnd w:id="191"/>
      <w:bookmarkEnd w:id="192"/>
    </w:p>
    <w:p w14:paraId="3A231C5B">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93" w:name="_Toc470172674"/>
      <w:bookmarkStart w:id="194" w:name="_Toc51674220"/>
      <w:bookmarkStart w:id="195" w:name="_Toc48688798"/>
      <w:bookmarkStart w:id="196" w:name="_Toc48846118"/>
      <w:bookmarkStart w:id="197" w:name="_Toc109900381"/>
      <w:bookmarkStart w:id="198" w:name="_Toc52960562"/>
      <w:bookmarkStart w:id="199" w:name="_Toc109899543"/>
      <w:bookmarkStart w:id="200" w:name="_Toc46772250"/>
      <w:bookmarkStart w:id="201" w:name="_Toc52962736"/>
      <w:bookmarkStart w:id="202" w:name="_Toc32272"/>
      <w:bookmarkStart w:id="203" w:name="_Toc46771649"/>
      <w:bookmarkStart w:id="204" w:name="_Toc109897444"/>
      <w:bookmarkStart w:id="205" w:name="_Toc109899962"/>
      <w:r>
        <w:rPr>
          <w:rFonts w:hint="eastAsia" w:ascii="宋体" w:hAnsi="宋体" w:eastAsia="宋体" w:cs="宋体"/>
          <w:b/>
          <w:bCs/>
          <w:color w:val="auto"/>
          <w:kern w:val="2"/>
          <w:sz w:val="24"/>
          <w:szCs w:val="24"/>
          <w:highlight w:val="none"/>
          <w:lang w:val="en-US" w:eastAsia="zh-CN" w:bidi="ar-SA"/>
        </w:rPr>
        <w:t>13.响应文件的</w:t>
      </w:r>
      <w:bookmarkEnd w:id="193"/>
      <w:bookmarkEnd w:id="194"/>
      <w:bookmarkEnd w:id="195"/>
      <w:bookmarkEnd w:id="196"/>
      <w:bookmarkEnd w:id="197"/>
      <w:bookmarkEnd w:id="198"/>
      <w:bookmarkEnd w:id="199"/>
      <w:bookmarkEnd w:id="200"/>
      <w:bookmarkEnd w:id="201"/>
      <w:bookmarkEnd w:id="202"/>
      <w:bookmarkEnd w:id="203"/>
      <w:bookmarkEnd w:id="204"/>
      <w:bookmarkEnd w:id="205"/>
      <w:r>
        <w:rPr>
          <w:rFonts w:hint="eastAsia" w:ascii="宋体" w:hAnsi="宋体" w:eastAsia="宋体" w:cs="宋体"/>
          <w:b/>
          <w:bCs/>
          <w:color w:val="auto"/>
          <w:kern w:val="2"/>
          <w:sz w:val="24"/>
          <w:szCs w:val="24"/>
          <w:highlight w:val="none"/>
          <w:lang w:val="en-US" w:eastAsia="zh-CN" w:bidi="ar-SA"/>
        </w:rPr>
        <w:t>组成</w:t>
      </w:r>
    </w:p>
    <w:p w14:paraId="174A0A3D">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13</w:t>
      </w: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应完整地按竞争性</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文件提供的</w:t>
      </w:r>
      <w:r>
        <w:rPr>
          <w:rFonts w:hint="eastAsia" w:ascii="宋体" w:hAnsi="宋体" w:eastAsia="宋体" w:cs="宋体"/>
          <w:color w:val="auto"/>
          <w:kern w:val="2"/>
          <w:sz w:val="24"/>
          <w:szCs w:val="24"/>
          <w:highlight w:val="none"/>
          <w:lang w:val="en-US" w:eastAsia="zh-CN"/>
        </w:rPr>
        <w:t>响应</w:t>
      </w:r>
      <w:r>
        <w:rPr>
          <w:rFonts w:hint="eastAsia" w:ascii="宋体" w:hAnsi="宋体" w:eastAsia="宋体" w:cs="宋体"/>
          <w:color w:val="auto"/>
          <w:kern w:val="2"/>
          <w:sz w:val="24"/>
          <w:szCs w:val="24"/>
          <w:highlight w:val="none"/>
        </w:rPr>
        <w:t>文件格式及要求编写</w:t>
      </w:r>
      <w:r>
        <w:rPr>
          <w:rFonts w:hint="eastAsia" w:ascii="宋体" w:hAnsi="宋体" w:eastAsia="宋体" w:cs="宋体"/>
          <w:color w:val="auto"/>
          <w:kern w:val="2"/>
          <w:sz w:val="24"/>
          <w:szCs w:val="24"/>
          <w:highlight w:val="none"/>
          <w:lang w:val="en-US" w:eastAsia="zh-CN"/>
        </w:rPr>
        <w:t>响应</w:t>
      </w:r>
      <w:r>
        <w:rPr>
          <w:rFonts w:hint="eastAsia" w:ascii="宋体" w:hAnsi="宋体" w:eastAsia="宋体" w:cs="宋体"/>
          <w:color w:val="auto"/>
          <w:kern w:val="2"/>
          <w:sz w:val="24"/>
          <w:szCs w:val="24"/>
          <w:highlight w:val="none"/>
        </w:rPr>
        <w:t>文件，具体内容详见</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第六章 响应</w:t>
      </w:r>
      <w:r>
        <w:rPr>
          <w:rFonts w:hint="eastAsia" w:ascii="宋体" w:hAnsi="宋体" w:eastAsia="宋体" w:cs="宋体"/>
          <w:color w:val="auto"/>
          <w:kern w:val="2"/>
          <w:sz w:val="24"/>
          <w:szCs w:val="24"/>
          <w:highlight w:val="none"/>
        </w:rPr>
        <w:t>文件</w:t>
      </w:r>
      <w:r>
        <w:rPr>
          <w:rFonts w:hint="eastAsia" w:ascii="宋体" w:hAnsi="宋体" w:eastAsia="宋体" w:cs="宋体"/>
          <w:color w:val="auto"/>
          <w:kern w:val="2"/>
          <w:sz w:val="24"/>
          <w:szCs w:val="24"/>
          <w:highlight w:val="none"/>
          <w:lang w:val="en-US" w:eastAsia="zh-CN"/>
        </w:rPr>
        <w:t>的</w:t>
      </w:r>
      <w:r>
        <w:rPr>
          <w:rFonts w:hint="eastAsia" w:ascii="宋体" w:hAnsi="宋体" w:eastAsia="宋体" w:cs="宋体"/>
          <w:color w:val="auto"/>
          <w:kern w:val="2"/>
          <w:sz w:val="24"/>
          <w:szCs w:val="24"/>
          <w:highlight w:val="none"/>
        </w:rPr>
        <w:t>格式</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的相关内容。</w:t>
      </w:r>
    </w:p>
    <w:p w14:paraId="3BB3A0B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13.2供应商</w:t>
      </w:r>
      <w:r>
        <w:rPr>
          <w:rFonts w:hint="eastAsia" w:ascii="宋体" w:hAnsi="宋体" w:eastAsia="宋体" w:cs="宋体"/>
          <w:color w:val="auto"/>
          <w:kern w:val="2"/>
          <w:sz w:val="24"/>
          <w:szCs w:val="24"/>
          <w:highlight w:val="none"/>
        </w:rPr>
        <w:t>应提交竞争性</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文件要求的证明文件，证明其</w:t>
      </w:r>
      <w:r>
        <w:rPr>
          <w:rFonts w:hint="eastAsia" w:ascii="宋体" w:hAnsi="宋体" w:eastAsia="宋体" w:cs="宋体"/>
          <w:color w:val="auto"/>
          <w:kern w:val="2"/>
          <w:sz w:val="24"/>
          <w:szCs w:val="24"/>
          <w:highlight w:val="none"/>
          <w:lang w:val="en-US" w:eastAsia="zh-CN"/>
        </w:rPr>
        <w:t>响应</w:t>
      </w:r>
      <w:r>
        <w:rPr>
          <w:rFonts w:hint="eastAsia" w:ascii="宋体" w:hAnsi="宋体" w:eastAsia="宋体" w:cs="宋体"/>
          <w:color w:val="auto"/>
          <w:kern w:val="2"/>
          <w:sz w:val="24"/>
          <w:szCs w:val="24"/>
          <w:highlight w:val="none"/>
        </w:rPr>
        <w:t>内容符合竞争性</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文件规定</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该证明文件是</w:t>
      </w:r>
      <w:r>
        <w:rPr>
          <w:rFonts w:hint="eastAsia" w:ascii="宋体" w:hAnsi="宋体" w:eastAsia="宋体" w:cs="宋体"/>
          <w:color w:val="auto"/>
          <w:kern w:val="2"/>
          <w:sz w:val="24"/>
          <w:szCs w:val="24"/>
          <w:highlight w:val="none"/>
          <w:lang w:val="en-US" w:eastAsia="zh-CN"/>
        </w:rPr>
        <w:t>响应</w:t>
      </w:r>
      <w:r>
        <w:rPr>
          <w:rFonts w:hint="eastAsia" w:ascii="宋体" w:hAnsi="宋体" w:eastAsia="宋体" w:cs="宋体"/>
          <w:color w:val="auto"/>
          <w:kern w:val="2"/>
          <w:sz w:val="24"/>
          <w:szCs w:val="24"/>
          <w:highlight w:val="none"/>
        </w:rPr>
        <w:t>文件的一部分</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证明文件</w:t>
      </w:r>
      <w:r>
        <w:rPr>
          <w:rFonts w:hint="eastAsia" w:ascii="宋体" w:hAnsi="宋体" w:eastAsia="宋体" w:cs="宋体"/>
          <w:color w:val="auto"/>
          <w:kern w:val="2"/>
          <w:sz w:val="24"/>
          <w:szCs w:val="24"/>
          <w:highlight w:val="none"/>
          <w:lang w:val="en-US" w:eastAsia="zh-CN"/>
        </w:rPr>
        <w:t>形式</w:t>
      </w:r>
      <w:r>
        <w:rPr>
          <w:rFonts w:hint="eastAsia" w:ascii="宋体" w:hAnsi="宋体" w:eastAsia="宋体" w:cs="宋体"/>
          <w:color w:val="auto"/>
          <w:kern w:val="2"/>
          <w:sz w:val="24"/>
          <w:szCs w:val="24"/>
          <w:highlight w:val="none"/>
        </w:rPr>
        <w:t>可以是文字资料、图纸和数据</w:t>
      </w:r>
      <w:bookmarkStart w:id="206" w:name="_Hlk11703583"/>
      <w:r>
        <w:rPr>
          <w:rFonts w:hint="eastAsia" w:ascii="宋体" w:hAnsi="宋体" w:eastAsia="宋体" w:cs="宋体"/>
          <w:color w:val="auto"/>
          <w:kern w:val="2"/>
          <w:sz w:val="24"/>
          <w:szCs w:val="24"/>
          <w:highlight w:val="none"/>
          <w:lang w:val="en-US" w:eastAsia="zh-CN"/>
        </w:rPr>
        <w:t>等。</w:t>
      </w:r>
    </w:p>
    <w:bookmarkEnd w:id="206"/>
    <w:p w14:paraId="781BBAE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13.3</w:t>
      </w:r>
      <w:r>
        <w:rPr>
          <w:rFonts w:hint="eastAsia" w:ascii="宋体" w:hAnsi="宋体" w:eastAsia="宋体" w:cs="宋体"/>
          <w:color w:val="auto"/>
          <w:kern w:val="2"/>
          <w:sz w:val="24"/>
          <w:szCs w:val="24"/>
          <w:highlight w:val="none"/>
        </w:rPr>
        <w:t>为保证公平公正，除非</w:t>
      </w:r>
      <w:r>
        <w:rPr>
          <w:rFonts w:hint="eastAsia" w:ascii="宋体" w:hAnsi="宋体" w:eastAsia="宋体" w:cs="宋体"/>
          <w:color w:val="auto"/>
          <w:kern w:val="2"/>
          <w:sz w:val="24"/>
          <w:szCs w:val="24"/>
          <w:highlight w:val="none"/>
          <w:lang w:val="en-US" w:eastAsia="zh-CN"/>
        </w:rPr>
        <w:t>本</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lang w:val="en-US" w:eastAsia="zh-CN"/>
        </w:rPr>
        <w:t>文件</w:t>
      </w:r>
      <w:r>
        <w:rPr>
          <w:rFonts w:hint="eastAsia" w:ascii="宋体" w:hAnsi="宋体" w:eastAsia="宋体" w:cs="宋体"/>
          <w:color w:val="auto"/>
          <w:kern w:val="2"/>
          <w:sz w:val="24"/>
          <w:szCs w:val="24"/>
          <w:highlight w:val="none"/>
        </w:rPr>
        <w:t>另有规定或说明，</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对同一项目</w:t>
      </w:r>
      <w:r>
        <w:rPr>
          <w:rFonts w:hint="eastAsia" w:ascii="宋体" w:hAnsi="宋体" w:eastAsia="宋体" w:cs="宋体"/>
          <w:color w:val="auto"/>
          <w:kern w:val="2"/>
          <w:sz w:val="24"/>
          <w:szCs w:val="24"/>
          <w:highlight w:val="none"/>
          <w:lang w:val="en-US" w:eastAsia="zh-CN"/>
        </w:rPr>
        <w:t>响应</w:t>
      </w:r>
      <w:r>
        <w:rPr>
          <w:rFonts w:hint="eastAsia" w:ascii="宋体" w:hAnsi="宋体" w:eastAsia="宋体" w:cs="宋体"/>
          <w:color w:val="auto"/>
          <w:kern w:val="2"/>
          <w:sz w:val="24"/>
          <w:szCs w:val="24"/>
          <w:highlight w:val="none"/>
        </w:rPr>
        <w:t>时，不得同时提供备选</w:t>
      </w:r>
      <w:r>
        <w:rPr>
          <w:rFonts w:hint="eastAsia" w:ascii="宋体" w:hAnsi="宋体" w:eastAsia="宋体" w:cs="宋体"/>
          <w:color w:val="auto"/>
          <w:kern w:val="2"/>
          <w:sz w:val="24"/>
          <w:szCs w:val="24"/>
          <w:highlight w:val="none"/>
          <w:lang w:val="en-US" w:eastAsia="zh-CN"/>
        </w:rPr>
        <w:t>响应</w:t>
      </w:r>
      <w:r>
        <w:rPr>
          <w:rFonts w:hint="eastAsia" w:ascii="宋体" w:hAnsi="宋体" w:eastAsia="宋体" w:cs="宋体"/>
          <w:color w:val="auto"/>
          <w:kern w:val="2"/>
          <w:sz w:val="24"/>
          <w:szCs w:val="24"/>
          <w:highlight w:val="none"/>
        </w:rPr>
        <w:t>方案。</w:t>
      </w:r>
    </w:p>
    <w:p w14:paraId="5C8E7CA3">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07" w:name="_Toc109900383"/>
      <w:bookmarkStart w:id="208" w:name="_Toc24544"/>
      <w:bookmarkStart w:id="209" w:name="_Toc52962738"/>
      <w:bookmarkStart w:id="210" w:name="_Toc109899964"/>
      <w:bookmarkStart w:id="211" w:name="_Toc48846120"/>
      <w:bookmarkStart w:id="212" w:name="_Toc109897446"/>
      <w:bookmarkStart w:id="213" w:name="_Toc48688800"/>
      <w:bookmarkStart w:id="214" w:name="_Toc470172676"/>
      <w:bookmarkStart w:id="215" w:name="_Toc46772252"/>
      <w:bookmarkStart w:id="216" w:name="_Toc109899545"/>
      <w:bookmarkStart w:id="217" w:name="_Toc46771651"/>
      <w:bookmarkStart w:id="218" w:name="_Toc52960564"/>
      <w:bookmarkStart w:id="219" w:name="_Toc51674222"/>
      <w:bookmarkStart w:id="220" w:name="_Toc52962737"/>
      <w:bookmarkStart w:id="221" w:name="_Toc46772251"/>
      <w:bookmarkStart w:id="222" w:name="_Toc109897445"/>
      <w:bookmarkStart w:id="223" w:name="_Toc25217"/>
      <w:bookmarkStart w:id="224" w:name="_Toc48688799"/>
      <w:bookmarkStart w:id="225" w:name="_Toc51674221"/>
      <w:bookmarkStart w:id="226" w:name="_Toc109900382"/>
      <w:bookmarkStart w:id="227" w:name="_Toc48846119"/>
      <w:bookmarkStart w:id="228" w:name="_Toc52960563"/>
      <w:bookmarkStart w:id="229" w:name="_Toc109899963"/>
      <w:bookmarkStart w:id="230" w:name="_Toc46771650"/>
      <w:bookmarkStart w:id="231" w:name="_Toc109899544"/>
      <w:bookmarkStart w:id="232" w:name="_Toc470172675"/>
      <w:r>
        <w:rPr>
          <w:rFonts w:hint="eastAsia" w:ascii="宋体" w:hAnsi="宋体" w:eastAsia="宋体" w:cs="宋体"/>
          <w:b/>
          <w:bCs/>
          <w:color w:val="auto"/>
          <w:kern w:val="2"/>
          <w:sz w:val="24"/>
          <w:szCs w:val="24"/>
          <w:highlight w:val="none"/>
          <w:lang w:val="en-US" w:eastAsia="zh-CN" w:bidi="ar-SA"/>
        </w:rPr>
        <w:t>14.谈判报价</w:t>
      </w:r>
      <w:bookmarkEnd w:id="207"/>
      <w:bookmarkEnd w:id="208"/>
      <w:bookmarkEnd w:id="209"/>
      <w:bookmarkEnd w:id="210"/>
      <w:bookmarkEnd w:id="211"/>
      <w:bookmarkEnd w:id="212"/>
      <w:bookmarkEnd w:id="213"/>
      <w:bookmarkEnd w:id="214"/>
      <w:bookmarkEnd w:id="215"/>
      <w:bookmarkEnd w:id="216"/>
      <w:bookmarkEnd w:id="217"/>
      <w:bookmarkEnd w:id="218"/>
      <w:bookmarkEnd w:id="219"/>
    </w:p>
    <w:p w14:paraId="0640D6E7">
      <w:pPr>
        <w:pStyle w:val="35"/>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lang w:val="zh-CN"/>
        </w:rPr>
        <w:t>.1</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供应商的报价均应以人民币报价。</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报价包括</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供应商在首次提交的响应文件中的报价、</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过程中的报价和最后报价，</w:t>
      </w:r>
      <w:r>
        <w:rPr>
          <w:rFonts w:hint="eastAsia" w:ascii="宋体" w:hAnsi="宋体" w:eastAsia="宋体" w:cs="宋体"/>
          <w:snapToGrid w:val="0"/>
          <w:color w:val="auto"/>
          <w:sz w:val="24"/>
          <w:szCs w:val="24"/>
          <w:highlight w:val="none"/>
          <w:lang w:val="en-US" w:eastAsia="zh-CN"/>
        </w:rPr>
        <w:t>且均</w:t>
      </w:r>
      <w:r>
        <w:rPr>
          <w:rFonts w:hint="eastAsia" w:ascii="宋体" w:hAnsi="宋体" w:eastAsia="宋体" w:cs="宋体"/>
          <w:color w:val="auto"/>
          <w:sz w:val="24"/>
          <w:szCs w:val="24"/>
          <w:highlight w:val="none"/>
        </w:rPr>
        <w:t>不得超过</w:t>
      </w:r>
      <w:bookmarkStart w:id="233" w:name="_Hlk161703672"/>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第一章 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w:t>
      </w:r>
      <w:r>
        <w:rPr>
          <w:rFonts w:hint="eastAsia" w:ascii="宋体" w:hAnsi="宋体" w:eastAsia="宋体" w:cs="宋体"/>
          <w:color w:val="auto"/>
          <w:sz w:val="24"/>
          <w:szCs w:val="24"/>
          <w:highlight w:val="none"/>
        </w:rPr>
        <w:t>”中规定</w:t>
      </w:r>
      <w:bookmarkEnd w:id="233"/>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最高限价或者预算金额</w:t>
      </w:r>
      <w:r>
        <w:rPr>
          <w:rFonts w:hint="eastAsia" w:ascii="宋体" w:hAnsi="宋体" w:eastAsia="宋体" w:cs="宋体"/>
          <w:color w:val="auto"/>
          <w:sz w:val="24"/>
          <w:szCs w:val="24"/>
          <w:highlight w:val="none"/>
        </w:rPr>
        <w:t>，</w:t>
      </w:r>
      <w:r>
        <w:rPr>
          <w:rFonts w:hint="eastAsia" w:ascii="宋体" w:hAnsi="宋体" w:eastAsia="宋体" w:cs="宋体"/>
          <w:snapToGrid w:val="0"/>
          <w:color w:val="auto"/>
          <w:sz w:val="24"/>
          <w:szCs w:val="24"/>
          <w:highlight w:val="none"/>
          <w:lang w:val="zh-CN"/>
        </w:rPr>
        <w:t>否则其响应文件将被视为</w:t>
      </w:r>
      <w:r>
        <w:rPr>
          <w:rFonts w:hint="eastAsia" w:ascii="宋体" w:hAnsi="宋体" w:eastAsia="宋体" w:cs="宋体"/>
          <w:b/>
          <w:bCs/>
          <w:snapToGrid w:val="0"/>
          <w:color w:val="auto"/>
          <w:sz w:val="24"/>
          <w:szCs w:val="24"/>
          <w:highlight w:val="none"/>
          <w:lang w:val="zh-CN"/>
        </w:rPr>
        <w:t>无效文件</w:t>
      </w:r>
      <w:r>
        <w:rPr>
          <w:rFonts w:hint="eastAsia" w:ascii="宋体" w:hAnsi="宋体" w:eastAsia="宋体" w:cs="宋体"/>
          <w:snapToGrid w:val="0"/>
          <w:color w:val="auto"/>
          <w:sz w:val="24"/>
          <w:szCs w:val="24"/>
          <w:highlight w:val="none"/>
          <w:lang w:val="zh-CN"/>
        </w:rPr>
        <w:t>。</w:t>
      </w:r>
    </w:p>
    <w:p w14:paraId="300639DC">
      <w:pPr>
        <w:pStyle w:val="35"/>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lang w:val="zh-CN"/>
        </w:rPr>
        <w:t>.2供应商应按照本</w:t>
      </w:r>
      <w:r>
        <w:rPr>
          <w:rFonts w:hint="eastAsia" w:ascii="宋体" w:hAnsi="宋体" w:eastAsia="宋体" w:cs="宋体"/>
          <w:snapToGrid w:val="0"/>
          <w:color w:val="auto"/>
          <w:sz w:val="24"/>
          <w:szCs w:val="24"/>
          <w:highlight w:val="none"/>
          <w:lang w:val="zh-CN" w:eastAsia="zh-CN"/>
        </w:rPr>
        <w:t>谈判</w:t>
      </w:r>
      <w:r>
        <w:rPr>
          <w:rFonts w:hint="eastAsia" w:ascii="宋体" w:hAnsi="宋体" w:eastAsia="宋体" w:cs="宋体"/>
          <w:snapToGrid w:val="0"/>
          <w:color w:val="auto"/>
          <w:sz w:val="24"/>
          <w:szCs w:val="24"/>
          <w:highlight w:val="none"/>
          <w:lang w:val="zh-CN"/>
        </w:rPr>
        <w:t>文件</w:t>
      </w:r>
      <w:r>
        <w:rPr>
          <w:rFonts w:hint="eastAsia" w:cs="宋体"/>
          <w:snapToGrid w:val="0"/>
          <w:color w:val="auto"/>
          <w:sz w:val="24"/>
          <w:szCs w:val="24"/>
          <w:highlight w:val="none"/>
          <w:lang w:val="en-US" w:eastAsia="zh-CN"/>
        </w:rPr>
        <w:t>所载明</w:t>
      </w:r>
      <w:r>
        <w:rPr>
          <w:rFonts w:hint="eastAsia" w:ascii="宋体" w:hAnsi="宋体" w:eastAsia="宋体" w:cs="宋体"/>
          <w:snapToGrid w:val="0"/>
          <w:color w:val="auto"/>
          <w:sz w:val="24"/>
          <w:szCs w:val="24"/>
          <w:highlight w:val="none"/>
          <w:lang w:val="zh-CN"/>
        </w:rPr>
        <w:t>的采购需求及合同条款进行报价，并按</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文件确定的格式报</w:t>
      </w:r>
      <w:r>
        <w:rPr>
          <w:rFonts w:hint="eastAsia" w:cs="宋体"/>
          <w:snapToGrid w:val="0"/>
          <w:color w:val="auto"/>
          <w:sz w:val="24"/>
          <w:szCs w:val="24"/>
          <w:highlight w:val="none"/>
          <w:lang w:val="en-US" w:eastAsia="zh-CN"/>
        </w:rPr>
        <w:t>价</w:t>
      </w:r>
      <w:r>
        <w:rPr>
          <w:rFonts w:hint="eastAsia" w:ascii="宋体" w:hAnsi="宋体" w:eastAsia="宋体" w:cs="宋体"/>
          <w:snapToGrid w:val="0"/>
          <w:color w:val="auto"/>
          <w:sz w:val="24"/>
          <w:szCs w:val="24"/>
          <w:highlight w:val="none"/>
          <w:lang w:val="zh-CN"/>
        </w:rPr>
        <w:t>。</w:t>
      </w:r>
    </w:p>
    <w:p w14:paraId="487FB398">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snapToGrid w:val="0"/>
          <w:color w:val="auto"/>
          <w:sz w:val="24"/>
          <w:szCs w:val="24"/>
          <w:highlight w:val="none"/>
          <w:lang w:val="zh-CN"/>
        </w:rPr>
        <w:t>供应商</w:t>
      </w:r>
      <w:r>
        <w:rPr>
          <w:rFonts w:hint="eastAsia" w:ascii="宋体" w:hAnsi="宋体" w:eastAsia="宋体" w:cs="宋体"/>
          <w:color w:val="auto"/>
          <w:kern w:val="2"/>
          <w:sz w:val="24"/>
          <w:szCs w:val="24"/>
          <w:highlight w:val="none"/>
          <w:lang w:val="en-US" w:eastAsia="zh-CN"/>
        </w:rPr>
        <w:t>的报价应包括为完成本项目所发生的一切费用和税费，采购人将不再支付报价以外的任何费用。</w:t>
      </w:r>
      <w:r>
        <w:rPr>
          <w:rFonts w:hint="eastAsia" w:ascii="宋体" w:hAnsi="宋体" w:eastAsia="宋体" w:cs="宋体"/>
          <w:color w:val="auto"/>
          <w:kern w:val="2"/>
          <w:sz w:val="24"/>
          <w:szCs w:val="24"/>
          <w:highlight w:val="none"/>
        </w:rPr>
        <w:t>只要投报了一个确定数额的总价，无论分项价格是否全部填报了相应的金额或免费字样，</w:t>
      </w:r>
      <w:r>
        <w:rPr>
          <w:rFonts w:hint="eastAsia" w:cs="宋体"/>
          <w:color w:val="auto"/>
          <w:kern w:val="2"/>
          <w:sz w:val="24"/>
          <w:szCs w:val="24"/>
          <w:highlight w:val="none"/>
          <w:lang w:val="en-US" w:eastAsia="zh-CN"/>
        </w:rPr>
        <w:t>该</w:t>
      </w:r>
      <w:r>
        <w:rPr>
          <w:rFonts w:hint="eastAsia" w:ascii="宋体" w:hAnsi="宋体" w:eastAsia="宋体" w:cs="宋体"/>
          <w:color w:val="auto"/>
          <w:kern w:val="2"/>
          <w:sz w:val="24"/>
          <w:szCs w:val="24"/>
          <w:highlight w:val="none"/>
        </w:rPr>
        <w:t>报价应被视为已包含但不限于各项购买货物及其运送、安装、调试、验收、保险和相关服务等的费用和所需缴纳的所有价格、税、费。在其他情况下，由于分项报价填报不完整、不清楚或存在其他任何失误，所导致的任何不利后果均应当由</w:t>
      </w:r>
      <w:r>
        <w:rPr>
          <w:rFonts w:hint="eastAsia" w:ascii="宋体" w:hAnsi="宋体" w:eastAsia="宋体" w:cs="宋体"/>
          <w:snapToGrid w:val="0"/>
          <w:color w:val="auto"/>
          <w:sz w:val="24"/>
          <w:szCs w:val="24"/>
          <w:highlight w:val="none"/>
          <w:lang w:val="zh-CN"/>
        </w:rPr>
        <w:t>供应商</w:t>
      </w:r>
      <w:r>
        <w:rPr>
          <w:rFonts w:hint="eastAsia" w:ascii="宋体" w:hAnsi="宋体" w:eastAsia="宋体" w:cs="宋体"/>
          <w:color w:val="auto"/>
          <w:kern w:val="2"/>
          <w:sz w:val="24"/>
          <w:szCs w:val="24"/>
          <w:highlight w:val="none"/>
        </w:rPr>
        <w:t>自行承担。</w:t>
      </w:r>
    </w:p>
    <w:p w14:paraId="009FDB1D">
      <w:pPr>
        <w:pStyle w:val="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snapToGrid w:val="0"/>
          <w:color w:val="auto"/>
          <w:sz w:val="24"/>
          <w:szCs w:val="24"/>
          <w:highlight w:val="none"/>
          <w:lang w:val="zh-CN"/>
        </w:rPr>
        <w:t>供应商</w:t>
      </w:r>
      <w:r>
        <w:rPr>
          <w:rFonts w:hint="eastAsia" w:ascii="宋体" w:hAnsi="宋体" w:eastAsia="宋体" w:cs="宋体"/>
          <w:color w:val="auto"/>
          <w:kern w:val="2"/>
          <w:sz w:val="24"/>
          <w:szCs w:val="24"/>
          <w:highlight w:val="none"/>
          <w:lang w:val="en-US" w:eastAsia="zh-CN"/>
        </w:rPr>
        <w:t xml:space="preserve">的报价应包括但不限于下列内容： </w:t>
      </w:r>
    </w:p>
    <w:p w14:paraId="058AFCD3">
      <w:pPr>
        <w:pStyle w:val="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snapToGrid w:val="0"/>
          <w:color w:val="auto"/>
          <w:kern w:val="2"/>
          <w:sz w:val="24"/>
          <w:szCs w:val="24"/>
          <w:highlight w:val="none"/>
          <w:lang w:val="en-US" w:eastAsia="zh-CN" w:bidi="ar-SA"/>
        </w:rPr>
        <w:t>14.2.1 谈判货物及标准附件、备品备件、专用工具等的出厂价（包括已在中国国内的进口货物完税后的仓库交货价、展室交货价或货架交货价）和运至最终</w:t>
      </w:r>
      <w:r>
        <w:rPr>
          <w:rFonts w:hint="eastAsia" w:ascii="宋体" w:hAnsi="宋体" w:eastAsia="宋体" w:cs="宋体"/>
          <w:color w:val="auto"/>
          <w:kern w:val="2"/>
          <w:sz w:val="24"/>
          <w:szCs w:val="24"/>
          <w:highlight w:val="none"/>
          <w:lang w:val="en-US" w:eastAsia="zh-CN"/>
        </w:rPr>
        <w:t xml:space="preserve">目的地的运输费和保险费，安装调试、检验、技术服务、培训、质量保证、售后服务、税费等； </w:t>
      </w:r>
    </w:p>
    <w:p w14:paraId="2ACD190C">
      <w:pPr>
        <w:pStyle w:val="35"/>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color w:val="auto"/>
          <w:kern w:val="2"/>
          <w:sz w:val="24"/>
          <w:szCs w:val="24"/>
          <w:highlight w:val="none"/>
          <w:lang w:val="en-US" w:eastAsia="zh-CN"/>
        </w:rPr>
        <w:t>14.2.2 按照</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lang w:val="en-US" w:eastAsia="zh-CN"/>
        </w:rPr>
        <w:t>文件要求完成本项目的全部相关费用。</w:t>
      </w:r>
    </w:p>
    <w:p w14:paraId="11C9B78F">
      <w:pPr>
        <w:pStyle w:val="35"/>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lang w:val="zh-CN"/>
        </w:rPr>
        <w:t>.3</w:t>
      </w:r>
      <w:r>
        <w:rPr>
          <w:rFonts w:hint="eastAsia" w:ascii="宋体" w:hAnsi="宋体" w:eastAsia="宋体" w:cs="宋体"/>
          <w:snapToGrid w:val="0"/>
          <w:color w:val="auto"/>
          <w:sz w:val="24"/>
          <w:szCs w:val="24"/>
          <w:highlight w:val="none"/>
          <w:lang w:val="en-US" w:eastAsia="zh-CN"/>
        </w:rPr>
        <w:t>供应商</w:t>
      </w:r>
      <w:r>
        <w:rPr>
          <w:rFonts w:hint="eastAsia" w:ascii="宋体" w:hAnsi="宋体" w:eastAsia="宋体" w:cs="宋体"/>
          <w:snapToGrid w:val="0"/>
          <w:color w:val="auto"/>
          <w:sz w:val="24"/>
          <w:szCs w:val="24"/>
          <w:highlight w:val="none"/>
          <w:lang w:val="zh-CN"/>
        </w:rPr>
        <w:t>须严格按照报价明细表规定的内容填写货物单价以及其他事项。供应商应根据本</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文件的规定和要求、市场价格水平及其走势、</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供应商的管理水平、</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供应商的方案和由这些因素决定的</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供应商之于本项目的成本水平等提出自己的报价。报价应合理，并包含完成本</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文件</w:t>
      </w:r>
      <w:r>
        <w:rPr>
          <w:rFonts w:hint="eastAsia" w:ascii="宋体" w:hAnsi="宋体" w:eastAsia="宋体" w:cs="宋体"/>
          <w:snapToGrid w:val="0"/>
          <w:color w:val="auto"/>
          <w:sz w:val="24"/>
          <w:szCs w:val="24"/>
          <w:highlight w:val="none"/>
          <w:lang w:val="en-US" w:eastAsia="zh-CN"/>
        </w:rPr>
        <w:t>项目</w:t>
      </w:r>
      <w:r>
        <w:rPr>
          <w:rFonts w:hint="eastAsia" w:ascii="宋体" w:hAnsi="宋体" w:eastAsia="宋体" w:cs="宋体"/>
          <w:snapToGrid w:val="0"/>
          <w:color w:val="auto"/>
          <w:sz w:val="24"/>
          <w:szCs w:val="24"/>
          <w:highlight w:val="none"/>
          <w:lang w:val="zh-CN"/>
        </w:rPr>
        <w:t>采购需求全部内容的所有费用，所有根据本</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文件或其它原因应由</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供应商支付的税款和其他应交纳的费用都应包括在报价中。</w:t>
      </w:r>
    </w:p>
    <w:p w14:paraId="3DB7F190">
      <w:pPr>
        <w:pStyle w:val="35"/>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lang w:val="zh-CN"/>
        </w:rPr>
        <w:t>.4供应商在响应文件中注明免费的项目将视为包含在报价中。</w:t>
      </w:r>
    </w:p>
    <w:p w14:paraId="2D8474D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5 </w:t>
      </w:r>
      <w:r>
        <w:rPr>
          <w:rFonts w:hint="eastAsia" w:ascii="宋体" w:hAnsi="宋体" w:eastAsia="宋体" w:cs="宋体"/>
          <w:color w:val="auto"/>
          <w:kern w:val="2"/>
          <w:sz w:val="24"/>
          <w:szCs w:val="24"/>
          <w:highlight w:val="none"/>
          <w:lang w:val="zh-CN" w:eastAsia="zh-CN"/>
        </w:rPr>
        <w:t>供应商</w:t>
      </w:r>
      <w:r>
        <w:rPr>
          <w:rFonts w:hint="eastAsia" w:ascii="宋体" w:hAnsi="宋体" w:eastAsia="宋体" w:cs="宋体"/>
          <w:color w:val="auto"/>
          <w:kern w:val="2"/>
          <w:sz w:val="24"/>
          <w:szCs w:val="24"/>
          <w:highlight w:val="none"/>
          <w:lang w:val="en-US" w:eastAsia="zh-CN"/>
        </w:rPr>
        <w:t>对</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报价若有说明应在</w:t>
      </w:r>
      <w:r>
        <w:rPr>
          <w:rFonts w:hint="eastAsia" w:ascii="宋体" w:hAnsi="宋体" w:eastAsia="宋体" w:cs="宋体"/>
          <w:color w:val="auto"/>
          <w:kern w:val="2"/>
          <w:sz w:val="24"/>
          <w:szCs w:val="24"/>
          <w:highlight w:val="none"/>
          <w:lang w:val="en-US" w:eastAsia="zh-CN"/>
        </w:rPr>
        <w:t>响应</w:t>
      </w:r>
      <w:r>
        <w:rPr>
          <w:rFonts w:hint="eastAsia" w:ascii="宋体" w:hAnsi="宋体" w:eastAsia="宋体" w:cs="宋体"/>
          <w:color w:val="auto"/>
          <w:kern w:val="2"/>
          <w:sz w:val="24"/>
          <w:szCs w:val="24"/>
          <w:highlight w:val="none"/>
        </w:rPr>
        <w:t>文件中显著处注明。</w:t>
      </w:r>
    </w:p>
    <w:p w14:paraId="1719007D">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除政策性文件规定以外，</w:t>
      </w:r>
      <w:r>
        <w:rPr>
          <w:rFonts w:hint="eastAsia" w:ascii="宋体" w:hAnsi="宋体" w:eastAsia="宋体" w:cs="宋体"/>
          <w:color w:val="auto"/>
          <w:kern w:val="2"/>
          <w:sz w:val="24"/>
          <w:szCs w:val="24"/>
          <w:highlight w:val="none"/>
          <w:lang w:val="zh-CN"/>
        </w:rPr>
        <w:t>供应商</w:t>
      </w:r>
      <w:r>
        <w:rPr>
          <w:rFonts w:hint="eastAsia" w:ascii="宋体" w:hAnsi="宋体" w:eastAsia="宋体" w:cs="宋体"/>
          <w:color w:val="auto"/>
          <w:kern w:val="2"/>
          <w:sz w:val="24"/>
          <w:szCs w:val="24"/>
          <w:highlight w:val="none"/>
        </w:rPr>
        <w:t>所报价格在合同实施期间不因市场变化因素而变动。</w:t>
      </w:r>
    </w:p>
    <w:p w14:paraId="749D37C5">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6 </w:t>
      </w:r>
      <w:r>
        <w:rPr>
          <w:rFonts w:hint="eastAsia" w:ascii="宋体" w:hAnsi="宋体" w:eastAsia="宋体" w:cs="宋体"/>
          <w:color w:val="auto"/>
          <w:kern w:val="2"/>
          <w:sz w:val="24"/>
          <w:szCs w:val="24"/>
          <w:highlight w:val="none"/>
        </w:rPr>
        <w:t>对于有配件、耗材、选件、备件和特殊工具的货物，还应填报</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货物配件、耗材、选件表和备件及特殊工具清单，注明品牌、型号、产地、功能、单价、批量折扣等内容，该表格格式由</w:t>
      </w:r>
      <w:r>
        <w:rPr>
          <w:rFonts w:hint="eastAsia" w:ascii="宋体" w:hAnsi="宋体" w:eastAsia="宋体" w:cs="宋体"/>
          <w:color w:val="auto"/>
          <w:kern w:val="2"/>
          <w:sz w:val="24"/>
          <w:szCs w:val="24"/>
          <w:highlight w:val="none"/>
          <w:lang w:val="zh-CN"/>
        </w:rPr>
        <w:t>供应商</w:t>
      </w:r>
      <w:r>
        <w:rPr>
          <w:rFonts w:hint="eastAsia" w:ascii="宋体" w:hAnsi="宋体" w:eastAsia="宋体" w:cs="宋体"/>
          <w:color w:val="auto"/>
          <w:kern w:val="2"/>
          <w:sz w:val="24"/>
          <w:szCs w:val="24"/>
          <w:highlight w:val="none"/>
        </w:rPr>
        <w:t>自行设计。</w:t>
      </w:r>
      <w:r>
        <w:rPr>
          <w:rFonts w:hint="eastAsia" w:ascii="宋体" w:hAnsi="宋体" w:eastAsia="宋体" w:cs="宋体"/>
          <w:color w:val="auto"/>
          <w:kern w:val="2"/>
          <w:sz w:val="24"/>
          <w:szCs w:val="24"/>
          <w:highlight w:val="none"/>
          <w:lang w:val="zh-CN"/>
        </w:rPr>
        <w:t>供应商</w:t>
      </w:r>
      <w:r>
        <w:rPr>
          <w:rFonts w:hint="eastAsia" w:ascii="宋体" w:hAnsi="宋体" w:eastAsia="宋体" w:cs="宋体"/>
          <w:color w:val="auto"/>
          <w:kern w:val="2"/>
          <w:sz w:val="24"/>
          <w:szCs w:val="24"/>
          <w:highlight w:val="none"/>
        </w:rPr>
        <w:t>按照上述要求分类报价，其目的是便于评</w:t>
      </w:r>
      <w:r>
        <w:rPr>
          <w:rFonts w:hint="eastAsia" w:ascii="宋体" w:hAnsi="宋体" w:eastAsia="宋体" w:cs="宋体"/>
          <w:color w:val="auto"/>
          <w:kern w:val="2"/>
          <w:sz w:val="24"/>
          <w:szCs w:val="24"/>
          <w:highlight w:val="none"/>
          <w:lang w:val="en-US" w:eastAsia="zh-CN"/>
        </w:rPr>
        <w:t>审</w:t>
      </w:r>
      <w:r>
        <w:rPr>
          <w:rFonts w:hint="eastAsia" w:ascii="宋体" w:hAnsi="宋体" w:eastAsia="宋体" w:cs="宋体"/>
          <w:color w:val="auto"/>
          <w:kern w:val="2"/>
          <w:sz w:val="24"/>
          <w:szCs w:val="24"/>
          <w:highlight w:val="none"/>
        </w:rPr>
        <w:t>，但在任何情况下并不限制采购人以其他条款签订合同的权利。</w:t>
      </w:r>
    </w:p>
    <w:p w14:paraId="2AA144BC">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2"/>
          <w:sz w:val="24"/>
          <w:szCs w:val="24"/>
          <w:highlight w:val="none"/>
          <w:lang w:val="en-US" w:eastAsia="zh-CN"/>
        </w:rPr>
        <w:t>14.</w:t>
      </w:r>
      <w:r>
        <w:rPr>
          <w:rFonts w:hint="eastAsia" w:cs="宋体"/>
          <w:color w:val="auto"/>
          <w:kern w:val="2"/>
          <w:sz w:val="24"/>
          <w:szCs w:val="24"/>
          <w:highlight w:val="none"/>
          <w:lang w:val="en-US" w:eastAsia="zh-CN"/>
        </w:rPr>
        <w:t>7</w:t>
      </w:r>
      <w:r>
        <w:rPr>
          <w:rFonts w:hint="eastAsia" w:ascii="宋体" w:hAnsi="宋体" w:eastAsia="宋体" w:cs="宋体"/>
          <w:color w:val="auto"/>
          <w:kern w:val="0"/>
          <w:sz w:val="24"/>
          <w:szCs w:val="24"/>
          <w:highlight w:val="none"/>
          <w:lang w:val="en-US" w:eastAsia="zh-CN" w:bidi="ar"/>
        </w:rPr>
        <w:t>采购人不得向供应商索要或者接受其给予的赠品、回扣或者与采购无关的其他商品、服务。</w:t>
      </w:r>
    </w:p>
    <w:p w14:paraId="4E58D7F7">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14.</w:t>
      </w:r>
      <w:r>
        <w:rPr>
          <w:rFonts w:hint="eastAsia"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val="en-US" w:eastAsia="zh-CN" w:bidi="ar"/>
        </w:rPr>
        <w:t>供应商不能提供任何有选择性或可调整的报价（</w:t>
      </w:r>
      <w:r>
        <w:rPr>
          <w:rFonts w:hint="eastAsia" w:cs="宋体"/>
          <w:color w:val="auto"/>
          <w:sz w:val="24"/>
          <w:szCs w:val="24"/>
          <w:highlight w:val="none"/>
          <w:lang w:val="en-US" w:eastAsia="zh-CN"/>
        </w:rPr>
        <w:t>谈判</w:t>
      </w:r>
      <w:r>
        <w:rPr>
          <w:rFonts w:hint="eastAsia" w:ascii="宋体" w:hAnsi="宋体" w:eastAsia="宋体" w:cs="宋体"/>
          <w:color w:val="auto"/>
          <w:kern w:val="0"/>
          <w:sz w:val="24"/>
          <w:szCs w:val="24"/>
          <w:highlight w:val="none"/>
          <w:lang w:val="en-US" w:eastAsia="zh-CN" w:bidi="ar"/>
        </w:rPr>
        <w:t>文件另有规定的除外），否则其</w:t>
      </w:r>
      <w:r>
        <w:rPr>
          <w:rFonts w:hint="eastAsia" w:ascii="宋体" w:hAnsi="宋体" w:eastAsia="宋体" w:cs="宋体"/>
          <w:b/>
          <w:bCs/>
          <w:color w:val="auto"/>
          <w:kern w:val="0"/>
          <w:sz w:val="24"/>
          <w:szCs w:val="24"/>
          <w:highlight w:val="none"/>
          <w:lang w:val="en-US" w:eastAsia="zh-CN" w:bidi="ar"/>
        </w:rPr>
        <w:t>响应无效</w:t>
      </w:r>
      <w:r>
        <w:rPr>
          <w:rFonts w:hint="eastAsia" w:ascii="宋体" w:hAnsi="宋体" w:eastAsia="宋体" w:cs="宋体"/>
          <w:color w:val="auto"/>
          <w:kern w:val="0"/>
          <w:sz w:val="24"/>
          <w:szCs w:val="24"/>
          <w:highlight w:val="none"/>
          <w:lang w:val="en-US" w:eastAsia="zh-CN" w:bidi="ar"/>
        </w:rPr>
        <w:t>。</w:t>
      </w:r>
    </w:p>
    <w:p w14:paraId="0CD8AEF2">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34" w:name="_Toc51674228"/>
      <w:bookmarkStart w:id="235" w:name="_Toc48688806"/>
      <w:bookmarkStart w:id="236" w:name="_Toc46772258"/>
      <w:bookmarkStart w:id="237" w:name="_Toc48846126"/>
      <w:bookmarkStart w:id="238" w:name="_Toc109897451"/>
      <w:bookmarkStart w:id="239" w:name="_Toc5668"/>
      <w:bookmarkStart w:id="240" w:name="_Toc52960570"/>
      <w:bookmarkStart w:id="241" w:name="_Toc109899550"/>
      <w:bookmarkStart w:id="242" w:name="_Toc109900388"/>
      <w:bookmarkStart w:id="243" w:name="_Toc470172682"/>
      <w:bookmarkStart w:id="244" w:name="_Toc52962744"/>
      <w:bookmarkStart w:id="245" w:name="_Toc109899969"/>
      <w:bookmarkStart w:id="246" w:name="_Toc46771657"/>
      <w:bookmarkStart w:id="247" w:name="_Toc52960566"/>
      <w:bookmarkStart w:id="248" w:name="_Toc48846122"/>
      <w:bookmarkStart w:id="249" w:name="_Toc46772254"/>
      <w:bookmarkStart w:id="250" w:name="_Toc52962740"/>
      <w:bookmarkStart w:id="251" w:name="_Toc470172678"/>
      <w:bookmarkStart w:id="252" w:name="_Toc51674224"/>
      <w:bookmarkStart w:id="253" w:name="_Toc109897448"/>
      <w:bookmarkStart w:id="254" w:name="_Toc109900385"/>
      <w:bookmarkStart w:id="255" w:name="_Toc109899966"/>
      <w:bookmarkStart w:id="256" w:name="_Toc109899547"/>
      <w:bookmarkStart w:id="257" w:name="_Toc48688802"/>
      <w:bookmarkStart w:id="258" w:name="_Toc46771653"/>
      <w:bookmarkStart w:id="259" w:name="_Toc3324"/>
      <w:r>
        <w:rPr>
          <w:rFonts w:hint="eastAsia" w:ascii="宋体" w:hAnsi="宋体" w:eastAsia="宋体" w:cs="宋体"/>
          <w:b/>
          <w:bCs/>
          <w:color w:val="auto"/>
          <w:kern w:val="2"/>
          <w:sz w:val="24"/>
          <w:szCs w:val="24"/>
          <w:highlight w:val="none"/>
          <w:lang w:val="en-US" w:eastAsia="zh-CN" w:bidi="ar-SA"/>
        </w:rPr>
        <w:t>15.响应文件有效期</w:t>
      </w:r>
      <w:bookmarkEnd w:id="234"/>
      <w:bookmarkEnd w:id="235"/>
      <w:bookmarkEnd w:id="236"/>
      <w:bookmarkEnd w:id="237"/>
      <w:bookmarkEnd w:id="238"/>
      <w:bookmarkEnd w:id="239"/>
      <w:bookmarkEnd w:id="240"/>
      <w:bookmarkEnd w:id="241"/>
      <w:bookmarkEnd w:id="242"/>
      <w:bookmarkEnd w:id="243"/>
      <w:bookmarkEnd w:id="244"/>
      <w:bookmarkEnd w:id="245"/>
      <w:bookmarkEnd w:id="246"/>
    </w:p>
    <w:p w14:paraId="6C3E470C">
      <w:pPr>
        <w:pStyle w:val="35"/>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1</w:t>
      </w:r>
      <w:r>
        <w:rPr>
          <w:rFonts w:hint="eastAsia" w:ascii="宋体" w:hAnsi="宋体" w:eastAsia="宋体" w:cs="宋体"/>
          <w:snapToGrid w:val="0"/>
          <w:color w:val="auto"/>
          <w:sz w:val="24"/>
          <w:szCs w:val="24"/>
          <w:highlight w:val="none"/>
          <w:lang w:val="en-US" w:eastAsia="zh-CN"/>
        </w:rPr>
        <w:t>5</w:t>
      </w:r>
      <w:r>
        <w:rPr>
          <w:rFonts w:hint="eastAsia" w:ascii="宋体" w:hAnsi="宋体" w:eastAsia="宋体" w:cs="宋体"/>
          <w:snapToGrid w:val="0"/>
          <w:color w:val="auto"/>
          <w:sz w:val="24"/>
          <w:szCs w:val="24"/>
          <w:highlight w:val="none"/>
          <w:lang w:val="zh-CN"/>
        </w:rPr>
        <w:t>.1</w:t>
      </w:r>
      <w:r>
        <w:rPr>
          <w:rFonts w:hint="eastAsia" w:ascii="宋体" w:hAnsi="宋体" w:eastAsia="宋体" w:cs="宋体"/>
          <w:snapToGrid w:val="0"/>
          <w:color w:val="auto"/>
          <w:sz w:val="24"/>
          <w:szCs w:val="24"/>
          <w:highlight w:val="none"/>
          <w:lang w:val="en-US" w:eastAsia="zh-CN"/>
        </w:rPr>
        <w:t>供应商提交的</w:t>
      </w:r>
      <w:r>
        <w:rPr>
          <w:rFonts w:hint="eastAsia" w:ascii="宋体" w:hAnsi="宋体" w:eastAsia="宋体" w:cs="宋体"/>
          <w:snapToGrid w:val="0"/>
          <w:color w:val="auto"/>
          <w:sz w:val="24"/>
          <w:szCs w:val="24"/>
          <w:highlight w:val="none"/>
          <w:lang w:val="zh-CN"/>
        </w:rPr>
        <w:t>响应文件有效期见“供应商须知前附表”，</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供应商承诺的响应文件</w:t>
      </w:r>
      <w:r>
        <w:rPr>
          <w:rFonts w:hint="eastAsia" w:ascii="宋体" w:hAnsi="宋体" w:eastAsia="宋体" w:cs="宋体"/>
          <w:snapToGrid w:val="0"/>
          <w:color w:val="auto"/>
          <w:sz w:val="24"/>
          <w:szCs w:val="24"/>
          <w:highlight w:val="none"/>
          <w:lang w:val="zh-CN" w:eastAsia="zh-CN"/>
        </w:rPr>
        <w:t>有效期少于</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eastAsia="zh-CN"/>
        </w:rPr>
        <w:t>文件规定期限的，其</w:t>
      </w:r>
      <w:r>
        <w:rPr>
          <w:rFonts w:hint="eastAsia" w:ascii="宋体" w:hAnsi="宋体" w:eastAsia="宋体" w:cs="宋体"/>
          <w:b/>
          <w:bCs/>
          <w:snapToGrid w:val="0"/>
          <w:color w:val="auto"/>
          <w:sz w:val="24"/>
          <w:szCs w:val="24"/>
          <w:highlight w:val="none"/>
          <w:lang w:val="en-US" w:eastAsia="zh-CN"/>
        </w:rPr>
        <w:t>响应</w:t>
      </w:r>
      <w:r>
        <w:rPr>
          <w:rFonts w:hint="eastAsia" w:ascii="宋体" w:hAnsi="宋体" w:eastAsia="宋体" w:cs="宋体"/>
          <w:b/>
          <w:bCs/>
          <w:snapToGrid w:val="0"/>
          <w:color w:val="auto"/>
          <w:sz w:val="24"/>
          <w:szCs w:val="24"/>
          <w:highlight w:val="none"/>
          <w:lang w:val="zh-CN" w:eastAsia="zh-CN"/>
        </w:rPr>
        <w:t>无效</w:t>
      </w:r>
      <w:r>
        <w:rPr>
          <w:rFonts w:hint="eastAsia" w:ascii="宋体" w:hAnsi="宋体" w:eastAsia="宋体" w:cs="宋体"/>
          <w:snapToGrid w:val="0"/>
          <w:color w:val="auto"/>
          <w:sz w:val="24"/>
          <w:szCs w:val="24"/>
          <w:highlight w:val="none"/>
          <w:lang w:val="zh-CN" w:eastAsia="zh-CN"/>
        </w:rPr>
        <w:t>。</w:t>
      </w:r>
    </w:p>
    <w:p w14:paraId="4DFC2505">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15.2 响应文件有效期从递交响应文件的截止之日起算。响应文件中承诺的有效期应当不少于竞争性</w:t>
      </w:r>
      <w:r>
        <w:rPr>
          <w:rFonts w:hint="eastAsia" w:cs="宋体"/>
          <w:color w:val="auto"/>
          <w:sz w:val="24"/>
          <w:szCs w:val="24"/>
          <w:highlight w:val="none"/>
          <w:lang w:val="en-US" w:eastAsia="zh-CN"/>
        </w:rPr>
        <w:t>谈判</w:t>
      </w:r>
      <w:r>
        <w:rPr>
          <w:rFonts w:hint="eastAsia" w:ascii="宋体" w:hAnsi="宋体" w:eastAsia="宋体" w:cs="宋体"/>
          <w:snapToGrid w:val="0"/>
          <w:color w:val="auto"/>
          <w:kern w:val="2"/>
          <w:sz w:val="24"/>
          <w:szCs w:val="24"/>
          <w:highlight w:val="none"/>
          <w:lang w:val="en-US" w:eastAsia="zh-CN" w:bidi="ar-SA"/>
        </w:rPr>
        <w:t>文件中载明的响应文件有效期。响应文件有效期内供应商撤销响应文件的，采购人或者采购代理机构可以不退还</w:t>
      </w:r>
      <w:r>
        <w:rPr>
          <w:rFonts w:hint="eastAsia" w:cs="宋体"/>
          <w:color w:val="auto"/>
          <w:sz w:val="24"/>
          <w:szCs w:val="24"/>
          <w:highlight w:val="none"/>
          <w:lang w:val="en-US" w:eastAsia="zh-CN"/>
        </w:rPr>
        <w:t>谈判</w:t>
      </w:r>
      <w:r>
        <w:rPr>
          <w:rFonts w:hint="eastAsia" w:ascii="宋体" w:hAnsi="宋体" w:eastAsia="宋体" w:cs="宋体"/>
          <w:snapToGrid w:val="0"/>
          <w:color w:val="auto"/>
          <w:kern w:val="2"/>
          <w:sz w:val="24"/>
          <w:szCs w:val="24"/>
          <w:highlight w:val="none"/>
          <w:lang w:val="en-US" w:eastAsia="zh-CN" w:bidi="ar-SA"/>
        </w:rPr>
        <w:t>保证金。</w:t>
      </w:r>
    </w:p>
    <w:p w14:paraId="414B33F5">
      <w:pPr>
        <w:pStyle w:val="35"/>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kern w:val="2"/>
          <w:sz w:val="24"/>
          <w:szCs w:val="24"/>
          <w:highlight w:val="none"/>
          <w:lang w:val="zh-CN" w:eastAsia="zh-CN" w:bidi="ar-SA"/>
        </w:rPr>
        <w:t>1</w:t>
      </w:r>
      <w:r>
        <w:rPr>
          <w:rFonts w:hint="eastAsia" w:ascii="宋体" w:hAnsi="宋体" w:eastAsia="宋体" w:cs="宋体"/>
          <w:snapToGrid w:val="0"/>
          <w:color w:val="auto"/>
          <w:kern w:val="2"/>
          <w:sz w:val="24"/>
          <w:szCs w:val="24"/>
          <w:highlight w:val="none"/>
          <w:lang w:val="en-US" w:eastAsia="zh-CN" w:bidi="ar-SA"/>
        </w:rPr>
        <w:t>5</w:t>
      </w:r>
      <w:r>
        <w:rPr>
          <w:rFonts w:hint="eastAsia" w:ascii="宋体" w:hAnsi="宋体" w:eastAsia="宋体" w:cs="宋体"/>
          <w:snapToGrid w:val="0"/>
          <w:color w:val="auto"/>
          <w:kern w:val="2"/>
          <w:sz w:val="24"/>
          <w:szCs w:val="24"/>
          <w:highlight w:val="none"/>
          <w:lang w:val="zh-CN" w:eastAsia="zh-CN" w:bidi="ar-SA"/>
        </w:rPr>
        <w:t>.</w:t>
      </w:r>
      <w:r>
        <w:rPr>
          <w:rFonts w:hint="eastAsia" w:ascii="宋体" w:hAnsi="宋体" w:eastAsia="宋体" w:cs="宋体"/>
          <w:snapToGrid w:val="0"/>
          <w:color w:val="auto"/>
          <w:kern w:val="2"/>
          <w:sz w:val="24"/>
          <w:szCs w:val="24"/>
          <w:highlight w:val="none"/>
          <w:lang w:val="en-US" w:eastAsia="zh-CN" w:bidi="ar-SA"/>
        </w:rPr>
        <w:t>3</w:t>
      </w:r>
      <w:r>
        <w:rPr>
          <w:rFonts w:hint="eastAsia" w:ascii="宋体" w:hAnsi="宋体" w:eastAsia="宋体" w:cs="宋体"/>
          <w:snapToGrid w:val="0"/>
          <w:color w:val="auto"/>
          <w:kern w:val="2"/>
          <w:sz w:val="24"/>
          <w:szCs w:val="24"/>
          <w:highlight w:val="none"/>
          <w:lang w:val="zh-CN" w:eastAsia="zh-CN" w:bidi="ar-SA"/>
        </w:rPr>
        <w:t>特殊情况下，在原响应文件有效期截止之前，采购代理机构或采购人</w:t>
      </w:r>
      <w:r>
        <w:rPr>
          <w:rFonts w:hint="eastAsia" w:ascii="宋体" w:hAnsi="宋体" w:eastAsia="宋体" w:cs="宋体"/>
          <w:snapToGrid w:val="0"/>
          <w:color w:val="auto"/>
          <w:sz w:val="24"/>
          <w:szCs w:val="24"/>
          <w:highlight w:val="none"/>
          <w:lang w:val="zh-CN"/>
        </w:rPr>
        <w:t>可要求供应商延长响应文件有效期。需要延长响应文件有效期时，采购代理机构或采购人将以书面形式通知所有</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供应商，供应商应以书面形式答复是否同意延长响应文件有效期。</w:t>
      </w:r>
    </w:p>
    <w:p w14:paraId="3803927F">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1</w:t>
      </w:r>
      <w:r>
        <w:rPr>
          <w:rFonts w:hint="eastAsia" w:ascii="宋体" w:hAnsi="宋体" w:eastAsia="宋体" w:cs="宋体"/>
          <w:snapToGrid w:val="0"/>
          <w:color w:val="auto"/>
          <w:sz w:val="24"/>
          <w:szCs w:val="24"/>
          <w:highlight w:val="none"/>
          <w:lang w:val="en-US" w:eastAsia="zh-CN"/>
        </w:rPr>
        <w:t>5</w:t>
      </w:r>
      <w:r>
        <w:rPr>
          <w:rFonts w:hint="eastAsia" w:ascii="宋体" w:hAnsi="宋体" w:eastAsia="宋体" w:cs="宋体"/>
          <w:snapToGrid w:val="0"/>
          <w:color w:val="auto"/>
          <w:sz w:val="24"/>
          <w:szCs w:val="24"/>
          <w:highlight w:val="none"/>
          <w:lang w:val="zh-CN"/>
        </w:rPr>
        <w:t>.</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lang w:val="zh-CN"/>
        </w:rPr>
        <w:t>供应商同意延长的，</w:t>
      </w:r>
      <w:r>
        <w:rPr>
          <w:rFonts w:hint="eastAsia" w:ascii="宋体" w:hAnsi="宋体" w:eastAsia="宋体" w:cs="宋体"/>
          <w:snapToGrid w:val="0"/>
          <w:color w:val="auto"/>
          <w:sz w:val="24"/>
          <w:szCs w:val="24"/>
          <w:highlight w:val="none"/>
          <w:lang w:val="en-US" w:eastAsia="zh-CN"/>
        </w:rPr>
        <w:t>其</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保证金的有效期也相应延长</w:t>
      </w:r>
      <w:r>
        <w:rPr>
          <w:rFonts w:hint="eastAsia" w:ascii="宋体" w:hAnsi="宋体" w:eastAsia="宋体" w:cs="宋体"/>
          <w:snapToGrid w:val="0"/>
          <w:color w:val="auto"/>
          <w:sz w:val="24"/>
          <w:szCs w:val="24"/>
          <w:highlight w:val="none"/>
          <w:lang w:val="zh-CN" w:eastAsia="zh-CN"/>
        </w:rPr>
        <w:t>，</w:t>
      </w:r>
      <w:r>
        <w:rPr>
          <w:rFonts w:hint="eastAsia" w:ascii="宋体" w:hAnsi="宋体" w:eastAsia="宋体" w:cs="宋体"/>
          <w:snapToGrid w:val="0"/>
          <w:color w:val="auto"/>
          <w:sz w:val="24"/>
          <w:szCs w:val="24"/>
          <w:highlight w:val="none"/>
          <w:lang w:val="zh-CN"/>
        </w:rPr>
        <w:t>不得要求或被允许修改或撤销其响应文件；供应商拒绝延长的，其响应文件在原响应文件有效期满后将不再有效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但其提交的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保证金可予以退还</w:t>
      </w:r>
      <w:r>
        <w:rPr>
          <w:rFonts w:hint="eastAsia" w:ascii="宋体" w:hAnsi="宋体" w:eastAsia="宋体" w:cs="宋体"/>
          <w:snapToGrid w:val="0"/>
          <w:color w:val="auto"/>
          <w:sz w:val="24"/>
          <w:szCs w:val="24"/>
          <w:highlight w:val="none"/>
          <w:lang w:val="zh-CN"/>
        </w:rPr>
        <w:t>。</w:t>
      </w:r>
    </w:p>
    <w:bookmarkEnd w:id="247"/>
    <w:bookmarkEnd w:id="248"/>
    <w:bookmarkEnd w:id="249"/>
    <w:bookmarkEnd w:id="250"/>
    <w:bookmarkEnd w:id="251"/>
    <w:bookmarkEnd w:id="252"/>
    <w:bookmarkEnd w:id="253"/>
    <w:bookmarkEnd w:id="254"/>
    <w:bookmarkEnd w:id="255"/>
    <w:bookmarkEnd w:id="256"/>
    <w:bookmarkEnd w:id="257"/>
    <w:bookmarkEnd w:id="258"/>
    <w:bookmarkEnd w:id="259"/>
    <w:p w14:paraId="26D695E6">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16.响应文件的编制</w:t>
      </w:r>
      <w:bookmarkEnd w:id="220"/>
      <w:bookmarkEnd w:id="221"/>
      <w:bookmarkEnd w:id="222"/>
      <w:bookmarkEnd w:id="223"/>
      <w:bookmarkEnd w:id="224"/>
      <w:bookmarkEnd w:id="225"/>
      <w:bookmarkEnd w:id="226"/>
      <w:bookmarkEnd w:id="227"/>
      <w:bookmarkEnd w:id="228"/>
      <w:bookmarkEnd w:id="229"/>
      <w:bookmarkEnd w:id="230"/>
      <w:bookmarkEnd w:id="231"/>
      <w:bookmarkEnd w:id="232"/>
    </w:p>
    <w:p w14:paraId="710ABAB7">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中进行编制，在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文件中要求加盖印章的，除有特殊说明之外，</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使用电子签章签署。</w:t>
      </w:r>
    </w:p>
    <w:p w14:paraId="6FD5FFC6">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中的格式要求填写响应内容后，生成</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须按照</w:t>
      </w:r>
      <w:r>
        <w:rPr>
          <w:rFonts w:hint="eastAsia" w:ascii="宋体" w:hAnsi="宋体" w:eastAsia="宋体" w:cs="宋体"/>
          <w:color w:val="auto"/>
          <w:sz w:val="24"/>
          <w:szCs w:val="24"/>
          <w:highlight w:val="none"/>
          <w:lang w:val="en-US" w:eastAsia="zh-CN"/>
        </w:rPr>
        <w:t>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文件的要求对要求加盖印章的部分逐一进行签章。</w:t>
      </w:r>
    </w:p>
    <w:p w14:paraId="4BB98241">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3供应商</w:t>
      </w:r>
      <w:r>
        <w:rPr>
          <w:rFonts w:hint="eastAsia" w:ascii="宋体" w:hAnsi="宋体" w:eastAsia="宋体" w:cs="宋体"/>
          <w:color w:val="auto"/>
          <w:sz w:val="24"/>
          <w:szCs w:val="24"/>
          <w:highlight w:val="none"/>
        </w:rPr>
        <w:t>应详细阅读</w:t>
      </w:r>
      <w:r>
        <w:rPr>
          <w:rFonts w:hint="eastAsia" w:ascii="宋体" w:hAnsi="宋体" w:eastAsia="宋体" w:cs="宋体"/>
          <w:color w:val="auto"/>
          <w:sz w:val="24"/>
          <w:szCs w:val="24"/>
          <w:highlight w:val="none"/>
          <w:lang w:val="en-US" w:eastAsia="zh-CN"/>
        </w:rPr>
        <w:t>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文件的全部内容。</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文件须对</w:t>
      </w:r>
      <w:r>
        <w:rPr>
          <w:rFonts w:hint="eastAsia" w:ascii="宋体" w:hAnsi="宋体" w:eastAsia="宋体" w:cs="宋体"/>
          <w:color w:val="auto"/>
          <w:sz w:val="24"/>
          <w:szCs w:val="24"/>
          <w:highlight w:val="none"/>
          <w:lang w:val="en-US" w:eastAsia="zh-CN"/>
        </w:rPr>
        <w:t>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文件中的内容作出实质性和完整的响应，如果</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文件填报的内容不详，或没有提供</w:t>
      </w:r>
      <w:r>
        <w:rPr>
          <w:rFonts w:hint="eastAsia" w:ascii="宋体" w:hAnsi="宋体" w:eastAsia="宋体" w:cs="宋体"/>
          <w:color w:val="auto"/>
          <w:sz w:val="24"/>
          <w:szCs w:val="24"/>
          <w:highlight w:val="none"/>
          <w:lang w:val="en-US" w:eastAsia="zh-CN"/>
        </w:rPr>
        <w:t>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文件中所要求的全部资料及数据，</w:t>
      </w:r>
      <w:r>
        <w:rPr>
          <w:rFonts w:hint="eastAsia" w:ascii="宋体" w:hAnsi="宋体" w:eastAsia="宋体" w:cs="宋体"/>
          <w:b w:val="0"/>
          <w:bCs w:val="0"/>
          <w:color w:val="auto"/>
          <w:sz w:val="24"/>
          <w:szCs w:val="24"/>
          <w:highlight w:val="none"/>
        </w:rPr>
        <w:t>将可能</w:t>
      </w:r>
      <w:r>
        <w:rPr>
          <w:rFonts w:hint="eastAsia" w:ascii="宋体" w:hAnsi="宋体" w:eastAsia="宋体" w:cs="宋体"/>
          <w:b/>
          <w:bCs/>
          <w:color w:val="auto"/>
          <w:sz w:val="24"/>
          <w:szCs w:val="24"/>
          <w:highlight w:val="none"/>
        </w:rPr>
        <w:t>导致</w:t>
      </w:r>
      <w:r>
        <w:rPr>
          <w:rFonts w:hint="eastAsia" w:ascii="宋体" w:hAnsi="宋体" w:eastAsia="宋体" w:cs="宋体"/>
          <w:b/>
          <w:bCs/>
          <w:color w:val="auto"/>
          <w:sz w:val="24"/>
          <w:szCs w:val="24"/>
          <w:highlight w:val="none"/>
          <w:lang w:val="en-US" w:eastAsia="zh-CN"/>
        </w:rPr>
        <w:t>其</w:t>
      </w:r>
      <w:r>
        <w:rPr>
          <w:rFonts w:hint="eastAsia" w:ascii="宋体" w:hAnsi="宋体" w:eastAsia="宋体" w:cs="宋体"/>
          <w:b/>
          <w:bCs/>
          <w:color w:val="auto"/>
          <w:sz w:val="24"/>
          <w:szCs w:val="24"/>
          <w:highlight w:val="none"/>
          <w:lang w:eastAsia="zh-CN"/>
        </w:rPr>
        <w:t>响应</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rPr>
        <w:t>。</w:t>
      </w:r>
    </w:p>
    <w:p w14:paraId="2D3AC267">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4响应</w:t>
      </w:r>
      <w:r>
        <w:rPr>
          <w:rFonts w:hint="eastAsia" w:ascii="宋体" w:hAnsi="宋体" w:eastAsia="宋体" w:cs="宋体"/>
          <w:color w:val="auto"/>
          <w:sz w:val="24"/>
          <w:szCs w:val="24"/>
          <w:highlight w:val="none"/>
        </w:rPr>
        <w:t>文件须严格按照</w:t>
      </w:r>
      <w:r>
        <w:rPr>
          <w:rFonts w:hint="eastAsia" w:ascii="宋体" w:hAnsi="宋体" w:eastAsia="宋体" w:cs="宋体"/>
          <w:color w:val="auto"/>
          <w:sz w:val="24"/>
          <w:szCs w:val="24"/>
          <w:highlight w:val="none"/>
          <w:lang w:val="en-US" w:eastAsia="zh-CN"/>
        </w:rPr>
        <w:t>本竞争性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文件第</w:t>
      </w:r>
      <w:r>
        <w:rPr>
          <w:rFonts w:hint="eastAsia" w:ascii="宋体" w:hAnsi="宋体" w:eastAsia="宋体" w:cs="宋体"/>
          <w:color w:val="auto"/>
          <w:sz w:val="24"/>
          <w:szCs w:val="24"/>
          <w:highlight w:val="none"/>
          <w:lang w:val="en-US" w:eastAsia="zh-CN"/>
        </w:rPr>
        <w:t>六章</w:t>
      </w:r>
      <w:r>
        <w:rPr>
          <w:rFonts w:hint="eastAsia" w:ascii="宋体" w:hAnsi="宋体" w:eastAsia="宋体" w:cs="宋体"/>
          <w:color w:val="auto"/>
          <w:sz w:val="24"/>
          <w:szCs w:val="24"/>
          <w:highlight w:val="none"/>
        </w:rPr>
        <w:t>规定的格式提交，并按规定的统一格式逐项填写，不准有空项；无相应内容可填</w:t>
      </w:r>
      <w:r>
        <w:rPr>
          <w:rFonts w:hint="eastAsia" w:ascii="宋体" w:hAnsi="宋体" w:eastAsia="宋体" w:cs="宋体"/>
          <w:color w:val="auto"/>
          <w:sz w:val="24"/>
          <w:szCs w:val="24"/>
          <w:highlight w:val="none"/>
          <w:lang w:eastAsia="zh-CN"/>
        </w:rPr>
        <w:t>写的部分</w:t>
      </w:r>
      <w:r>
        <w:rPr>
          <w:rFonts w:hint="eastAsia" w:ascii="宋体" w:hAnsi="宋体" w:eastAsia="宋体" w:cs="宋体"/>
          <w:color w:val="auto"/>
          <w:sz w:val="24"/>
          <w:szCs w:val="24"/>
          <w:highlight w:val="none"/>
        </w:rPr>
        <w:t>，应填写“无”、“未测试”、“没有相应指标”等明确的文字回答。由于编排混乱导致</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文件被误读或查找不到，其责任由</w:t>
      </w:r>
      <w:r>
        <w:rPr>
          <w:rFonts w:hint="eastAsia" w:ascii="宋体" w:hAnsi="宋体" w:eastAsia="宋体" w:cs="宋体"/>
          <w:color w:val="auto"/>
          <w:sz w:val="24"/>
          <w:szCs w:val="24"/>
          <w:highlight w:val="none"/>
          <w:lang w:val="en-US" w:eastAsia="zh-CN"/>
        </w:rPr>
        <w:t>供应商自行</w:t>
      </w:r>
      <w:r>
        <w:rPr>
          <w:rFonts w:hint="eastAsia" w:ascii="宋体" w:hAnsi="宋体" w:eastAsia="宋体" w:cs="宋体"/>
          <w:color w:val="auto"/>
          <w:sz w:val="24"/>
          <w:szCs w:val="24"/>
          <w:highlight w:val="none"/>
        </w:rPr>
        <w:t>承担。</w:t>
      </w:r>
    </w:p>
    <w:p w14:paraId="0AB47C84">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5供应商</w:t>
      </w:r>
      <w:r>
        <w:rPr>
          <w:rFonts w:hint="eastAsia" w:ascii="宋体" w:hAnsi="宋体" w:eastAsia="宋体" w:cs="宋体"/>
          <w:color w:val="auto"/>
          <w:sz w:val="24"/>
          <w:szCs w:val="24"/>
          <w:highlight w:val="none"/>
        </w:rPr>
        <w:t>须注意：为合理节约政府采购评审成本，提倡诚实信用的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行为，特别要求</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应本着诚信精神，在本次</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文件的偏离表中，均以审慎的态度明确、清楚地披露各项偏离。若</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对某一事项是否存在或是否属于偏离不能确定，亦必须在偏离表中清楚地表明该偏离事项，并可以注明不能确定的字样。任何情况下，对于</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没有在偏离表中明确、清楚地披露的事项，包括可能属于被</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在偏离表中遗漏披露的事项，一旦在评审中被发现存在偏离或被认定为属于偏离，则评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委员会有权视具体情形评审时予以处理，</w:t>
      </w:r>
      <w:r>
        <w:rPr>
          <w:rFonts w:hint="eastAsia" w:ascii="宋体" w:hAnsi="宋体" w:eastAsia="宋体" w:cs="宋体"/>
          <w:b/>
          <w:bCs/>
          <w:color w:val="auto"/>
          <w:sz w:val="24"/>
          <w:szCs w:val="24"/>
          <w:highlight w:val="none"/>
        </w:rPr>
        <w:t>将可能导致</w:t>
      </w:r>
      <w:r>
        <w:rPr>
          <w:rFonts w:hint="eastAsia" w:ascii="宋体" w:hAnsi="宋体" w:eastAsia="宋体" w:cs="宋体"/>
          <w:b/>
          <w:bCs/>
          <w:color w:val="auto"/>
          <w:sz w:val="24"/>
          <w:szCs w:val="24"/>
          <w:highlight w:val="none"/>
          <w:lang w:eastAsia="zh-CN"/>
        </w:rPr>
        <w:t>响应</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rPr>
        <w:t>。</w:t>
      </w:r>
    </w:p>
    <w:p w14:paraId="54FCBEFF">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6供应商</w:t>
      </w:r>
      <w:r>
        <w:rPr>
          <w:rFonts w:hint="eastAsia" w:ascii="宋体" w:hAnsi="宋体" w:eastAsia="宋体" w:cs="宋体"/>
          <w:color w:val="auto"/>
          <w:sz w:val="24"/>
          <w:szCs w:val="24"/>
          <w:highlight w:val="none"/>
        </w:rPr>
        <w:t>必须保证</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文件所提供的全部资料</w:t>
      </w:r>
      <w:r>
        <w:rPr>
          <w:rFonts w:hint="eastAsia" w:ascii="宋体" w:hAnsi="宋体" w:eastAsia="宋体" w:cs="宋体"/>
          <w:color w:val="auto"/>
          <w:sz w:val="24"/>
          <w:szCs w:val="24"/>
          <w:highlight w:val="none"/>
          <w:lang w:eastAsia="zh-CN"/>
        </w:rPr>
        <w:t>合法、</w:t>
      </w:r>
      <w:r>
        <w:rPr>
          <w:rFonts w:hint="eastAsia" w:ascii="宋体" w:hAnsi="宋体" w:eastAsia="宋体" w:cs="宋体"/>
          <w:color w:val="auto"/>
          <w:sz w:val="24"/>
          <w:szCs w:val="24"/>
          <w:highlight w:val="none"/>
        </w:rPr>
        <w:t>真实可靠，并接受采购</w:t>
      </w:r>
      <w:r>
        <w:rPr>
          <w:rFonts w:hint="eastAsia" w:ascii="宋体" w:hAnsi="宋体" w:eastAsia="宋体" w:cs="宋体"/>
          <w:color w:val="auto"/>
          <w:sz w:val="24"/>
          <w:szCs w:val="24"/>
          <w:highlight w:val="none"/>
          <w:lang w:val="en-US" w:eastAsia="zh-CN"/>
        </w:rPr>
        <w:t>人、采购</w:t>
      </w:r>
      <w:r>
        <w:rPr>
          <w:rFonts w:hint="eastAsia" w:ascii="宋体" w:hAnsi="宋体" w:eastAsia="宋体" w:cs="宋体"/>
          <w:color w:val="auto"/>
          <w:sz w:val="24"/>
          <w:szCs w:val="24"/>
          <w:highlight w:val="none"/>
        </w:rPr>
        <w:t>代理机构或评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委员会对其中任何资料进一步审查的要求。</w:t>
      </w:r>
    </w:p>
    <w:p w14:paraId="7064EC31">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7供应商</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color w:val="auto"/>
          <w:sz w:val="24"/>
          <w:szCs w:val="24"/>
          <w:highlight w:val="none"/>
        </w:rPr>
        <w:t>无效</w:t>
      </w:r>
      <w:r>
        <w:rPr>
          <w:rFonts w:hint="eastAsia" w:ascii="宋体" w:hAnsi="宋体" w:eastAsia="宋体" w:cs="宋体"/>
          <w:b/>
          <w:bCs/>
          <w:color w:val="auto"/>
          <w:sz w:val="24"/>
          <w:szCs w:val="24"/>
          <w:highlight w:val="none"/>
          <w:lang w:val="en-US" w:eastAsia="zh-CN"/>
        </w:rPr>
        <w:t>响应</w:t>
      </w:r>
      <w:r>
        <w:rPr>
          <w:rFonts w:hint="eastAsia" w:ascii="宋体" w:hAnsi="宋体" w:eastAsia="宋体" w:cs="宋体"/>
          <w:color w:val="auto"/>
          <w:sz w:val="24"/>
          <w:szCs w:val="24"/>
          <w:highlight w:val="none"/>
        </w:rPr>
        <w:t>处理。</w:t>
      </w:r>
    </w:p>
    <w:p w14:paraId="4071B61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16.8电子响应文件的编制</w:t>
      </w:r>
    </w:p>
    <w:p w14:paraId="4A87E245">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16.8.1电子响应文件需按竞争性</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文件要求进行制作编制。响应文件制作时，不同内容按标签提示制作导入，按照竞争性</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文件中明确的响应文件目录和格式进行编制，保证目录清晰、内容完整。           </w:t>
      </w:r>
    </w:p>
    <w:p w14:paraId="1D4C561F">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16.8.2电子</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文件及响应文件具有法律效力，与其他形式的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文件及响应文件在内容和格式上等同，若响应文件与竞争性</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文件要求不一致，其内容影响成交结果时，责任由供应商自行承担。供应商递交的电子响应文件因供应商自身原因而导致无法导入电子辅助评标系统，该响应文件被视为无效响应文件，</w:t>
      </w:r>
      <w:r>
        <w:rPr>
          <w:rFonts w:hint="eastAsia" w:ascii="宋体" w:hAnsi="宋体" w:eastAsia="宋体" w:cs="宋体"/>
          <w:b/>
          <w:bCs/>
          <w:iCs/>
          <w:color w:val="auto"/>
          <w:kern w:val="2"/>
          <w:sz w:val="24"/>
          <w:szCs w:val="24"/>
          <w:highlight w:val="none"/>
          <w:shd w:val="clear" w:color="auto" w:fill="FFFFFF" w:themeFill="background1"/>
          <w:lang w:val="en-US" w:eastAsia="zh-CN" w:bidi="ar-SA"/>
        </w:rPr>
        <w:t>其响应无效</w:t>
      </w:r>
      <w:r>
        <w:rPr>
          <w:rFonts w:hint="eastAsia" w:ascii="宋体" w:hAnsi="宋体" w:eastAsia="宋体" w:cs="宋体"/>
          <w:b/>
          <w:bCs/>
          <w:color w:val="auto"/>
          <w:sz w:val="24"/>
          <w:szCs w:val="24"/>
          <w:highlight w:val="none"/>
        </w:rPr>
        <w:t>。</w:t>
      </w:r>
    </w:p>
    <w:p w14:paraId="72852751">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60" w:name="_Toc109900390"/>
      <w:bookmarkStart w:id="261" w:name="_Toc109899552"/>
      <w:bookmarkStart w:id="262" w:name="_Toc470172684"/>
      <w:bookmarkStart w:id="263" w:name="_Toc109897453"/>
      <w:bookmarkStart w:id="264" w:name="_Toc46771659"/>
      <w:bookmarkStart w:id="265" w:name="_Toc109899971"/>
      <w:bookmarkStart w:id="266" w:name="_Toc163493614"/>
      <w:bookmarkStart w:id="267" w:name="_Toc6033"/>
      <w:r>
        <w:rPr>
          <w:rFonts w:hint="eastAsia" w:ascii="宋体" w:hAnsi="宋体" w:eastAsia="宋体" w:cs="宋体"/>
          <w:b/>
          <w:bCs/>
          <w:color w:val="auto"/>
          <w:kern w:val="2"/>
          <w:sz w:val="24"/>
          <w:szCs w:val="24"/>
          <w:highlight w:val="none"/>
          <w:lang w:val="en-US" w:eastAsia="zh-CN" w:bidi="ar-SA"/>
        </w:rPr>
        <w:t>（四）响应文件的</w:t>
      </w:r>
      <w:bookmarkEnd w:id="260"/>
      <w:bookmarkEnd w:id="261"/>
      <w:bookmarkEnd w:id="262"/>
      <w:bookmarkEnd w:id="263"/>
      <w:bookmarkEnd w:id="264"/>
      <w:bookmarkEnd w:id="265"/>
      <w:r>
        <w:rPr>
          <w:rFonts w:hint="eastAsia" w:ascii="宋体" w:hAnsi="宋体" w:eastAsia="宋体" w:cs="宋体"/>
          <w:b/>
          <w:bCs/>
          <w:color w:val="auto"/>
          <w:kern w:val="2"/>
          <w:sz w:val="24"/>
          <w:szCs w:val="24"/>
          <w:highlight w:val="none"/>
          <w:lang w:val="en-US" w:eastAsia="zh-CN" w:bidi="ar-SA"/>
        </w:rPr>
        <w:t>递交</w:t>
      </w:r>
      <w:bookmarkEnd w:id="266"/>
      <w:bookmarkEnd w:id="267"/>
    </w:p>
    <w:p w14:paraId="01810122">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68" w:name="_Toc109900070"/>
      <w:bookmarkStart w:id="269" w:name="_Toc109900489"/>
      <w:bookmarkStart w:id="270" w:name="_Toc109897552"/>
      <w:bookmarkStart w:id="271" w:name="_Toc109899651"/>
      <w:bookmarkStart w:id="272" w:name="_Toc155095707"/>
      <w:bookmarkStart w:id="273" w:name="_Toc156490296"/>
      <w:bookmarkStart w:id="274" w:name="_Toc109899652"/>
      <w:bookmarkStart w:id="275" w:name="_Toc109900490"/>
      <w:bookmarkStart w:id="276" w:name="_Toc109897553"/>
      <w:bookmarkStart w:id="277" w:name="_Toc109900071"/>
      <w:bookmarkStart w:id="278" w:name="_Toc155095708"/>
      <w:bookmarkStart w:id="279" w:name="_Toc156490297"/>
      <w:r>
        <w:rPr>
          <w:rFonts w:hint="eastAsia" w:ascii="宋体" w:hAnsi="宋体" w:eastAsia="宋体" w:cs="宋体"/>
          <w:b/>
          <w:bCs/>
          <w:color w:val="auto"/>
          <w:kern w:val="2"/>
          <w:sz w:val="24"/>
          <w:szCs w:val="24"/>
          <w:highlight w:val="none"/>
          <w:lang w:val="en-US" w:eastAsia="zh-CN" w:bidi="ar-SA"/>
        </w:rPr>
        <w:t>17.谈判保证金</w:t>
      </w:r>
    </w:p>
    <w:p w14:paraId="4DEF946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17.1供应商应按照竞争性</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文件“供应商须知前附表”规定的金额及要求交纳</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保证金。供应商自愿超额缴纳</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保证金的，响应文件不做无效处理。</w:t>
      </w:r>
    </w:p>
    <w:p w14:paraId="77BF1621">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b/>
          <w:bCs/>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17.2交纳</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保证金可采用的形式：政府采购法律法规接受的支票、汇票、本票、网上银行支付或者金融机构、担保机构出具的保函等非现金形式。未按</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文件要求提交</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保证金的，其</w:t>
      </w:r>
      <w:r>
        <w:rPr>
          <w:rFonts w:hint="eastAsia" w:ascii="宋体" w:hAnsi="宋体" w:eastAsia="宋体" w:cs="宋体"/>
          <w:b/>
          <w:bCs/>
          <w:iCs/>
          <w:color w:val="auto"/>
          <w:kern w:val="2"/>
          <w:sz w:val="24"/>
          <w:szCs w:val="24"/>
          <w:highlight w:val="none"/>
          <w:shd w:val="clear" w:color="auto" w:fill="FFFFFF" w:themeFill="background1"/>
          <w:lang w:val="en-US" w:eastAsia="zh-CN" w:bidi="ar-SA"/>
        </w:rPr>
        <w:t>响应无效。</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保证金有效期同响应文件有效期。</w:t>
      </w:r>
    </w:p>
    <w:p w14:paraId="0C3CACC6">
      <w:pPr>
        <w:pStyle w:val="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
          <w:bCs/>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17.3</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保证金到账（保函提交）截止时间同响应文件递交截止时间。以支票、汇票、本票、网上银行支付等形式提交</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保证金的，应在响应文件递交截止时间前到账；以金融机构、担保机构出具的保函等形式提交</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保证金的，应在响应文件递交截止时间前将</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保证金支付件扫描后作为响应文件的组成部分与响应文件一起上传。由于到账时间晚于响应文件递交截止时间，或者票据错误、印鉴不清等原因导致不能到账的</w:t>
      </w:r>
      <w:r>
        <w:rPr>
          <w:rFonts w:hint="eastAsia" w:ascii="宋体" w:hAnsi="宋体" w:eastAsia="宋体" w:cs="宋体"/>
          <w:b w:val="0"/>
          <w:bCs w:val="0"/>
          <w:iCs/>
          <w:color w:val="auto"/>
          <w:kern w:val="2"/>
          <w:sz w:val="24"/>
          <w:szCs w:val="24"/>
          <w:highlight w:val="none"/>
          <w:shd w:val="clear" w:color="auto" w:fill="FFFFFF" w:themeFill="background1"/>
          <w:lang w:val="en-US" w:eastAsia="zh-CN" w:bidi="ar-SA"/>
        </w:rPr>
        <w:t>，</w:t>
      </w:r>
      <w:r>
        <w:rPr>
          <w:rFonts w:hint="eastAsia" w:ascii="宋体" w:hAnsi="宋体" w:eastAsia="宋体" w:cs="宋体"/>
          <w:b/>
          <w:bCs/>
          <w:iCs/>
          <w:color w:val="auto"/>
          <w:kern w:val="2"/>
          <w:sz w:val="24"/>
          <w:szCs w:val="24"/>
          <w:highlight w:val="none"/>
          <w:shd w:val="clear" w:color="auto" w:fill="FFFFFF" w:themeFill="background1"/>
          <w:lang w:val="en-US" w:eastAsia="zh-CN" w:bidi="ar-SA"/>
        </w:rPr>
        <w:t>其响应无效。</w:t>
      </w:r>
    </w:p>
    <w:p w14:paraId="4AA52D7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17.4 供应商为联合体的，可以由联合体中的一方或者多方共同交纳</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保证金，其交纳的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保证金对联合体各方均具有约束力。</w:t>
      </w:r>
    </w:p>
    <w:p w14:paraId="1E93F92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17.5采购人或者采购代理机构应当在采购活动结束后及时退还供应商的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保证金，采用银行保函、担保机构担保函等形式递交的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保证金，经供应商同意后采购人、采购代理机构可以不再退还，但因供应商自身原因导致无法及时退还的除外。未成交供应商的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保证金应当自成交通知书发出之日起 5 个工作日内退还，成交供应商的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保证金应当自采购合同签订之日起 5 个工作日内退还。 </w:t>
      </w:r>
    </w:p>
    <w:p w14:paraId="48C6EAF6">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17.6 供应商在响应文件递交截止时间前撤回已提交的响应文件的，自收到供应商书面撤回通知之日起 5 个工作日内，退还已收取的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保证金，但因供应商自身原因导致无法及时退还的除外。 </w:t>
      </w:r>
    </w:p>
    <w:p w14:paraId="6C0BF0B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17.7 终止</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的项目已经收取</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保证金的，自终止采购活动后5个工作日内退还已收取的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保证金及其在银行产生的孳息。</w:t>
      </w:r>
    </w:p>
    <w:p w14:paraId="59CC77A0">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17.8有下列情形之一的，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保证金不予退还,</w:t>
      </w:r>
      <w:r>
        <w:rPr>
          <w:rFonts w:hint="eastAsia" w:ascii="宋体" w:hAnsi="宋体" w:eastAsia="宋体" w:cs="宋体"/>
          <w:color w:val="auto"/>
          <w:kern w:val="2"/>
          <w:sz w:val="24"/>
          <w:szCs w:val="24"/>
          <w:highlight w:val="none"/>
        </w:rPr>
        <w:t>情节严重的将其列入不良记录名单</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55B83B70">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17.8.1供应商在提交响应文件截止时间后撤回响应文件的； </w:t>
      </w:r>
    </w:p>
    <w:p w14:paraId="0A09910A">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17.8.2供应商在响应文件中提供虚假材料的； </w:t>
      </w:r>
    </w:p>
    <w:p w14:paraId="41889810">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17.8.3除因不可抗力或</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文件认可的情形以外，成交供应商不与采购人签订合同的； </w:t>
      </w:r>
    </w:p>
    <w:p w14:paraId="19A2B85A">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17.8.4供应商与采购人、其他供应商或者采购代理机构恶意串通的； </w:t>
      </w:r>
    </w:p>
    <w:p w14:paraId="40CCB19A">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17.8.5</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文件规定的其他情形。</w:t>
      </w:r>
    </w:p>
    <w:p w14:paraId="2A9B7E65">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17.9如开启时供应商对本单位</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保证金缴纳情况有疑义，供应商应在开启结束前向采购人提交书面申请核实保证金缴纳情况。由银行或保险公司核实后出具书面材料予以答复。</w:t>
      </w:r>
    </w:p>
    <w:p w14:paraId="7018BCE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17.10为支持和促进中小企业发展，进一步发挥政府采购政策功能，鼓励供应商使用电子保函代替现金缴纳</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在线完成保函的申请、审核、开票、出函等环节，供应商企业注意区分办理保函类型，并确认响应文件有效期，如采用政采云电子保函，可登录“新疆政府采购网”—顶部通栏“信用融资”或者“新疆政府采购网”首页“政采贷｜电子保函”快捷模块查看：</w:t>
      </w:r>
    </w:p>
    <w:p w14:paraId="784B786D">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18.响应文件的</w:t>
      </w:r>
      <w:bookmarkEnd w:id="268"/>
      <w:bookmarkEnd w:id="269"/>
      <w:bookmarkEnd w:id="270"/>
      <w:bookmarkEnd w:id="271"/>
      <w:r>
        <w:rPr>
          <w:rFonts w:hint="eastAsia" w:ascii="宋体" w:hAnsi="宋体" w:eastAsia="宋体" w:cs="宋体"/>
          <w:b/>
          <w:bCs/>
          <w:color w:val="auto"/>
          <w:kern w:val="2"/>
          <w:sz w:val="24"/>
          <w:szCs w:val="24"/>
          <w:highlight w:val="none"/>
          <w:lang w:val="en-US" w:eastAsia="zh-CN" w:bidi="ar-SA"/>
        </w:rPr>
        <w:t>加密</w:t>
      </w:r>
      <w:bookmarkEnd w:id="272"/>
      <w:bookmarkEnd w:id="273"/>
    </w:p>
    <w:p w14:paraId="105C769D">
      <w:pPr>
        <w:pStyle w:val="35"/>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18.1 供应商在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snapToGrid w:val="0"/>
          <w:color w:val="auto"/>
          <w:sz w:val="24"/>
          <w:szCs w:val="24"/>
          <w:highlight w:val="none"/>
          <w:lang w:val="zh-CN"/>
        </w:rPr>
        <w:t>中生成响应文件并完成签章之后，使用CA证书在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snapToGrid w:val="0"/>
          <w:color w:val="auto"/>
          <w:sz w:val="24"/>
          <w:szCs w:val="24"/>
          <w:highlight w:val="none"/>
          <w:lang w:val="zh-CN"/>
        </w:rPr>
        <w:t>中对响应文件进行加密。</w:t>
      </w:r>
    </w:p>
    <w:p w14:paraId="0AE412D5">
      <w:pPr>
        <w:pStyle w:val="35"/>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18.2 供应商应在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snapToGrid w:val="0"/>
          <w:color w:val="auto"/>
          <w:sz w:val="24"/>
          <w:szCs w:val="24"/>
          <w:highlight w:val="none"/>
          <w:lang w:val="zh-CN"/>
        </w:rPr>
        <w:t>中对加密的响应文件进行解密验证，以防止响应文件加密异常，在开启时无法解密。</w:t>
      </w:r>
    </w:p>
    <w:p w14:paraId="79A877BA">
      <w:pPr>
        <w:pStyle w:val="35"/>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18.3 供应商应保证加密响应文件的CA证书有效期在开启时间之前。若CA证书有效期临近开启时间，建议供应商提前办理CA证书续期，以免开启时无法进行解密。</w:t>
      </w:r>
    </w:p>
    <w:p w14:paraId="1CDCC9E5">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snapToGrid w:val="0"/>
          <w:color w:val="auto"/>
          <w:sz w:val="24"/>
          <w:szCs w:val="24"/>
          <w:highlight w:val="none"/>
          <w:lang w:val="zh-CN"/>
        </w:rPr>
        <w:t>供应商</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递交截</w:t>
      </w:r>
      <w:r>
        <w:rPr>
          <w:rFonts w:hint="eastAsia" w:ascii="宋体" w:hAnsi="宋体" w:eastAsia="宋体" w:cs="宋体"/>
          <w:color w:val="auto"/>
          <w:sz w:val="24"/>
          <w:szCs w:val="24"/>
          <w:highlight w:val="none"/>
          <w:lang w:val="en-US" w:eastAsia="zh-CN"/>
        </w:rPr>
        <w:t>止</w:t>
      </w:r>
      <w:r>
        <w:rPr>
          <w:rFonts w:hint="eastAsia" w:ascii="宋体" w:hAnsi="宋体" w:eastAsia="宋体" w:cs="宋体"/>
          <w:color w:val="auto"/>
          <w:sz w:val="24"/>
          <w:szCs w:val="24"/>
          <w:highlight w:val="none"/>
        </w:rPr>
        <w:t>时间前通过</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rPr>
        <w:t>政府采购网的</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政采云登录入口”登录后，将加密电子</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（为.jmbs后缀格式）上传到对应项目的指定位置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认为有必要提交的其他资料请于</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递交截止时间前一并提交。</w:t>
      </w:r>
    </w:p>
    <w:p w14:paraId="3896D475">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如果</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未按上述要求</w:t>
      </w:r>
      <w:r>
        <w:rPr>
          <w:rFonts w:hint="eastAsia" w:ascii="宋体" w:hAnsi="宋体" w:eastAsia="宋体" w:cs="宋体"/>
          <w:color w:val="auto"/>
          <w:sz w:val="24"/>
          <w:szCs w:val="24"/>
          <w:highlight w:val="none"/>
          <w:lang w:val="en-US" w:eastAsia="zh-CN"/>
        </w:rPr>
        <w:t>加密并上传</w:t>
      </w:r>
      <w:r>
        <w:rPr>
          <w:rFonts w:hint="eastAsia" w:ascii="宋体" w:hAnsi="宋体" w:eastAsia="宋体" w:cs="宋体"/>
          <w:color w:val="auto"/>
          <w:sz w:val="24"/>
          <w:szCs w:val="24"/>
          <w:highlight w:val="none"/>
        </w:rPr>
        <w:t>，采购代理机构对</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文件的误投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无法解密、传输错误等问题</w:t>
      </w:r>
      <w:r>
        <w:rPr>
          <w:rFonts w:hint="eastAsia" w:ascii="宋体" w:hAnsi="宋体" w:eastAsia="宋体" w:cs="宋体"/>
          <w:color w:val="auto"/>
          <w:sz w:val="24"/>
          <w:szCs w:val="24"/>
          <w:highlight w:val="none"/>
        </w:rPr>
        <w:t>概不负责。对由此造成</w:t>
      </w:r>
      <w:r>
        <w:rPr>
          <w:rFonts w:hint="eastAsia" w:ascii="宋体" w:hAnsi="宋体" w:eastAsia="宋体" w:cs="宋体"/>
          <w:color w:val="auto"/>
          <w:sz w:val="24"/>
          <w:szCs w:val="24"/>
          <w:highlight w:val="none"/>
          <w:lang w:val="en-US" w:eastAsia="zh-CN"/>
        </w:rPr>
        <w:t>无法正常开启</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文件，采购代理机构有权予以拒绝，并退回</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w:t>
      </w:r>
    </w:p>
    <w:p w14:paraId="54A49319">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本项目采用不见面开</w:t>
      </w:r>
      <w:r>
        <w:rPr>
          <w:rFonts w:hint="eastAsia" w:ascii="宋体" w:hAnsi="宋体" w:eastAsia="宋体" w:cs="宋体"/>
          <w:color w:val="auto"/>
          <w:sz w:val="24"/>
          <w:szCs w:val="24"/>
          <w:highlight w:val="none"/>
          <w:lang w:val="en-US" w:eastAsia="zh-CN"/>
        </w:rPr>
        <w:t>启</w:t>
      </w:r>
      <w:r>
        <w:rPr>
          <w:rFonts w:hint="eastAsia" w:ascii="宋体" w:hAnsi="宋体" w:eastAsia="宋体" w:cs="宋体"/>
          <w:color w:val="auto"/>
          <w:sz w:val="24"/>
          <w:szCs w:val="24"/>
          <w:highlight w:val="none"/>
        </w:rPr>
        <w:t>方式，无需提供电子</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文件U盘。</w:t>
      </w:r>
    </w:p>
    <w:p w14:paraId="0EEE0E8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19.响应文件的</w:t>
      </w:r>
      <w:bookmarkEnd w:id="274"/>
      <w:bookmarkEnd w:id="275"/>
      <w:bookmarkEnd w:id="276"/>
      <w:bookmarkEnd w:id="277"/>
      <w:r>
        <w:rPr>
          <w:rFonts w:hint="eastAsia" w:ascii="宋体" w:hAnsi="宋体" w:eastAsia="宋体" w:cs="宋体"/>
          <w:b/>
          <w:bCs/>
          <w:color w:val="auto"/>
          <w:kern w:val="2"/>
          <w:sz w:val="24"/>
          <w:szCs w:val="24"/>
          <w:highlight w:val="none"/>
          <w:lang w:val="en-US" w:eastAsia="zh-CN" w:bidi="ar-SA"/>
        </w:rPr>
        <w:t>递交</w:t>
      </w:r>
      <w:bookmarkEnd w:id="278"/>
      <w:bookmarkEnd w:id="279"/>
      <w:r>
        <w:rPr>
          <w:rFonts w:hint="eastAsia" w:ascii="宋体" w:hAnsi="宋体" w:eastAsia="宋体" w:cs="宋体"/>
          <w:b/>
          <w:bCs/>
          <w:color w:val="auto"/>
          <w:kern w:val="2"/>
          <w:sz w:val="24"/>
          <w:szCs w:val="24"/>
          <w:highlight w:val="none"/>
          <w:lang w:val="en-US" w:eastAsia="zh-CN" w:bidi="ar-SA"/>
        </w:rPr>
        <w:t>（上传）</w:t>
      </w:r>
    </w:p>
    <w:p w14:paraId="4BB721FA">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供应商应在“</w:t>
      </w:r>
      <w:r>
        <w:rPr>
          <w:rFonts w:hint="eastAsia" w:ascii="宋体" w:hAnsi="宋体" w:eastAsia="宋体" w:cs="宋体"/>
          <w:color w:val="auto"/>
          <w:sz w:val="24"/>
          <w:szCs w:val="24"/>
          <w:highlight w:val="none"/>
          <w:lang w:val="en-US" w:eastAsia="zh-CN"/>
        </w:rPr>
        <w:t>第一章 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w:t>
      </w:r>
      <w:r>
        <w:rPr>
          <w:rFonts w:hint="eastAsia" w:ascii="宋体" w:hAnsi="宋体" w:eastAsia="宋体" w:cs="宋体"/>
          <w:color w:val="auto"/>
          <w:sz w:val="24"/>
          <w:szCs w:val="24"/>
          <w:highlight w:val="none"/>
        </w:rPr>
        <w:t>”规定的响应文件递交截止时间前递交（上传）响应文件。</w:t>
      </w:r>
    </w:p>
    <w:p w14:paraId="1788DDFE">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供应商递交（上传）响应文件的地点见“</w:t>
      </w:r>
      <w:r>
        <w:rPr>
          <w:rFonts w:hint="eastAsia" w:ascii="宋体" w:hAnsi="宋体" w:eastAsia="宋体" w:cs="宋体"/>
          <w:color w:val="auto"/>
          <w:sz w:val="24"/>
          <w:szCs w:val="24"/>
          <w:highlight w:val="none"/>
          <w:lang w:val="en-US" w:eastAsia="zh-CN"/>
        </w:rPr>
        <w:t>第一章 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w:t>
      </w:r>
      <w:r>
        <w:rPr>
          <w:rFonts w:hint="eastAsia" w:ascii="宋体" w:hAnsi="宋体" w:eastAsia="宋体" w:cs="宋体"/>
          <w:color w:val="auto"/>
          <w:sz w:val="24"/>
          <w:szCs w:val="24"/>
          <w:highlight w:val="none"/>
        </w:rPr>
        <w:t>”。</w:t>
      </w:r>
    </w:p>
    <w:p w14:paraId="74B3F1A5">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19.3供应商应充分评估集中同时递交响应文件带来的网络影响，尽量避开递交响应文件高峰时间，错峰进行递交。供应商递交全部的响应文件后可在政采云平台（项目采购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投标文件上传）中获取响应文件递交回执单。</w:t>
      </w:r>
    </w:p>
    <w:p w14:paraId="5634F607">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19.4 供应商应在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中下载未加密且完成签章的响应文件妥善保存，以便启动应急开启程序时使用。</w:t>
      </w:r>
    </w:p>
    <w:p w14:paraId="6F8BD19B">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19.5供应商所递交的响应文件不予退还。</w:t>
      </w:r>
    </w:p>
    <w:p w14:paraId="03DDA0A8">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0" w:name="_Toc155095709"/>
      <w:bookmarkStart w:id="281" w:name="_Toc156490298"/>
      <w:r>
        <w:rPr>
          <w:rFonts w:hint="eastAsia" w:ascii="宋体" w:hAnsi="宋体" w:eastAsia="宋体" w:cs="宋体"/>
          <w:b/>
          <w:bCs/>
          <w:color w:val="auto"/>
          <w:kern w:val="2"/>
          <w:sz w:val="24"/>
          <w:szCs w:val="24"/>
          <w:highlight w:val="none"/>
          <w:lang w:val="en-US" w:eastAsia="zh-CN" w:bidi="ar-SA"/>
        </w:rPr>
        <w:t>20.拒收</w:t>
      </w:r>
      <w:bookmarkEnd w:id="280"/>
      <w:bookmarkEnd w:id="281"/>
    </w:p>
    <w:p w14:paraId="6764A5C0">
      <w:pPr>
        <w:pStyle w:val="35"/>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20.1超过递交响应文件的截止时间或者不按照本章要求加密的响应文件，交易系统应当拒收。</w:t>
      </w:r>
    </w:p>
    <w:p w14:paraId="03C096F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2" w:name="_Toc109897555"/>
      <w:bookmarkStart w:id="283" w:name="_Toc156490299"/>
      <w:bookmarkStart w:id="284" w:name="_Toc109900073"/>
      <w:bookmarkStart w:id="285" w:name="_Toc155095710"/>
      <w:bookmarkStart w:id="286" w:name="_Toc109899654"/>
      <w:bookmarkStart w:id="287" w:name="_Toc109900492"/>
      <w:r>
        <w:rPr>
          <w:rFonts w:hint="eastAsia" w:ascii="宋体" w:hAnsi="宋体" w:eastAsia="宋体" w:cs="宋体"/>
          <w:b/>
          <w:bCs/>
          <w:color w:val="auto"/>
          <w:kern w:val="2"/>
          <w:sz w:val="24"/>
          <w:szCs w:val="24"/>
          <w:highlight w:val="none"/>
          <w:lang w:val="en-US" w:eastAsia="zh-CN" w:bidi="ar-SA"/>
        </w:rPr>
        <w:t>21.响应文件的修改与撤回</w:t>
      </w:r>
      <w:bookmarkEnd w:id="282"/>
      <w:bookmarkEnd w:id="283"/>
      <w:bookmarkEnd w:id="284"/>
      <w:bookmarkEnd w:id="285"/>
      <w:bookmarkEnd w:id="286"/>
      <w:bookmarkEnd w:id="287"/>
    </w:p>
    <w:p w14:paraId="059E1BF2">
      <w:pPr>
        <w:pStyle w:val="35"/>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2</w:t>
      </w:r>
      <w:r>
        <w:rPr>
          <w:rFonts w:hint="eastAsia" w:ascii="宋体" w:hAnsi="宋体" w:eastAsia="宋体" w:cs="宋体"/>
          <w:snapToGrid w:val="0"/>
          <w:color w:val="auto"/>
          <w:sz w:val="24"/>
          <w:szCs w:val="24"/>
          <w:highlight w:val="none"/>
          <w:lang w:val="zh-CN" w:eastAsia="zh-CN"/>
        </w:rPr>
        <w:t>1</w:t>
      </w:r>
      <w:r>
        <w:rPr>
          <w:rFonts w:hint="eastAsia" w:ascii="宋体" w:hAnsi="宋体" w:eastAsia="宋体" w:cs="宋体"/>
          <w:snapToGrid w:val="0"/>
          <w:color w:val="auto"/>
          <w:sz w:val="24"/>
          <w:szCs w:val="24"/>
          <w:highlight w:val="none"/>
          <w:lang w:val="zh-CN"/>
        </w:rPr>
        <w:t>.1</w:t>
      </w:r>
      <w:bookmarkStart w:id="288" w:name="_Hlk143532466"/>
      <w:r>
        <w:rPr>
          <w:rFonts w:hint="eastAsia" w:ascii="宋体" w:hAnsi="宋体" w:eastAsia="宋体" w:cs="宋体"/>
          <w:snapToGrid w:val="0"/>
          <w:color w:val="auto"/>
          <w:sz w:val="24"/>
          <w:szCs w:val="24"/>
          <w:highlight w:val="none"/>
          <w:lang w:val="zh-CN" w:eastAsia="zh-CN"/>
        </w:rPr>
        <w:t>供应商</w:t>
      </w:r>
      <w:r>
        <w:rPr>
          <w:rFonts w:hint="eastAsia" w:ascii="宋体" w:hAnsi="宋体" w:eastAsia="宋体" w:cs="宋体"/>
          <w:snapToGrid w:val="0"/>
          <w:color w:val="auto"/>
          <w:sz w:val="24"/>
          <w:szCs w:val="24"/>
          <w:highlight w:val="none"/>
          <w:lang w:val="zh-CN"/>
        </w:rPr>
        <w:t>在</w:t>
      </w:r>
      <w:r>
        <w:rPr>
          <w:rFonts w:hint="eastAsia" w:ascii="宋体" w:hAnsi="宋体" w:eastAsia="宋体" w:cs="宋体"/>
          <w:snapToGrid w:val="0"/>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第一章 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w:t>
      </w:r>
      <w:r>
        <w:rPr>
          <w:rFonts w:hint="eastAsia" w:ascii="宋体" w:hAnsi="宋体" w:eastAsia="宋体" w:cs="宋体"/>
          <w:snapToGrid w:val="0"/>
          <w:color w:val="auto"/>
          <w:sz w:val="24"/>
          <w:szCs w:val="24"/>
          <w:highlight w:val="none"/>
          <w:lang w:val="zh-CN" w:eastAsia="zh-CN"/>
        </w:rPr>
        <w:t>”</w:t>
      </w:r>
      <w:r>
        <w:rPr>
          <w:rFonts w:hint="eastAsia" w:ascii="宋体" w:hAnsi="宋体" w:eastAsia="宋体" w:cs="宋体"/>
          <w:snapToGrid w:val="0"/>
          <w:color w:val="auto"/>
          <w:sz w:val="24"/>
          <w:szCs w:val="24"/>
          <w:highlight w:val="none"/>
          <w:lang w:val="zh-CN"/>
        </w:rPr>
        <w:t>规定的</w:t>
      </w:r>
      <w:r>
        <w:rPr>
          <w:rFonts w:hint="eastAsia" w:ascii="宋体" w:hAnsi="宋体" w:eastAsia="宋体" w:cs="宋体"/>
          <w:snapToGrid w:val="0"/>
          <w:color w:val="auto"/>
          <w:sz w:val="24"/>
          <w:szCs w:val="24"/>
          <w:highlight w:val="none"/>
          <w:lang w:val="en-US" w:eastAsia="zh-CN"/>
        </w:rPr>
        <w:t>响应</w:t>
      </w:r>
      <w:r>
        <w:rPr>
          <w:rFonts w:hint="eastAsia" w:ascii="宋体" w:hAnsi="宋体" w:eastAsia="宋体" w:cs="宋体"/>
          <w:snapToGrid w:val="0"/>
          <w:color w:val="auto"/>
          <w:sz w:val="24"/>
          <w:szCs w:val="24"/>
          <w:highlight w:val="none"/>
          <w:lang w:val="zh-CN" w:eastAsia="zh-CN"/>
        </w:rPr>
        <w:t>文件</w:t>
      </w:r>
      <w:r>
        <w:rPr>
          <w:rFonts w:hint="eastAsia" w:ascii="宋体" w:hAnsi="宋体" w:eastAsia="宋体" w:cs="宋体"/>
          <w:snapToGrid w:val="0"/>
          <w:color w:val="auto"/>
          <w:sz w:val="24"/>
          <w:szCs w:val="24"/>
          <w:highlight w:val="none"/>
          <w:lang w:val="zh-CN"/>
        </w:rPr>
        <w:t>递交截止时间之前，可在兵团政府采购电子交易云平台上随时撤回已上传的电子</w:t>
      </w:r>
      <w:r>
        <w:rPr>
          <w:rFonts w:hint="eastAsia" w:ascii="宋体" w:hAnsi="宋体" w:eastAsia="宋体" w:cs="宋体"/>
          <w:snapToGrid w:val="0"/>
          <w:color w:val="auto"/>
          <w:sz w:val="24"/>
          <w:szCs w:val="24"/>
          <w:highlight w:val="none"/>
          <w:lang w:val="en-US" w:eastAsia="zh-CN"/>
        </w:rPr>
        <w:t>响应</w:t>
      </w:r>
      <w:r>
        <w:rPr>
          <w:rFonts w:hint="eastAsia" w:ascii="宋体" w:hAnsi="宋体" w:eastAsia="宋体" w:cs="宋体"/>
          <w:snapToGrid w:val="0"/>
          <w:color w:val="auto"/>
          <w:sz w:val="24"/>
          <w:szCs w:val="24"/>
          <w:highlight w:val="none"/>
          <w:lang w:val="zh-CN" w:eastAsia="zh-CN"/>
        </w:rPr>
        <w:t>文件</w:t>
      </w:r>
      <w:r>
        <w:rPr>
          <w:rFonts w:hint="eastAsia" w:ascii="宋体" w:hAnsi="宋体" w:eastAsia="宋体" w:cs="宋体"/>
          <w:snapToGrid w:val="0"/>
          <w:color w:val="auto"/>
          <w:sz w:val="24"/>
          <w:szCs w:val="24"/>
          <w:highlight w:val="none"/>
          <w:lang w:val="zh-CN"/>
        </w:rPr>
        <w:t>，将修改好的电子</w:t>
      </w:r>
      <w:r>
        <w:rPr>
          <w:rFonts w:hint="eastAsia" w:ascii="宋体" w:hAnsi="宋体" w:eastAsia="宋体" w:cs="宋体"/>
          <w:snapToGrid w:val="0"/>
          <w:color w:val="auto"/>
          <w:sz w:val="24"/>
          <w:szCs w:val="24"/>
          <w:highlight w:val="none"/>
          <w:lang w:val="en-US" w:eastAsia="zh-CN"/>
        </w:rPr>
        <w:t>响应</w:t>
      </w:r>
      <w:r>
        <w:rPr>
          <w:rFonts w:hint="eastAsia" w:ascii="宋体" w:hAnsi="宋体" w:eastAsia="宋体" w:cs="宋体"/>
          <w:snapToGrid w:val="0"/>
          <w:color w:val="auto"/>
          <w:sz w:val="24"/>
          <w:szCs w:val="24"/>
          <w:highlight w:val="none"/>
          <w:lang w:val="zh-CN" w:eastAsia="zh-CN"/>
        </w:rPr>
        <w:t>文件</w:t>
      </w:r>
      <w:r>
        <w:rPr>
          <w:rFonts w:hint="eastAsia" w:ascii="宋体" w:hAnsi="宋体" w:eastAsia="宋体" w:cs="宋体"/>
          <w:snapToGrid w:val="0"/>
          <w:color w:val="auto"/>
          <w:sz w:val="24"/>
          <w:szCs w:val="24"/>
          <w:highlight w:val="none"/>
          <w:lang w:val="zh-CN"/>
        </w:rPr>
        <w:t>在</w:t>
      </w:r>
      <w:r>
        <w:rPr>
          <w:rFonts w:hint="eastAsia" w:ascii="宋体" w:hAnsi="宋体" w:eastAsia="宋体" w:cs="宋体"/>
          <w:snapToGrid w:val="0"/>
          <w:color w:val="auto"/>
          <w:sz w:val="24"/>
          <w:szCs w:val="24"/>
          <w:highlight w:val="none"/>
          <w:lang w:val="en-US" w:eastAsia="zh-CN"/>
        </w:rPr>
        <w:t>响应</w:t>
      </w:r>
      <w:r>
        <w:rPr>
          <w:rFonts w:hint="eastAsia" w:ascii="宋体" w:hAnsi="宋体" w:eastAsia="宋体" w:cs="宋体"/>
          <w:snapToGrid w:val="0"/>
          <w:color w:val="auto"/>
          <w:sz w:val="24"/>
          <w:szCs w:val="24"/>
          <w:highlight w:val="none"/>
          <w:lang w:val="zh-CN" w:eastAsia="zh-CN"/>
        </w:rPr>
        <w:t>文件</w:t>
      </w:r>
      <w:r>
        <w:rPr>
          <w:rFonts w:hint="eastAsia" w:ascii="宋体" w:hAnsi="宋体" w:eastAsia="宋体" w:cs="宋体"/>
          <w:snapToGrid w:val="0"/>
          <w:color w:val="auto"/>
          <w:sz w:val="24"/>
          <w:szCs w:val="24"/>
          <w:highlight w:val="none"/>
          <w:lang w:val="zh-CN"/>
        </w:rPr>
        <w:t>递交截止时间前重新上传到兵团政府采购电子交易云平台的</w:t>
      </w:r>
      <w:r>
        <w:rPr>
          <w:rFonts w:hint="eastAsia" w:ascii="宋体" w:hAnsi="宋体" w:eastAsia="宋体" w:cs="宋体"/>
          <w:snapToGrid w:val="0"/>
          <w:color w:val="auto"/>
          <w:sz w:val="24"/>
          <w:szCs w:val="24"/>
          <w:highlight w:val="none"/>
          <w:lang w:val="zh-CN" w:eastAsia="zh-CN"/>
        </w:rPr>
        <w:t>指</w:t>
      </w:r>
      <w:r>
        <w:rPr>
          <w:rFonts w:hint="eastAsia" w:ascii="宋体" w:hAnsi="宋体" w:eastAsia="宋体" w:cs="宋体"/>
          <w:snapToGrid w:val="0"/>
          <w:color w:val="auto"/>
          <w:sz w:val="24"/>
          <w:szCs w:val="24"/>
          <w:highlight w:val="none"/>
          <w:lang w:val="zh-CN"/>
        </w:rPr>
        <w:t>定位置。</w:t>
      </w:r>
    </w:p>
    <w:bookmarkEnd w:id="288"/>
    <w:p w14:paraId="4F9C167F">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9" w:name="_Toc158888664"/>
      <w:bookmarkStart w:id="290" w:name="_Toc155185874"/>
      <w:bookmarkStart w:id="291" w:name="_Toc155185973"/>
      <w:r>
        <w:rPr>
          <w:rFonts w:hint="eastAsia" w:ascii="宋体" w:hAnsi="宋体" w:eastAsia="宋体" w:cs="宋体"/>
          <w:b/>
          <w:bCs/>
          <w:color w:val="auto"/>
          <w:kern w:val="2"/>
          <w:sz w:val="24"/>
          <w:szCs w:val="24"/>
          <w:highlight w:val="none"/>
          <w:lang w:val="en-US" w:eastAsia="zh-CN" w:bidi="ar-SA"/>
        </w:rPr>
        <w:t>22.实物样品</w:t>
      </w:r>
      <w:bookmarkEnd w:id="289"/>
      <w:bookmarkEnd w:id="290"/>
      <w:bookmarkEnd w:id="291"/>
    </w:p>
    <w:p w14:paraId="3015EA96">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22.1“供应商须知前附表”要求提供样品的，样品的具体要求及评审详见“第三章 </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采购需求”和“第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章 评审</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3F3F84A5">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22.2样品退还：未成交的供应商应</w:t>
      </w:r>
      <w:r>
        <w:rPr>
          <w:rFonts w:hint="eastAsia" w:ascii="宋体" w:hAnsi="宋体" w:eastAsia="宋体" w:cs="宋体"/>
          <w:color w:val="auto"/>
          <w:sz w:val="24"/>
          <w:szCs w:val="24"/>
          <w:highlight w:val="none"/>
          <w:lang w:val="en-US" w:eastAsia="zh-CN"/>
        </w:rPr>
        <w:t>按照</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自行联系采购人取回递交样品；成交供应商的样品由采购人进行保管、封存，并作为履约验收的参考（竞争性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文件另有规定的从其规定）。</w:t>
      </w:r>
    </w:p>
    <w:p w14:paraId="56366B46">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2" w:name="_Toc155185875"/>
      <w:bookmarkStart w:id="293" w:name="_Toc155185974"/>
      <w:bookmarkStart w:id="294" w:name="_Toc158888665"/>
      <w:r>
        <w:rPr>
          <w:rFonts w:hint="eastAsia" w:ascii="宋体" w:hAnsi="宋体" w:eastAsia="宋体" w:cs="宋体"/>
          <w:b/>
          <w:bCs/>
          <w:color w:val="auto"/>
          <w:kern w:val="2"/>
          <w:sz w:val="24"/>
          <w:szCs w:val="24"/>
          <w:highlight w:val="none"/>
          <w:lang w:val="en-US" w:eastAsia="zh-CN" w:bidi="ar-SA"/>
        </w:rPr>
        <w:t>23.项目演示</w:t>
      </w:r>
      <w:bookmarkEnd w:id="292"/>
      <w:bookmarkEnd w:id="293"/>
      <w:bookmarkEnd w:id="294"/>
    </w:p>
    <w:p w14:paraId="3C483910">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23.1要求供应商进行演示的，演示要求详见“供应商须知前附表”。</w:t>
      </w:r>
    </w:p>
    <w:p w14:paraId="22102C81">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23.2演示的评审详见“第三章 </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采购需求”和“第四章 评审</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6B46A24D">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5" w:name="_Toc163493615"/>
      <w:bookmarkStart w:id="296" w:name="_Toc3263"/>
      <w:bookmarkStart w:id="297" w:name="_Toc109899976"/>
      <w:bookmarkStart w:id="298" w:name="_Toc470172689"/>
      <w:bookmarkStart w:id="299" w:name="_Toc46771664"/>
      <w:bookmarkStart w:id="300" w:name="_Toc109900395"/>
      <w:bookmarkStart w:id="301" w:name="_Toc109897458"/>
      <w:bookmarkStart w:id="302" w:name="_Toc109899557"/>
      <w:r>
        <w:rPr>
          <w:rFonts w:hint="eastAsia" w:ascii="宋体" w:hAnsi="宋体" w:eastAsia="宋体" w:cs="宋体"/>
          <w:b/>
          <w:bCs/>
          <w:color w:val="auto"/>
          <w:kern w:val="2"/>
          <w:sz w:val="24"/>
          <w:szCs w:val="24"/>
          <w:highlight w:val="none"/>
          <w:lang w:val="en-US" w:eastAsia="zh-CN" w:bidi="ar-SA"/>
        </w:rPr>
        <w:t>（五）</w:t>
      </w:r>
      <w:bookmarkEnd w:id="295"/>
      <w:r>
        <w:rPr>
          <w:rFonts w:hint="eastAsia" w:ascii="宋体" w:hAnsi="宋体" w:eastAsia="宋体" w:cs="宋体"/>
          <w:b/>
          <w:bCs/>
          <w:color w:val="auto"/>
          <w:kern w:val="2"/>
          <w:sz w:val="24"/>
          <w:szCs w:val="24"/>
          <w:highlight w:val="none"/>
          <w:lang w:val="en-US" w:eastAsia="zh-CN" w:bidi="ar-SA"/>
        </w:rPr>
        <w:t>响应文件开启</w:t>
      </w:r>
      <w:bookmarkEnd w:id="296"/>
    </w:p>
    <w:p w14:paraId="750D725B">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3" w:name="_Hlk161704700"/>
      <w:r>
        <w:rPr>
          <w:rFonts w:hint="eastAsia" w:ascii="宋体" w:hAnsi="宋体" w:eastAsia="宋体" w:cs="宋体"/>
          <w:b/>
          <w:bCs/>
          <w:color w:val="auto"/>
          <w:kern w:val="2"/>
          <w:sz w:val="24"/>
          <w:szCs w:val="24"/>
          <w:highlight w:val="none"/>
          <w:lang w:val="en-US" w:eastAsia="zh-CN" w:bidi="ar-SA"/>
        </w:rPr>
        <w:t>24.响应文件开启</w:t>
      </w:r>
    </w:p>
    <w:p w14:paraId="30320CCC">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bCs/>
          <w:color w:val="auto"/>
          <w:sz w:val="24"/>
          <w:szCs w:val="24"/>
          <w:highlight w:val="none"/>
        </w:rPr>
      </w:pPr>
      <w:bookmarkStart w:id="304" w:name="_Toc140132781"/>
      <w:r>
        <w:rPr>
          <w:rFonts w:hint="eastAsia" w:ascii="宋体" w:hAnsi="宋体" w:eastAsia="宋体" w:cs="宋体"/>
          <w:color w:val="auto"/>
          <w:sz w:val="24"/>
          <w:szCs w:val="24"/>
          <w:highlight w:val="none"/>
        </w:rPr>
        <w:t>24.1供应商应按照“</w:t>
      </w:r>
      <w:r>
        <w:rPr>
          <w:rFonts w:hint="eastAsia" w:ascii="宋体" w:hAnsi="宋体" w:eastAsia="宋体" w:cs="宋体"/>
          <w:color w:val="auto"/>
          <w:sz w:val="24"/>
          <w:szCs w:val="24"/>
          <w:highlight w:val="none"/>
          <w:lang w:val="en-US" w:eastAsia="zh-CN"/>
        </w:rPr>
        <w:t>第一章 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w:t>
      </w:r>
      <w:r>
        <w:rPr>
          <w:rFonts w:hint="eastAsia" w:ascii="宋体" w:hAnsi="宋体" w:eastAsia="宋体" w:cs="宋体"/>
          <w:color w:val="auto"/>
          <w:sz w:val="24"/>
          <w:szCs w:val="24"/>
          <w:highlight w:val="none"/>
        </w:rPr>
        <w:t>”中的要求参与开启。</w:t>
      </w:r>
      <w:bookmarkEnd w:id="304"/>
    </w:p>
    <w:p w14:paraId="44C062AD">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5" w:name="_Toc161600316"/>
      <w:bookmarkStart w:id="306" w:name="_Toc140132782"/>
      <w:r>
        <w:rPr>
          <w:rFonts w:hint="eastAsia" w:ascii="宋体" w:hAnsi="宋体" w:eastAsia="宋体" w:cs="宋体"/>
          <w:b/>
          <w:bCs/>
          <w:color w:val="auto"/>
          <w:kern w:val="2"/>
          <w:sz w:val="24"/>
          <w:szCs w:val="24"/>
          <w:highlight w:val="none"/>
          <w:lang w:val="en-US" w:eastAsia="zh-CN" w:bidi="ar-SA"/>
        </w:rPr>
        <w:t>25.开启时间和地点</w:t>
      </w:r>
      <w:bookmarkEnd w:id="305"/>
      <w:bookmarkEnd w:id="306"/>
    </w:p>
    <w:p w14:paraId="19FC62D6">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25.1开启时间和地点</w:t>
      </w:r>
    </w:p>
    <w:p w14:paraId="74263C6D">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响应文件截止时间前，供应商登录</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snapToGrid w:val="0"/>
          <w:color w:val="auto"/>
          <w:sz w:val="24"/>
          <w:szCs w:val="24"/>
          <w:highlight w:val="none"/>
          <w:lang w:val="zh-CN"/>
        </w:rPr>
        <w:t>通过</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snapToGrid w:val="0"/>
          <w:color w:val="auto"/>
          <w:sz w:val="24"/>
          <w:szCs w:val="24"/>
          <w:highlight w:val="none"/>
          <w:lang w:val="zh-CN"/>
        </w:rPr>
        <w:t>进入交易系统</w:t>
      </w:r>
      <w:r>
        <w:rPr>
          <w:rFonts w:hint="eastAsia" w:ascii="宋体" w:hAnsi="宋体" w:eastAsia="宋体" w:cs="宋体"/>
          <w:color w:val="auto"/>
          <w:sz w:val="24"/>
          <w:szCs w:val="24"/>
          <w:highlight w:val="none"/>
        </w:rPr>
        <w:t>“开标大厅”选择所投项目（或采购包）完成项目签到工作。</w:t>
      </w:r>
    </w:p>
    <w:p w14:paraId="485DC310">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第一章 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规</w:t>
      </w:r>
      <w:r>
        <w:rPr>
          <w:rFonts w:hint="eastAsia" w:ascii="宋体" w:hAnsi="宋体" w:eastAsia="宋体" w:cs="宋体"/>
          <w:color w:val="auto"/>
          <w:sz w:val="24"/>
          <w:szCs w:val="24"/>
          <w:highlight w:val="none"/>
          <w:lang w:val="zh-CN"/>
        </w:rPr>
        <w:t>定的</w:t>
      </w: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lang w:val="zh-CN"/>
        </w:rPr>
        <w:t>响应文件截止时间、开启时间及地点，采购代理机构通过</w:t>
      </w:r>
      <w:r>
        <w:rPr>
          <w:rFonts w:hint="eastAsia" w:ascii="宋体" w:hAnsi="宋体" w:eastAsia="宋体" w:cs="宋体"/>
          <w:color w:val="auto"/>
          <w:sz w:val="24"/>
          <w:szCs w:val="24"/>
          <w:highlight w:val="none"/>
          <w:lang w:val="zh-CN" w:eastAsia="zh-CN"/>
        </w:rPr>
        <w:t>兵团政府采购电子交易云平台</w:t>
      </w:r>
      <w:r>
        <w:rPr>
          <w:rFonts w:hint="eastAsia" w:ascii="宋体" w:hAnsi="宋体" w:eastAsia="宋体" w:cs="宋体"/>
          <w:color w:val="auto"/>
          <w:kern w:val="2"/>
          <w:sz w:val="24"/>
          <w:szCs w:val="24"/>
          <w:highlight w:val="none"/>
        </w:rPr>
        <w:t>的“政采云远程开标大厅”</w:t>
      </w:r>
      <w:r>
        <w:rPr>
          <w:rFonts w:hint="eastAsia" w:ascii="宋体" w:hAnsi="宋体" w:eastAsia="宋体" w:cs="宋体"/>
          <w:color w:val="auto"/>
          <w:sz w:val="24"/>
          <w:szCs w:val="24"/>
          <w:highlight w:val="none"/>
          <w:lang w:val="zh-CN"/>
        </w:rPr>
        <w:t>组织响应文件开启工作。</w:t>
      </w:r>
    </w:p>
    <w:p w14:paraId="66534CB4">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25.2响应文件开启：</w:t>
      </w: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响应文件截止时间到后，工作人员启动开始解密指令，供应商应当按照“供应商须知前附表”规定及时进行响应文件解密，完成响应文件开启工作。</w:t>
      </w:r>
    </w:p>
    <w:p w14:paraId="77684B06">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25.3规定的时间内，非因</w:t>
      </w:r>
      <w:r>
        <w:rPr>
          <w:rFonts w:hint="eastAsia" w:ascii="宋体" w:hAnsi="宋体" w:eastAsia="宋体" w:cs="宋体"/>
          <w:color w:val="auto"/>
          <w:sz w:val="24"/>
          <w:szCs w:val="24"/>
          <w:highlight w:val="none"/>
          <w:lang w:val="zh-CN" w:eastAsia="zh-CN"/>
        </w:rPr>
        <w:t>兵团政府采购电子交易云平台</w:t>
      </w:r>
      <w:r>
        <w:rPr>
          <w:rFonts w:hint="eastAsia" w:ascii="宋体" w:hAnsi="宋体" w:eastAsia="宋体" w:cs="宋体"/>
          <w:color w:val="auto"/>
          <w:sz w:val="24"/>
          <w:szCs w:val="24"/>
          <w:highlight w:val="none"/>
        </w:rPr>
        <w:t>原因造成响应文件未解密的，视为供应商撤回响应文件。</w:t>
      </w:r>
      <w:r>
        <w:rPr>
          <w:rFonts w:hint="eastAsia" w:ascii="宋体" w:hAnsi="宋体" w:eastAsia="宋体" w:cs="宋体"/>
          <w:color w:val="auto"/>
          <w:sz w:val="24"/>
          <w:szCs w:val="24"/>
          <w:highlight w:val="none"/>
          <w:lang w:val="en-US" w:eastAsia="zh-CN"/>
        </w:rPr>
        <w:t>供应商不足3家的，不予解密；</w:t>
      </w:r>
      <w:r>
        <w:rPr>
          <w:rFonts w:hint="eastAsia" w:ascii="宋体" w:hAnsi="宋体" w:eastAsia="宋体" w:cs="宋体"/>
          <w:color w:val="auto"/>
          <w:sz w:val="24"/>
          <w:szCs w:val="24"/>
          <w:highlight w:val="none"/>
        </w:rPr>
        <w:t>停止解密后，已解密开启的响应文件不足3家的，应当终止采购活动。公开招标的货物和服务项目，招标过程中提交投标文件或者经评审实质性响应</w:t>
      </w:r>
      <w:r>
        <w:rPr>
          <w:rFonts w:hint="eastAsia" w:cs="宋体"/>
          <w:color w:val="auto"/>
          <w:sz w:val="24"/>
          <w:szCs w:val="24"/>
          <w:highlight w:val="none"/>
          <w:lang w:eastAsia="zh-CN"/>
        </w:rPr>
        <w:t>采购文件</w:t>
      </w:r>
      <w:r>
        <w:rPr>
          <w:rFonts w:hint="eastAsia" w:ascii="宋体" w:hAnsi="宋体" w:eastAsia="宋体" w:cs="宋体"/>
          <w:color w:val="auto"/>
          <w:sz w:val="24"/>
          <w:szCs w:val="24"/>
          <w:highlight w:val="none"/>
        </w:rPr>
        <w:t>要求的供应商只有2家时，经本级财政部门批准后采用竞争性谈判方式采购的可以为2家</w:t>
      </w:r>
      <w:r>
        <w:rPr>
          <w:rFonts w:hint="eastAsia" w:cs="宋体"/>
          <w:color w:val="auto"/>
          <w:sz w:val="24"/>
          <w:szCs w:val="24"/>
          <w:highlight w:val="none"/>
          <w:lang w:eastAsia="zh-CN"/>
        </w:rPr>
        <w:t>。</w:t>
      </w:r>
    </w:p>
    <w:p w14:paraId="46075363">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25.4供应商或其授权代表对响应文件开启过程有疑义的，以及认为采购人、采购代理机构相关工作人员有需要回避的情形的，应在开</w:t>
      </w:r>
      <w:r>
        <w:rPr>
          <w:rFonts w:hint="eastAsia" w:ascii="宋体" w:hAnsi="宋体" w:eastAsia="宋体" w:cs="宋体"/>
          <w:color w:val="auto"/>
          <w:sz w:val="24"/>
          <w:szCs w:val="24"/>
          <w:highlight w:val="none"/>
          <w:lang w:val="en-US" w:eastAsia="zh-CN"/>
        </w:rPr>
        <w:t>启</w:t>
      </w:r>
      <w:r>
        <w:rPr>
          <w:rFonts w:hint="eastAsia" w:ascii="宋体" w:hAnsi="宋体" w:eastAsia="宋体" w:cs="宋体"/>
          <w:color w:val="auto"/>
          <w:sz w:val="24"/>
          <w:szCs w:val="24"/>
          <w:highlight w:val="none"/>
        </w:rPr>
        <w:t>会议中提出询问或者回避申请。采购人、采购代理机构对</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授权代表提出的询问或者回避申请应当及时处理。</w:t>
      </w:r>
    </w:p>
    <w:p w14:paraId="0486AA50">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r>
        <w:rPr>
          <w:rFonts w:hint="eastAsia" w:ascii="宋体" w:hAnsi="宋体" w:eastAsia="宋体" w:cs="宋体"/>
          <w:color w:val="auto"/>
          <w:sz w:val="24"/>
          <w:szCs w:val="24"/>
          <w:highlight w:val="none"/>
          <w:lang w:val="en-US" w:eastAsia="zh-CN"/>
        </w:rPr>
        <w:t>5供应商</w:t>
      </w:r>
      <w:r>
        <w:rPr>
          <w:rFonts w:hint="eastAsia" w:ascii="宋体" w:hAnsi="宋体" w:eastAsia="宋体" w:cs="宋体"/>
          <w:color w:val="auto"/>
          <w:sz w:val="24"/>
          <w:szCs w:val="24"/>
          <w:highlight w:val="none"/>
        </w:rPr>
        <w:t>未参加开</w:t>
      </w:r>
      <w:r>
        <w:rPr>
          <w:rFonts w:hint="eastAsia" w:ascii="宋体" w:hAnsi="宋体" w:eastAsia="宋体" w:cs="宋体"/>
          <w:color w:val="auto"/>
          <w:sz w:val="24"/>
          <w:szCs w:val="24"/>
          <w:highlight w:val="none"/>
          <w:lang w:val="en-US" w:eastAsia="zh-CN"/>
        </w:rPr>
        <w:t>启</w:t>
      </w:r>
      <w:r>
        <w:rPr>
          <w:rFonts w:hint="eastAsia" w:ascii="宋体" w:hAnsi="宋体" w:eastAsia="宋体" w:cs="宋体"/>
          <w:color w:val="auto"/>
          <w:sz w:val="24"/>
          <w:szCs w:val="24"/>
          <w:highlight w:val="none"/>
        </w:rPr>
        <w:t>的，视同认可开</w:t>
      </w:r>
      <w:r>
        <w:rPr>
          <w:rFonts w:hint="eastAsia" w:ascii="宋体" w:hAnsi="宋体" w:eastAsia="宋体" w:cs="宋体"/>
          <w:color w:val="auto"/>
          <w:sz w:val="24"/>
          <w:szCs w:val="24"/>
          <w:highlight w:val="none"/>
          <w:lang w:val="en-US" w:eastAsia="zh-CN"/>
        </w:rPr>
        <w:t>启</w:t>
      </w:r>
      <w:r>
        <w:rPr>
          <w:rFonts w:hint="eastAsia" w:ascii="宋体" w:hAnsi="宋体" w:eastAsia="宋体" w:cs="宋体"/>
          <w:color w:val="auto"/>
          <w:sz w:val="24"/>
          <w:szCs w:val="24"/>
          <w:highlight w:val="none"/>
        </w:rPr>
        <w:t>结果。</w:t>
      </w:r>
    </w:p>
    <w:bookmarkEnd w:id="297"/>
    <w:bookmarkEnd w:id="298"/>
    <w:bookmarkEnd w:id="299"/>
    <w:bookmarkEnd w:id="300"/>
    <w:bookmarkEnd w:id="301"/>
    <w:bookmarkEnd w:id="302"/>
    <w:bookmarkEnd w:id="303"/>
    <w:p w14:paraId="55D243EF">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7" w:name="_Toc163492854"/>
      <w:bookmarkStart w:id="308" w:name="_Toc155185877"/>
      <w:bookmarkStart w:id="309" w:name="_Toc140132785"/>
      <w:bookmarkStart w:id="310" w:name="_Toc19270"/>
      <w:r>
        <w:rPr>
          <w:rFonts w:hint="eastAsia" w:ascii="宋体" w:hAnsi="宋体" w:eastAsia="宋体" w:cs="宋体"/>
          <w:b/>
          <w:bCs/>
          <w:color w:val="auto"/>
          <w:kern w:val="2"/>
          <w:sz w:val="24"/>
          <w:szCs w:val="24"/>
          <w:highlight w:val="none"/>
          <w:lang w:val="en-US" w:eastAsia="zh-CN" w:bidi="ar-SA"/>
        </w:rPr>
        <w:t>（六）资格审查</w:t>
      </w:r>
      <w:bookmarkEnd w:id="307"/>
      <w:bookmarkEnd w:id="308"/>
      <w:bookmarkEnd w:id="309"/>
      <w:bookmarkEnd w:id="310"/>
    </w:p>
    <w:p w14:paraId="2C1B5FD6">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11" w:name="_Toc163492855"/>
      <w:r>
        <w:rPr>
          <w:rFonts w:hint="eastAsia" w:ascii="宋体" w:hAnsi="宋体" w:eastAsia="宋体" w:cs="宋体"/>
          <w:b/>
          <w:bCs/>
          <w:color w:val="auto"/>
          <w:kern w:val="2"/>
          <w:sz w:val="24"/>
          <w:szCs w:val="24"/>
          <w:highlight w:val="none"/>
          <w:lang w:val="en-US" w:eastAsia="zh-CN" w:bidi="ar-SA"/>
        </w:rPr>
        <w:t>26.资格审查及审查主体</w:t>
      </w:r>
      <w:bookmarkEnd w:id="311"/>
    </w:p>
    <w:p w14:paraId="3F6E8AD4">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bookmarkStart w:id="312" w:name="_Toc140132786"/>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.1开</w:t>
      </w:r>
      <w:r>
        <w:rPr>
          <w:rFonts w:hint="eastAsia" w:ascii="宋体" w:hAnsi="宋体" w:eastAsia="宋体" w:cs="宋体"/>
          <w:color w:val="auto"/>
          <w:sz w:val="24"/>
          <w:szCs w:val="24"/>
          <w:highlight w:val="none"/>
          <w:lang w:val="en-US" w:eastAsia="zh-CN"/>
        </w:rPr>
        <w:t>启</w:t>
      </w:r>
      <w:r>
        <w:rPr>
          <w:rFonts w:hint="eastAsia" w:ascii="宋体" w:hAnsi="宋体" w:eastAsia="宋体" w:cs="宋体"/>
          <w:color w:val="auto"/>
          <w:sz w:val="24"/>
          <w:szCs w:val="24"/>
          <w:highlight w:val="none"/>
        </w:rPr>
        <w:t>结束后，</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小组</w:t>
      </w:r>
      <w:r>
        <w:rPr>
          <w:rFonts w:hint="eastAsia" w:ascii="宋体" w:hAnsi="宋体" w:eastAsia="宋体" w:cs="宋体"/>
          <w:color w:val="auto"/>
          <w:sz w:val="24"/>
          <w:szCs w:val="24"/>
          <w:highlight w:val="none"/>
        </w:rPr>
        <w:t>依据法律法规和本</w:t>
      </w:r>
      <w:r>
        <w:rPr>
          <w:rFonts w:hint="eastAsia" w:ascii="宋体" w:hAnsi="宋体" w:eastAsia="宋体" w:cs="宋体"/>
          <w:color w:val="auto"/>
          <w:sz w:val="24"/>
          <w:szCs w:val="24"/>
          <w:highlight w:val="none"/>
          <w:lang w:val="en-US" w:eastAsia="zh-CN"/>
        </w:rPr>
        <w:t>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文件的规定，依法对</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资格进行审查，以确定</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是否具备</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资格。</w:t>
      </w:r>
      <w:bookmarkEnd w:id="312"/>
    </w:p>
    <w:p w14:paraId="6F7626D3">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bookmarkStart w:id="313" w:name="_Toc140132787"/>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.2资格审查按“第四章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snapToGrid w:val="0"/>
          <w:color w:val="auto"/>
          <w:sz w:val="24"/>
          <w:szCs w:val="24"/>
          <w:highlight w:val="none"/>
          <w:lang w:val="zh-CN"/>
        </w:rPr>
        <w:t>评审</w:t>
      </w:r>
      <w:r>
        <w:rPr>
          <w:rFonts w:hint="eastAsia" w:ascii="宋体" w:hAnsi="宋体" w:eastAsia="宋体" w:cs="宋体"/>
          <w:snapToGrid w:val="0"/>
          <w:color w:val="auto"/>
          <w:sz w:val="24"/>
          <w:szCs w:val="24"/>
          <w:highlight w:val="none"/>
          <w:lang w:val="en-US" w:eastAsia="zh-CN"/>
        </w:rPr>
        <w:t>方</w:t>
      </w:r>
      <w:r>
        <w:rPr>
          <w:rFonts w:hint="eastAsia" w:ascii="宋体" w:hAnsi="宋体" w:eastAsia="宋体" w:cs="宋体"/>
          <w:snapToGrid w:val="0"/>
          <w:color w:val="auto"/>
          <w:sz w:val="24"/>
          <w:szCs w:val="24"/>
          <w:highlight w:val="none"/>
          <w:lang w:val="zh-CN"/>
        </w:rPr>
        <w:t>法及标准</w:t>
      </w:r>
      <w:r>
        <w:rPr>
          <w:rFonts w:hint="eastAsia" w:ascii="宋体" w:hAnsi="宋体" w:eastAsia="宋体" w:cs="宋体"/>
          <w:color w:val="auto"/>
          <w:sz w:val="24"/>
          <w:szCs w:val="24"/>
          <w:highlight w:val="none"/>
        </w:rPr>
        <w:t>”的规定进行。</w:t>
      </w:r>
      <w:bookmarkEnd w:id="313"/>
    </w:p>
    <w:p w14:paraId="44D43B82">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bookmarkStart w:id="314" w:name="_Toc140132788"/>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.3资格审查结束后，应及时对资格审查结果进行复核，对资格审查错误进行及时纠正并记录。</w:t>
      </w:r>
      <w:bookmarkEnd w:id="314"/>
    </w:p>
    <w:p w14:paraId="272F167A">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26.4</w:t>
      </w:r>
      <w:r>
        <w:rPr>
          <w:rFonts w:hint="eastAsia" w:ascii="宋体" w:hAnsi="宋体" w:eastAsia="宋体" w:cs="宋体"/>
          <w:color w:val="auto"/>
          <w:sz w:val="24"/>
          <w:szCs w:val="24"/>
          <w:highlight w:val="none"/>
        </w:rPr>
        <w:t>资格审查合格</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不足3家的，不得评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w:t>
      </w:r>
    </w:p>
    <w:p w14:paraId="7A1F7D21">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15" w:name="_Toc155185878"/>
      <w:bookmarkStart w:id="316" w:name="_Toc163492856"/>
      <w:bookmarkStart w:id="317" w:name="_Toc140132789"/>
      <w:bookmarkStart w:id="318" w:name="_Toc11374"/>
      <w:r>
        <w:rPr>
          <w:rFonts w:hint="eastAsia" w:ascii="宋体" w:hAnsi="宋体" w:eastAsia="宋体" w:cs="宋体"/>
          <w:b/>
          <w:bCs/>
          <w:color w:val="auto"/>
          <w:kern w:val="2"/>
          <w:sz w:val="24"/>
          <w:szCs w:val="24"/>
          <w:highlight w:val="none"/>
          <w:lang w:val="en-US" w:eastAsia="zh-CN" w:bidi="ar-SA"/>
        </w:rPr>
        <w:t>（七）项目评</w:t>
      </w:r>
      <w:bookmarkEnd w:id="315"/>
      <w:bookmarkEnd w:id="316"/>
      <w:bookmarkEnd w:id="317"/>
      <w:r>
        <w:rPr>
          <w:rFonts w:hint="eastAsia" w:ascii="宋体" w:hAnsi="宋体" w:eastAsia="宋体" w:cs="宋体"/>
          <w:b/>
          <w:bCs/>
          <w:color w:val="auto"/>
          <w:kern w:val="2"/>
          <w:sz w:val="24"/>
          <w:szCs w:val="24"/>
          <w:highlight w:val="none"/>
          <w:lang w:val="en-US" w:eastAsia="zh-CN" w:bidi="ar-SA"/>
        </w:rPr>
        <w:t>审</w:t>
      </w:r>
      <w:bookmarkEnd w:id="318"/>
    </w:p>
    <w:p w14:paraId="4C04DF4E">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27.评审方法、程序及标准</w:t>
      </w:r>
    </w:p>
    <w:p w14:paraId="0B5D7D82">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zh-CN"/>
        </w:rPr>
        <w:t>2</w:t>
      </w:r>
      <w:r>
        <w:rPr>
          <w:rFonts w:hint="eastAsia" w:ascii="宋体" w:hAnsi="宋体" w:eastAsia="宋体" w:cs="宋体"/>
          <w:snapToGrid w:val="0"/>
          <w:color w:val="auto"/>
          <w:sz w:val="24"/>
          <w:szCs w:val="24"/>
          <w:highlight w:val="none"/>
          <w:lang w:val="en-US" w:eastAsia="zh-CN"/>
        </w:rPr>
        <w:t>7</w:t>
      </w:r>
      <w:r>
        <w:rPr>
          <w:rFonts w:hint="eastAsia" w:ascii="宋体" w:hAnsi="宋体" w:eastAsia="宋体" w:cs="宋体"/>
          <w:snapToGrid w:val="0"/>
          <w:color w:val="auto"/>
          <w:sz w:val="24"/>
          <w:szCs w:val="24"/>
          <w:highlight w:val="none"/>
          <w:lang w:val="zh-CN"/>
        </w:rPr>
        <w:t>.1</w:t>
      </w:r>
      <w:r>
        <w:rPr>
          <w:rFonts w:hint="eastAsia" w:ascii="宋体" w:hAnsi="宋体" w:eastAsia="宋体" w:cs="宋体"/>
          <w:snapToGrid w:val="0"/>
          <w:color w:val="auto"/>
          <w:sz w:val="24"/>
          <w:szCs w:val="24"/>
          <w:highlight w:val="none"/>
          <w:lang w:val="en-US" w:eastAsia="zh-CN"/>
        </w:rPr>
        <w:t>评审方法：谈判小组与符合资格条件的供应商就采购货物、工程和服务事宜进行谈判，供应商按照谈判文件的要求提交响应文件和最后报价，采购人从谈判小组提出的成交候选人中确定成交供应商。</w:t>
      </w:r>
    </w:p>
    <w:p w14:paraId="51EDFC5F">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en-US" w:eastAsia="zh-CN"/>
        </w:rPr>
        <w:t>本</w:t>
      </w:r>
      <w:r>
        <w:rPr>
          <w:rFonts w:hint="eastAsia" w:ascii="宋体" w:hAnsi="宋体" w:eastAsia="宋体" w:cs="宋体"/>
          <w:snapToGrid w:val="0"/>
          <w:color w:val="auto"/>
          <w:sz w:val="24"/>
          <w:szCs w:val="24"/>
          <w:highlight w:val="none"/>
          <w:lang w:val="zh-CN"/>
        </w:rPr>
        <w:t>项目评审方法、程序及标准详见“第</w:t>
      </w:r>
      <w:r>
        <w:rPr>
          <w:rFonts w:hint="eastAsia" w:ascii="宋体" w:hAnsi="宋体" w:eastAsia="宋体" w:cs="宋体"/>
          <w:snapToGrid w:val="0"/>
          <w:color w:val="auto"/>
          <w:sz w:val="24"/>
          <w:szCs w:val="24"/>
          <w:highlight w:val="none"/>
          <w:lang w:val="en-US" w:eastAsia="zh-CN"/>
        </w:rPr>
        <w:t>四</w:t>
      </w:r>
      <w:r>
        <w:rPr>
          <w:rFonts w:hint="eastAsia" w:ascii="宋体" w:hAnsi="宋体" w:eastAsia="宋体" w:cs="宋体"/>
          <w:snapToGrid w:val="0"/>
          <w:color w:val="auto"/>
          <w:sz w:val="24"/>
          <w:szCs w:val="24"/>
          <w:highlight w:val="none"/>
          <w:lang w:val="zh-CN"/>
        </w:rPr>
        <w:t>章 评审</w:t>
      </w:r>
      <w:r>
        <w:rPr>
          <w:rFonts w:hint="eastAsia" w:ascii="宋体" w:hAnsi="宋体" w:eastAsia="宋体" w:cs="宋体"/>
          <w:snapToGrid w:val="0"/>
          <w:color w:val="auto"/>
          <w:sz w:val="24"/>
          <w:szCs w:val="24"/>
          <w:highlight w:val="none"/>
          <w:lang w:val="en-US" w:eastAsia="zh-CN"/>
        </w:rPr>
        <w:t>方</w:t>
      </w:r>
      <w:r>
        <w:rPr>
          <w:rFonts w:hint="eastAsia" w:ascii="宋体" w:hAnsi="宋体" w:eastAsia="宋体" w:cs="宋体"/>
          <w:snapToGrid w:val="0"/>
          <w:color w:val="auto"/>
          <w:sz w:val="24"/>
          <w:szCs w:val="24"/>
          <w:highlight w:val="none"/>
          <w:lang w:val="zh-CN"/>
        </w:rPr>
        <w:t>法及标准”。</w:t>
      </w:r>
    </w:p>
    <w:p w14:paraId="42E7A75C">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2</w:t>
      </w:r>
      <w:r>
        <w:rPr>
          <w:rFonts w:hint="eastAsia" w:ascii="宋体" w:hAnsi="宋体" w:eastAsia="宋体" w:cs="宋体"/>
          <w:snapToGrid w:val="0"/>
          <w:color w:val="auto"/>
          <w:sz w:val="24"/>
          <w:szCs w:val="24"/>
          <w:highlight w:val="none"/>
          <w:lang w:val="en-US" w:eastAsia="zh-CN"/>
        </w:rPr>
        <w:t>7</w:t>
      </w:r>
      <w:r>
        <w:rPr>
          <w:rFonts w:hint="eastAsia" w:ascii="宋体" w:hAnsi="宋体" w:eastAsia="宋体" w:cs="宋体"/>
          <w:snapToGrid w:val="0"/>
          <w:color w:val="auto"/>
          <w:sz w:val="24"/>
          <w:szCs w:val="24"/>
          <w:highlight w:val="none"/>
          <w:lang w:val="zh-CN"/>
        </w:rPr>
        <w:t>.2</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准备：供应商应当按照“</w:t>
      </w:r>
      <w:r>
        <w:rPr>
          <w:rFonts w:hint="eastAsia" w:ascii="宋体" w:hAnsi="宋体" w:eastAsia="宋体" w:cs="宋体"/>
          <w:snapToGrid w:val="0"/>
          <w:color w:val="auto"/>
          <w:sz w:val="24"/>
          <w:szCs w:val="24"/>
          <w:highlight w:val="none"/>
          <w:lang w:val="zh-CN" w:eastAsia="zh-CN"/>
        </w:rPr>
        <w:t>第</w:t>
      </w:r>
      <w:r>
        <w:rPr>
          <w:rFonts w:hint="eastAsia" w:ascii="宋体" w:hAnsi="宋体" w:eastAsia="宋体" w:cs="宋体"/>
          <w:snapToGrid w:val="0"/>
          <w:color w:val="auto"/>
          <w:sz w:val="24"/>
          <w:szCs w:val="24"/>
          <w:highlight w:val="none"/>
          <w:lang w:val="en-US" w:eastAsia="zh-CN"/>
        </w:rPr>
        <w:t>二</w:t>
      </w:r>
      <w:r>
        <w:rPr>
          <w:rFonts w:hint="eastAsia" w:ascii="宋体" w:hAnsi="宋体" w:eastAsia="宋体" w:cs="宋体"/>
          <w:snapToGrid w:val="0"/>
          <w:color w:val="auto"/>
          <w:sz w:val="24"/>
          <w:szCs w:val="24"/>
          <w:highlight w:val="none"/>
          <w:lang w:val="zh-CN" w:eastAsia="zh-CN"/>
        </w:rPr>
        <w:t xml:space="preserve">章 </w:t>
      </w:r>
      <w:r>
        <w:rPr>
          <w:rFonts w:hint="eastAsia" w:ascii="宋体" w:hAnsi="宋体" w:eastAsia="宋体" w:cs="宋体"/>
          <w:snapToGrid w:val="0"/>
          <w:color w:val="auto"/>
          <w:sz w:val="24"/>
          <w:szCs w:val="24"/>
          <w:highlight w:val="none"/>
          <w:lang w:val="en-US" w:eastAsia="zh-CN"/>
        </w:rPr>
        <w:t>供应商须知</w:t>
      </w:r>
      <w:r>
        <w:rPr>
          <w:rFonts w:hint="eastAsia" w:ascii="宋体" w:hAnsi="宋体" w:eastAsia="宋体" w:cs="宋体"/>
          <w:snapToGrid w:val="0"/>
          <w:color w:val="auto"/>
          <w:sz w:val="24"/>
          <w:szCs w:val="24"/>
          <w:highlight w:val="none"/>
          <w:lang w:val="zh-CN"/>
        </w:rPr>
        <w:t>”</w:t>
      </w:r>
      <w:r>
        <w:rPr>
          <w:rFonts w:hint="eastAsia" w:ascii="宋体" w:hAnsi="宋体" w:eastAsia="宋体" w:cs="宋体"/>
          <w:snapToGrid w:val="0"/>
          <w:color w:val="auto"/>
          <w:sz w:val="24"/>
          <w:szCs w:val="24"/>
          <w:highlight w:val="none"/>
          <w:lang w:val="en-US" w:eastAsia="zh-CN"/>
        </w:rPr>
        <w:t>的</w:t>
      </w:r>
      <w:r>
        <w:rPr>
          <w:rFonts w:hint="eastAsia" w:ascii="宋体" w:hAnsi="宋体" w:eastAsia="宋体" w:cs="宋体"/>
          <w:snapToGrid w:val="0"/>
          <w:color w:val="auto"/>
          <w:sz w:val="24"/>
          <w:szCs w:val="24"/>
          <w:highlight w:val="none"/>
          <w:lang w:val="zh-CN"/>
        </w:rPr>
        <w:t>要求提前准备好</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所需的设备，确保设备稳定可靠、互联网畅通。</w:t>
      </w:r>
      <w:r>
        <w:rPr>
          <w:rFonts w:hint="eastAsia" w:ascii="宋体" w:hAnsi="宋体" w:eastAsia="宋体" w:cs="宋体"/>
          <w:color w:val="auto"/>
          <w:sz w:val="24"/>
          <w:szCs w:val="24"/>
          <w:highlight w:val="none"/>
        </w:rPr>
        <w:t>供应商登录</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snapToGrid w:val="0"/>
          <w:color w:val="auto"/>
          <w:sz w:val="24"/>
          <w:szCs w:val="24"/>
          <w:highlight w:val="none"/>
          <w:lang w:val="zh-CN"/>
        </w:rPr>
        <w:t>通过</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snapToGrid w:val="0"/>
          <w:color w:val="auto"/>
          <w:sz w:val="24"/>
          <w:szCs w:val="24"/>
          <w:highlight w:val="none"/>
          <w:lang w:val="zh-CN"/>
        </w:rPr>
        <w:t>进入交易系统“</w:t>
      </w:r>
      <w:r>
        <w:rPr>
          <w:rFonts w:hint="eastAsia" w:ascii="宋体" w:hAnsi="宋体" w:eastAsia="宋体" w:cs="宋体"/>
          <w:snapToGrid w:val="0"/>
          <w:color w:val="auto"/>
          <w:sz w:val="24"/>
          <w:szCs w:val="24"/>
          <w:highlight w:val="none"/>
          <w:lang w:val="en-US" w:eastAsia="zh-CN"/>
        </w:rPr>
        <w:t>开</w:t>
      </w:r>
      <w:r>
        <w:rPr>
          <w:rFonts w:hint="eastAsia" w:ascii="宋体" w:hAnsi="宋体" w:eastAsia="宋体" w:cs="宋体"/>
          <w:snapToGrid w:val="0"/>
          <w:color w:val="auto"/>
          <w:sz w:val="24"/>
          <w:szCs w:val="24"/>
          <w:highlight w:val="none"/>
          <w:lang w:val="zh-CN"/>
        </w:rPr>
        <w:t>标大厅”，准时参加在线</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，按照工作人员提示进行相关操作。未按上述要求进行的，导致的后果由供应商自行承担。</w:t>
      </w:r>
    </w:p>
    <w:p w14:paraId="21D93F4E">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19" w:name="_Toc163492857"/>
      <w:bookmarkStart w:id="320" w:name="_Toc140132790"/>
      <w:r>
        <w:rPr>
          <w:rFonts w:hint="eastAsia" w:ascii="宋体" w:hAnsi="宋体" w:eastAsia="宋体" w:cs="宋体"/>
          <w:b/>
          <w:bCs/>
          <w:color w:val="auto"/>
          <w:kern w:val="2"/>
          <w:sz w:val="24"/>
          <w:szCs w:val="24"/>
          <w:highlight w:val="none"/>
          <w:lang w:val="en-US" w:eastAsia="zh-CN" w:bidi="ar-SA"/>
        </w:rPr>
        <w:t>28.</w:t>
      </w:r>
      <w:bookmarkEnd w:id="319"/>
      <w:bookmarkEnd w:id="320"/>
      <w:r>
        <w:rPr>
          <w:rFonts w:hint="eastAsia" w:ascii="宋体" w:hAnsi="宋体" w:eastAsia="宋体" w:cs="宋体"/>
          <w:b/>
          <w:bCs/>
          <w:color w:val="auto"/>
          <w:kern w:val="2"/>
          <w:sz w:val="24"/>
          <w:szCs w:val="24"/>
          <w:highlight w:val="none"/>
          <w:lang w:val="en-US" w:eastAsia="zh-CN" w:bidi="ar-SA"/>
        </w:rPr>
        <w:t>谈判小组</w:t>
      </w:r>
    </w:p>
    <w:p w14:paraId="6C1089B0">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.1 </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小组由采购人代表和评审专家共3人以上单数组成，其中评审专家人数不得少于</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小组成员总数的2/3。采购人代表不得以评审专家身份参加本部门或本单位采购项目的评审。采购代理机构人员不得参加本机构代理的采购项目的评审。</w:t>
      </w:r>
    </w:p>
    <w:p w14:paraId="301CAD81">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.2 </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小组成员有下列情形之一的，应当回避：</w:t>
      </w:r>
    </w:p>
    <w:p w14:paraId="0656ACEF">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（1）参加采购活动前3年内与</w:t>
      </w:r>
      <w:r>
        <w:rPr>
          <w:rFonts w:hint="eastAsia" w:ascii="宋体" w:hAnsi="宋体" w:eastAsia="宋体" w:cs="宋体"/>
          <w:color w:val="auto"/>
          <w:sz w:val="24"/>
          <w:szCs w:val="24"/>
          <w:highlight w:val="none"/>
          <w:lang w:val="en-US" w:eastAsia="zh-CN"/>
        </w:rPr>
        <w:t>谈判供应商</w:t>
      </w:r>
      <w:r>
        <w:rPr>
          <w:rFonts w:hint="eastAsia" w:ascii="宋体" w:hAnsi="宋体" w:eastAsia="宋体" w:cs="宋体"/>
          <w:color w:val="auto"/>
          <w:sz w:val="24"/>
          <w:szCs w:val="24"/>
          <w:highlight w:val="none"/>
        </w:rPr>
        <w:t>存在劳动关系；</w:t>
      </w:r>
    </w:p>
    <w:p w14:paraId="55B6A1BF">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（2）参加采购活动前3年内担任</w:t>
      </w:r>
      <w:r>
        <w:rPr>
          <w:rFonts w:hint="eastAsia" w:ascii="宋体" w:hAnsi="宋体" w:eastAsia="宋体" w:cs="宋体"/>
          <w:color w:val="auto"/>
          <w:sz w:val="24"/>
          <w:szCs w:val="24"/>
          <w:highlight w:val="none"/>
          <w:lang w:val="en-US" w:eastAsia="zh-CN"/>
        </w:rPr>
        <w:t>谈判供应商</w:t>
      </w:r>
      <w:r>
        <w:rPr>
          <w:rFonts w:hint="eastAsia" w:ascii="宋体" w:hAnsi="宋体" w:eastAsia="宋体" w:cs="宋体"/>
          <w:color w:val="auto"/>
          <w:sz w:val="24"/>
          <w:szCs w:val="24"/>
          <w:highlight w:val="none"/>
        </w:rPr>
        <w:t>的董事、监事；</w:t>
      </w:r>
    </w:p>
    <w:p w14:paraId="61A1D2B8">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（3）参加采购活动前3年内是</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的控股股东或者实际控制人；</w:t>
      </w:r>
    </w:p>
    <w:p w14:paraId="2961D582">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的法定代表人或者负责人有夫妻、直系血亲、三代以内旁系血亲或者近姻亲关系；</w:t>
      </w:r>
    </w:p>
    <w:p w14:paraId="20FB9B78">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21" w:name="_Toc140132791"/>
      <w:bookmarkStart w:id="322" w:name="_Toc163492858"/>
      <w:r>
        <w:rPr>
          <w:rFonts w:hint="eastAsia" w:ascii="宋体" w:hAnsi="宋体" w:eastAsia="宋体" w:cs="宋体"/>
          <w:b/>
          <w:bCs/>
          <w:color w:val="auto"/>
          <w:kern w:val="2"/>
          <w:sz w:val="24"/>
          <w:szCs w:val="24"/>
          <w:highlight w:val="none"/>
          <w:lang w:val="en-US" w:eastAsia="zh-CN" w:bidi="ar-SA"/>
        </w:rPr>
        <w:t>29.</w:t>
      </w:r>
      <w:bookmarkEnd w:id="321"/>
      <w:bookmarkEnd w:id="322"/>
      <w:r>
        <w:rPr>
          <w:rFonts w:hint="eastAsia" w:ascii="宋体" w:hAnsi="宋体" w:eastAsia="宋体" w:cs="宋体"/>
          <w:b/>
          <w:bCs/>
          <w:color w:val="auto"/>
          <w:kern w:val="2"/>
          <w:sz w:val="24"/>
          <w:szCs w:val="24"/>
          <w:highlight w:val="none"/>
          <w:lang w:val="en-US" w:eastAsia="zh-CN" w:bidi="ar-SA"/>
        </w:rPr>
        <w:t>评审</w:t>
      </w:r>
    </w:p>
    <w:p w14:paraId="418DE4CD">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 谈判</w:t>
      </w:r>
      <w:r>
        <w:rPr>
          <w:rFonts w:hint="eastAsia" w:ascii="宋体" w:hAnsi="宋体" w:eastAsia="宋体" w:cs="宋体"/>
          <w:color w:val="auto"/>
          <w:sz w:val="24"/>
          <w:szCs w:val="24"/>
          <w:highlight w:val="none"/>
        </w:rPr>
        <w:t>小组按照“第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方法及标准”</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规定对</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文件进行评审。“第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方法及标准”没有规定的方法、评审因素和标准，不作为评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依据。</w:t>
      </w:r>
      <w:r>
        <w:rPr>
          <w:rFonts w:hint="eastAsia" w:cs="宋体"/>
          <w:color w:val="auto"/>
          <w:sz w:val="24"/>
          <w:szCs w:val="24"/>
          <w:highlight w:val="none"/>
          <w:lang w:val="en-US" w:eastAsia="zh-CN"/>
        </w:rPr>
        <w:t>本项目谈判轮次及谈判顺序详“供应商须知前附表”。</w:t>
      </w:r>
    </w:p>
    <w:p w14:paraId="1A9007D8">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2 </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小组按“</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须知前附表”规定的</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候选人数量在评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报告中向采购人推荐</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候选人。</w:t>
      </w:r>
    </w:p>
    <w:p w14:paraId="1E63454C">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29.3 开启之后，直到签订合同止，凡是属于审查、澄清、评价和比较</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的有关资料以及确定成交意向等，均不得向供应商或者其他与评审无关的人员透露。</w:t>
      </w:r>
    </w:p>
    <w:p w14:paraId="57927CBE">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29.4 在确定成交人之前，供应商试图在响应文件审查、澄清、比较和评审时对</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w:t>
      </w:r>
      <w:r>
        <w:rPr>
          <w:rFonts w:hint="eastAsia" w:ascii="宋体" w:hAnsi="宋体" w:eastAsia="宋体" w:cs="宋体"/>
          <w:color w:val="auto"/>
          <w:sz w:val="24"/>
          <w:szCs w:val="24"/>
          <w:highlight w:val="none"/>
          <w:lang w:val="en-US" w:eastAsia="zh-CN"/>
        </w:rPr>
        <w:t>、采购人和采购代理机构施加任何影响都可能导致其</w:t>
      </w:r>
      <w:r>
        <w:rPr>
          <w:rFonts w:hint="eastAsia" w:ascii="宋体" w:hAnsi="宋体" w:eastAsia="宋体" w:cs="宋体"/>
          <w:b/>
          <w:bCs/>
          <w:color w:val="auto"/>
          <w:sz w:val="24"/>
          <w:szCs w:val="24"/>
          <w:highlight w:val="none"/>
          <w:lang w:val="en-US" w:eastAsia="zh-CN"/>
        </w:rPr>
        <w:t>响应无效</w:t>
      </w:r>
      <w:r>
        <w:rPr>
          <w:rFonts w:hint="eastAsia" w:ascii="宋体" w:hAnsi="宋体" w:eastAsia="宋体" w:cs="宋体"/>
          <w:color w:val="auto"/>
          <w:sz w:val="24"/>
          <w:szCs w:val="24"/>
          <w:highlight w:val="none"/>
          <w:lang w:val="en-US" w:eastAsia="zh-CN"/>
        </w:rPr>
        <w:t>。</w:t>
      </w:r>
    </w:p>
    <w:p w14:paraId="32A32003">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29.5 电子招投标的应急措施</w:t>
      </w:r>
    </w:p>
    <w:p w14:paraId="52525CD6">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29.5.1电子开启、评审如出现下列原因，导致系统无法正常运行或无法正常评审时，应采取应急措施。</w:t>
      </w:r>
    </w:p>
    <w:p w14:paraId="3D99F562">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（1）系统服务器发生故障，无法访问或无法使用系统；</w:t>
      </w:r>
    </w:p>
    <w:p w14:paraId="518B308A">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（2）系统的软件或数据库出现错误，不能进行正常操作；</w:t>
      </w:r>
    </w:p>
    <w:p w14:paraId="657BA7B3">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（3）系统发现有安全漏洞，有潜在的泄密危险；</w:t>
      </w:r>
    </w:p>
    <w:p w14:paraId="26B15397">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（4）病毒发作或受到外来病毒的攻击；</w:t>
      </w:r>
    </w:p>
    <w:p w14:paraId="6BCA43D9">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（5）出现其他不可抗拒的客观原因造成开评标系统无法正常使用。</w:t>
      </w:r>
    </w:p>
    <w:p w14:paraId="2BA3CE00">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出现上述情况时，应对未开启的暂停开启。已在系统内开启、评审的立即停止。采取应急措施时，必须对原有资料及信息作出妥善保密处理。</w:t>
      </w:r>
    </w:p>
    <w:p w14:paraId="791CC4F0">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29.5.2因系统原因导致供应商均无法解密电子响应文件时，采购代理机构可在开启现场直接导入供应商在递交响应文件截止时间前递交的未加密的电子响应文件进行开启、评审。</w:t>
      </w:r>
    </w:p>
    <w:p w14:paraId="28CD45E0">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 供应商瑕疵滞后发现的处理规则</w:t>
      </w:r>
    </w:p>
    <w:p w14:paraId="11E85EAD">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29.6.1无论基于何种原因，各项本应作拒绝处理的情形即便未被及时发现而使该供应商进入初审、综合评审或其他后续程序，包括已经签订合同的情形，一旦供应商被拒绝或该供应商的此前评议结果被取消，其现有的位置将被其他供应商依序替代，相关的一切损失均由该供应商承担。</w:t>
      </w:r>
    </w:p>
    <w:p w14:paraId="5000462B">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23" w:name="_Toc109899982"/>
      <w:bookmarkStart w:id="324" w:name="_Toc109900401"/>
      <w:bookmarkStart w:id="325" w:name="_Toc109897464"/>
      <w:bookmarkStart w:id="326" w:name="_Toc46771670"/>
      <w:bookmarkStart w:id="327" w:name="_Toc163493616"/>
      <w:bookmarkStart w:id="328" w:name="_Toc470172692"/>
      <w:bookmarkStart w:id="329" w:name="_Toc109899563"/>
      <w:bookmarkStart w:id="330" w:name="_Toc3567"/>
      <w:r>
        <w:rPr>
          <w:rFonts w:hint="eastAsia" w:ascii="宋体" w:hAnsi="宋体" w:eastAsia="宋体" w:cs="宋体"/>
          <w:b/>
          <w:bCs/>
          <w:color w:val="auto"/>
          <w:kern w:val="2"/>
          <w:sz w:val="24"/>
          <w:szCs w:val="24"/>
          <w:highlight w:val="none"/>
          <w:lang w:val="en-US" w:eastAsia="zh-CN" w:bidi="ar-SA"/>
        </w:rPr>
        <w:t>（八）成交</w:t>
      </w:r>
      <w:bookmarkEnd w:id="323"/>
      <w:bookmarkEnd w:id="324"/>
      <w:bookmarkEnd w:id="325"/>
      <w:bookmarkEnd w:id="326"/>
      <w:bookmarkEnd w:id="327"/>
      <w:bookmarkEnd w:id="328"/>
      <w:bookmarkEnd w:id="329"/>
      <w:bookmarkEnd w:id="330"/>
    </w:p>
    <w:p w14:paraId="59C81E92">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31" w:name="_Toc51674242"/>
      <w:bookmarkStart w:id="332" w:name="_Toc52962758"/>
      <w:bookmarkStart w:id="333" w:name="_Toc109897465"/>
      <w:bookmarkStart w:id="334" w:name="_Toc109899983"/>
      <w:bookmarkStart w:id="335" w:name="_Toc46772272"/>
      <w:bookmarkStart w:id="336" w:name="_Toc109900402"/>
      <w:bookmarkStart w:id="337" w:name="_Toc46771671"/>
      <w:bookmarkStart w:id="338" w:name="_Toc52960584"/>
      <w:bookmarkStart w:id="339" w:name="_Toc48846140"/>
      <w:bookmarkStart w:id="340" w:name="_Toc109899564"/>
      <w:bookmarkStart w:id="341" w:name="_Toc48688820"/>
      <w:bookmarkStart w:id="342" w:name="_Hlk143533953"/>
      <w:r>
        <w:rPr>
          <w:rFonts w:hint="eastAsia" w:ascii="宋体" w:hAnsi="宋体" w:eastAsia="宋体" w:cs="宋体"/>
          <w:b/>
          <w:bCs/>
          <w:color w:val="auto"/>
          <w:kern w:val="2"/>
          <w:sz w:val="24"/>
          <w:szCs w:val="24"/>
          <w:highlight w:val="none"/>
          <w:lang w:val="en-US" w:eastAsia="zh-CN" w:bidi="ar-SA"/>
        </w:rPr>
        <w:t>30.确定成交供应商</w:t>
      </w:r>
      <w:bookmarkEnd w:id="331"/>
      <w:bookmarkEnd w:id="332"/>
      <w:bookmarkEnd w:id="333"/>
      <w:bookmarkEnd w:id="334"/>
      <w:bookmarkEnd w:id="335"/>
      <w:bookmarkEnd w:id="336"/>
      <w:bookmarkEnd w:id="337"/>
      <w:bookmarkEnd w:id="338"/>
      <w:bookmarkEnd w:id="339"/>
      <w:bookmarkEnd w:id="340"/>
      <w:bookmarkEnd w:id="341"/>
    </w:p>
    <w:p w14:paraId="2A96CF82">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default"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30</w:t>
      </w:r>
      <w:r>
        <w:rPr>
          <w:rFonts w:hint="eastAsia" w:ascii="宋体" w:hAnsi="宋体" w:eastAsia="宋体" w:cs="宋体"/>
          <w:snapToGrid w:val="0"/>
          <w:color w:val="auto"/>
          <w:sz w:val="24"/>
          <w:szCs w:val="24"/>
          <w:highlight w:val="none"/>
          <w:lang w:val="zh-CN"/>
        </w:rPr>
        <w:t>.1确定成交供应商详见“供应商须知前附表”。</w:t>
      </w:r>
      <w:r>
        <w:rPr>
          <w:rFonts w:hint="eastAsia" w:cs="宋体"/>
          <w:snapToGrid w:val="0"/>
          <w:color w:val="auto"/>
          <w:sz w:val="24"/>
          <w:szCs w:val="24"/>
          <w:highlight w:val="none"/>
          <w:lang w:val="en-US" w:eastAsia="zh-CN"/>
        </w:rPr>
        <w:t>成交候选人并列的，按照</w:t>
      </w:r>
      <w:r>
        <w:rPr>
          <w:rFonts w:hint="eastAsia" w:ascii="宋体" w:hAnsi="宋体" w:eastAsia="宋体" w:cs="宋体"/>
          <w:snapToGrid w:val="0"/>
          <w:color w:val="auto"/>
          <w:sz w:val="24"/>
          <w:szCs w:val="24"/>
          <w:highlight w:val="none"/>
          <w:lang w:val="zh-CN"/>
        </w:rPr>
        <w:t>“供应商须知前附表”</w:t>
      </w:r>
      <w:r>
        <w:rPr>
          <w:rFonts w:hint="eastAsia" w:cs="宋体"/>
          <w:snapToGrid w:val="0"/>
          <w:color w:val="auto"/>
          <w:sz w:val="24"/>
          <w:szCs w:val="24"/>
          <w:highlight w:val="none"/>
          <w:lang w:val="en-US" w:eastAsia="zh-CN"/>
        </w:rPr>
        <w:t>要求确定成交供应商。</w:t>
      </w:r>
    </w:p>
    <w:p w14:paraId="4B64349D">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31.成交结果公告</w:t>
      </w:r>
    </w:p>
    <w:p w14:paraId="32E98E3A">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bidi="ar"/>
        </w:rPr>
      </w:pPr>
      <w:r>
        <w:rPr>
          <w:rFonts w:hint="eastAsia" w:ascii="宋体" w:hAnsi="宋体" w:eastAsia="宋体" w:cs="宋体"/>
          <w:snapToGrid w:val="0"/>
          <w:color w:val="auto"/>
          <w:sz w:val="24"/>
          <w:szCs w:val="24"/>
          <w:highlight w:val="none"/>
          <w:lang w:val="en-US" w:eastAsia="zh-CN"/>
        </w:rPr>
        <w:t>31</w:t>
      </w:r>
      <w:r>
        <w:rPr>
          <w:rFonts w:hint="eastAsia" w:ascii="宋体" w:hAnsi="宋体" w:eastAsia="宋体" w:cs="宋体"/>
          <w:snapToGrid w:val="0"/>
          <w:color w:val="auto"/>
          <w:sz w:val="24"/>
          <w:szCs w:val="24"/>
          <w:highlight w:val="none"/>
          <w:lang w:val="zh-CN"/>
        </w:rPr>
        <w:t>.1</w:t>
      </w:r>
      <w:r>
        <w:rPr>
          <w:rFonts w:hint="eastAsia" w:ascii="宋体" w:hAnsi="宋体" w:eastAsia="宋体" w:cs="宋体"/>
          <w:color w:val="auto"/>
          <w:sz w:val="24"/>
          <w:szCs w:val="24"/>
          <w:highlight w:val="none"/>
          <w:lang w:bidi="ar"/>
        </w:rPr>
        <w:t>采购人或者采购代理机构应当在成交供应商确定后2个工作日内，在省级以上财政部门指定的政府采购信息发布媒体上公告成交结果，</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bidi="ar"/>
        </w:rPr>
        <w:t>文件</w:t>
      </w:r>
      <w:r>
        <w:rPr>
          <w:rFonts w:hint="eastAsia" w:ascii="宋体" w:hAnsi="宋体" w:eastAsia="宋体" w:cs="宋体"/>
          <w:color w:val="auto"/>
          <w:sz w:val="24"/>
          <w:szCs w:val="24"/>
          <w:highlight w:val="none"/>
          <w:lang w:eastAsia="zh-CN" w:bidi="ar"/>
        </w:rPr>
        <w:t>、</w:t>
      </w:r>
      <w:r>
        <w:rPr>
          <w:rFonts w:hint="eastAsia" w:ascii="宋体" w:hAnsi="宋体" w:eastAsia="宋体" w:cs="宋体"/>
          <w:bCs/>
          <w:color w:val="auto"/>
          <w:sz w:val="24"/>
          <w:szCs w:val="24"/>
          <w:highlight w:val="none"/>
          <w:lang w:val="en-US" w:eastAsia="zh-CN"/>
        </w:rPr>
        <w:t>因落实政府采购政策等原因进行价格扣除后成交供应商的评审报价</w:t>
      </w:r>
      <w:r>
        <w:rPr>
          <w:rFonts w:hint="eastAsia" w:ascii="宋体" w:hAnsi="宋体" w:eastAsia="宋体" w:cs="宋体"/>
          <w:color w:val="auto"/>
          <w:sz w:val="24"/>
          <w:szCs w:val="24"/>
          <w:highlight w:val="none"/>
          <w:lang w:bidi="ar"/>
        </w:rPr>
        <w:t>随成交结果同时公告。</w:t>
      </w:r>
    </w:p>
    <w:p w14:paraId="5352A1FC">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成交</w:t>
      </w:r>
      <w:r>
        <w:rPr>
          <w:rFonts w:hint="eastAsia" w:ascii="宋体" w:hAnsi="宋体" w:eastAsia="宋体" w:cs="宋体"/>
          <w:bCs/>
          <w:color w:val="auto"/>
          <w:sz w:val="24"/>
          <w:szCs w:val="24"/>
          <w:highlight w:val="none"/>
          <w:lang w:val="en-US" w:eastAsia="zh-CN"/>
        </w:rPr>
        <w:t>人</w:t>
      </w:r>
      <w:r>
        <w:rPr>
          <w:rFonts w:hint="eastAsia" w:ascii="宋体" w:hAnsi="宋体" w:eastAsia="宋体" w:cs="宋体"/>
          <w:bCs/>
          <w:color w:val="auto"/>
          <w:sz w:val="24"/>
          <w:szCs w:val="24"/>
          <w:highlight w:val="none"/>
          <w:lang w:eastAsia="zh-CN"/>
        </w:rPr>
        <w:t>为中小企业</w:t>
      </w:r>
      <w:r>
        <w:rPr>
          <w:rFonts w:hint="eastAsia" w:ascii="宋体" w:hAnsi="宋体" w:eastAsia="宋体" w:cs="宋体"/>
          <w:bCs/>
          <w:color w:val="auto"/>
          <w:sz w:val="24"/>
          <w:szCs w:val="24"/>
          <w:highlight w:val="none"/>
          <w:lang w:val="en-US" w:eastAsia="zh-CN"/>
        </w:rPr>
        <w:t>享受中小企业扶持政策的</w:t>
      </w:r>
      <w:r>
        <w:rPr>
          <w:rFonts w:hint="eastAsia" w:ascii="宋体" w:hAnsi="宋体" w:eastAsia="宋体" w:cs="宋体"/>
          <w:bCs/>
          <w:color w:val="auto"/>
          <w:sz w:val="24"/>
          <w:szCs w:val="24"/>
          <w:highlight w:val="none"/>
          <w:lang w:eastAsia="zh-CN"/>
        </w:rPr>
        <w:t>，其“中小企业声明函”随成交结果同时公告。成交</w:t>
      </w:r>
      <w:r>
        <w:rPr>
          <w:rFonts w:hint="eastAsia" w:ascii="宋体" w:hAnsi="宋体" w:eastAsia="宋体" w:cs="宋体"/>
          <w:bCs/>
          <w:color w:val="auto"/>
          <w:sz w:val="24"/>
          <w:szCs w:val="24"/>
          <w:highlight w:val="none"/>
          <w:lang w:val="en-US" w:eastAsia="zh-CN"/>
        </w:rPr>
        <w:t>人</w:t>
      </w:r>
      <w:r>
        <w:rPr>
          <w:rFonts w:hint="eastAsia" w:ascii="宋体" w:hAnsi="宋体" w:eastAsia="宋体" w:cs="宋体"/>
          <w:bCs/>
          <w:color w:val="auto"/>
          <w:sz w:val="24"/>
          <w:szCs w:val="24"/>
          <w:highlight w:val="none"/>
          <w:lang w:eastAsia="zh-CN"/>
        </w:rPr>
        <w:t>为残疾人福利性单位的，其“残疾人福利性单位声明函”随成交结果同时公告。</w:t>
      </w:r>
    </w:p>
    <w:p w14:paraId="4CB6B367">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32.成交通知书</w:t>
      </w:r>
    </w:p>
    <w:p w14:paraId="3F3AC502">
      <w:pPr>
        <w:pStyle w:val="35"/>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en-US" w:eastAsia="zh-CN"/>
        </w:rPr>
        <w:t>32</w:t>
      </w:r>
      <w:r>
        <w:rPr>
          <w:rFonts w:hint="eastAsia" w:ascii="宋体" w:hAnsi="宋体" w:eastAsia="宋体" w:cs="宋体"/>
          <w:snapToGrid w:val="0"/>
          <w:color w:val="auto"/>
          <w:sz w:val="24"/>
          <w:szCs w:val="24"/>
          <w:highlight w:val="none"/>
          <w:lang w:val="zh-CN"/>
        </w:rPr>
        <w:t>.1发布成交结果公告同时向成交供应商发出成交通知书。成交通知书是合同的组成部分,对成交供应商和采购人具有同等法律效力。</w:t>
      </w:r>
    </w:p>
    <w:p w14:paraId="3E2C2D81">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43" w:name="_Toc2288"/>
      <w:bookmarkStart w:id="344" w:name="_Toc163493617"/>
      <w:r>
        <w:rPr>
          <w:rFonts w:hint="eastAsia" w:ascii="宋体" w:hAnsi="宋体" w:eastAsia="宋体" w:cs="宋体"/>
          <w:b/>
          <w:bCs/>
          <w:color w:val="auto"/>
          <w:kern w:val="2"/>
          <w:sz w:val="24"/>
          <w:szCs w:val="24"/>
          <w:highlight w:val="none"/>
          <w:lang w:val="en-US" w:eastAsia="zh-CN" w:bidi="ar-SA"/>
        </w:rPr>
        <w:t>（九）签订合同</w:t>
      </w:r>
      <w:bookmarkEnd w:id="343"/>
      <w:bookmarkEnd w:id="344"/>
    </w:p>
    <w:p w14:paraId="6F871425">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45" w:name="_Toc52960585"/>
      <w:bookmarkStart w:id="346" w:name="_Toc109897466"/>
      <w:bookmarkStart w:id="347" w:name="_Toc109900403"/>
      <w:bookmarkStart w:id="348" w:name="_Toc109899565"/>
      <w:bookmarkStart w:id="349" w:name="_Toc48846141"/>
      <w:bookmarkStart w:id="350" w:name="_Toc51674243"/>
      <w:bookmarkStart w:id="351" w:name="_Toc46771672"/>
      <w:bookmarkStart w:id="352" w:name="_Toc48688821"/>
      <w:bookmarkStart w:id="353" w:name="_Toc109899984"/>
      <w:bookmarkStart w:id="354" w:name="_Toc46772273"/>
      <w:bookmarkStart w:id="355" w:name="_Toc52962759"/>
      <w:r>
        <w:rPr>
          <w:rFonts w:hint="eastAsia" w:ascii="宋体" w:hAnsi="宋体" w:eastAsia="宋体" w:cs="宋体"/>
          <w:b/>
          <w:bCs/>
          <w:color w:val="auto"/>
          <w:kern w:val="2"/>
          <w:sz w:val="24"/>
          <w:szCs w:val="24"/>
          <w:highlight w:val="none"/>
          <w:lang w:val="en-US" w:eastAsia="zh-CN" w:bidi="ar-SA"/>
        </w:rPr>
        <w:t>33.履约保证金</w:t>
      </w:r>
    </w:p>
    <w:p w14:paraId="2934878C">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.1在签订合同前，成交供应商应按“供应商须知前附表”规定的金额、担保形式和采购人认可的履约担保格式向采购人提交履约保证金。</w:t>
      </w:r>
    </w:p>
    <w:p w14:paraId="429BB4A0">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.2成交供应商不能按本章第3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.1项要求提交履约担保的，视为放弃成交，给采购人造成损失的，成交供应商还应当承担民事责任。</w:t>
      </w:r>
    </w:p>
    <w:p w14:paraId="2B0382DC">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34.签订合同</w:t>
      </w:r>
      <w:bookmarkEnd w:id="345"/>
      <w:bookmarkEnd w:id="346"/>
      <w:bookmarkEnd w:id="347"/>
      <w:bookmarkEnd w:id="348"/>
      <w:bookmarkEnd w:id="349"/>
      <w:bookmarkEnd w:id="350"/>
      <w:bookmarkEnd w:id="351"/>
      <w:bookmarkEnd w:id="352"/>
      <w:bookmarkEnd w:id="353"/>
      <w:bookmarkEnd w:id="354"/>
      <w:bookmarkEnd w:id="355"/>
    </w:p>
    <w:p w14:paraId="343B0C17">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zh-CN"/>
        </w:rPr>
        <w:t>3</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lang w:val="zh-CN"/>
        </w:rPr>
        <w:t>.1采购人与成交供应商应当在成交通知书发出之日起</w:t>
      </w:r>
      <w:r>
        <w:rPr>
          <w:rFonts w:hint="eastAsia" w:ascii="宋体" w:hAnsi="宋体" w:eastAsia="宋体" w:cs="宋体"/>
          <w:snapToGrid w:val="0"/>
          <w:color w:val="auto"/>
          <w:sz w:val="24"/>
          <w:szCs w:val="24"/>
          <w:highlight w:val="none"/>
          <w:lang w:val="en-US" w:eastAsia="zh-CN"/>
        </w:rPr>
        <w:t>25</w:t>
      </w:r>
      <w:r>
        <w:rPr>
          <w:rFonts w:hint="eastAsia" w:ascii="宋体" w:hAnsi="宋体" w:eastAsia="宋体" w:cs="宋体"/>
          <w:snapToGrid w:val="0"/>
          <w:color w:val="auto"/>
          <w:sz w:val="24"/>
          <w:szCs w:val="24"/>
          <w:highlight w:val="none"/>
          <w:lang w:val="zh-CN"/>
        </w:rPr>
        <w:t>日内，按照</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文件确定的合同文本以及采购标的、规格型号、采购金额、采购数量、技术和服务要求等事项签订政府采购合同。</w:t>
      </w:r>
      <w:r>
        <w:rPr>
          <w:rFonts w:hint="eastAsia" w:ascii="宋体" w:hAnsi="宋体" w:eastAsia="宋体" w:cs="宋体"/>
          <w:color w:val="auto"/>
          <w:sz w:val="24"/>
          <w:szCs w:val="24"/>
          <w:highlight w:val="none"/>
        </w:rPr>
        <w:t>采购人因不可抗力原因迟延签订合同的，应当自不可抗力事由消除之日起7日内完成合同签订事宜。所签订的合同不得对</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文件和</w:t>
      </w:r>
      <w:r>
        <w:rPr>
          <w:rFonts w:hint="eastAsia" w:ascii="宋体" w:hAnsi="宋体" w:eastAsia="宋体" w:cs="宋体"/>
          <w:color w:val="auto"/>
          <w:sz w:val="24"/>
          <w:szCs w:val="24"/>
          <w:highlight w:val="none"/>
          <w:lang w:val="en-US" w:eastAsia="zh-CN"/>
        </w:rPr>
        <w:t>成交供应商响应</w:t>
      </w:r>
      <w:r>
        <w:rPr>
          <w:rFonts w:hint="eastAsia" w:ascii="宋体" w:hAnsi="宋体" w:eastAsia="宋体" w:cs="宋体"/>
          <w:color w:val="auto"/>
          <w:sz w:val="24"/>
          <w:szCs w:val="24"/>
          <w:highlight w:val="none"/>
        </w:rPr>
        <w:t>文件作实质性修改。</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人无正当理由拒签合同，给采购人造成损失的，</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人还应当承担民事责任。</w:t>
      </w:r>
    </w:p>
    <w:p w14:paraId="1C3196D6">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成交供应商拒绝签订政府采购合同的，采购人可以</w:t>
      </w:r>
      <w:r>
        <w:rPr>
          <w:rFonts w:hint="eastAsia" w:ascii="宋体" w:hAnsi="宋体" w:eastAsia="宋体" w:cs="宋体"/>
          <w:color w:val="auto"/>
          <w:sz w:val="24"/>
          <w:szCs w:val="24"/>
          <w:highlight w:val="none"/>
          <w:lang w:val="en-US" w:eastAsia="zh-CN"/>
        </w:rPr>
        <w:t>按照</w:t>
      </w:r>
      <w:r>
        <w:rPr>
          <w:rFonts w:hint="eastAsia" w:ascii="宋体" w:hAnsi="宋体" w:eastAsia="宋体" w:cs="宋体"/>
          <w:color w:val="auto"/>
          <w:sz w:val="24"/>
          <w:szCs w:val="24"/>
          <w:highlight w:val="none"/>
          <w:lang w:val="zh-CN"/>
        </w:rPr>
        <w:t>《政府采购</w:t>
      </w:r>
      <w:r>
        <w:rPr>
          <w:rFonts w:hint="eastAsia" w:cs="宋体"/>
          <w:color w:val="auto"/>
          <w:sz w:val="24"/>
          <w:szCs w:val="24"/>
          <w:highlight w:val="none"/>
          <w:lang w:val="en-US" w:eastAsia="zh-CN"/>
        </w:rPr>
        <w:t>非招标采购方式</w:t>
      </w:r>
      <w:r>
        <w:rPr>
          <w:rFonts w:hint="eastAsia" w:ascii="宋体" w:hAnsi="宋体" w:eastAsia="宋体" w:cs="宋体"/>
          <w:color w:val="auto"/>
          <w:sz w:val="24"/>
          <w:szCs w:val="24"/>
          <w:highlight w:val="none"/>
          <w:lang w:val="zh-CN"/>
        </w:rPr>
        <w:t>管理办法》（</w:t>
      </w:r>
      <w:r>
        <w:rPr>
          <w:rFonts w:hint="eastAsia" w:cs="宋体"/>
          <w:color w:val="auto"/>
          <w:sz w:val="24"/>
          <w:szCs w:val="24"/>
          <w:highlight w:val="none"/>
          <w:lang w:val="en-US" w:eastAsia="zh-CN"/>
        </w:rPr>
        <w:t>财政部令7</w:t>
      </w:r>
      <w:r>
        <w:rPr>
          <w:rFonts w:hint="eastAsia" w:ascii="宋体" w:hAnsi="宋体" w:eastAsia="宋体" w:cs="宋体"/>
          <w:color w:val="auto"/>
          <w:sz w:val="24"/>
          <w:szCs w:val="24"/>
          <w:highlight w:val="none"/>
          <w:lang w:val="zh-CN"/>
        </w:rPr>
        <w:t>4号）第</w:t>
      </w:r>
      <w:r>
        <w:rPr>
          <w:rFonts w:hint="eastAsia" w:cs="宋体"/>
          <w:color w:val="auto"/>
          <w:sz w:val="24"/>
          <w:szCs w:val="24"/>
          <w:highlight w:val="none"/>
          <w:lang w:val="en-US" w:eastAsia="zh-CN"/>
        </w:rPr>
        <w:t>二</w:t>
      </w:r>
      <w:r>
        <w:rPr>
          <w:rFonts w:hint="eastAsia" w:ascii="宋体" w:hAnsi="宋体" w:eastAsia="宋体" w:cs="宋体"/>
          <w:color w:val="auto"/>
          <w:sz w:val="24"/>
          <w:szCs w:val="24"/>
          <w:highlight w:val="none"/>
          <w:lang w:val="zh-CN"/>
        </w:rPr>
        <w:t>十</w:t>
      </w:r>
      <w:r>
        <w:rPr>
          <w:rFonts w:hint="eastAsia" w:cs="宋体"/>
          <w:color w:val="auto"/>
          <w:sz w:val="24"/>
          <w:szCs w:val="24"/>
          <w:highlight w:val="none"/>
          <w:lang w:val="en-US" w:eastAsia="zh-CN"/>
        </w:rPr>
        <w:t>二</w:t>
      </w:r>
      <w:r>
        <w:rPr>
          <w:rFonts w:hint="eastAsia" w:ascii="宋体" w:hAnsi="宋体" w:eastAsia="宋体" w:cs="宋体"/>
          <w:color w:val="auto"/>
          <w:sz w:val="24"/>
          <w:szCs w:val="24"/>
          <w:highlight w:val="none"/>
          <w:lang w:val="zh-CN"/>
        </w:rPr>
        <w:t>条</w:t>
      </w:r>
      <w:r>
        <w:rPr>
          <w:rFonts w:hint="eastAsia" w:cs="宋体"/>
          <w:color w:val="auto"/>
          <w:sz w:val="24"/>
          <w:szCs w:val="24"/>
          <w:highlight w:val="none"/>
          <w:lang w:val="en-US" w:eastAsia="zh-CN"/>
        </w:rPr>
        <w:t>第二款</w:t>
      </w:r>
      <w:r>
        <w:rPr>
          <w:rFonts w:hint="eastAsia" w:ascii="宋体" w:hAnsi="宋体" w:eastAsia="宋体" w:cs="宋体"/>
          <w:color w:val="auto"/>
          <w:sz w:val="24"/>
          <w:szCs w:val="24"/>
          <w:highlight w:val="none"/>
          <w:lang w:val="zh-CN"/>
        </w:rPr>
        <w:t>的规定确定其他供应商作为成交供应商并签订政府采购合同，也可以重新开展采购活动。拒绝签订政府采购合同的成交供应商不得参加对该项目重新开展的采购活动。</w:t>
      </w:r>
    </w:p>
    <w:p w14:paraId="28320F96">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.3</w:t>
      </w:r>
      <w:r>
        <w:rPr>
          <w:rFonts w:hint="eastAsia" w:ascii="宋体" w:hAnsi="宋体" w:eastAsia="宋体" w:cs="宋体"/>
          <w:color w:val="auto"/>
          <w:sz w:val="24"/>
          <w:szCs w:val="24"/>
          <w:highlight w:val="none"/>
        </w:rPr>
        <w:t>采购人和</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供应商不得向对方提出任何不合理的要求，作为签订合同的条件，双方不得私下订立背离合同实质性内容的协议。</w:t>
      </w:r>
    </w:p>
    <w:p w14:paraId="26D222D9">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34.4联合体成交的，联合体各方应当共同与采购人签订合同，就采购合同约定的事项向采购人承担连带责任。</w:t>
      </w:r>
    </w:p>
    <w:p w14:paraId="7F760399">
      <w:pPr>
        <w:pStyle w:val="35"/>
        <w:keepNext w:val="0"/>
        <w:keepLines w:val="0"/>
        <w:pageBreakBefore w:val="0"/>
        <w:widowControl w:val="0"/>
        <w:kinsoku/>
        <w:overflowPunct/>
        <w:topLinePunct w:val="0"/>
        <w:bidi w:val="0"/>
        <w:ind w:firstLine="48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34.5本项目的非主体、非关键性工作是否允许分包，见“供应商须知前附表”。</w:t>
      </w:r>
      <w:r>
        <w:rPr>
          <w:rFonts w:hint="eastAsia" w:ascii="宋体" w:hAnsi="宋体" w:eastAsia="宋体" w:cs="宋体"/>
          <w:color w:val="auto"/>
          <w:sz w:val="24"/>
          <w:szCs w:val="24"/>
          <w:highlight w:val="none"/>
        </w:rPr>
        <w:t>供应商未遵守竞争性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文件分包规定的，其</w:t>
      </w:r>
      <w:r>
        <w:rPr>
          <w:rFonts w:hint="eastAsia" w:ascii="宋体" w:hAnsi="宋体" w:eastAsia="宋体" w:cs="宋体"/>
          <w:b/>
          <w:bCs/>
          <w:color w:val="auto"/>
          <w:sz w:val="24"/>
          <w:szCs w:val="24"/>
          <w:highlight w:val="none"/>
        </w:rPr>
        <w:t>响应无效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采购人允许采用分包方式履行合同的，成交供应商可以依法在成交后将成交项目的非主体、非关键性工作采取分包方式履行合同。政府采购合同分包履行的，应当在响应文件中载明分包承担主体，分包承担主体应当具备相应资质条件且不得再次分包，否则</w:t>
      </w:r>
      <w:r>
        <w:rPr>
          <w:rFonts w:hint="eastAsia" w:ascii="宋体" w:hAnsi="宋体" w:eastAsia="宋体" w:cs="宋体"/>
          <w:b/>
          <w:bCs/>
          <w:color w:val="auto"/>
          <w:sz w:val="24"/>
          <w:szCs w:val="24"/>
          <w:highlight w:val="none"/>
          <w:lang w:val="en-US" w:eastAsia="zh-CN"/>
        </w:rPr>
        <w:t>成交无效</w:t>
      </w:r>
      <w:r>
        <w:rPr>
          <w:rFonts w:hint="eastAsia" w:ascii="宋体" w:hAnsi="宋体" w:eastAsia="宋体" w:cs="宋体"/>
          <w:color w:val="auto"/>
          <w:sz w:val="24"/>
          <w:szCs w:val="24"/>
          <w:highlight w:val="none"/>
          <w:lang w:val="en-US" w:eastAsia="zh-CN"/>
        </w:rPr>
        <w:t>。成交供应商就采购项目和分包项目向采购人负责，分包供应商就分包项目承担责任。</w:t>
      </w:r>
      <w:r>
        <w:rPr>
          <w:rFonts w:hint="eastAsia" w:ascii="宋体" w:hAnsi="宋体" w:eastAsia="宋体" w:cs="宋体"/>
          <w:b/>
          <w:bCs/>
          <w:color w:val="auto"/>
          <w:sz w:val="24"/>
          <w:szCs w:val="24"/>
          <w:highlight w:val="none"/>
          <w:lang w:val="en-US" w:eastAsia="zh-CN"/>
        </w:rPr>
        <w:t>政府采购合同不能转包。</w:t>
      </w:r>
    </w:p>
    <w:p w14:paraId="0ABFD586">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采购合同履行中，采购人需追加与合同标的相同的</w:t>
      </w:r>
      <w:r>
        <w:rPr>
          <w:rFonts w:hint="eastAsia" w:ascii="宋体" w:hAnsi="宋体" w:eastAsia="宋体" w:cs="宋体"/>
          <w:color w:val="auto"/>
          <w:sz w:val="24"/>
          <w:szCs w:val="24"/>
          <w:highlight w:val="none"/>
          <w:lang w:val="en-US" w:eastAsia="zh-CN"/>
        </w:rPr>
        <w:t>货物、工程或者服务</w:t>
      </w:r>
      <w:r>
        <w:rPr>
          <w:rFonts w:hint="eastAsia" w:ascii="宋体" w:hAnsi="宋体" w:eastAsia="宋体" w:cs="宋体"/>
          <w:color w:val="auto"/>
          <w:sz w:val="24"/>
          <w:szCs w:val="24"/>
          <w:highlight w:val="none"/>
        </w:rPr>
        <w:t>的，在不改变合同其他条款的前提下，可以与成交供应商协商签订补充合同，但所有补充合同的采购金额不得超过原合同采购金额的百分之十。</w:t>
      </w:r>
    </w:p>
    <w:p w14:paraId="43E904D8">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34.7采购人应于签订合同之日起2个工作日内在政采云平台备案公示。</w:t>
      </w:r>
    </w:p>
    <w:bookmarkEnd w:id="342"/>
    <w:p w14:paraId="4252B453">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56" w:name="_Toc28173"/>
      <w:bookmarkStart w:id="357" w:name="_Toc109899985"/>
      <w:bookmarkStart w:id="358" w:name="_Toc109899566"/>
      <w:bookmarkStart w:id="359" w:name="_Toc46771673"/>
      <w:bookmarkStart w:id="360" w:name="_Toc109897467"/>
      <w:bookmarkStart w:id="361" w:name="_Toc163493618"/>
      <w:bookmarkStart w:id="362" w:name="_Toc109900404"/>
      <w:bookmarkStart w:id="363" w:name="_Toc470172693"/>
      <w:r>
        <w:rPr>
          <w:rFonts w:hint="eastAsia" w:ascii="宋体" w:hAnsi="宋体" w:eastAsia="宋体" w:cs="宋体"/>
          <w:b/>
          <w:bCs/>
          <w:color w:val="auto"/>
          <w:kern w:val="2"/>
          <w:sz w:val="24"/>
          <w:szCs w:val="24"/>
          <w:highlight w:val="none"/>
          <w:lang w:val="en-US" w:eastAsia="zh-CN" w:bidi="ar-SA"/>
        </w:rPr>
        <w:t>（十）质疑和投诉</w:t>
      </w:r>
      <w:bookmarkEnd w:id="356"/>
      <w:bookmarkEnd w:id="357"/>
      <w:bookmarkEnd w:id="358"/>
      <w:bookmarkEnd w:id="359"/>
      <w:bookmarkEnd w:id="360"/>
      <w:bookmarkEnd w:id="361"/>
      <w:bookmarkEnd w:id="362"/>
    </w:p>
    <w:p w14:paraId="000ACFE7">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64" w:name="_Toc109899986"/>
      <w:bookmarkStart w:id="365" w:name="_Toc52960587"/>
      <w:bookmarkStart w:id="366" w:name="_Toc51674245"/>
      <w:bookmarkStart w:id="367" w:name="_Toc109899567"/>
      <w:bookmarkStart w:id="368" w:name="_Toc48688823"/>
      <w:bookmarkStart w:id="369" w:name="_Toc109897468"/>
      <w:bookmarkStart w:id="370" w:name="_Toc46771674"/>
      <w:bookmarkStart w:id="371" w:name="_Toc46772275"/>
      <w:bookmarkStart w:id="372" w:name="_Toc48846143"/>
      <w:bookmarkStart w:id="373" w:name="_Toc109900405"/>
      <w:bookmarkStart w:id="374" w:name="_Toc52962761"/>
      <w:r>
        <w:rPr>
          <w:rFonts w:hint="eastAsia" w:ascii="宋体" w:hAnsi="宋体" w:eastAsia="宋体" w:cs="宋体"/>
          <w:b/>
          <w:bCs/>
          <w:color w:val="auto"/>
          <w:kern w:val="2"/>
          <w:sz w:val="24"/>
          <w:szCs w:val="24"/>
          <w:highlight w:val="none"/>
          <w:lang w:val="en-US" w:eastAsia="zh-CN" w:bidi="ar-SA"/>
        </w:rPr>
        <w:t>35.质疑</w:t>
      </w:r>
      <w:bookmarkEnd w:id="364"/>
      <w:bookmarkEnd w:id="365"/>
      <w:bookmarkEnd w:id="366"/>
      <w:bookmarkEnd w:id="367"/>
      <w:bookmarkEnd w:id="368"/>
      <w:bookmarkEnd w:id="369"/>
      <w:bookmarkEnd w:id="370"/>
      <w:bookmarkEnd w:id="371"/>
      <w:bookmarkEnd w:id="372"/>
      <w:bookmarkEnd w:id="373"/>
      <w:bookmarkEnd w:id="374"/>
    </w:p>
    <w:p w14:paraId="097AA162">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bookmarkStart w:id="375" w:name="_Toc48846144"/>
      <w:bookmarkStart w:id="376" w:name="_Toc109900406"/>
      <w:bookmarkStart w:id="377" w:name="_Toc109899568"/>
      <w:bookmarkStart w:id="378" w:name="_Toc46771675"/>
      <w:bookmarkStart w:id="379" w:name="_Toc51674246"/>
      <w:bookmarkStart w:id="380" w:name="_Toc109897469"/>
      <w:bookmarkStart w:id="381" w:name="_Toc52960588"/>
      <w:bookmarkStart w:id="382" w:name="_Toc46772276"/>
      <w:bookmarkStart w:id="383" w:name="_Toc52962762"/>
      <w:bookmarkStart w:id="384" w:name="_Toc48688824"/>
      <w:bookmarkStart w:id="385" w:name="_Toc109899987"/>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5</w:t>
      </w:r>
      <w:r>
        <w:rPr>
          <w:rFonts w:hint="eastAsia" w:ascii="宋体" w:hAnsi="宋体" w:eastAsia="宋体" w:cs="宋体"/>
          <w:color w:val="auto"/>
          <w:sz w:val="24"/>
          <w:szCs w:val="24"/>
          <w:highlight w:val="none"/>
        </w:rPr>
        <w:t>.1供应商认为</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过程、成交结果使自己的权益受到损害的，可以在知道或者应知其权益受到损害之日起7个工作日内，以书面形式向采购人、采购代理机构提出质疑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详见“供应商须知前附表”</w:t>
      </w:r>
      <w:r>
        <w:rPr>
          <w:rFonts w:hint="eastAsia" w:ascii="宋体" w:hAnsi="宋体" w:eastAsia="宋体" w:cs="宋体"/>
          <w:color w:val="auto"/>
          <w:sz w:val="24"/>
          <w:szCs w:val="24"/>
          <w:highlight w:val="none"/>
        </w:rPr>
        <w:t>。供应商在法定质疑期内一次性提出针对同一采购程序环节的质疑。</w:t>
      </w:r>
    </w:p>
    <w:p w14:paraId="35972B93">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5</w:t>
      </w:r>
      <w:r>
        <w:rPr>
          <w:rFonts w:hint="eastAsia" w:ascii="宋体" w:hAnsi="宋体" w:eastAsia="宋体" w:cs="宋体"/>
          <w:color w:val="auto"/>
          <w:sz w:val="24"/>
          <w:szCs w:val="24"/>
          <w:highlight w:val="none"/>
        </w:rPr>
        <w:t>.2提出质疑的供应商（以下简称质疑供应商）应当是参与所质疑项目采购活动的供应商。</w:t>
      </w:r>
    </w:p>
    <w:p w14:paraId="6503DC74">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35.3</w:t>
      </w:r>
      <w:r>
        <w:rPr>
          <w:rFonts w:hint="eastAsia" w:ascii="宋体" w:hAnsi="宋体" w:eastAsia="宋体" w:cs="宋体"/>
          <w:color w:val="auto"/>
          <w:sz w:val="24"/>
          <w:szCs w:val="24"/>
          <w:highlight w:val="none"/>
        </w:rPr>
        <w:t>潜在供应商已依法获取其可质疑的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文件的，可以对该文件提出质疑。对</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文件提出质疑的，应当在获取</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文件或者</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文件公告期限届满之日起7个工作日内提出。</w:t>
      </w:r>
    </w:p>
    <w:p w14:paraId="7A916D67">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35.4</w:t>
      </w:r>
      <w:r>
        <w:rPr>
          <w:rFonts w:hint="eastAsia" w:ascii="宋体" w:hAnsi="宋体" w:eastAsia="宋体" w:cs="宋体"/>
          <w:color w:val="auto"/>
          <w:sz w:val="24"/>
          <w:szCs w:val="24"/>
          <w:highlight w:val="none"/>
        </w:rPr>
        <w:t>供应商提出质疑应当提交质疑函和必要的证明材料。质疑函应当包括下列内容：</w:t>
      </w:r>
    </w:p>
    <w:p w14:paraId="57C1F480">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）供应商的姓名或者名称、地址、邮编、联系人及联系电话；</w:t>
      </w:r>
    </w:p>
    <w:p w14:paraId="2B1F4E61">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1AA8BB74">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）具体、明确的质疑事项和与质疑事项相关的请求；</w:t>
      </w:r>
    </w:p>
    <w:p w14:paraId="6456E8B1">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）事实依据；</w:t>
      </w:r>
    </w:p>
    <w:p w14:paraId="4D032ABB">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）必要的法律依据；</w:t>
      </w:r>
    </w:p>
    <w:p w14:paraId="2E14DE4D">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）提出质疑的日期。</w:t>
      </w:r>
    </w:p>
    <w:p w14:paraId="553B627B">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供应商为自然人的，应当由本人签字；供应商为法人或者其他组织的，应当由法定代表人、主要负责人，或者其授权代表签字或者盖章，并加盖公章。</w:t>
      </w:r>
    </w:p>
    <w:p w14:paraId="5F1352A8">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.5质疑函不符合上述要求的，采购人或代理机构应书面告知具体事项，质疑人应当按要求进行修改或补充，并在质疑有效期限内提交。</w:t>
      </w:r>
    </w:p>
    <w:p w14:paraId="76BD2AC8">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3</w:t>
      </w:r>
      <w:r>
        <w:rPr>
          <w:rFonts w:hint="eastAsia" w:ascii="宋体" w:hAnsi="宋体" w:eastAsia="宋体" w:cs="宋体"/>
          <w:snapToGrid w:val="0"/>
          <w:color w:val="auto"/>
          <w:sz w:val="24"/>
          <w:szCs w:val="24"/>
          <w:highlight w:val="none"/>
          <w:lang w:val="en-US" w:eastAsia="zh-CN"/>
        </w:rPr>
        <w:t>5</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6供应商</w:t>
      </w:r>
      <w:r>
        <w:rPr>
          <w:rFonts w:hint="eastAsia" w:ascii="宋体" w:hAnsi="宋体" w:eastAsia="宋体" w:cs="宋体"/>
          <w:snapToGrid w:val="0"/>
          <w:color w:val="auto"/>
          <w:sz w:val="24"/>
          <w:szCs w:val="24"/>
          <w:highlight w:val="none"/>
        </w:rPr>
        <w:t>进行虚假和恶意</w:t>
      </w:r>
      <w:r>
        <w:rPr>
          <w:rFonts w:hint="eastAsia" w:ascii="宋体" w:hAnsi="宋体" w:eastAsia="宋体" w:cs="宋体"/>
          <w:snapToGrid w:val="0"/>
          <w:color w:val="auto"/>
          <w:sz w:val="24"/>
          <w:szCs w:val="24"/>
          <w:highlight w:val="none"/>
          <w:lang w:val="en-US" w:eastAsia="zh-CN"/>
        </w:rPr>
        <w:t>质疑投诉</w:t>
      </w:r>
      <w:r>
        <w:rPr>
          <w:rFonts w:hint="eastAsia" w:ascii="宋体" w:hAnsi="宋体" w:eastAsia="宋体" w:cs="宋体"/>
          <w:snapToGrid w:val="0"/>
          <w:color w:val="auto"/>
          <w:sz w:val="24"/>
          <w:szCs w:val="24"/>
          <w:highlight w:val="none"/>
        </w:rPr>
        <w:t>的，采购代理机构将提请有关部门将其列入不良记录名单，在一至三年内禁止参加政府采购活动，并将处理决定在相关政府采购媒体上公布。</w:t>
      </w:r>
    </w:p>
    <w:p w14:paraId="06C8AD26">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35.7</w:t>
      </w:r>
      <w:r>
        <w:rPr>
          <w:rFonts w:hint="eastAsia" w:ascii="宋体" w:hAnsi="宋体" w:eastAsia="宋体" w:cs="宋体"/>
          <w:color w:val="auto"/>
          <w:sz w:val="24"/>
          <w:szCs w:val="24"/>
          <w:highlight w:val="none"/>
        </w:rPr>
        <w:t>质疑函</w:t>
      </w:r>
      <w:r>
        <w:rPr>
          <w:rFonts w:hint="eastAsia" w:ascii="宋体" w:hAnsi="宋体" w:eastAsia="宋体" w:cs="宋体"/>
          <w:color w:val="auto"/>
          <w:sz w:val="24"/>
          <w:szCs w:val="24"/>
          <w:highlight w:val="none"/>
          <w:lang w:val="en-US" w:eastAsia="zh-CN"/>
        </w:rPr>
        <w:t>应当使用中文，并采用财政部门制定的范本。</w:t>
      </w:r>
    </w:p>
    <w:p w14:paraId="007DBE44">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36.质疑答复</w:t>
      </w:r>
      <w:bookmarkEnd w:id="375"/>
      <w:bookmarkEnd w:id="376"/>
      <w:bookmarkEnd w:id="377"/>
      <w:bookmarkEnd w:id="378"/>
      <w:bookmarkEnd w:id="379"/>
      <w:bookmarkEnd w:id="380"/>
      <w:bookmarkEnd w:id="381"/>
      <w:bookmarkEnd w:id="382"/>
      <w:bookmarkEnd w:id="383"/>
      <w:bookmarkEnd w:id="384"/>
      <w:bookmarkEnd w:id="385"/>
    </w:p>
    <w:p w14:paraId="43D7F91D">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386" w:name="_Toc46771676"/>
      <w:bookmarkStart w:id="387" w:name="_Toc52962763"/>
      <w:bookmarkStart w:id="388" w:name="_Toc46772277"/>
      <w:bookmarkStart w:id="389" w:name="_Toc48688825"/>
      <w:bookmarkStart w:id="390" w:name="_Toc51674247"/>
      <w:bookmarkStart w:id="391" w:name="_Toc109899988"/>
      <w:bookmarkStart w:id="392" w:name="_Toc109899569"/>
      <w:bookmarkStart w:id="393" w:name="_Toc109900407"/>
      <w:bookmarkStart w:id="394" w:name="_Toc48846145"/>
      <w:bookmarkStart w:id="395" w:name="_Toc52960589"/>
      <w:bookmarkStart w:id="396" w:name="_Toc109897470"/>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.1采购人、采购代理机构不得拒收质疑供应商在法定质疑期内发出的质疑函，应当在收到质疑函后7个工作日内作出答复，并以书面形式通知质疑供应商和其他有关供应商。</w:t>
      </w:r>
    </w:p>
    <w:p w14:paraId="6776834F">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36.2供应商对评审过程、成交结果提出质疑的，采购人、采购代理机构可以组织原竞争性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小组协助答复质疑。</w:t>
      </w:r>
    </w:p>
    <w:p w14:paraId="14E02AAA">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质疑答复应当包括下列内容：</w:t>
      </w:r>
    </w:p>
    <w:p w14:paraId="457CAA68">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）质疑供应商的姓名或者名称；</w:t>
      </w:r>
    </w:p>
    <w:p w14:paraId="462FCFC0">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）收到质疑函的日期、质疑项目名称及</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val="zh-CN" w:eastAsia="zh-CN"/>
        </w:rPr>
        <w:t>编号/包号；</w:t>
      </w:r>
    </w:p>
    <w:p w14:paraId="18D72157">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）质疑事项、质疑答复的具体内容、事实依据和法律依据；</w:t>
      </w:r>
    </w:p>
    <w:p w14:paraId="416368F5">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）告知质疑供应商依法投诉的权利；</w:t>
      </w:r>
    </w:p>
    <w:p w14:paraId="36EE7969">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）质疑答复人名称；</w:t>
      </w:r>
    </w:p>
    <w:p w14:paraId="7E632C0C">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）答复质疑的日期。</w:t>
      </w:r>
    </w:p>
    <w:p w14:paraId="56A5E1E9">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36.3</w:t>
      </w:r>
      <w:r>
        <w:rPr>
          <w:rFonts w:hint="eastAsia" w:ascii="宋体" w:hAnsi="宋体" w:eastAsia="宋体" w:cs="宋体"/>
          <w:color w:val="auto"/>
          <w:sz w:val="24"/>
          <w:szCs w:val="24"/>
          <w:highlight w:val="none"/>
          <w:lang w:val="zh-CN" w:eastAsia="zh-CN"/>
        </w:rPr>
        <w:t>质疑答复的内容不得涉及商业秘密。</w:t>
      </w:r>
    </w:p>
    <w:p w14:paraId="61006068">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37.投诉</w:t>
      </w:r>
      <w:bookmarkEnd w:id="386"/>
      <w:bookmarkEnd w:id="387"/>
      <w:bookmarkEnd w:id="388"/>
      <w:bookmarkEnd w:id="389"/>
      <w:bookmarkEnd w:id="390"/>
      <w:bookmarkEnd w:id="391"/>
      <w:bookmarkEnd w:id="392"/>
      <w:bookmarkEnd w:id="393"/>
      <w:bookmarkEnd w:id="394"/>
      <w:bookmarkEnd w:id="395"/>
      <w:bookmarkEnd w:id="396"/>
    </w:p>
    <w:bookmarkEnd w:id="113"/>
    <w:bookmarkEnd w:id="363"/>
    <w:p w14:paraId="34C5EAA0">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397" w:name="_Toc163493619"/>
      <w:bookmarkStart w:id="398" w:name="_Hlk60570485"/>
      <w:bookmarkStart w:id="399" w:name="_Toc109897471"/>
      <w:bookmarkStart w:id="400" w:name="_Toc109900408"/>
      <w:bookmarkStart w:id="401" w:name="_Toc109899570"/>
      <w:bookmarkStart w:id="402" w:name="_Toc109899989"/>
      <w:r>
        <w:rPr>
          <w:rFonts w:hint="eastAsia" w:ascii="宋体" w:hAnsi="宋体" w:eastAsia="宋体" w:cs="宋体"/>
          <w:color w:val="auto"/>
          <w:sz w:val="24"/>
          <w:szCs w:val="24"/>
          <w:highlight w:val="none"/>
          <w:lang w:val="en-US" w:eastAsia="zh-CN"/>
        </w:rPr>
        <w:t>37.1</w:t>
      </w:r>
      <w:r>
        <w:rPr>
          <w:rFonts w:hint="eastAsia" w:ascii="宋体" w:hAnsi="宋体" w:eastAsia="宋体" w:cs="宋体"/>
          <w:color w:val="auto"/>
          <w:sz w:val="24"/>
          <w:szCs w:val="24"/>
          <w:highlight w:val="none"/>
        </w:rPr>
        <w:t>质疑供应商对采购人、采购代理机构的答复不满意，或者采购人、采购代理机构未在规定时间内作出答复的，可以在答复期满后15个工作日内向</w:t>
      </w:r>
      <w:r>
        <w:rPr>
          <w:rFonts w:hint="eastAsia" w:ascii="宋体" w:hAnsi="宋体" w:eastAsia="宋体" w:cs="宋体"/>
          <w:color w:val="auto"/>
          <w:sz w:val="24"/>
          <w:szCs w:val="24"/>
          <w:highlight w:val="none"/>
          <w:lang w:val="en-US" w:eastAsia="zh-CN"/>
        </w:rPr>
        <w:t>同级政府采购监督管理部门</w:t>
      </w:r>
      <w:r>
        <w:rPr>
          <w:rFonts w:hint="eastAsia" w:ascii="宋体" w:hAnsi="宋体" w:eastAsia="宋体" w:cs="宋体"/>
          <w:color w:val="auto"/>
          <w:sz w:val="24"/>
          <w:szCs w:val="24"/>
          <w:highlight w:val="none"/>
        </w:rPr>
        <w:t>提起投诉。</w:t>
      </w:r>
    </w:p>
    <w:p w14:paraId="7AE3C0F6">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37.2</w:t>
      </w:r>
      <w:r>
        <w:rPr>
          <w:rFonts w:hint="eastAsia" w:ascii="宋体" w:hAnsi="宋体" w:eastAsia="宋体" w:cs="宋体"/>
          <w:color w:val="auto"/>
          <w:sz w:val="24"/>
          <w:szCs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49546547">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）投诉人和被投诉人的姓名或者名称、通讯地址、邮编、联系人及联系电话；</w:t>
      </w:r>
    </w:p>
    <w:p w14:paraId="1A65A103">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）质疑和质疑答复情况说明及相关证明材料；</w:t>
      </w:r>
    </w:p>
    <w:p w14:paraId="675A6D97">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）具体、明确的投诉事项和与投诉事项相关的投诉请求；</w:t>
      </w:r>
    </w:p>
    <w:p w14:paraId="4A0C1598">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）事实依据；</w:t>
      </w:r>
    </w:p>
    <w:p w14:paraId="4CFD3E01">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）法律依据；</w:t>
      </w:r>
    </w:p>
    <w:p w14:paraId="35FA6A4A">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）提起投诉的日期。</w:t>
      </w:r>
    </w:p>
    <w:p w14:paraId="4FC7C3AB">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投诉人为自然人的，应当由本人签字；投诉人为法人或者其他组织的，应当由法定代表人、主要负责人，或者其授权代表签字或者盖章，并加盖公章。</w:t>
      </w:r>
    </w:p>
    <w:p w14:paraId="4DF335BD">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37.3</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质疑、</w:t>
      </w:r>
      <w:r>
        <w:rPr>
          <w:rFonts w:hint="eastAsia" w:ascii="宋体" w:hAnsi="宋体" w:eastAsia="宋体" w:cs="宋体"/>
          <w:color w:val="auto"/>
          <w:sz w:val="24"/>
          <w:szCs w:val="24"/>
          <w:highlight w:val="none"/>
        </w:rPr>
        <w:t>投诉</w:t>
      </w:r>
      <w:r>
        <w:rPr>
          <w:rFonts w:hint="eastAsia" w:ascii="宋体" w:hAnsi="宋体" w:eastAsia="宋体" w:cs="宋体"/>
          <w:color w:val="auto"/>
          <w:sz w:val="24"/>
          <w:szCs w:val="24"/>
          <w:highlight w:val="none"/>
          <w:lang w:val="en-US" w:eastAsia="zh-CN"/>
        </w:rPr>
        <w:t>应当有明确的请求和必要的证明材料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供应商投诉的事项不得超出</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质疑事项的范围，但基于质疑答复内容提出的投诉事项除外</w:t>
      </w:r>
      <w:r>
        <w:rPr>
          <w:rFonts w:hint="eastAsia" w:ascii="宋体" w:hAnsi="宋体" w:eastAsia="宋体" w:cs="宋体"/>
          <w:bCs/>
          <w:color w:val="auto"/>
          <w:sz w:val="24"/>
          <w:szCs w:val="24"/>
          <w:highlight w:val="none"/>
        </w:rPr>
        <w:t>。</w:t>
      </w:r>
    </w:p>
    <w:p w14:paraId="4A2CC2E9">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rPr>
        <w:t>37.4</w:t>
      </w:r>
      <w:r>
        <w:rPr>
          <w:rFonts w:hint="eastAsia" w:ascii="宋体" w:hAnsi="宋体" w:eastAsia="宋体" w:cs="宋体"/>
          <w:color w:val="auto"/>
          <w:sz w:val="24"/>
          <w:szCs w:val="24"/>
          <w:highlight w:val="none"/>
          <w:lang w:val="en-US" w:eastAsia="zh-CN"/>
        </w:rPr>
        <w:t>投诉书应当使用中文，并采用财政部门制定的范本。</w:t>
      </w:r>
    </w:p>
    <w:p w14:paraId="072EB102">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03" w:name="_Toc24137"/>
      <w:r>
        <w:rPr>
          <w:rFonts w:hint="eastAsia" w:ascii="宋体" w:hAnsi="宋体" w:eastAsia="宋体" w:cs="宋体"/>
          <w:b/>
          <w:bCs/>
          <w:color w:val="auto"/>
          <w:kern w:val="2"/>
          <w:sz w:val="24"/>
          <w:szCs w:val="24"/>
          <w:highlight w:val="none"/>
          <w:lang w:val="en-US" w:eastAsia="zh-CN" w:bidi="ar-SA"/>
        </w:rPr>
        <w:t>（十一）采购代理服务费</w:t>
      </w:r>
      <w:bookmarkEnd w:id="397"/>
      <w:bookmarkEnd w:id="403"/>
    </w:p>
    <w:p w14:paraId="32832303">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38.收取方式和标准</w:t>
      </w:r>
    </w:p>
    <w:p w14:paraId="0F0CA960">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8</w:t>
      </w:r>
      <w:r>
        <w:rPr>
          <w:rFonts w:hint="eastAsia" w:ascii="宋体" w:hAnsi="宋体" w:eastAsia="宋体" w:cs="宋体"/>
          <w:color w:val="auto"/>
          <w:sz w:val="24"/>
          <w:szCs w:val="24"/>
          <w:highlight w:val="none"/>
        </w:rPr>
        <w:t>.1采购代理机构按“供应商须知前附表”规定的方式和标准收取采购代理服务费。</w:t>
      </w:r>
    </w:p>
    <w:p w14:paraId="5E6F9613">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04" w:name="_Toc163493620"/>
      <w:bookmarkStart w:id="405" w:name="_Toc2322"/>
      <w:r>
        <w:rPr>
          <w:rFonts w:hint="eastAsia" w:ascii="宋体" w:hAnsi="宋体" w:eastAsia="宋体" w:cs="宋体"/>
          <w:b/>
          <w:bCs/>
          <w:color w:val="auto"/>
          <w:kern w:val="2"/>
          <w:sz w:val="24"/>
          <w:szCs w:val="24"/>
          <w:highlight w:val="none"/>
          <w:lang w:val="en-US" w:eastAsia="zh-CN" w:bidi="ar-SA"/>
        </w:rPr>
        <w:t>（十二）无效响应和终止采购活动</w:t>
      </w:r>
      <w:bookmarkEnd w:id="404"/>
      <w:bookmarkEnd w:id="405"/>
    </w:p>
    <w:p w14:paraId="02780A34">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06" w:name="_Toc140132806"/>
      <w:bookmarkStart w:id="407" w:name="_Toc161600338"/>
      <w:r>
        <w:rPr>
          <w:rFonts w:hint="eastAsia" w:ascii="宋体" w:hAnsi="宋体" w:eastAsia="宋体" w:cs="宋体"/>
          <w:b/>
          <w:bCs/>
          <w:color w:val="auto"/>
          <w:kern w:val="2"/>
          <w:sz w:val="24"/>
          <w:szCs w:val="24"/>
          <w:highlight w:val="none"/>
          <w:lang w:val="en-US" w:eastAsia="zh-CN" w:bidi="ar-SA"/>
        </w:rPr>
        <w:t>39.无效</w:t>
      </w:r>
      <w:bookmarkEnd w:id="406"/>
      <w:bookmarkEnd w:id="407"/>
      <w:r>
        <w:rPr>
          <w:rFonts w:hint="eastAsia" w:ascii="宋体" w:hAnsi="宋体" w:eastAsia="宋体" w:cs="宋体"/>
          <w:b/>
          <w:bCs/>
          <w:color w:val="auto"/>
          <w:kern w:val="2"/>
          <w:sz w:val="24"/>
          <w:szCs w:val="24"/>
          <w:highlight w:val="none"/>
          <w:lang w:val="en-US" w:eastAsia="zh-CN" w:bidi="ar-SA"/>
        </w:rPr>
        <w:t>响应</w:t>
      </w:r>
    </w:p>
    <w:p w14:paraId="132D1B41">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.1响应文件存在“第四章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评审方法及标准”规定的</w:t>
      </w:r>
      <w:r>
        <w:rPr>
          <w:rFonts w:hint="eastAsia" w:ascii="宋体" w:hAnsi="宋体" w:eastAsia="宋体" w:cs="宋体"/>
          <w:b/>
          <w:bCs/>
          <w:color w:val="auto"/>
          <w:sz w:val="24"/>
          <w:szCs w:val="24"/>
          <w:highlight w:val="none"/>
        </w:rPr>
        <w:t>响应无效</w:t>
      </w:r>
      <w:r>
        <w:rPr>
          <w:rFonts w:hint="eastAsia" w:ascii="宋体" w:hAnsi="宋体" w:eastAsia="宋体" w:cs="宋体"/>
          <w:color w:val="auto"/>
          <w:sz w:val="24"/>
          <w:szCs w:val="24"/>
          <w:highlight w:val="none"/>
        </w:rPr>
        <w:t>情形的，做</w:t>
      </w:r>
      <w:r>
        <w:rPr>
          <w:rFonts w:hint="eastAsia" w:ascii="宋体" w:hAnsi="宋体" w:eastAsia="宋体" w:cs="宋体"/>
          <w:b/>
          <w:bCs/>
          <w:color w:val="auto"/>
          <w:sz w:val="24"/>
          <w:szCs w:val="24"/>
          <w:highlight w:val="none"/>
        </w:rPr>
        <w:t>无效响应</w:t>
      </w:r>
      <w:r>
        <w:rPr>
          <w:rFonts w:hint="eastAsia" w:ascii="宋体" w:hAnsi="宋体" w:eastAsia="宋体" w:cs="宋体"/>
          <w:color w:val="auto"/>
          <w:sz w:val="24"/>
          <w:szCs w:val="24"/>
          <w:highlight w:val="none"/>
        </w:rPr>
        <w:t>处理。</w:t>
      </w:r>
    </w:p>
    <w:p w14:paraId="631C56D4">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40.终止采购活动</w:t>
      </w:r>
    </w:p>
    <w:p w14:paraId="65CAB1F7">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.1出现下列情形之一的，应当终止竞争性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采购活动，发布项目终止公告并说明原因，重新开展采购活动：</w:t>
      </w:r>
    </w:p>
    <w:p w14:paraId="3F03AB90">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采购方式适用情形的；</w:t>
      </w:r>
    </w:p>
    <w:p w14:paraId="34F0BDE0">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3EDE2978">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采购过程中符合要求的供应商或者报价未超过采购预算的供应商不足3家的（市场竞争不充分的科研项目、需要扶持的科技成果转化项目以及政府购买服务项目&lt;含政府和社会资本合作项目&gt;）的提交最后报价的供应商可以为2家）。</w:t>
      </w:r>
    </w:p>
    <w:p w14:paraId="18EA97F2">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40.2在采购活动中因重大变故，采购任务取消的，采购人或者采购代理机构应当终止采购活动，通知所有参加采购活动的供应商</w:t>
      </w:r>
      <w:r>
        <w:rPr>
          <w:rFonts w:hint="eastAsia" w:cs="宋体"/>
          <w:color w:val="auto"/>
          <w:sz w:val="24"/>
          <w:szCs w:val="24"/>
          <w:highlight w:val="none"/>
          <w:lang w:val="en-US" w:eastAsia="zh-CN"/>
        </w:rPr>
        <w:t>并告知终止理由</w:t>
      </w:r>
      <w:r>
        <w:rPr>
          <w:rFonts w:hint="eastAsia" w:ascii="宋体" w:hAnsi="宋体" w:eastAsia="宋体" w:cs="宋体"/>
          <w:color w:val="auto"/>
          <w:sz w:val="24"/>
          <w:szCs w:val="24"/>
          <w:highlight w:val="none"/>
          <w:lang w:val="en-US" w:eastAsia="zh-CN"/>
        </w:rPr>
        <w:t>，并将项目实施情况和采购任务取消原因报送本级财政部门。</w:t>
      </w:r>
    </w:p>
    <w:p w14:paraId="56C7680B">
      <w:pPr>
        <w:keepNext w:val="0"/>
        <w:keepLines w:val="0"/>
        <w:widowControl/>
        <w:suppressLineNumbers w:val="0"/>
        <w:jc w:val="left"/>
        <w:rPr>
          <w:rFonts w:hint="eastAsia" w:ascii="宋体" w:hAnsi="宋体" w:eastAsia="宋体" w:cs="宋体"/>
          <w:color w:val="auto"/>
          <w:sz w:val="24"/>
          <w:szCs w:val="24"/>
          <w:highlight w:val="none"/>
        </w:rPr>
      </w:pPr>
      <w:bookmarkStart w:id="408" w:name="_Toc161600340"/>
      <w:bookmarkStart w:id="409" w:name="_Toc163493621"/>
      <w:bookmarkStart w:id="410" w:name="_Toc140132766"/>
      <w:r>
        <w:rPr>
          <w:rFonts w:hint="eastAsia" w:ascii="宋体" w:hAnsi="宋体" w:eastAsia="宋体" w:cs="宋体"/>
          <w:b/>
          <w:bCs/>
          <w:color w:val="auto"/>
          <w:kern w:val="2"/>
          <w:sz w:val="24"/>
          <w:szCs w:val="24"/>
          <w:highlight w:val="none"/>
          <w:lang w:val="en-US" w:eastAsia="zh-CN" w:bidi="ar-SA"/>
        </w:rPr>
        <w:t>（十三）落实政府采购政策</w:t>
      </w:r>
      <w:bookmarkEnd w:id="408"/>
      <w:bookmarkEnd w:id="409"/>
      <w:bookmarkEnd w:id="410"/>
      <w:r>
        <w:rPr>
          <w:rFonts w:hint="eastAsia" w:ascii="宋体" w:hAnsi="宋体" w:eastAsia="宋体" w:cs="宋体"/>
          <w:b/>
          <w:bCs/>
          <w:color w:val="auto"/>
          <w:kern w:val="2"/>
          <w:sz w:val="24"/>
          <w:szCs w:val="24"/>
          <w:highlight w:val="none"/>
          <w:lang w:val="en-US" w:eastAsia="zh-CN" w:bidi="ar-SA"/>
        </w:rPr>
        <w:t>（包括但不限于下列具体政策要求）</w:t>
      </w:r>
    </w:p>
    <w:p w14:paraId="57A34F7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411" w:name="_Toc163492876"/>
      <w:r>
        <w:rPr>
          <w:rFonts w:hint="eastAsia" w:ascii="宋体" w:hAnsi="宋体" w:eastAsia="宋体" w:cs="宋体"/>
          <w:b/>
          <w:bCs/>
          <w:color w:val="auto"/>
          <w:kern w:val="2"/>
          <w:sz w:val="24"/>
          <w:szCs w:val="28"/>
          <w:highlight w:val="none"/>
          <w:lang w:val="en-US" w:eastAsia="zh-CN" w:bidi="ar-SA"/>
        </w:rPr>
        <w:t>41.</w:t>
      </w:r>
      <w:r>
        <w:rPr>
          <w:rFonts w:hint="eastAsia" w:ascii="宋体" w:hAnsi="宋体" w:cs="宋体"/>
          <w:b/>
          <w:bCs/>
          <w:color w:val="auto"/>
          <w:kern w:val="2"/>
          <w:sz w:val="24"/>
          <w:szCs w:val="28"/>
          <w:highlight w:val="none"/>
          <w:lang w:val="en-US" w:eastAsia="zh-CN" w:bidi="ar-SA"/>
        </w:rPr>
        <w:t>本</w:t>
      </w:r>
      <w:r>
        <w:rPr>
          <w:rFonts w:hint="eastAsia" w:ascii="宋体" w:hAnsi="宋体" w:eastAsia="宋体" w:cs="宋体"/>
          <w:b/>
          <w:bCs/>
          <w:color w:val="auto"/>
          <w:kern w:val="2"/>
          <w:sz w:val="24"/>
          <w:szCs w:val="28"/>
          <w:highlight w:val="none"/>
          <w:lang w:val="en-US" w:eastAsia="zh-CN" w:bidi="ar-SA"/>
        </w:rPr>
        <w:t>国产品和进口产品</w:t>
      </w:r>
      <w:bookmarkEnd w:id="411"/>
    </w:p>
    <w:p w14:paraId="59F3A450">
      <w:pPr>
        <w:pStyle w:val="35"/>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41.1本国产品标准及支持政策</w:t>
      </w:r>
    </w:p>
    <w:p w14:paraId="441816D7">
      <w:pPr>
        <w:pStyle w:val="35"/>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3EE734F">
      <w:pPr>
        <w:pStyle w:val="35"/>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19E87B7B">
      <w:pPr>
        <w:pStyle w:val="35"/>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41.1.3对国家相关部门后续发布的特定产品清单内的产品，除满足上述条件外，还需同时满足关键组件境内生产、关键工序境内完成等特定要求。</w:t>
      </w:r>
    </w:p>
    <w:p w14:paraId="33FDC980">
      <w:pPr>
        <w:pStyle w:val="35"/>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41.1.4</w:t>
      </w:r>
      <w:r>
        <w:rPr>
          <w:rFonts w:hint="eastAsia" w:eastAsia="宋体"/>
          <w:snapToGrid w:val="0"/>
          <w:color w:val="auto"/>
          <w:sz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E7BA04">
      <w:pPr>
        <w:pStyle w:val="35"/>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DF0CD5C">
      <w:pPr>
        <w:pStyle w:val="35"/>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医疗器械产品，取得药品监督管理部门授予的准字号医疗器械注册证的，</w:t>
      </w:r>
      <w:r>
        <w:rPr>
          <w:rFonts w:hint="eastAsia"/>
          <w:snapToGrid w:val="0"/>
          <w:color w:val="auto"/>
          <w:sz w:val="24"/>
          <w:highlight w:val="none"/>
          <w:lang w:val="en-US" w:eastAsia="zh-CN"/>
        </w:rPr>
        <w:t>视为符合本国产品标准。</w:t>
      </w:r>
    </w:p>
    <w:p w14:paraId="76CA72A3">
      <w:pPr>
        <w:pStyle w:val="35"/>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3BB43BBF">
      <w:pPr>
        <w:pStyle w:val="35"/>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41.1.7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6F1C4F81">
      <w:pPr>
        <w:pStyle w:val="35"/>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41.1.8对于仅有本国产品参与竞争的政府采购项目，本国产品不享受价格扣除评审优惠。</w:t>
      </w:r>
    </w:p>
    <w:p w14:paraId="2B40C7E8">
      <w:pPr>
        <w:pStyle w:val="35"/>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41.2进口产品</w:t>
      </w:r>
    </w:p>
    <w:p w14:paraId="169666B9">
      <w:pPr>
        <w:pStyle w:val="35"/>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135B393E">
      <w:pPr>
        <w:pStyle w:val="35"/>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w:t>
      </w:r>
      <w:r>
        <w:rPr>
          <w:rFonts w:hint="eastAsia"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lang w:val="en-US" w:eastAsia="zh-CN"/>
        </w:rPr>
        <w:t>2进口产品指通过中国海关报关验放进入中国境内且产自关境外的产品，包括已经进入中国境内的进口产品。</w:t>
      </w:r>
    </w:p>
    <w:p w14:paraId="0C404CE2">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w:t>
      </w:r>
      <w:r>
        <w:rPr>
          <w:rFonts w:hint="eastAsia"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lang w:val="en-US" w:eastAsia="zh-CN"/>
        </w:rPr>
        <w:t>3若采购需求中写明允许采购进口产品，供应商应保证所响应产品可履行合法报通关手续进入中国关境内。</w:t>
      </w:r>
    </w:p>
    <w:p w14:paraId="25B118D0">
      <w:pPr>
        <w:pStyle w:val="35"/>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w:t>
      </w:r>
      <w:r>
        <w:rPr>
          <w:rFonts w:hint="eastAsia"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lang w:val="en-US" w:eastAsia="zh-CN"/>
        </w:rPr>
        <w:t>4若采购需求中未写明允许采购进口产品，如供应商所响应产品为进口产品，其响应将被认定为</w:t>
      </w:r>
      <w:r>
        <w:rPr>
          <w:rFonts w:hint="eastAsia" w:ascii="宋体" w:hAnsi="宋体" w:eastAsia="宋体" w:cs="宋体"/>
          <w:b/>
          <w:bCs/>
          <w:snapToGrid w:val="0"/>
          <w:color w:val="auto"/>
          <w:sz w:val="24"/>
          <w:szCs w:val="24"/>
          <w:highlight w:val="none"/>
          <w:lang w:val="en-US" w:eastAsia="zh-CN"/>
        </w:rPr>
        <w:t>响应无效</w:t>
      </w:r>
      <w:r>
        <w:rPr>
          <w:rFonts w:hint="eastAsia" w:ascii="宋体" w:hAnsi="宋体" w:eastAsia="宋体" w:cs="宋体"/>
          <w:snapToGrid w:val="0"/>
          <w:color w:val="auto"/>
          <w:sz w:val="24"/>
          <w:szCs w:val="24"/>
          <w:highlight w:val="none"/>
          <w:lang w:val="en-US" w:eastAsia="zh-CN"/>
        </w:rPr>
        <w:t>。</w:t>
      </w:r>
    </w:p>
    <w:p w14:paraId="1F7E8604">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12" w:name="_Toc161600342"/>
      <w:r>
        <w:rPr>
          <w:rFonts w:hint="eastAsia" w:ascii="宋体" w:hAnsi="宋体" w:eastAsia="宋体" w:cs="宋体"/>
          <w:b/>
          <w:bCs/>
          <w:color w:val="auto"/>
          <w:kern w:val="2"/>
          <w:sz w:val="24"/>
          <w:szCs w:val="24"/>
          <w:highlight w:val="none"/>
          <w:lang w:val="en-US" w:eastAsia="zh-CN" w:bidi="ar-SA"/>
        </w:rPr>
        <w:t>42.中小企业、监狱企业及残疾人福利性单位</w:t>
      </w:r>
      <w:bookmarkEnd w:id="412"/>
    </w:p>
    <w:p w14:paraId="6CF3C244">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6EB577E7">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val="en-US" w:eastAsia="zh-CN"/>
        </w:rPr>
        <w:t>42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ascii="宋体" w:hAnsi="宋体" w:eastAsia="宋体" w:cs="宋体"/>
          <w:snapToGrid w:val="0"/>
          <w:color w:val="auto"/>
          <w:sz w:val="24"/>
          <w:szCs w:val="24"/>
          <w:highlight w:val="none"/>
          <w:lang w:eastAsia="zh-CN"/>
        </w:rPr>
        <w:t>需享受中小企业相关政策的，且</w:t>
      </w:r>
      <w:r>
        <w:rPr>
          <w:rFonts w:hint="eastAsia" w:ascii="宋体" w:hAnsi="宋体" w:eastAsia="宋体" w:cs="宋体"/>
          <w:snapToGrid w:val="0"/>
          <w:color w:val="auto"/>
          <w:sz w:val="24"/>
          <w:szCs w:val="24"/>
          <w:highlight w:val="none"/>
        </w:rPr>
        <w:t>符合上述文件规定的，</w:t>
      </w:r>
      <w:r>
        <w:rPr>
          <w:rFonts w:hint="eastAsia" w:ascii="宋体" w:hAnsi="宋体" w:eastAsia="宋体" w:cs="宋体"/>
          <w:snapToGrid w:val="0"/>
          <w:color w:val="auto"/>
          <w:sz w:val="24"/>
          <w:szCs w:val="24"/>
          <w:highlight w:val="none"/>
          <w:lang w:eastAsia="zh-CN"/>
        </w:rPr>
        <w:t>应按本</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eastAsia="zh-CN"/>
        </w:rPr>
        <w:t>文件规定格式</w:t>
      </w:r>
      <w:r>
        <w:rPr>
          <w:rFonts w:hint="eastAsia" w:ascii="宋体" w:hAnsi="宋体" w:eastAsia="宋体" w:cs="宋体"/>
          <w:snapToGrid w:val="0"/>
          <w:color w:val="auto"/>
          <w:sz w:val="24"/>
          <w:szCs w:val="24"/>
          <w:highlight w:val="none"/>
        </w:rPr>
        <w:t>提供</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rPr>
        <w:t>监狱企业证明文件</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残疾人福利性单位声明函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，评审时，</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rPr>
        <w:t>小组将依据</w:t>
      </w:r>
      <w:r>
        <w:rPr>
          <w:rFonts w:hint="eastAsia" w:ascii="宋体" w:hAnsi="宋体" w:eastAsia="宋体" w:cs="宋体"/>
          <w:snapToGrid w:val="0"/>
          <w:color w:val="auto"/>
          <w:sz w:val="24"/>
          <w:szCs w:val="24"/>
          <w:highlight w:val="none"/>
          <w:lang w:eastAsia="zh-CN"/>
        </w:rPr>
        <w:t>本</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eastAsia="zh-CN"/>
        </w:rPr>
        <w:t>文件</w:t>
      </w:r>
      <w:r>
        <w:rPr>
          <w:rFonts w:hint="eastAsia" w:ascii="宋体" w:hAnsi="宋体" w:eastAsia="宋体" w:cs="宋体"/>
          <w:snapToGrid w:val="0"/>
          <w:color w:val="auto"/>
          <w:sz w:val="24"/>
          <w:szCs w:val="24"/>
          <w:highlight w:val="none"/>
        </w:rPr>
        <w:t>“供应商须知前附表”规定的报价扣除比例，对供应商报价进行价格扣除，用扣除后的价格参与评审</w:t>
      </w:r>
      <w:r>
        <w:rPr>
          <w:rFonts w:hint="eastAsia" w:ascii="宋体" w:hAnsi="宋体" w:eastAsia="宋体" w:cs="宋体"/>
          <w:snapToGrid w:val="0"/>
          <w:color w:val="auto"/>
          <w:sz w:val="24"/>
          <w:szCs w:val="24"/>
          <w:highlight w:val="none"/>
          <w:lang w:eastAsia="zh-CN"/>
        </w:rPr>
        <w:t>；</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eastAsia="zh-CN"/>
        </w:rPr>
        <w:t>公告中明确项目专门面向中小企业采购的，“</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”为资格要求文件，</w:t>
      </w:r>
      <w:r>
        <w:rPr>
          <w:rFonts w:hint="eastAsia" w:ascii="宋体" w:hAnsi="宋体" w:eastAsia="宋体" w:cs="宋体"/>
          <w:snapToGrid w:val="0"/>
          <w:color w:val="auto"/>
          <w:sz w:val="24"/>
          <w:szCs w:val="24"/>
          <w:highlight w:val="none"/>
        </w:rPr>
        <w:t>供应商</w:t>
      </w:r>
      <w:r>
        <w:rPr>
          <w:rFonts w:hint="eastAsia" w:ascii="宋体" w:hAnsi="宋体" w:eastAsia="宋体" w:cs="宋体"/>
          <w:snapToGrid w:val="0"/>
          <w:color w:val="auto"/>
          <w:sz w:val="24"/>
          <w:szCs w:val="24"/>
          <w:highlight w:val="none"/>
          <w:lang w:eastAsia="zh-CN"/>
        </w:rPr>
        <w:t>参与</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eastAsia="zh-CN"/>
        </w:rPr>
        <w:t>须按本</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eastAsia="zh-CN"/>
        </w:rPr>
        <w:t>文件规定格式</w:t>
      </w:r>
      <w:r>
        <w:rPr>
          <w:rFonts w:hint="eastAsia" w:ascii="宋体" w:hAnsi="宋体" w:eastAsia="宋体" w:cs="宋体"/>
          <w:snapToGrid w:val="0"/>
          <w:color w:val="auto"/>
          <w:sz w:val="24"/>
          <w:szCs w:val="24"/>
          <w:highlight w:val="none"/>
        </w:rPr>
        <w:t>提供</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rPr>
        <w:t>监狱企业证明文件</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残疾人福利性单位声明函</w:t>
      </w:r>
      <w:r>
        <w:rPr>
          <w:rFonts w:hint="eastAsia" w:ascii="宋体" w:hAnsi="宋体" w:eastAsia="宋体" w:cs="宋体"/>
          <w:snapToGrid w:val="0"/>
          <w:color w:val="auto"/>
          <w:sz w:val="24"/>
          <w:szCs w:val="24"/>
          <w:highlight w:val="none"/>
          <w:lang w:eastAsia="zh-CN"/>
        </w:rPr>
        <w:t>”等作为资格证明文件。</w:t>
      </w:r>
    </w:p>
    <w:p w14:paraId="5BE3F99F">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42.3供应商提供的货物、工程或者服务符合下列情形的，享受中小企业扶持政策： </w:t>
      </w:r>
    </w:p>
    <w:p w14:paraId="7C4E60D8">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42.3.1在货物采购项目中，货物由中小企业制造，即货物由中小企业生产且使用该中小企业商号或者注册商标； </w:t>
      </w:r>
    </w:p>
    <w:p w14:paraId="49BB740C">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42.3.2在工程采购项目中，工程由中小企业承建，即工程施工单位为中小企业； </w:t>
      </w:r>
    </w:p>
    <w:p w14:paraId="194B49DD">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42.3.3在服务采购项目中，服务由中小企业承接，即提供服务的人员为中小企业依照《中华人民共和国劳动合同法》订立劳动合同的从业人员。</w:t>
      </w:r>
    </w:p>
    <w:p w14:paraId="209AD492">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42.4 在货物采购项目中，供应商提供的货物既有中小企业制造货物，也有大型企业制造货物的，不享受中小企业扶持政策。 </w:t>
      </w:r>
    </w:p>
    <w:p w14:paraId="6B88E288">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42.5 以联合体形式参加政府采购活动，联合体各方均为中小企业的，联合体视同中小企业。其中，联合体各方均为小微企业的，联合体视同小微企业。      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023C32E0">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34DA9DCA">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42.7.1 安置的残疾人占本单位在职职工人数的比例不低于 25% （含 25%），并且安置的残疾人人数不少于 10 人（含 10人）； </w:t>
      </w:r>
    </w:p>
    <w:p w14:paraId="7828A465">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42.7.2 依法与安置的每位残疾人签订了1年以上（含1年）的劳动合同或服务协议； </w:t>
      </w:r>
    </w:p>
    <w:p w14:paraId="33AEDD4D">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42.7.3 为安置的每位残疾人按月足额缴纳了基本养老保险、基本医疗保险、失业保险、工伤保险和生育保险等社会保险费； </w:t>
      </w:r>
    </w:p>
    <w:p w14:paraId="07E81100">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42.7.4 通过银行等金融机构向安置的每位残疾人，按月支付了不低于单位所在区县适用的经省级人民政府批准的月最低工资标准的工资； </w:t>
      </w:r>
    </w:p>
    <w:p w14:paraId="50FF7002">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42.7.5 提供本单位制造的货物、承担的工程或者服务（以下简称产品），或者提供其他残疾人福利性单位制造的货物（不包括使用非残疾人福利性单位注册商标的货物）； </w:t>
      </w:r>
    </w:p>
    <w:p w14:paraId="715268A0">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36313DD1">
      <w:pPr>
        <w:pStyle w:val="35"/>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42.8 本项目是否专门面向中小企业预留采购份额见“第一章 竞争性</w:t>
      </w:r>
      <w:r>
        <w:rPr>
          <w:rFonts w:hint="eastAsia" w:cs="宋体"/>
          <w:color w:val="auto"/>
          <w:sz w:val="24"/>
          <w:szCs w:val="24"/>
          <w:highlight w:val="none"/>
          <w:lang w:val="en-US" w:eastAsia="zh-CN"/>
        </w:rPr>
        <w:t>谈判</w:t>
      </w:r>
      <w:r>
        <w:rPr>
          <w:rFonts w:hint="eastAsia" w:cs="宋体"/>
          <w:snapToGrid w:val="0"/>
          <w:color w:val="auto"/>
          <w:sz w:val="24"/>
          <w:szCs w:val="24"/>
          <w:highlight w:val="none"/>
          <w:lang w:val="en-US" w:eastAsia="zh-CN"/>
        </w:rPr>
        <w:t>公告</w:t>
      </w:r>
      <w:r>
        <w:rPr>
          <w:rFonts w:hint="eastAsia" w:ascii="宋体" w:hAnsi="宋体" w:eastAsia="宋体" w:cs="宋体"/>
          <w:snapToGrid w:val="0"/>
          <w:color w:val="auto"/>
          <w:sz w:val="24"/>
          <w:szCs w:val="24"/>
          <w:highlight w:val="none"/>
          <w:lang w:val="en-US" w:eastAsia="zh-CN"/>
        </w:rPr>
        <w:t>”。</w:t>
      </w:r>
    </w:p>
    <w:p w14:paraId="5A70CB6C">
      <w:pPr>
        <w:pStyle w:val="35"/>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42.9 采购标的对应的中小企业划分标准所属行业见“供应商须知前附表”。    42.10小微企业价格评审优惠的政策调整：见“第四章 评审方法及标准”。</w:t>
      </w:r>
    </w:p>
    <w:p w14:paraId="76C0345E">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13" w:name="_Toc161600343"/>
      <w:r>
        <w:rPr>
          <w:rFonts w:hint="eastAsia" w:ascii="宋体" w:hAnsi="宋体" w:eastAsia="宋体" w:cs="宋体"/>
          <w:b/>
          <w:bCs/>
          <w:color w:val="auto"/>
          <w:kern w:val="2"/>
          <w:sz w:val="24"/>
          <w:szCs w:val="24"/>
          <w:highlight w:val="none"/>
          <w:lang w:val="en-US" w:eastAsia="zh-CN" w:bidi="ar-SA"/>
        </w:rPr>
        <w:t>43.政府采购节能产品、环境标志产品</w:t>
      </w:r>
      <w:bookmarkEnd w:id="413"/>
    </w:p>
    <w:p w14:paraId="0A420FD9">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017FF1A4">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43.2 采购人拟采购的产品属于品目清单范围的，采购人及其委托的采购代理机构依据国家确定的认证机构出具的、处于有效期之内的节能产品、环境标志产品认证证书，对获得证书的产品实施政府强制采购或优先采购。 </w:t>
      </w:r>
    </w:p>
    <w:p w14:paraId="13797307">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43.3 如本项目采购产品属于实施政府强制采购品目清单范围的节能产品，则供应商所报产品必须获得国家确定的认证机构出具的、处于有效期之内的节能产品认证证书，否则</w:t>
      </w:r>
      <w:r>
        <w:rPr>
          <w:rFonts w:hint="eastAsia" w:ascii="宋体" w:hAnsi="宋体" w:eastAsia="宋体" w:cs="宋体"/>
          <w:b/>
          <w:bCs/>
          <w:snapToGrid w:val="0"/>
          <w:color w:val="auto"/>
          <w:sz w:val="24"/>
          <w:szCs w:val="24"/>
          <w:highlight w:val="none"/>
          <w:lang w:val="en-US" w:eastAsia="zh-CN"/>
        </w:rPr>
        <w:t>响应无效。</w:t>
      </w:r>
      <w:r>
        <w:rPr>
          <w:rFonts w:hint="eastAsia" w:ascii="宋体" w:hAnsi="宋体" w:eastAsia="宋体" w:cs="宋体"/>
          <w:snapToGrid w:val="0"/>
          <w:color w:val="auto"/>
          <w:sz w:val="24"/>
          <w:szCs w:val="24"/>
          <w:highlight w:val="none"/>
          <w:lang w:val="en-US" w:eastAsia="zh-CN"/>
        </w:rPr>
        <w:t xml:space="preserve"> </w:t>
      </w:r>
    </w:p>
    <w:p w14:paraId="57389A7F">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43.4 非政府强制采购的节能产品或环境标志产品，依据品目清单和认证证书实施政府优先采购。优先采购的具体规定见“第四章 评审方法及标准”（如涉及）。</w:t>
      </w:r>
    </w:p>
    <w:p w14:paraId="1E54CD45">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rPr>
        <w:t>43.5 供应商</w:t>
      </w:r>
      <w:r>
        <w:rPr>
          <w:rFonts w:hint="eastAsia" w:ascii="宋体" w:hAnsi="宋体" w:eastAsia="宋体" w:cs="宋体"/>
          <w:snapToGrid w:val="0"/>
          <w:color w:val="auto"/>
          <w:sz w:val="24"/>
          <w:szCs w:val="24"/>
          <w:highlight w:val="none"/>
        </w:rPr>
        <w:t>所</w:t>
      </w:r>
      <w:r>
        <w:rPr>
          <w:rFonts w:hint="eastAsia" w:ascii="宋体" w:hAnsi="宋体" w:eastAsia="宋体" w:cs="宋体"/>
          <w:snapToGrid w:val="0"/>
          <w:color w:val="auto"/>
          <w:sz w:val="24"/>
          <w:szCs w:val="24"/>
          <w:highlight w:val="none"/>
          <w:lang w:val="en-US" w:eastAsia="zh-CN"/>
        </w:rPr>
        <w:t>报</w:t>
      </w:r>
      <w:r>
        <w:rPr>
          <w:rFonts w:hint="eastAsia" w:ascii="宋体" w:hAnsi="宋体" w:eastAsia="宋体" w:cs="宋体"/>
          <w:snapToGrid w:val="0"/>
          <w:color w:val="auto"/>
          <w:sz w:val="24"/>
          <w:szCs w:val="24"/>
          <w:highlight w:val="none"/>
        </w:rPr>
        <w:t>产品如属于节能产品政府采购品目清单、环境标志产品政府采购品目清单范围的，须提供国家确定的认证机构出具的、处于有效期内的产品认证证书，认证证书的产品型号与所</w:t>
      </w:r>
      <w:r>
        <w:rPr>
          <w:rFonts w:hint="eastAsia" w:ascii="宋体" w:hAnsi="宋体" w:eastAsia="宋体" w:cs="宋体"/>
          <w:snapToGrid w:val="0"/>
          <w:color w:val="auto"/>
          <w:sz w:val="24"/>
          <w:szCs w:val="24"/>
          <w:highlight w:val="none"/>
          <w:lang w:val="en-US" w:eastAsia="zh-CN"/>
        </w:rPr>
        <w:t>报</w:t>
      </w:r>
      <w:r>
        <w:rPr>
          <w:rFonts w:hint="eastAsia" w:ascii="宋体" w:hAnsi="宋体" w:eastAsia="宋体" w:cs="宋体"/>
          <w:snapToGrid w:val="0"/>
          <w:color w:val="auto"/>
          <w:sz w:val="24"/>
          <w:szCs w:val="24"/>
          <w:highlight w:val="none"/>
        </w:rPr>
        <w:t>产品不一致的，视为未提供。属于政府强制采购产品的，已作为</w:t>
      </w:r>
      <w:r>
        <w:rPr>
          <w:rFonts w:hint="eastAsia" w:ascii="宋体" w:hAnsi="宋体" w:eastAsia="宋体" w:cs="宋体"/>
          <w:snapToGrid w:val="0"/>
          <w:color w:val="auto"/>
          <w:sz w:val="24"/>
          <w:szCs w:val="24"/>
          <w:highlight w:val="none"/>
          <w:lang w:val="en-US" w:eastAsia="zh-CN"/>
        </w:rPr>
        <w:t>响应</w:t>
      </w:r>
      <w:r>
        <w:rPr>
          <w:rFonts w:hint="eastAsia" w:ascii="宋体" w:hAnsi="宋体" w:eastAsia="宋体" w:cs="宋体"/>
          <w:snapToGrid w:val="0"/>
          <w:color w:val="auto"/>
          <w:sz w:val="24"/>
          <w:szCs w:val="24"/>
          <w:highlight w:val="none"/>
        </w:rPr>
        <w:t>时强制性要求不再给予</w:t>
      </w:r>
      <w:r>
        <w:rPr>
          <w:rFonts w:hint="eastAsia" w:ascii="宋体" w:hAnsi="宋体" w:eastAsia="宋体" w:cs="宋体"/>
          <w:snapToGrid w:val="0"/>
          <w:color w:val="auto"/>
          <w:sz w:val="24"/>
          <w:szCs w:val="24"/>
          <w:highlight w:val="none"/>
          <w:lang w:val="en-US" w:eastAsia="zh-CN"/>
        </w:rPr>
        <w:t>评审优惠</w:t>
      </w:r>
      <w:r>
        <w:rPr>
          <w:rFonts w:hint="eastAsia" w:ascii="宋体" w:hAnsi="宋体" w:eastAsia="宋体" w:cs="宋体"/>
          <w:snapToGrid w:val="0"/>
          <w:color w:val="auto"/>
          <w:sz w:val="24"/>
          <w:szCs w:val="24"/>
          <w:highlight w:val="none"/>
        </w:rPr>
        <w:t>，未提供认证证书的视为</w:t>
      </w:r>
      <w:r>
        <w:rPr>
          <w:rFonts w:hint="eastAsia" w:ascii="宋体" w:hAnsi="宋体" w:eastAsia="宋体" w:cs="宋体"/>
          <w:b/>
          <w:bCs/>
          <w:snapToGrid w:val="0"/>
          <w:color w:val="auto"/>
          <w:sz w:val="24"/>
          <w:szCs w:val="24"/>
          <w:highlight w:val="none"/>
        </w:rPr>
        <w:t>无效响应</w:t>
      </w:r>
      <w:r>
        <w:rPr>
          <w:rFonts w:hint="eastAsia" w:ascii="宋体" w:hAnsi="宋体" w:eastAsia="宋体" w:cs="宋体"/>
          <w:snapToGrid w:val="0"/>
          <w:color w:val="auto"/>
          <w:sz w:val="24"/>
          <w:szCs w:val="24"/>
          <w:highlight w:val="none"/>
        </w:rPr>
        <w:t>。属于</w:t>
      </w:r>
      <w:r>
        <w:rPr>
          <w:rFonts w:hint="eastAsia" w:ascii="宋体" w:hAnsi="宋体" w:eastAsia="宋体" w:cs="宋体"/>
          <w:snapToGrid w:val="0"/>
          <w:color w:val="auto"/>
          <w:sz w:val="24"/>
          <w:szCs w:val="24"/>
          <w:highlight w:val="none"/>
          <w:lang w:val="en-US" w:eastAsia="zh-CN"/>
        </w:rPr>
        <w:t>优先采购</w:t>
      </w:r>
      <w:r>
        <w:rPr>
          <w:rFonts w:hint="eastAsia" w:ascii="宋体" w:hAnsi="宋体" w:eastAsia="宋体" w:cs="宋体"/>
          <w:snapToGrid w:val="0"/>
          <w:color w:val="auto"/>
          <w:sz w:val="24"/>
          <w:szCs w:val="24"/>
          <w:highlight w:val="none"/>
        </w:rPr>
        <w:t>节能产品政府采购品目清单、环境标志产品政府采购品目清单</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创新产品</w:t>
      </w:r>
      <w:r>
        <w:rPr>
          <w:rFonts w:hint="eastAsia" w:ascii="宋体" w:hAnsi="宋体" w:eastAsia="宋体" w:cs="宋体"/>
          <w:snapToGrid w:val="0"/>
          <w:color w:val="auto"/>
          <w:sz w:val="24"/>
          <w:szCs w:val="24"/>
          <w:highlight w:val="none"/>
        </w:rPr>
        <w:t>范围的，按照“</w:t>
      </w:r>
      <w:r>
        <w:rPr>
          <w:rFonts w:hint="eastAsia" w:ascii="宋体" w:hAnsi="宋体" w:eastAsia="宋体" w:cs="宋体"/>
          <w:snapToGrid w:val="0"/>
          <w:color w:val="auto"/>
          <w:sz w:val="24"/>
          <w:szCs w:val="24"/>
          <w:highlight w:val="none"/>
          <w:lang w:val="en-US" w:eastAsia="zh-CN"/>
        </w:rPr>
        <w:t>第四章 评审方法及标准</w:t>
      </w:r>
      <w:r>
        <w:rPr>
          <w:rFonts w:hint="eastAsia" w:ascii="宋体" w:hAnsi="宋体" w:eastAsia="宋体" w:cs="宋体"/>
          <w:snapToGrid w:val="0"/>
          <w:color w:val="auto"/>
          <w:sz w:val="24"/>
          <w:szCs w:val="24"/>
          <w:highlight w:val="none"/>
        </w:rPr>
        <w:t>”中相关规定</w:t>
      </w:r>
      <w:r>
        <w:rPr>
          <w:rFonts w:hint="eastAsia" w:ascii="宋体" w:hAnsi="宋体" w:eastAsia="宋体" w:cs="宋体"/>
          <w:color w:val="auto"/>
          <w:sz w:val="24"/>
          <w:szCs w:val="24"/>
          <w:highlight w:val="none"/>
          <w:lang w:val="en-US" w:eastAsia="zh-CN"/>
        </w:rPr>
        <w:t>在评审时给予优惠，具体详见</w:t>
      </w:r>
      <w:r>
        <w:rPr>
          <w:rFonts w:hint="eastAsia" w:ascii="宋体" w:hAnsi="宋体" w:eastAsia="宋体" w:cs="宋体"/>
          <w:snapToGrid w:val="0"/>
          <w:color w:val="auto"/>
          <w:sz w:val="24"/>
          <w:szCs w:val="24"/>
          <w:highlight w:val="none"/>
          <w:lang w:val="en-US" w:eastAsia="zh-CN"/>
        </w:rPr>
        <w:t>“供应商须知前附表”及</w:t>
      </w:r>
      <w:r>
        <w:rPr>
          <w:rFonts w:hint="eastAsia" w:ascii="宋体" w:hAnsi="宋体" w:eastAsia="宋体" w:cs="宋体"/>
          <w:color w:val="auto"/>
          <w:sz w:val="24"/>
          <w:szCs w:val="24"/>
          <w:highlight w:val="none"/>
          <w:lang w:val="en-US" w:eastAsia="zh-CN"/>
        </w:rPr>
        <w:t>“第四章 评审方法及标准”</w:t>
      </w:r>
      <w:r>
        <w:rPr>
          <w:rFonts w:hint="eastAsia" w:ascii="宋体" w:hAnsi="宋体" w:eastAsia="宋体" w:cs="宋体"/>
          <w:color w:val="auto"/>
          <w:sz w:val="24"/>
          <w:szCs w:val="24"/>
          <w:highlight w:val="none"/>
        </w:rPr>
        <w:t>。</w:t>
      </w:r>
    </w:p>
    <w:p w14:paraId="17C511E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44.正版软件</w:t>
      </w:r>
    </w:p>
    <w:p w14:paraId="34806368">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65060989">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45.网络安全专用产品 </w:t>
      </w:r>
    </w:p>
    <w:p w14:paraId="13C08773">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4911AC78">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w:t>
      </w:r>
    </w:p>
    <w:p w14:paraId="05D0648E">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46.采购需求标准 </w:t>
      </w:r>
    </w:p>
    <w:bookmarkEnd w:id="398"/>
    <w:bookmarkEnd w:id="399"/>
    <w:bookmarkEnd w:id="400"/>
    <w:bookmarkEnd w:id="401"/>
    <w:bookmarkEnd w:id="402"/>
    <w:p w14:paraId="12518086">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bookmarkStart w:id="414" w:name="_Toc109897475"/>
      <w:bookmarkStart w:id="415" w:name="_Toc163493622"/>
      <w:bookmarkStart w:id="416" w:name="_Toc109900412"/>
      <w:bookmarkStart w:id="417" w:name="_Toc109899574"/>
      <w:bookmarkStart w:id="418" w:name="_Toc109899993"/>
      <w:r>
        <w:rPr>
          <w:rFonts w:hint="eastAsia" w:ascii="宋体" w:hAnsi="宋体" w:eastAsia="宋体" w:cs="宋体"/>
          <w:snapToGrid w:val="0"/>
          <w:color w:val="auto"/>
          <w:sz w:val="24"/>
          <w:szCs w:val="24"/>
          <w:highlight w:val="none"/>
          <w:lang w:val="en-US" w:eastAsia="zh-CN"/>
        </w:rPr>
        <w:t xml:space="preserve">46.1 商品包装、快递包装政府采购需求标准（试行） </w:t>
      </w:r>
    </w:p>
    <w:p w14:paraId="527BC2D1">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 项目采购需求”。 </w:t>
      </w:r>
    </w:p>
    <w:p w14:paraId="088B5DEF">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46.2 绿色数据中心政府采购需求标准（试行） </w:t>
      </w:r>
    </w:p>
    <w:p w14:paraId="2BAD2545">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 项目采购需求”。 </w:t>
      </w:r>
    </w:p>
    <w:p w14:paraId="33C6F27D">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46.3台式计算机政府采购需求标准</w:t>
      </w:r>
    </w:p>
    <w:p w14:paraId="7FE94F3A">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 项目采购需求”。</w:t>
      </w:r>
    </w:p>
    <w:p w14:paraId="683C9A61">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46.4便携式计算机政府采购需求标准</w:t>
      </w:r>
    </w:p>
    <w:p w14:paraId="56D621A3">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 项目采购需求”。</w:t>
      </w:r>
    </w:p>
    <w:p w14:paraId="48ED6666">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46.5一体式计算机政府采购需求标准</w:t>
      </w:r>
    </w:p>
    <w:p w14:paraId="7A06F60A">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 项目采购需求”。</w:t>
      </w:r>
    </w:p>
    <w:p w14:paraId="6AA36A4C">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46.6工作站政府采购需求标准</w:t>
      </w:r>
    </w:p>
    <w:p w14:paraId="401E4836">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 项目采购需求”。</w:t>
      </w:r>
    </w:p>
    <w:p w14:paraId="6AA55F4D">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46.7通用服务器政府采购需求标准</w:t>
      </w:r>
    </w:p>
    <w:p w14:paraId="6FE6FE7A">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 项目采购需求”。</w:t>
      </w:r>
    </w:p>
    <w:p w14:paraId="5E799E3E">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46.8操作系统政府采购需求标准</w:t>
      </w:r>
    </w:p>
    <w:p w14:paraId="71E70859">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 项目采购需求”。</w:t>
      </w:r>
    </w:p>
    <w:p w14:paraId="757FBE31">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46.9数据库政府采购需求标准</w:t>
      </w:r>
    </w:p>
    <w:p w14:paraId="4096E2F1">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 项目采购需求”。</w:t>
      </w:r>
    </w:p>
    <w:p w14:paraId="0F23144D">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46.10物业管理服务政府采购需求标准（办公场所类）（试行）</w:t>
      </w:r>
    </w:p>
    <w:p w14:paraId="0169F247">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 项目采购需求”。</w:t>
      </w:r>
    </w:p>
    <w:p w14:paraId="38AF6858">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19" w:name="_Toc18350"/>
      <w:r>
        <w:rPr>
          <w:rFonts w:hint="eastAsia" w:ascii="宋体" w:hAnsi="宋体" w:eastAsia="宋体" w:cs="宋体"/>
          <w:b/>
          <w:bCs/>
          <w:color w:val="auto"/>
          <w:kern w:val="2"/>
          <w:sz w:val="24"/>
          <w:szCs w:val="24"/>
          <w:highlight w:val="none"/>
          <w:lang w:val="en-US" w:eastAsia="zh-CN" w:bidi="ar-SA"/>
        </w:rPr>
        <w:t>（十四）政府采购合同融资政策</w:t>
      </w:r>
      <w:bookmarkEnd w:id="414"/>
      <w:bookmarkEnd w:id="415"/>
      <w:bookmarkEnd w:id="416"/>
      <w:bookmarkEnd w:id="417"/>
      <w:bookmarkEnd w:id="418"/>
      <w:bookmarkEnd w:id="419"/>
    </w:p>
    <w:p w14:paraId="78CE466D">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20" w:name="_Toc161600345"/>
      <w:bookmarkStart w:id="421" w:name="_Toc109897476"/>
      <w:r>
        <w:rPr>
          <w:rFonts w:hint="eastAsia" w:ascii="宋体" w:hAnsi="宋体" w:eastAsia="宋体" w:cs="宋体"/>
          <w:b/>
          <w:bCs/>
          <w:color w:val="auto"/>
          <w:kern w:val="2"/>
          <w:sz w:val="24"/>
          <w:szCs w:val="24"/>
          <w:highlight w:val="none"/>
          <w:lang w:val="en-US" w:eastAsia="zh-CN" w:bidi="ar-SA"/>
        </w:rPr>
        <w:t>47.政府采购合同融资政策</w:t>
      </w:r>
      <w:bookmarkEnd w:id="420"/>
    </w:p>
    <w:p w14:paraId="59269D30">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.1政府采购合同融资政策：见供应商须知前附表。</w:t>
      </w:r>
    </w:p>
    <w:p w14:paraId="032E5A3C">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22" w:name="_Toc109899575"/>
      <w:bookmarkStart w:id="423" w:name="_Toc163493623"/>
      <w:bookmarkStart w:id="424" w:name="_Toc109900413"/>
      <w:bookmarkStart w:id="425" w:name="_Toc109899994"/>
      <w:bookmarkStart w:id="426" w:name="_Toc31397"/>
      <w:r>
        <w:rPr>
          <w:rFonts w:hint="eastAsia" w:ascii="宋体" w:hAnsi="宋体" w:eastAsia="宋体" w:cs="宋体"/>
          <w:b/>
          <w:bCs/>
          <w:color w:val="auto"/>
          <w:kern w:val="2"/>
          <w:sz w:val="24"/>
          <w:szCs w:val="24"/>
          <w:highlight w:val="none"/>
          <w:lang w:val="en-US" w:eastAsia="zh-CN" w:bidi="ar-SA"/>
        </w:rPr>
        <w:t>（十五）其他</w:t>
      </w:r>
      <w:bookmarkEnd w:id="421"/>
      <w:bookmarkEnd w:id="422"/>
      <w:bookmarkEnd w:id="423"/>
      <w:bookmarkEnd w:id="424"/>
      <w:bookmarkEnd w:id="425"/>
      <w:bookmarkEnd w:id="426"/>
    </w:p>
    <w:p w14:paraId="0C2C4C1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27" w:name="_Toc161600347"/>
      <w:r>
        <w:rPr>
          <w:rFonts w:hint="eastAsia" w:ascii="宋体" w:hAnsi="宋体" w:eastAsia="宋体" w:cs="宋体"/>
          <w:b/>
          <w:bCs/>
          <w:color w:val="auto"/>
          <w:kern w:val="2"/>
          <w:sz w:val="24"/>
          <w:szCs w:val="24"/>
          <w:highlight w:val="none"/>
          <w:lang w:val="en-US" w:eastAsia="zh-CN" w:bidi="ar-SA"/>
        </w:rPr>
        <w:t>48.需要补充的其他内容</w:t>
      </w:r>
      <w:bookmarkEnd w:id="427"/>
    </w:p>
    <w:p w14:paraId="3957C993">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.1需要补充的其他内容：见供应商须知前附表。</w:t>
      </w:r>
    </w:p>
    <w:p w14:paraId="740594B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28" w:name="_Toc109900414"/>
      <w:bookmarkStart w:id="429" w:name="_Toc109899576"/>
      <w:bookmarkStart w:id="430" w:name="_Toc109897477"/>
      <w:bookmarkStart w:id="431" w:name="_Toc109899995"/>
      <w:r>
        <w:rPr>
          <w:rFonts w:hint="eastAsia" w:ascii="宋体" w:hAnsi="宋体" w:eastAsia="宋体" w:cs="宋体"/>
          <w:b/>
          <w:bCs/>
          <w:color w:val="auto"/>
          <w:kern w:val="2"/>
          <w:sz w:val="24"/>
          <w:szCs w:val="24"/>
          <w:highlight w:val="none"/>
          <w:lang w:val="en-US" w:eastAsia="zh-CN" w:bidi="ar-SA"/>
        </w:rPr>
        <w:t>49.适用法律</w:t>
      </w:r>
      <w:bookmarkEnd w:id="428"/>
      <w:bookmarkEnd w:id="429"/>
      <w:bookmarkEnd w:id="430"/>
      <w:bookmarkEnd w:id="431"/>
    </w:p>
    <w:p w14:paraId="48B6B3FD">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4</w:t>
      </w:r>
      <w:r>
        <w:rPr>
          <w:rFonts w:hint="eastAsia" w:ascii="宋体" w:hAnsi="宋体" w:eastAsia="宋体" w:cs="宋体"/>
          <w:snapToGrid w:val="0"/>
          <w:color w:val="auto"/>
          <w:sz w:val="24"/>
          <w:szCs w:val="24"/>
          <w:highlight w:val="none"/>
          <w:lang w:val="en-US" w:eastAsia="zh-CN"/>
        </w:rPr>
        <w:t>9</w:t>
      </w:r>
      <w:r>
        <w:rPr>
          <w:rFonts w:hint="eastAsia" w:ascii="宋体" w:hAnsi="宋体" w:eastAsia="宋体" w:cs="宋体"/>
          <w:snapToGrid w:val="0"/>
          <w:color w:val="auto"/>
          <w:sz w:val="24"/>
          <w:szCs w:val="24"/>
          <w:highlight w:val="none"/>
          <w:lang w:val="zh-CN"/>
        </w:rPr>
        <w:t>.1采购人、采购代理机构及供应商的一切采购活动均适用《</w:t>
      </w:r>
      <w:r>
        <w:rPr>
          <w:rFonts w:hint="eastAsia" w:ascii="宋体" w:hAnsi="宋体" w:eastAsia="宋体" w:cs="宋体"/>
          <w:snapToGrid w:val="0"/>
          <w:color w:val="auto"/>
          <w:sz w:val="24"/>
          <w:szCs w:val="24"/>
          <w:highlight w:val="none"/>
        </w:rPr>
        <w:t>中华人民共和国</w:t>
      </w:r>
      <w:r>
        <w:rPr>
          <w:rFonts w:hint="eastAsia" w:ascii="宋体" w:hAnsi="宋体" w:eastAsia="宋体" w:cs="宋体"/>
          <w:snapToGrid w:val="0"/>
          <w:color w:val="auto"/>
          <w:sz w:val="24"/>
          <w:szCs w:val="24"/>
          <w:highlight w:val="none"/>
          <w:lang w:val="zh-CN"/>
        </w:rPr>
        <w:t>政府采购法》、《</w:t>
      </w:r>
      <w:r>
        <w:rPr>
          <w:rFonts w:hint="eastAsia" w:ascii="宋体" w:hAnsi="宋体" w:eastAsia="宋体" w:cs="宋体"/>
          <w:snapToGrid w:val="0"/>
          <w:color w:val="auto"/>
          <w:sz w:val="24"/>
          <w:szCs w:val="24"/>
          <w:highlight w:val="none"/>
        </w:rPr>
        <w:t>中华人民共和国</w:t>
      </w:r>
      <w:r>
        <w:rPr>
          <w:rFonts w:hint="eastAsia" w:ascii="宋体" w:hAnsi="宋体" w:eastAsia="宋体" w:cs="宋体"/>
          <w:snapToGrid w:val="0"/>
          <w:color w:val="auto"/>
          <w:sz w:val="24"/>
          <w:szCs w:val="24"/>
          <w:highlight w:val="none"/>
          <w:lang w:val="zh-CN"/>
        </w:rPr>
        <w:t>政府采购法实施条例》、</w:t>
      </w:r>
      <w:r>
        <w:rPr>
          <w:rFonts w:hint="eastAsia" w:ascii="宋体" w:hAnsi="宋体" w:eastAsia="宋体" w:cs="宋体"/>
          <w:color w:val="auto"/>
          <w:sz w:val="24"/>
          <w:szCs w:val="24"/>
          <w:highlight w:val="none"/>
        </w:rPr>
        <w:t>《政府采购</w:t>
      </w:r>
      <w:r>
        <w:rPr>
          <w:rFonts w:hint="eastAsia" w:cs="宋体"/>
          <w:color w:val="auto"/>
          <w:sz w:val="24"/>
          <w:szCs w:val="24"/>
          <w:highlight w:val="none"/>
          <w:lang w:val="en-US" w:eastAsia="zh-CN"/>
        </w:rPr>
        <w:t>非招标采购方式管理</w:t>
      </w:r>
      <w:r>
        <w:rPr>
          <w:rFonts w:hint="eastAsia" w:ascii="宋体" w:hAnsi="宋体" w:eastAsia="宋体" w:cs="宋体"/>
          <w:color w:val="auto"/>
          <w:sz w:val="24"/>
          <w:szCs w:val="24"/>
          <w:highlight w:val="none"/>
        </w:rPr>
        <w:t>办法》（财</w:t>
      </w:r>
      <w:r>
        <w:rPr>
          <w:rFonts w:hint="eastAsia" w:cs="宋体"/>
          <w:color w:val="auto"/>
          <w:sz w:val="24"/>
          <w:szCs w:val="24"/>
          <w:highlight w:val="none"/>
          <w:lang w:val="en-US" w:eastAsia="zh-CN"/>
        </w:rPr>
        <w:t>政部令第7</w:t>
      </w:r>
      <w:r>
        <w:rPr>
          <w:rFonts w:hint="eastAsia" w:ascii="宋体" w:hAnsi="宋体" w:eastAsia="宋体" w:cs="宋体"/>
          <w:color w:val="auto"/>
          <w:sz w:val="24"/>
          <w:szCs w:val="24"/>
          <w:highlight w:val="none"/>
        </w:rPr>
        <w:t>4号）</w:t>
      </w:r>
      <w:r>
        <w:rPr>
          <w:rFonts w:hint="eastAsia" w:ascii="宋体" w:hAnsi="宋体" w:eastAsia="宋体" w:cs="宋体"/>
          <w:snapToGrid w:val="0"/>
          <w:color w:val="auto"/>
          <w:sz w:val="24"/>
          <w:szCs w:val="24"/>
          <w:highlight w:val="none"/>
          <w:lang w:val="zh-CN"/>
        </w:rPr>
        <w:t>及相关法律法规。</w:t>
      </w:r>
    </w:p>
    <w:p w14:paraId="7EF83039">
      <w:pPr>
        <w:pStyle w:val="35"/>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4</w:t>
      </w:r>
      <w:r>
        <w:rPr>
          <w:rFonts w:hint="eastAsia" w:ascii="宋体" w:hAnsi="宋体" w:eastAsia="宋体" w:cs="宋体"/>
          <w:snapToGrid w:val="0"/>
          <w:color w:val="auto"/>
          <w:sz w:val="24"/>
          <w:szCs w:val="24"/>
          <w:highlight w:val="none"/>
          <w:lang w:val="en-US" w:eastAsia="zh-CN"/>
        </w:rPr>
        <w:t>9</w:t>
      </w:r>
      <w:r>
        <w:rPr>
          <w:rFonts w:hint="eastAsia" w:ascii="宋体" w:hAnsi="宋体" w:eastAsia="宋体" w:cs="宋体"/>
          <w:snapToGrid w:val="0"/>
          <w:color w:val="auto"/>
          <w:sz w:val="24"/>
          <w:szCs w:val="24"/>
          <w:highlight w:val="none"/>
          <w:lang w:val="zh-CN"/>
        </w:rPr>
        <w:t>.2政府采购合同的履行、违约责任和解决争议的方法等适用《</w:t>
      </w:r>
      <w:r>
        <w:rPr>
          <w:rFonts w:hint="eastAsia" w:ascii="宋体" w:hAnsi="宋体" w:eastAsia="宋体" w:cs="宋体"/>
          <w:snapToGrid w:val="0"/>
          <w:color w:val="auto"/>
          <w:sz w:val="24"/>
          <w:szCs w:val="24"/>
          <w:highlight w:val="none"/>
        </w:rPr>
        <w:t>中华人民共和国</w:t>
      </w:r>
      <w:r>
        <w:rPr>
          <w:rFonts w:hint="eastAsia" w:ascii="宋体" w:hAnsi="宋体" w:eastAsia="宋体" w:cs="宋体"/>
          <w:snapToGrid w:val="0"/>
          <w:color w:val="auto"/>
          <w:sz w:val="24"/>
          <w:szCs w:val="24"/>
          <w:highlight w:val="none"/>
          <w:lang w:val="zh-CN"/>
        </w:rPr>
        <w:t>民法典》。</w:t>
      </w:r>
    </w:p>
    <w:p w14:paraId="5A914310">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32" w:name="_Toc155185887"/>
      <w:bookmarkStart w:id="433" w:name="_Toc161600349"/>
      <w:r>
        <w:rPr>
          <w:rFonts w:hint="eastAsia" w:ascii="宋体" w:hAnsi="宋体" w:eastAsia="宋体" w:cs="宋体"/>
          <w:b/>
          <w:bCs/>
          <w:color w:val="auto"/>
          <w:kern w:val="2"/>
          <w:sz w:val="24"/>
          <w:szCs w:val="24"/>
          <w:highlight w:val="none"/>
          <w:lang w:val="en-US" w:eastAsia="zh-CN" w:bidi="ar-SA"/>
        </w:rPr>
        <w:t>50.解释权</w:t>
      </w:r>
      <w:bookmarkEnd w:id="432"/>
      <w:bookmarkEnd w:id="433"/>
    </w:p>
    <w:p w14:paraId="5C6D27F8">
      <w:pPr>
        <w:pStyle w:val="3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hint="eastAsia" w:ascii="宋体" w:hAnsi="宋体" w:eastAsia="宋体" w:cs="宋体"/>
          <w:snapToGrid w:val="0"/>
          <w:color w:val="auto"/>
          <w:sz w:val="24"/>
          <w:szCs w:val="24"/>
          <w:highlight w:val="none"/>
          <w:lang w:val="en-US" w:eastAsia="zh-CN"/>
        </w:rPr>
        <w:t>50</w:t>
      </w:r>
      <w:r>
        <w:rPr>
          <w:rFonts w:hint="eastAsia" w:ascii="宋体" w:hAnsi="宋体" w:eastAsia="宋体" w:cs="宋体"/>
          <w:snapToGrid w:val="0"/>
          <w:color w:val="auto"/>
          <w:sz w:val="24"/>
          <w:szCs w:val="24"/>
          <w:highlight w:val="none"/>
        </w:rPr>
        <w:t>.1本竞争性</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rPr>
        <w:t>文件最终解释权归采购人</w:t>
      </w:r>
      <w:r>
        <w:rPr>
          <w:rFonts w:hint="eastAsia" w:eastAsia="宋体"/>
          <w:snapToGrid w:val="0"/>
          <w:color w:val="auto"/>
          <w:sz w:val="24"/>
          <w:highlight w:val="none"/>
        </w:rPr>
        <w:t>或采购代理机构所有。</w:t>
      </w:r>
    </w:p>
    <w:p w14:paraId="0F169FC7">
      <w:pPr>
        <w:pStyle w:val="3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p>
    <w:p w14:paraId="39B2275E">
      <w:pPr>
        <w:pStyle w:val="2"/>
        <w:keepNext w:val="0"/>
        <w:keepLines w:val="0"/>
        <w:pageBreakBefore/>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434" w:name="_Toc2368"/>
      <w:r>
        <w:rPr>
          <w:rFonts w:hint="eastAsia" w:ascii="宋体" w:hAnsi="宋体" w:eastAsia="宋体" w:cs="宋体"/>
          <w:b/>
          <w:bCs/>
          <w:color w:val="auto"/>
          <w:kern w:val="44"/>
          <w:sz w:val="36"/>
          <w:szCs w:val="36"/>
          <w:highlight w:val="none"/>
          <w:lang w:val="en-US" w:eastAsia="zh-CN" w:bidi="ar-SA"/>
        </w:rPr>
        <w:t>第三章 项目采购需求</w:t>
      </w:r>
      <w:bookmarkEnd w:id="434"/>
    </w:p>
    <w:p w14:paraId="434B8AC4">
      <w:pPr>
        <w:pStyle w:val="35"/>
        <w:keepNext w:val="0"/>
        <w:keepLines w:val="0"/>
        <w:pageBreakBefore w:val="0"/>
        <w:widowControl w:val="0"/>
        <w:kinsoku/>
        <w:wordWrap w:val="0"/>
        <w:overflowPunct/>
        <w:topLinePunct w:val="0"/>
        <w:autoSpaceDE/>
        <w:autoSpaceDN/>
        <w:bidi w:val="0"/>
        <w:adjustRightInd/>
        <w:snapToGrid/>
        <w:spacing w:before="157" w:beforeLines="50" w:after="157" w:afterLines="50" w:line="500" w:lineRule="exact"/>
        <w:ind w:firstLine="482"/>
        <w:jc w:val="both"/>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 xml:space="preserve">一、采购标的 </w:t>
      </w:r>
    </w:p>
    <w:p w14:paraId="2BA5FE8D">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1. </w:t>
      </w:r>
      <w:r>
        <w:rPr>
          <w:rFonts w:hint="eastAsia"/>
          <w:snapToGrid w:val="0"/>
          <w:color w:val="auto"/>
          <w:sz w:val="24"/>
          <w:szCs w:val="24"/>
          <w:highlight w:val="none"/>
          <w:lang w:val="en-US" w:eastAsia="zh-CN"/>
        </w:rPr>
        <w:t xml:space="preserve">采购标的 </w:t>
      </w:r>
    </w:p>
    <w:p w14:paraId="433E2937">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 xml:space="preserve">束纤维快速测试仪1台，不接受进口产品。 </w:t>
      </w:r>
    </w:p>
    <w:p w14:paraId="0242472A">
      <w:pPr>
        <w:pStyle w:val="35"/>
        <w:keepNext w:val="0"/>
        <w:keepLines w:val="0"/>
        <w:pageBreakBefore w:val="0"/>
        <w:widowControl w:val="0"/>
        <w:numPr>
          <w:ilvl w:val="0"/>
          <w:numId w:val="0"/>
        </w:numPr>
        <w:kinsoku/>
        <w:overflowPunct/>
        <w:topLinePunct w:val="0"/>
        <w:autoSpaceDE/>
        <w:autoSpaceDN/>
        <w:bidi w:val="0"/>
        <w:adjustRightInd/>
        <w:snapToGrid/>
        <w:spacing w:line="500" w:lineRule="exact"/>
        <w:ind w:firstLine="480" w:firstLineChars="0"/>
        <w:jc w:val="both"/>
        <w:textAlignment w:val="auto"/>
        <w:rPr>
          <w:rFonts w:hint="eastAsia"/>
          <w:snapToGrid w:val="0"/>
          <w:color w:val="auto"/>
          <w:sz w:val="24"/>
          <w:szCs w:val="24"/>
          <w:highlight w:val="none"/>
          <w:lang w:val="en-US" w:eastAsia="zh-CN"/>
        </w:rPr>
      </w:pPr>
      <w:r>
        <w:rPr>
          <w:rFonts w:hint="eastAsia" w:ascii="宋体" w:hAnsi="宋体" w:eastAsia="宋体" w:cstheme="minorBidi"/>
          <w:iCs/>
          <w:snapToGrid w:val="0"/>
          <w:color w:val="auto"/>
          <w:kern w:val="2"/>
          <w:sz w:val="24"/>
          <w:szCs w:val="24"/>
          <w:shd w:val="clear" w:fill="FFFFFF" w:themeFill="background1"/>
          <w:lang w:val="en-US" w:eastAsia="zh-CN" w:bidi="ar-SA"/>
        </w:rPr>
        <w:t>2.</w:t>
      </w:r>
      <w:r>
        <w:rPr>
          <w:rFonts w:hint="eastAsia"/>
          <w:snapToGrid w:val="0"/>
          <w:color w:val="auto"/>
          <w:sz w:val="24"/>
          <w:szCs w:val="24"/>
          <w:highlight w:val="none"/>
          <w:lang w:val="en-US" w:eastAsia="zh-CN"/>
        </w:rPr>
        <w:t>项目概述</w:t>
      </w:r>
    </w:p>
    <w:p w14:paraId="09BDA4EE">
      <w:pPr>
        <w:pStyle w:val="35"/>
        <w:keepNext w:val="0"/>
        <w:keepLines w:val="0"/>
        <w:pageBreakBefore w:val="0"/>
        <w:widowControl w:val="0"/>
        <w:numPr>
          <w:ilvl w:val="0"/>
          <w:numId w:val="0"/>
        </w:numPr>
        <w:kinsoku/>
        <w:overflowPunct/>
        <w:topLinePunct w:val="0"/>
        <w:autoSpaceDE/>
        <w:autoSpaceDN/>
        <w:bidi w:val="0"/>
        <w:adjustRightInd/>
        <w:snapToGrid/>
        <w:spacing w:line="500" w:lineRule="exact"/>
        <w:ind w:firstLine="480" w:firstLineChars="200"/>
        <w:jc w:val="both"/>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智能训练颜色和马克隆值检测设备，依据国家检测标准，集成高精度光学检测、自动化控制、人工智能算法，是面向纤检机构的棉纤维专业检测与人员实训一体化设备。可对棉纤维长度、颜色（Rd、+b）、马克隆值进行标准化、大容量、高精度检测，并具备操作行为分析、错误识别、AI 辅助教学、视觉复盘等实训考核功能。设备符合国标及国际检测体系，检测效率高、重复性好、结果客观可靠，可满足日常检验、人员培训、技能考核、科研数据支撑等场景。</w:t>
      </w:r>
    </w:p>
    <w:p w14:paraId="6D523F8D">
      <w:pPr>
        <w:pStyle w:val="35"/>
        <w:keepNext w:val="0"/>
        <w:keepLines w:val="0"/>
        <w:pageBreakBefore w:val="0"/>
        <w:widowControl w:val="0"/>
        <w:kinsoku/>
        <w:wordWrap w:val="0"/>
        <w:overflowPunct/>
        <w:topLinePunct w:val="0"/>
        <w:autoSpaceDE/>
        <w:autoSpaceDN/>
        <w:bidi w:val="0"/>
        <w:adjustRightInd/>
        <w:snapToGrid/>
        <w:spacing w:before="157" w:beforeLines="50" w:after="157" w:afterLines="50" w:line="500" w:lineRule="exact"/>
        <w:ind w:firstLine="482"/>
        <w:jc w:val="both"/>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二、商务要求</w:t>
      </w:r>
      <w:r>
        <w:rPr>
          <w:rFonts w:hint="eastAsia"/>
          <w:b/>
          <w:bCs/>
          <w:i w:val="0"/>
          <w:iCs w:val="0"/>
          <w:snapToGrid w:val="0"/>
          <w:color w:val="auto"/>
          <w:sz w:val="24"/>
          <w:szCs w:val="24"/>
          <w:highlight w:val="none"/>
          <w:lang w:val="en-US" w:eastAsia="zh-CN"/>
        </w:rPr>
        <w:t>【“★”号为实质性响应条款不允许偏离】</w:t>
      </w:r>
      <w:r>
        <w:rPr>
          <w:rFonts w:hint="eastAsia"/>
          <w:b/>
          <w:bCs/>
          <w:i/>
          <w:iCs/>
          <w:snapToGrid w:val="0"/>
          <w:color w:val="auto"/>
          <w:sz w:val="24"/>
          <w:szCs w:val="24"/>
          <w:highlight w:val="none"/>
          <w:lang w:val="en-US" w:eastAsia="zh-CN"/>
        </w:rPr>
        <w:t xml:space="preserve"> </w:t>
      </w:r>
    </w:p>
    <w:p w14:paraId="06E4C008">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eastAsia"/>
          <w:snapToGrid w:val="0"/>
          <w:color w:val="auto"/>
          <w:sz w:val="24"/>
          <w:szCs w:val="24"/>
          <w:highlight w:val="none"/>
          <w:lang w:val="en-US" w:eastAsia="zh-CN"/>
        </w:rPr>
      </w:pPr>
      <w:r>
        <w:rPr>
          <w:rFonts w:hint="eastAsia"/>
          <w:b/>
          <w:bCs/>
          <w:i w:val="0"/>
          <w:iCs w:val="0"/>
          <w:snapToGrid w:val="0"/>
          <w:color w:val="auto"/>
          <w:sz w:val="24"/>
          <w:szCs w:val="24"/>
          <w:highlight w:val="none"/>
          <w:lang w:val="en-US" w:eastAsia="zh-CN"/>
        </w:rPr>
        <w:t>★</w:t>
      </w:r>
      <w:r>
        <w:rPr>
          <w:rFonts w:hint="default"/>
          <w:snapToGrid w:val="0"/>
          <w:color w:val="auto"/>
          <w:sz w:val="24"/>
          <w:szCs w:val="24"/>
          <w:highlight w:val="none"/>
          <w:lang w:val="en-US" w:eastAsia="zh-CN"/>
        </w:rPr>
        <w:t>1.</w:t>
      </w:r>
      <w:r>
        <w:rPr>
          <w:rFonts w:hint="eastAsia"/>
          <w:snapToGrid w:val="0"/>
          <w:color w:val="auto"/>
          <w:sz w:val="24"/>
          <w:szCs w:val="24"/>
          <w:highlight w:val="none"/>
          <w:lang w:val="en-US" w:eastAsia="zh-CN"/>
        </w:rPr>
        <w:t>交付期限：自合同签订起60天。</w:t>
      </w:r>
    </w:p>
    <w:p w14:paraId="0F82714B">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eastAsia"/>
          <w:b/>
          <w:bCs/>
          <w:i w:val="0"/>
          <w:iCs w:val="0"/>
          <w:snapToGrid w:val="0"/>
          <w:color w:val="auto"/>
          <w:sz w:val="24"/>
          <w:szCs w:val="24"/>
          <w:highlight w:val="none"/>
          <w:lang w:val="en-US" w:eastAsia="zh-CN"/>
        </w:rPr>
        <w:t>★</w:t>
      </w:r>
      <w:r>
        <w:rPr>
          <w:rFonts w:hint="eastAsia"/>
          <w:snapToGrid w:val="0"/>
          <w:color w:val="auto"/>
          <w:sz w:val="24"/>
          <w:szCs w:val="24"/>
          <w:highlight w:val="none"/>
          <w:lang w:val="en-US" w:eastAsia="zh-CN"/>
        </w:rPr>
        <w:t xml:space="preserve">2.交货地点：招标人指定地点。 </w:t>
      </w:r>
    </w:p>
    <w:p w14:paraId="2017E928">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eastAsia"/>
          <w:snapToGrid w:val="0"/>
          <w:color w:val="auto"/>
          <w:sz w:val="24"/>
          <w:szCs w:val="24"/>
          <w:highlight w:val="none"/>
          <w:lang w:val="en-US" w:eastAsia="zh-CN"/>
        </w:rPr>
      </w:pPr>
      <w:r>
        <w:rPr>
          <w:rFonts w:hint="eastAsia"/>
          <w:b/>
          <w:bCs/>
          <w:i w:val="0"/>
          <w:iCs w:val="0"/>
          <w:snapToGrid w:val="0"/>
          <w:color w:val="auto"/>
          <w:sz w:val="24"/>
          <w:szCs w:val="24"/>
          <w:highlight w:val="none"/>
          <w:lang w:val="en-US" w:eastAsia="zh-CN"/>
        </w:rPr>
        <w:t>★</w:t>
      </w:r>
      <w:r>
        <w:rPr>
          <w:rFonts w:hint="eastAsia"/>
          <w:snapToGrid w:val="0"/>
          <w:color w:val="auto"/>
          <w:sz w:val="24"/>
          <w:szCs w:val="24"/>
          <w:highlight w:val="none"/>
          <w:lang w:val="en-US" w:eastAsia="zh-CN"/>
        </w:rPr>
        <w:t xml:space="preserve">3.付款条件：到货验收合格后支付全款。 </w:t>
      </w:r>
    </w:p>
    <w:p w14:paraId="68249201">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4.售后服务（质保期）</w:t>
      </w:r>
    </w:p>
    <w:p w14:paraId="1B231A1D">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整机免费质保≥3 年；核心光学、传感器、控制系统质保≥5 年（自验收合格起）。</w:t>
      </w:r>
    </w:p>
    <w:p w14:paraId="7E494F5A">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7×24 小时技术支持；电话 / 远程响应≤2 小时；现场服务：省内≤24 小时、省外≤48 小时。</w:t>
      </w:r>
    </w:p>
    <w:p w14:paraId="67AD3A48">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质保期内免费维修、免费更换故障部件、免费上门、免费软件升级。</w:t>
      </w:r>
    </w:p>
    <w:p w14:paraId="6E579BB2">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提供≥5 年原厂备件供应承诺，附易损件清单及报价。</w:t>
      </w:r>
    </w:p>
    <w:p w14:paraId="4254641B">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质保期后终身技术支持、优惠维修、优惠备件、免费软件更新。</w:t>
      </w:r>
    </w:p>
    <w:p w14:paraId="3F90EB44">
      <w:pPr>
        <w:pStyle w:val="35"/>
        <w:keepNext w:val="0"/>
        <w:keepLines w:val="0"/>
        <w:pageBreakBefore w:val="0"/>
        <w:widowControl w:val="0"/>
        <w:kinsoku/>
        <w:wordWrap w:val="0"/>
        <w:overflowPunct/>
        <w:topLinePunct w:val="0"/>
        <w:autoSpaceDE/>
        <w:autoSpaceDN/>
        <w:bidi w:val="0"/>
        <w:adjustRightInd/>
        <w:snapToGrid/>
        <w:spacing w:before="157" w:beforeLines="50" w:after="157" w:afterLines="50" w:line="500" w:lineRule="exact"/>
        <w:ind w:firstLine="482"/>
        <w:jc w:val="both"/>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三、技术要求【</w:t>
      </w:r>
      <w:r>
        <w:rPr>
          <w:rFonts w:hint="eastAsia"/>
          <w:b/>
          <w:bCs/>
          <w:i w:val="0"/>
          <w:iCs w:val="0"/>
          <w:snapToGrid w:val="0"/>
          <w:color w:val="auto"/>
          <w:sz w:val="24"/>
          <w:szCs w:val="24"/>
          <w:highlight w:val="none"/>
          <w:lang w:val="en-US" w:eastAsia="zh-CN"/>
        </w:rPr>
        <w:t>“★”号为实质性响应条款不允许偏离</w:t>
      </w:r>
      <w:r>
        <w:rPr>
          <w:rFonts w:hint="eastAsia"/>
          <w:b/>
          <w:bCs/>
          <w:snapToGrid w:val="0"/>
          <w:color w:val="auto"/>
          <w:sz w:val="24"/>
          <w:szCs w:val="24"/>
          <w:highlight w:val="none"/>
          <w:lang w:val="en-US" w:eastAsia="zh-CN"/>
        </w:rPr>
        <w:t xml:space="preserve">】 </w:t>
      </w:r>
    </w:p>
    <w:p w14:paraId="7C1D4459">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b/>
          <w:bCs/>
          <w:snapToGrid w:val="0"/>
          <w:color w:val="auto"/>
          <w:sz w:val="24"/>
          <w:szCs w:val="24"/>
          <w:highlight w:val="none"/>
          <w:lang w:val="en-US" w:eastAsia="zh-CN"/>
        </w:rPr>
      </w:pPr>
      <w:r>
        <w:rPr>
          <w:rFonts w:hint="eastAsia"/>
          <w:b/>
          <w:bCs/>
          <w:snapToGrid w:val="0"/>
          <w:color w:val="auto"/>
          <w:sz w:val="24"/>
          <w:szCs w:val="24"/>
          <w:highlight w:val="none"/>
          <w:lang w:val="en-US" w:eastAsia="zh-CN"/>
        </w:rPr>
        <w:t>（一）</w:t>
      </w:r>
      <w:r>
        <w:rPr>
          <w:rFonts w:hint="default"/>
          <w:b/>
          <w:bCs/>
          <w:snapToGrid w:val="0"/>
          <w:color w:val="auto"/>
          <w:sz w:val="24"/>
          <w:szCs w:val="24"/>
          <w:highlight w:val="none"/>
          <w:lang w:val="en-US" w:eastAsia="zh-CN"/>
        </w:rPr>
        <w:t>主要功能特点</w:t>
      </w:r>
    </w:p>
    <w:p w14:paraId="05FED78A">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1、棉纤维颜色智能检测与分级</w:t>
      </w:r>
    </w:p>
    <w:p w14:paraId="209DA0EC">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采用国标光学系统，精准测量反射率 Rd、黄度 + b，自动判定颜色等级；内置 D75 标准光源，结果可溯源，重复性好。</w:t>
      </w:r>
    </w:p>
    <w:p w14:paraId="2ABFA6B0">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2、马克隆值精准测定</w:t>
      </w:r>
    </w:p>
    <w:p w14:paraId="5382C316">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空气流量法，自动测定透气性并计算马克隆值；符合 GB/T 20392，自动分级，用于细度与成熟度评价。</w:t>
      </w:r>
    </w:p>
    <w:p w14:paraId="72A7AD10">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3、长度 / 强度一体化检测</w:t>
      </w:r>
    </w:p>
    <w:p w14:paraId="78CBB11D">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自动取样，集成回潮率检测；一次性完成长度、整齐度、短纤维指数、断裂强度、伸长率测量。</w:t>
      </w:r>
    </w:p>
    <w:p w14:paraId="76311BDB">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4、AI 辅助训练与模拟检测</w:t>
      </w:r>
    </w:p>
    <w:p w14:paraId="0066C432">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内置虚拟样品库、模拟检测模块；支持无实物练习、流程训练、参数设置、结果判读实训；算法自适应不同棉种。</w:t>
      </w:r>
    </w:p>
    <w:p w14:paraId="3ABB802C">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5、自动化批量高效检测</w:t>
      </w:r>
    </w:p>
    <w:p w14:paraId="21E8033B">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自动进样、批量连续检测；触摸屏操作，自动化程度高，人工干预少。</w:t>
      </w:r>
    </w:p>
    <w:p w14:paraId="4C2510AE">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6、数据管理与全程追溯</w:t>
      </w:r>
    </w:p>
    <w:p w14:paraId="18D683F2">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自动记录样品信息、参数、原始数据、结果、等级、操作人员行为；支持查询、统计、导出 Excel/PDF、打印，数据可追溯、可审计。</w:t>
      </w:r>
    </w:p>
    <w:p w14:paraId="34FAF89C">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7、多级校准与质量控制</w:t>
      </w:r>
    </w:p>
    <w:p w14:paraId="0FD15492">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支持标准色板校准、马克隆值标准样品校准；内置质控模块、系统自检、性能验证，保证长期稳定准确。</w:t>
      </w:r>
    </w:p>
    <w:p w14:paraId="1952EB04">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8、操作行为智能识别与纠错</w:t>
      </w:r>
    </w:p>
    <w:p w14:paraId="21DEBFCD">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动作捕捉 + AI 视觉识别，全区域监测；自动识别样品制备、仪器操作、数据处理等错误动作并实时提示。</w:t>
      </w:r>
    </w:p>
    <w:p w14:paraId="3CBE2175">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9、高清视觉辅助与教学复盘</w:t>
      </w:r>
    </w:p>
    <w:p w14:paraId="4D5E6D90">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4K 高清摄像，样品细节放大、过程可视化、操作回放、分屏对比、动态标注、动画模拟，降低操作失误率。</w:t>
      </w:r>
    </w:p>
    <w:p w14:paraId="52FDC249">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b/>
          <w:bCs/>
          <w:snapToGrid w:val="0"/>
          <w:color w:val="auto"/>
          <w:sz w:val="24"/>
          <w:szCs w:val="24"/>
          <w:highlight w:val="none"/>
          <w:lang w:val="en-US" w:eastAsia="zh-CN"/>
        </w:rPr>
      </w:pPr>
      <w:r>
        <w:rPr>
          <w:rFonts w:hint="eastAsia"/>
          <w:b/>
          <w:bCs/>
          <w:snapToGrid w:val="0"/>
          <w:color w:val="auto"/>
          <w:sz w:val="24"/>
          <w:szCs w:val="24"/>
          <w:highlight w:val="none"/>
          <w:lang w:val="en-US" w:eastAsia="zh-CN"/>
        </w:rPr>
        <w:t>（二）</w:t>
      </w:r>
      <w:r>
        <w:rPr>
          <w:rFonts w:hint="default"/>
          <w:b/>
          <w:bCs/>
          <w:snapToGrid w:val="0"/>
          <w:color w:val="auto"/>
          <w:sz w:val="24"/>
          <w:szCs w:val="24"/>
          <w:highlight w:val="none"/>
          <w:lang w:val="en-US" w:eastAsia="zh-CN"/>
        </w:rPr>
        <w:t>主要用途</w:t>
      </w:r>
    </w:p>
    <w:p w14:paraId="25C99658">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用于棉纤维长度、颜色（Rd、+b）、马克隆值的高精度检测，同时具备操作行为分析、AI 辅助实训、视觉复盘教学功能，满足纤检机构日常检测、人员培训、技能考核、科研数据支撑等需要。</w:t>
      </w:r>
    </w:p>
    <w:p w14:paraId="4AF5334E">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b/>
          <w:bCs/>
          <w:snapToGrid w:val="0"/>
          <w:color w:val="auto"/>
          <w:sz w:val="24"/>
          <w:szCs w:val="24"/>
          <w:highlight w:val="none"/>
          <w:lang w:val="en-US" w:eastAsia="zh-CN"/>
        </w:rPr>
      </w:pPr>
      <w:r>
        <w:rPr>
          <w:rFonts w:hint="eastAsia"/>
          <w:b/>
          <w:bCs/>
          <w:snapToGrid w:val="0"/>
          <w:color w:val="auto"/>
          <w:sz w:val="24"/>
          <w:szCs w:val="24"/>
          <w:highlight w:val="none"/>
          <w:lang w:val="en-US" w:eastAsia="zh-CN"/>
        </w:rPr>
        <w:t>（三）</w:t>
      </w:r>
      <w:r>
        <w:rPr>
          <w:rFonts w:hint="default"/>
          <w:b/>
          <w:bCs/>
          <w:snapToGrid w:val="0"/>
          <w:color w:val="auto"/>
          <w:sz w:val="24"/>
          <w:szCs w:val="24"/>
          <w:highlight w:val="none"/>
          <w:lang w:val="en-US" w:eastAsia="zh-CN"/>
        </w:rPr>
        <w:t>技术参数（★为实质性条款，必须全部满足，不允许偏离）</w:t>
      </w:r>
    </w:p>
    <w:p w14:paraId="5E7AE10E">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1. 长度及强度检测</w:t>
      </w:r>
    </w:p>
    <w:p w14:paraId="4F227343">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eastAsia"/>
          <w:snapToGrid w:val="0"/>
          <w:color w:val="auto"/>
          <w:sz w:val="24"/>
          <w:szCs w:val="24"/>
          <w:highlight w:val="none"/>
          <w:lang w:val="en-US" w:eastAsia="zh-CN"/>
        </w:rPr>
        <w:t>1）</w:t>
      </w:r>
      <w:r>
        <w:rPr>
          <w:rFonts w:hint="default"/>
          <w:snapToGrid w:val="0"/>
          <w:color w:val="auto"/>
          <w:sz w:val="24"/>
          <w:szCs w:val="24"/>
          <w:highlight w:val="none"/>
          <w:lang w:val="en-US" w:eastAsia="zh-CN"/>
        </w:rPr>
        <w:t>★ 自动取样，取样过程同步完成回潮率检测</w:t>
      </w:r>
    </w:p>
    <w:p w14:paraId="77AE65BD">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eastAsia"/>
          <w:snapToGrid w:val="0"/>
          <w:color w:val="auto"/>
          <w:sz w:val="24"/>
          <w:szCs w:val="24"/>
          <w:highlight w:val="none"/>
          <w:lang w:val="en-US" w:eastAsia="zh-CN"/>
        </w:rPr>
        <w:t>2）</w:t>
      </w:r>
      <w:r>
        <w:rPr>
          <w:rFonts w:hint="default"/>
          <w:snapToGrid w:val="0"/>
          <w:color w:val="auto"/>
          <w:sz w:val="24"/>
          <w:szCs w:val="24"/>
          <w:highlight w:val="none"/>
          <w:lang w:val="en-US" w:eastAsia="zh-CN"/>
        </w:rPr>
        <w:t>★ 上半部平均长度：21.0 mm～39.4 mm，精度 ±0.5 mm</w:t>
      </w:r>
    </w:p>
    <w:p w14:paraId="241F21F3">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eastAsia"/>
          <w:snapToGrid w:val="0"/>
          <w:color w:val="auto"/>
          <w:sz w:val="24"/>
          <w:szCs w:val="24"/>
          <w:highlight w:val="none"/>
          <w:lang w:val="en-US" w:eastAsia="zh-CN"/>
        </w:rPr>
        <w:t>3）</w:t>
      </w:r>
      <w:r>
        <w:rPr>
          <w:rFonts w:hint="default"/>
          <w:snapToGrid w:val="0"/>
          <w:color w:val="auto"/>
          <w:sz w:val="24"/>
          <w:szCs w:val="24"/>
          <w:highlight w:val="none"/>
          <w:lang w:val="en-US" w:eastAsia="zh-CN"/>
        </w:rPr>
        <w:t>★ 长度整齐度指数：70.0%～95.0%，精度 ±1%</w:t>
      </w:r>
    </w:p>
    <w:p w14:paraId="11864FAC">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eastAsia"/>
          <w:snapToGrid w:val="0"/>
          <w:color w:val="auto"/>
          <w:sz w:val="24"/>
          <w:szCs w:val="24"/>
          <w:highlight w:val="none"/>
          <w:lang w:val="en-US" w:eastAsia="zh-CN"/>
        </w:rPr>
        <w:t>4）</w:t>
      </w:r>
      <w:r>
        <w:rPr>
          <w:rFonts w:hint="default"/>
          <w:snapToGrid w:val="0"/>
          <w:color w:val="auto"/>
          <w:sz w:val="24"/>
          <w:szCs w:val="24"/>
          <w:highlight w:val="none"/>
          <w:lang w:val="en-US" w:eastAsia="zh-CN"/>
        </w:rPr>
        <w:t>短纤维指数：0%～30.0%</w:t>
      </w:r>
    </w:p>
    <w:p w14:paraId="78CA0D30">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eastAsia"/>
          <w:snapToGrid w:val="0"/>
          <w:color w:val="auto"/>
          <w:sz w:val="24"/>
          <w:szCs w:val="24"/>
          <w:highlight w:val="none"/>
          <w:lang w:val="en-US" w:eastAsia="zh-CN"/>
        </w:rPr>
        <w:t>5）</w:t>
      </w:r>
      <w:r>
        <w:rPr>
          <w:rFonts w:hint="default"/>
          <w:snapToGrid w:val="0"/>
          <w:color w:val="auto"/>
          <w:sz w:val="24"/>
          <w:szCs w:val="24"/>
          <w:highlight w:val="none"/>
          <w:lang w:val="en-US" w:eastAsia="zh-CN"/>
        </w:rPr>
        <w:t>★ 断裂强度：14.7 cN/tex～49.0 cN/tex，精度 ±1.47 cN/tex</w:t>
      </w:r>
    </w:p>
    <w:p w14:paraId="325EF4A9">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eastAsia"/>
          <w:snapToGrid w:val="0"/>
          <w:color w:val="auto"/>
          <w:sz w:val="24"/>
          <w:szCs w:val="24"/>
          <w:highlight w:val="none"/>
          <w:lang w:val="en-US" w:eastAsia="zh-CN"/>
        </w:rPr>
        <w:t>6）</w:t>
      </w:r>
      <w:r>
        <w:rPr>
          <w:rFonts w:hint="default"/>
          <w:snapToGrid w:val="0"/>
          <w:color w:val="auto"/>
          <w:sz w:val="24"/>
          <w:szCs w:val="24"/>
          <w:highlight w:val="none"/>
          <w:lang w:val="en-US" w:eastAsia="zh-CN"/>
        </w:rPr>
        <w:t>伸长率：3.0%～10.0%</w:t>
      </w:r>
    </w:p>
    <w:p w14:paraId="27D0393A">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2. 颜色检测</w:t>
      </w:r>
    </w:p>
    <w:p w14:paraId="75DBE6A8">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eastAsia"/>
          <w:snapToGrid w:val="0"/>
          <w:color w:val="auto"/>
          <w:sz w:val="24"/>
          <w:szCs w:val="24"/>
          <w:highlight w:val="none"/>
          <w:lang w:val="en-US" w:eastAsia="zh-CN"/>
        </w:rPr>
        <w:t>7）</w:t>
      </w:r>
      <w:r>
        <w:rPr>
          <w:rFonts w:hint="default"/>
          <w:snapToGrid w:val="0"/>
          <w:color w:val="auto"/>
          <w:sz w:val="24"/>
          <w:szCs w:val="24"/>
          <w:highlight w:val="none"/>
          <w:lang w:val="en-US" w:eastAsia="zh-CN"/>
        </w:rPr>
        <w:t>★ 测量指标：反射率 Rd、黄度 + b</w:t>
      </w:r>
    </w:p>
    <w:p w14:paraId="678BC060">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eastAsia"/>
          <w:snapToGrid w:val="0"/>
          <w:color w:val="auto"/>
          <w:sz w:val="24"/>
          <w:szCs w:val="24"/>
          <w:highlight w:val="none"/>
          <w:lang w:val="en-US" w:eastAsia="zh-CN"/>
        </w:rPr>
        <w:t>8）</w:t>
      </w:r>
      <w:r>
        <w:rPr>
          <w:rFonts w:hint="default"/>
          <w:snapToGrid w:val="0"/>
          <w:color w:val="auto"/>
          <w:sz w:val="24"/>
          <w:szCs w:val="24"/>
          <w:highlight w:val="none"/>
          <w:lang w:val="en-US" w:eastAsia="zh-CN"/>
        </w:rPr>
        <w:t>★ 执行标准：GB/T 13783</w:t>
      </w:r>
    </w:p>
    <w:p w14:paraId="64B10CB8">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eastAsia"/>
          <w:snapToGrid w:val="0"/>
          <w:color w:val="auto"/>
          <w:sz w:val="24"/>
          <w:szCs w:val="24"/>
          <w:highlight w:val="none"/>
          <w:lang w:val="en-US" w:eastAsia="zh-CN"/>
        </w:rPr>
        <w:t>9）</w:t>
      </w:r>
      <w:r>
        <w:rPr>
          <w:rFonts w:hint="default"/>
          <w:snapToGrid w:val="0"/>
          <w:color w:val="auto"/>
          <w:sz w:val="24"/>
          <w:szCs w:val="24"/>
          <w:highlight w:val="none"/>
          <w:lang w:val="en-US" w:eastAsia="zh-CN"/>
        </w:rPr>
        <w:t>光源：模拟 D75，波长 400 nm～700 nm</w:t>
      </w:r>
    </w:p>
    <w:p w14:paraId="0DFC4B3F">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eastAsia"/>
          <w:snapToGrid w:val="0"/>
          <w:color w:val="auto"/>
          <w:sz w:val="24"/>
          <w:szCs w:val="24"/>
          <w:highlight w:val="none"/>
          <w:lang w:val="en-US" w:eastAsia="zh-CN"/>
        </w:rPr>
        <w:t>10）</w:t>
      </w:r>
      <w:r>
        <w:rPr>
          <w:rFonts w:hint="default"/>
          <w:snapToGrid w:val="0"/>
          <w:color w:val="auto"/>
          <w:sz w:val="24"/>
          <w:szCs w:val="24"/>
          <w:highlight w:val="none"/>
          <w:lang w:val="en-US" w:eastAsia="zh-CN"/>
        </w:rPr>
        <w:t>★ 重复性：Rd±1；+b±0.5</w:t>
      </w:r>
    </w:p>
    <w:p w14:paraId="2A57E7C2">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eastAsia"/>
          <w:snapToGrid w:val="0"/>
          <w:color w:val="auto"/>
          <w:sz w:val="24"/>
          <w:szCs w:val="24"/>
          <w:highlight w:val="none"/>
          <w:lang w:val="en-US" w:eastAsia="zh-CN"/>
        </w:rPr>
        <w:t>11）</w:t>
      </w:r>
      <w:r>
        <w:rPr>
          <w:rFonts w:hint="default"/>
          <w:snapToGrid w:val="0"/>
          <w:color w:val="auto"/>
          <w:sz w:val="24"/>
          <w:szCs w:val="24"/>
          <w:highlight w:val="none"/>
          <w:lang w:val="en-US" w:eastAsia="zh-CN"/>
        </w:rPr>
        <w:t>可通过国标色板校准、量值溯源</w:t>
      </w:r>
    </w:p>
    <w:p w14:paraId="094958BB">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3. 马克隆值检测</w:t>
      </w:r>
    </w:p>
    <w:p w14:paraId="78E5B104">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eastAsia"/>
          <w:snapToGrid w:val="0"/>
          <w:color w:val="auto"/>
          <w:sz w:val="24"/>
          <w:szCs w:val="24"/>
          <w:highlight w:val="none"/>
          <w:lang w:val="en-US" w:eastAsia="zh-CN"/>
        </w:rPr>
        <w:t>12）</w:t>
      </w:r>
      <w:r>
        <w:rPr>
          <w:rFonts w:hint="default"/>
          <w:snapToGrid w:val="0"/>
          <w:color w:val="auto"/>
          <w:sz w:val="24"/>
          <w:szCs w:val="24"/>
          <w:highlight w:val="none"/>
          <w:lang w:val="en-US" w:eastAsia="zh-CN"/>
        </w:rPr>
        <w:t>★ 执行标准：GB/T 20392</w:t>
      </w:r>
    </w:p>
    <w:p w14:paraId="115FE1A6">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eastAsia"/>
          <w:snapToGrid w:val="0"/>
          <w:color w:val="auto"/>
          <w:sz w:val="24"/>
          <w:szCs w:val="24"/>
          <w:highlight w:val="none"/>
          <w:lang w:val="en-US" w:eastAsia="zh-CN"/>
        </w:rPr>
        <w:t>13）</w:t>
      </w:r>
      <w:r>
        <w:rPr>
          <w:rFonts w:hint="default"/>
          <w:snapToGrid w:val="0"/>
          <w:color w:val="auto"/>
          <w:sz w:val="24"/>
          <w:szCs w:val="24"/>
          <w:highlight w:val="none"/>
          <w:lang w:val="en-US" w:eastAsia="zh-CN"/>
        </w:rPr>
        <w:t xml:space="preserve">★ 测量范围：2.0～7.5 </w:t>
      </w:r>
    </w:p>
    <w:p w14:paraId="13787D84">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eastAsia"/>
          <w:snapToGrid w:val="0"/>
          <w:color w:val="auto"/>
          <w:sz w:val="24"/>
          <w:szCs w:val="24"/>
          <w:highlight w:val="none"/>
          <w:lang w:val="en-US" w:eastAsia="zh-CN"/>
        </w:rPr>
        <w:t>14）</w:t>
      </w:r>
      <w:r>
        <w:rPr>
          <w:rFonts w:hint="default"/>
          <w:snapToGrid w:val="0"/>
          <w:color w:val="auto"/>
          <w:sz w:val="24"/>
          <w:szCs w:val="24"/>
          <w:highlight w:val="none"/>
          <w:lang w:val="en-US" w:eastAsia="zh-CN"/>
        </w:rPr>
        <w:t>★ 精度：±0.1（标准样品）</w:t>
      </w:r>
    </w:p>
    <w:p w14:paraId="7947F645">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eastAsia"/>
          <w:snapToGrid w:val="0"/>
          <w:color w:val="auto"/>
          <w:sz w:val="24"/>
          <w:szCs w:val="24"/>
          <w:highlight w:val="none"/>
          <w:lang w:val="en-US" w:eastAsia="zh-CN"/>
        </w:rPr>
        <w:t>15）</w:t>
      </w:r>
      <w:r>
        <w:rPr>
          <w:rFonts w:hint="default"/>
          <w:snapToGrid w:val="0"/>
          <w:color w:val="auto"/>
          <w:sz w:val="24"/>
          <w:szCs w:val="24"/>
          <w:highlight w:val="none"/>
          <w:lang w:val="en-US" w:eastAsia="zh-CN"/>
        </w:rPr>
        <w:t>★ 样品质量：10 g ± 0.5 g</w:t>
      </w:r>
    </w:p>
    <w:p w14:paraId="7B15C8CD">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4. 行为分析系统</w:t>
      </w:r>
    </w:p>
    <w:p w14:paraId="55B4BEE3">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eastAsia"/>
          <w:snapToGrid w:val="0"/>
          <w:color w:val="auto"/>
          <w:sz w:val="24"/>
          <w:szCs w:val="24"/>
          <w:highlight w:val="none"/>
          <w:lang w:val="en-US" w:eastAsia="zh-CN"/>
        </w:rPr>
        <w:t>16）</w:t>
      </w:r>
      <w:r>
        <w:rPr>
          <w:rFonts w:hint="default"/>
          <w:snapToGrid w:val="0"/>
          <w:color w:val="auto"/>
          <w:sz w:val="24"/>
          <w:szCs w:val="24"/>
          <w:highlight w:val="none"/>
          <w:lang w:val="en-US" w:eastAsia="zh-CN"/>
        </w:rPr>
        <w:t>★ 监测范围：覆盖仪器操作全区域</w:t>
      </w:r>
    </w:p>
    <w:p w14:paraId="14B3F825">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eastAsia"/>
          <w:snapToGrid w:val="0"/>
          <w:color w:val="auto"/>
          <w:sz w:val="24"/>
          <w:szCs w:val="24"/>
          <w:highlight w:val="none"/>
          <w:lang w:val="en-US" w:eastAsia="zh-CN"/>
        </w:rPr>
        <w:t>17）</w:t>
      </w:r>
      <w:r>
        <w:rPr>
          <w:rFonts w:hint="default"/>
          <w:snapToGrid w:val="0"/>
          <w:color w:val="auto"/>
          <w:sz w:val="24"/>
          <w:szCs w:val="24"/>
          <w:highlight w:val="none"/>
          <w:lang w:val="en-US" w:eastAsia="zh-CN"/>
        </w:rPr>
        <w:t>捕捉角度：≥120°</w:t>
      </w:r>
    </w:p>
    <w:p w14:paraId="5E79623E">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eastAsia"/>
          <w:snapToGrid w:val="0"/>
          <w:color w:val="auto"/>
          <w:sz w:val="24"/>
          <w:szCs w:val="24"/>
          <w:highlight w:val="none"/>
          <w:lang w:val="en-US" w:eastAsia="zh-CN"/>
        </w:rPr>
        <w:t>18）</w:t>
      </w:r>
      <w:r>
        <w:rPr>
          <w:rFonts w:hint="default"/>
          <w:snapToGrid w:val="0"/>
          <w:color w:val="auto"/>
          <w:sz w:val="24"/>
          <w:szCs w:val="24"/>
          <w:highlight w:val="none"/>
          <w:lang w:val="en-US" w:eastAsia="zh-CN"/>
        </w:rPr>
        <w:t>★ 识别准确率：≥98%</w:t>
      </w:r>
    </w:p>
    <w:p w14:paraId="0C0F76D7">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eastAsia"/>
          <w:snapToGrid w:val="0"/>
          <w:color w:val="auto"/>
          <w:sz w:val="24"/>
          <w:szCs w:val="24"/>
          <w:highlight w:val="none"/>
          <w:lang w:val="en-US" w:eastAsia="zh-CN"/>
        </w:rPr>
        <w:t>19）</w:t>
      </w:r>
      <w:r>
        <w:rPr>
          <w:rFonts w:hint="default"/>
          <w:snapToGrid w:val="0"/>
          <w:color w:val="auto"/>
          <w:sz w:val="24"/>
          <w:szCs w:val="24"/>
          <w:highlight w:val="none"/>
          <w:lang w:val="en-US" w:eastAsia="zh-CN"/>
        </w:rPr>
        <w:t>数据存储：≥1000 条</w:t>
      </w:r>
    </w:p>
    <w:p w14:paraId="50B7C0DC">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eastAsia"/>
          <w:snapToGrid w:val="0"/>
          <w:color w:val="auto"/>
          <w:sz w:val="24"/>
          <w:szCs w:val="24"/>
          <w:highlight w:val="none"/>
          <w:lang w:val="en-US" w:eastAsia="zh-CN"/>
        </w:rPr>
        <w:t>20）</w:t>
      </w:r>
      <w:r>
        <w:rPr>
          <w:rFonts w:hint="default"/>
          <w:snapToGrid w:val="0"/>
          <w:color w:val="auto"/>
          <w:sz w:val="24"/>
          <w:szCs w:val="24"/>
          <w:highlight w:val="none"/>
          <w:lang w:val="en-US" w:eastAsia="zh-CN"/>
        </w:rPr>
        <w:t>支持查询、导出</w:t>
      </w:r>
    </w:p>
    <w:p w14:paraId="48CC4BB3">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5. 视觉辅助系统</w:t>
      </w:r>
    </w:p>
    <w:p w14:paraId="31CC7402">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eastAsia"/>
          <w:snapToGrid w:val="0"/>
          <w:color w:val="auto"/>
          <w:sz w:val="24"/>
          <w:szCs w:val="24"/>
          <w:highlight w:val="none"/>
          <w:lang w:val="en-US" w:eastAsia="zh-CN"/>
        </w:rPr>
        <w:t>21）</w:t>
      </w:r>
      <w:r>
        <w:rPr>
          <w:rFonts w:hint="default"/>
          <w:snapToGrid w:val="0"/>
          <w:color w:val="auto"/>
          <w:sz w:val="24"/>
          <w:szCs w:val="24"/>
          <w:highlight w:val="none"/>
          <w:lang w:val="en-US" w:eastAsia="zh-CN"/>
        </w:rPr>
        <w:t>★ 摄像头：≥4K，≥30 fps</w:t>
      </w:r>
    </w:p>
    <w:p w14:paraId="200F9FA0">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eastAsia"/>
          <w:snapToGrid w:val="0"/>
          <w:color w:val="auto"/>
          <w:sz w:val="24"/>
          <w:szCs w:val="24"/>
          <w:highlight w:val="none"/>
          <w:lang w:val="en-US" w:eastAsia="zh-CN"/>
        </w:rPr>
        <w:t>22）</w:t>
      </w:r>
      <w:r>
        <w:rPr>
          <w:rFonts w:hint="default"/>
          <w:snapToGrid w:val="0"/>
          <w:color w:val="auto"/>
          <w:sz w:val="24"/>
          <w:szCs w:val="24"/>
          <w:highlight w:val="none"/>
          <w:lang w:val="en-US" w:eastAsia="zh-CN"/>
        </w:rPr>
        <w:t>动态放大：≥10 倍</w:t>
      </w:r>
    </w:p>
    <w:p w14:paraId="5E9AEA60">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eastAsia"/>
          <w:snapToGrid w:val="0"/>
          <w:color w:val="auto"/>
          <w:sz w:val="24"/>
          <w:szCs w:val="24"/>
          <w:highlight w:val="none"/>
          <w:lang w:val="en-US" w:eastAsia="zh-CN"/>
        </w:rPr>
        <w:t>23）</w:t>
      </w:r>
      <w:r>
        <w:rPr>
          <w:rFonts w:hint="default"/>
          <w:snapToGrid w:val="0"/>
          <w:color w:val="auto"/>
          <w:sz w:val="24"/>
          <w:szCs w:val="24"/>
          <w:highlight w:val="none"/>
          <w:lang w:val="en-US" w:eastAsia="zh-CN"/>
        </w:rPr>
        <w:t>连续录制：≥72 小时（可扩展）</w:t>
      </w:r>
    </w:p>
    <w:p w14:paraId="1D1683D5">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eastAsia"/>
          <w:snapToGrid w:val="0"/>
          <w:color w:val="auto"/>
          <w:sz w:val="24"/>
          <w:szCs w:val="24"/>
          <w:highlight w:val="none"/>
          <w:lang w:val="en-US" w:eastAsia="zh-CN"/>
        </w:rPr>
        <w:t>24）</w:t>
      </w:r>
      <w:r>
        <w:rPr>
          <w:rFonts w:hint="default"/>
          <w:snapToGrid w:val="0"/>
          <w:color w:val="auto"/>
          <w:sz w:val="24"/>
          <w:szCs w:val="24"/>
          <w:highlight w:val="none"/>
          <w:lang w:val="en-US" w:eastAsia="zh-CN"/>
        </w:rPr>
        <w:t>功能：分屏对比、动态标注、回放复盘</w:t>
      </w:r>
    </w:p>
    <w:p w14:paraId="56B3601C">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6. 工作条件</w:t>
      </w:r>
    </w:p>
    <w:p w14:paraId="220D9B9A">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eastAsia"/>
          <w:snapToGrid w:val="0"/>
          <w:color w:val="auto"/>
          <w:sz w:val="24"/>
          <w:szCs w:val="24"/>
          <w:highlight w:val="none"/>
          <w:lang w:val="en-US" w:eastAsia="zh-CN"/>
        </w:rPr>
        <w:t>25）</w:t>
      </w:r>
      <w:r>
        <w:rPr>
          <w:rFonts w:hint="default"/>
          <w:snapToGrid w:val="0"/>
          <w:color w:val="auto"/>
          <w:sz w:val="24"/>
          <w:szCs w:val="24"/>
          <w:highlight w:val="none"/>
          <w:lang w:val="en-US" w:eastAsia="zh-CN"/>
        </w:rPr>
        <w:t>系统自监控、故障自检、异常自恢复</w:t>
      </w:r>
    </w:p>
    <w:p w14:paraId="09DBA3A2">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eastAsia"/>
          <w:snapToGrid w:val="0"/>
          <w:color w:val="auto"/>
          <w:sz w:val="24"/>
          <w:szCs w:val="24"/>
          <w:highlight w:val="none"/>
          <w:lang w:val="en-US" w:eastAsia="zh-CN"/>
        </w:rPr>
        <w:t>26）</w:t>
      </w:r>
      <w:r>
        <w:rPr>
          <w:rFonts w:hint="default"/>
          <w:snapToGrid w:val="0"/>
          <w:color w:val="auto"/>
          <w:sz w:val="24"/>
          <w:szCs w:val="24"/>
          <w:highlight w:val="none"/>
          <w:lang w:val="en-US" w:eastAsia="zh-CN"/>
        </w:rPr>
        <w:t>温度：最佳 20℃±2℃；允许 15℃～30℃</w:t>
      </w:r>
    </w:p>
    <w:p w14:paraId="515EF521">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eastAsia"/>
          <w:snapToGrid w:val="0"/>
          <w:color w:val="auto"/>
          <w:sz w:val="24"/>
          <w:szCs w:val="24"/>
          <w:highlight w:val="none"/>
          <w:lang w:val="en-US" w:eastAsia="zh-CN"/>
        </w:rPr>
        <w:t>27）</w:t>
      </w:r>
      <w:r>
        <w:rPr>
          <w:rFonts w:hint="default"/>
          <w:snapToGrid w:val="0"/>
          <w:color w:val="auto"/>
          <w:sz w:val="24"/>
          <w:szCs w:val="24"/>
          <w:highlight w:val="none"/>
          <w:lang w:val="en-US" w:eastAsia="zh-CN"/>
        </w:rPr>
        <w:t>湿度：最佳 65%±5% RH；允许 50%～75% RH</w:t>
      </w:r>
    </w:p>
    <w:p w14:paraId="0A32314A">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eastAsia"/>
          <w:snapToGrid w:val="0"/>
          <w:color w:val="auto"/>
          <w:sz w:val="24"/>
          <w:szCs w:val="24"/>
          <w:highlight w:val="none"/>
          <w:lang w:val="en-US" w:eastAsia="zh-CN"/>
        </w:rPr>
        <w:t>28）</w:t>
      </w:r>
      <w:r>
        <w:rPr>
          <w:rFonts w:hint="default"/>
          <w:snapToGrid w:val="0"/>
          <w:color w:val="auto"/>
          <w:sz w:val="24"/>
          <w:szCs w:val="24"/>
          <w:highlight w:val="none"/>
          <w:lang w:val="en-US" w:eastAsia="zh-CN"/>
        </w:rPr>
        <w:t>电源：AC 220 V±10%，50 Hz</w:t>
      </w:r>
    </w:p>
    <w:p w14:paraId="0271C213">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7. 其他</w:t>
      </w:r>
    </w:p>
    <w:p w14:paraId="1C51CDA4">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eastAsia"/>
          <w:snapToGrid w:val="0"/>
          <w:color w:val="auto"/>
          <w:sz w:val="24"/>
          <w:szCs w:val="24"/>
          <w:highlight w:val="none"/>
          <w:lang w:val="en-US" w:eastAsia="zh-CN"/>
        </w:rPr>
        <w:t>29）</w:t>
      </w:r>
      <w:r>
        <w:rPr>
          <w:rFonts w:hint="default"/>
          <w:snapToGrid w:val="0"/>
          <w:color w:val="auto"/>
          <w:sz w:val="24"/>
          <w:szCs w:val="24"/>
          <w:highlight w:val="none"/>
          <w:lang w:val="en-US" w:eastAsia="zh-CN"/>
        </w:rPr>
        <w:t>操作：工业触摸屏</w:t>
      </w:r>
    </w:p>
    <w:p w14:paraId="1ED7A7B9">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eastAsia"/>
          <w:snapToGrid w:val="0"/>
          <w:color w:val="auto"/>
          <w:sz w:val="24"/>
          <w:szCs w:val="24"/>
          <w:highlight w:val="none"/>
          <w:lang w:val="en-US" w:eastAsia="zh-CN"/>
        </w:rPr>
        <w:t>30）</w:t>
      </w:r>
      <w:r>
        <w:rPr>
          <w:rFonts w:hint="default"/>
          <w:snapToGrid w:val="0"/>
          <w:color w:val="auto"/>
          <w:sz w:val="24"/>
          <w:szCs w:val="24"/>
          <w:highlight w:val="none"/>
          <w:lang w:val="en-US" w:eastAsia="zh-CN"/>
        </w:rPr>
        <w:t>接口：USB、以太网</w:t>
      </w:r>
    </w:p>
    <w:p w14:paraId="00F1C932">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b/>
          <w:bCs/>
          <w:snapToGrid w:val="0"/>
          <w:color w:val="auto"/>
          <w:sz w:val="24"/>
          <w:szCs w:val="24"/>
          <w:highlight w:val="none"/>
          <w:lang w:val="en-US" w:eastAsia="zh-CN"/>
        </w:rPr>
      </w:pPr>
      <w:r>
        <w:rPr>
          <w:rFonts w:hint="eastAsia"/>
          <w:b/>
          <w:bCs/>
          <w:snapToGrid w:val="0"/>
          <w:color w:val="auto"/>
          <w:sz w:val="24"/>
          <w:szCs w:val="24"/>
          <w:highlight w:val="none"/>
          <w:lang w:val="en-US" w:eastAsia="zh-CN"/>
        </w:rPr>
        <w:t>（四）</w:t>
      </w:r>
      <w:r>
        <w:rPr>
          <w:rFonts w:hint="default"/>
          <w:b/>
          <w:bCs/>
          <w:snapToGrid w:val="0"/>
          <w:color w:val="auto"/>
          <w:sz w:val="24"/>
          <w:szCs w:val="24"/>
          <w:highlight w:val="none"/>
          <w:lang w:val="en-US" w:eastAsia="zh-CN"/>
        </w:rPr>
        <w:t>验收标准</w:t>
      </w:r>
    </w:p>
    <w:p w14:paraId="0829D388">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外观完好，配置、配件、资料齐全，与技术文件一致。</w:t>
      </w:r>
    </w:p>
    <w:p w14:paraId="5D86397A">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供方负责安装调试，整机运行稳定、无报错、功能正常。</w:t>
      </w:r>
    </w:p>
    <w:p w14:paraId="723DE575">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所有★项技术参数必须达标；用标准样品测试，误差满足要求。</w:t>
      </w:r>
    </w:p>
    <w:p w14:paraId="004CAA1E">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行为识别准确率≥98%，视觉系统 4K、30fps、10 倍放大、72 小时录制正常。</w:t>
      </w:r>
    </w:p>
    <w:p w14:paraId="15269806">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数据记录、查询、导出、打印、日志追溯正常。</w:t>
      </w:r>
    </w:p>
    <w:p w14:paraId="7CD4A9D6">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提供合格证、说明书、校准证书、维护手册、电气原理图、培训资料等。</w:t>
      </w:r>
    </w:p>
    <w:p w14:paraId="0F7363ED">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所有项目一次性合格方视为验收通过；不合格项限期整改，直至合格。</w:t>
      </w:r>
    </w:p>
    <w:p w14:paraId="7A9066A5">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b/>
          <w:bCs/>
          <w:snapToGrid w:val="0"/>
          <w:color w:val="auto"/>
          <w:sz w:val="24"/>
          <w:szCs w:val="24"/>
          <w:highlight w:val="none"/>
          <w:lang w:val="en-US" w:eastAsia="zh-CN"/>
        </w:rPr>
      </w:pPr>
      <w:r>
        <w:rPr>
          <w:rFonts w:hint="eastAsia"/>
          <w:b/>
          <w:bCs/>
          <w:snapToGrid w:val="0"/>
          <w:color w:val="auto"/>
          <w:sz w:val="24"/>
          <w:szCs w:val="24"/>
          <w:highlight w:val="none"/>
          <w:lang w:val="en-US" w:eastAsia="zh-CN"/>
        </w:rPr>
        <w:t>（五）</w:t>
      </w:r>
      <w:r>
        <w:rPr>
          <w:rFonts w:hint="default"/>
          <w:b/>
          <w:bCs/>
          <w:snapToGrid w:val="0"/>
          <w:color w:val="auto"/>
          <w:sz w:val="24"/>
          <w:szCs w:val="24"/>
          <w:highlight w:val="none"/>
          <w:lang w:val="en-US" w:eastAsia="zh-CN"/>
        </w:rPr>
        <w:t>培训服务</w:t>
      </w:r>
    </w:p>
    <w:p w14:paraId="5884C192">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现场实操培训不少于 2 次、每次不少于 2 天，覆盖操作人员、维护人员、管理人员。</w:t>
      </w:r>
    </w:p>
    <w:p w14:paraId="55D549A7">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培训内容：仪器原理、样品制备、标准操作、校准、检测、结果判读、数据管理、行为分析系统使用、日常维护、故障排查。</w:t>
      </w:r>
    </w:p>
    <w:p w14:paraId="6E6BF9D4">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提供完整教材、PPT、视频教程、考核题库。</w:t>
      </w:r>
    </w:p>
    <w:p w14:paraId="46541F31">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培训结束进行理论 + 实操考核，合格者颁发培训合格证书。</w:t>
      </w:r>
    </w:p>
    <w:p w14:paraId="7EEA71A1">
      <w:pPr>
        <w:pStyle w:val="35"/>
        <w:keepNext w:val="0"/>
        <w:keepLines w:val="0"/>
        <w:pageBreakBefore w:val="0"/>
        <w:widowControl w:val="0"/>
        <w:kinsoku/>
        <w:overflowPunct/>
        <w:topLinePunct w:val="0"/>
        <w:autoSpaceDE/>
        <w:autoSpaceDN/>
        <w:bidi w:val="0"/>
        <w:adjustRightInd/>
        <w:snapToGrid/>
        <w:spacing w:line="500" w:lineRule="exact"/>
        <w:jc w:val="both"/>
        <w:textAlignment w:val="auto"/>
        <w:rPr>
          <w:rFonts w:hint="eastAsia"/>
          <w:snapToGrid w:val="0"/>
          <w:color w:val="auto"/>
          <w:sz w:val="24"/>
          <w:szCs w:val="24"/>
          <w:highlight w:val="none"/>
          <w:lang w:val="en-US" w:eastAsia="zh-CN"/>
        </w:rPr>
      </w:pPr>
      <w:r>
        <w:rPr>
          <w:rFonts w:hint="eastAsia"/>
          <w:b/>
          <w:bCs/>
          <w:snapToGrid w:val="0"/>
          <w:color w:val="auto"/>
          <w:sz w:val="24"/>
          <w:szCs w:val="24"/>
          <w:highlight w:val="none"/>
          <w:lang w:val="en-US" w:eastAsia="zh-CN"/>
        </w:rPr>
        <w:t>（六）其他要求</w:t>
      </w:r>
    </w:p>
    <w:p w14:paraId="15AFA68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b w:val="0"/>
          <w:bCs w:val="0"/>
          <w:snapToGrid w:val="0"/>
          <w:color w:val="auto"/>
          <w:sz w:val="24"/>
          <w:szCs w:val="24"/>
          <w:highlight w:val="none"/>
          <w:lang w:val="en-US" w:eastAsia="zh-CN"/>
        </w:rPr>
      </w:pPr>
      <w:r>
        <w:rPr>
          <w:rFonts w:hint="eastAsia"/>
          <w:b w:val="0"/>
          <w:bCs w:val="0"/>
          <w:snapToGrid w:val="0"/>
          <w:color w:val="auto"/>
          <w:sz w:val="24"/>
          <w:szCs w:val="24"/>
          <w:highlight w:val="none"/>
          <w:lang w:val="en-US" w:eastAsia="zh-CN"/>
        </w:rPr>
        <w:t>6.1</w:t>
      </w:r>
      <w:r>
        <w:rPr>
          <w:rFonts w:hint="eastAsia" w:ascii="宋体" w:hAnsi="宋体" w:eastAsia="宋体"/>
          <w:b w:val="0"/>
          <w:bCs w:val="0"/>
          <w:snapToGrid w:val="0"/>
          <w:color w:val="auto"/>
          <w:sz w:val="24"/>
          <w:szCs w:val="24"/>
          <w:highlight w:val="none"/>
          <w:lang w:val="en-US" w:eastAsia="zh-CN"/>
        </w:rPr>
        <w:t>适用范围</w:t>
      </w:r>
    </w:p>
    <w:p w14:paraId="1B621D7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b w:val="0"/>
          <w:bCs w:val="0"/>
          <w:snapToGrid w:val="0"/>
          <w:color w:val="auto"/>
          <w:sz w:val="24"/>
          <w:szCs w:val="24"/>
          <w:highlight w:val="none"/>
          <w:lang w:val="en-US" w:eastAsia="zh-CN"/>
        </w:rPr>
      </w:pPr>
      <w:r>
        <w:rPr>
          <w:rFonts w:hint="eastAsia" w:ascii="宋体" w:hAnsi="宋体" w:eastAsia="宋体"/>
          <w:b w:val="0"/>
          <w:bCs w:val="0"/>
          <w:snapToGrid w:val="0"/>
          <w:color w:val="auto"/>
          <w:sz w:val="24"/>
          <w:szCs w:val="24"/>
          <w:highlight w:val="none"/>
          <w:lang w:val="en-US" w:eastAsia="zh-CN"/>
        </w:rPr>
        <w:t>该智能训练检测设备广泛适用于以下场景：</w:t>
      </w:r>
    </w:p>
    <w:p w14:paraId="5393B18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b w:val="0"/>
          <w:bCs w:val="0"/>
          <w:snapToGrid w:val="0"/>
          <w:color w:val="auto"/>
          <w:sz w:val="24"/>
          <w:szCs w:val="24"/>
          <w:highlight w:val="none"/>
          <w:lang w:val="en-US" w:eastAsia="zh-CN"/>
        </w:rPr>
      </w:pPr>
      <w:r>
        <w:rPr>
          <w:rFonts w:hint="eastAsia" w:ascii="宋体" w:hAnsi="宋体" w:eastAsia="宋体"/>
          <w:b w:val="0"/>
          <w:bCs w:val="0"/>
          <w:snapToGrid w:val="0"/>
          <w:color w:val="auto"/>
          <w:sz w:val="24"/>
          <w:szCs w:val="24"/>
          <w:highlight w:val="none"/>
          <w:lang w:val="en-US" w:eastAsia="zh-CN"/>
        </w:rPr>
        <w:t>棉花收购与分级：对籽棉或皮棉的颜色（Rd、+b）和马克隆值进行快速检测，作为定价和分级依据。</w:t>
      </w:r>
    </w:p>
    <w:p w14:paraId="655873C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b w:val="0"/>
          <w:bCs w:val="0"/>
          <w:snapToGrid w:val="0"/>
          <w:color w:val="auto"/>
          <w:sz w:val="24"/>
          <w:szCs w:val="24"/>
          <w:highlight w:val="none"/>
          <w:lang w:val="en-US" w:eastAsia="zh-CN"/>
        </w:rPr>
      </w:pPr>
      <w:r>
        <w:rPr>
          <w:rFonts w:hint="eastAsia" w:ascii="宋体" w:hAnsi="宋体" w:eastAsia="宋体"/>
          <w:b w:val="0"/>
          <w:bCs w:val="0"/>
          <w:snapToGrid w:val="0"/>
          <w:color w:val="auto"/>
          <w:sz w:val="24"/>
          <w:szCs w:val="24"/>
          <w:highlight w:val="none"/>
          <w:lang w:val="en-US" w:eastAsia="zh-CN"/>
        </w:rPr>
        <w:t>教学与培训：作为棉花检测机构培训及测试设备，帮助学员掌握国家标准检测方法，规范操作流程。</w:t>
      </w:r>
    </w:p>
    <w:p w14:paraId="797FFA2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b w:val="0"/>
          <w:bCs w:val="0"/>
          <w:snapToGrid w:val="0"/>
          <w:color w:val="auto"/>
          <w:sz w:val="24"/>
          <w:szCs w:val="24"/>
          <w:highlight w:val="none"/>
          <w:lang w:val="en-US" w:eastAsia="zh-CN"/>
        </w:rPr>
      </w:pPr>
      <w:r>
        <w:rPr>
          <w:rFonts w:hint="eastAsia" w:ascii="宋体" w:hAnsi="宋体" w:eastAsia="宋体"/>
          <w:b w:val="0"/>
          <w:bCs w:val="0"/>
          <w:snapToGrid w:val="0"/>
          <w:color w:val="auto"/>
          <w:sz w:val="24"/>
          <w:szCs w:val="24"/>
          <w:highlight w:val="none"/>
          <w:lang w:val="en-US" w:eastAsia="zh-CN"/>
        </w:rPr>
        <w:t>科研与标准制定：为棉纤维相关科研项目提供标准化检测数据，支持新方法、新标准的研究。</w:t>
      </w:r>
    </w:p>
    <w:p w14:paraId="0AE7881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b w:val="0"/>
          <w:bCs w:val="0"/>
          <w:snapToGrid w:val="0"/>
          <w:color w:val="auto"/>
          <w:sz w:val="24"/>
          <w:szCs w:val="24"/>
          <w:highlight w:val="none"/>
          <w:lang w:val="en-US" w:eastAsia="zh-CN"/>
        </w:rPr>
      </w:pPr>
      <w:r>
        <w:rPr>
          <w:rFonts w:hint="eastAsia" w:ascii="宋体" w:hAnsi="宋体" w:eastAsia="宋体"/>
          <w:b w:val="0"/>
          <w:bCs w:val="0"/>
          <w:snapToGrid w:val="0"/>
          <w:color w:val="auto"/>
          <w:sz w:val="24"/>
          <w:szCs w:val="24"/>
          <w:highlight w:val="none"/>
          <w:lang w:val="en-US" w:eastAsia="zh-CN"/>
        </w:rPr>
        <w:t>操作人员技能评估：通过行为数据记录与分析，生成技能评估报告，为岗位考核与培训提供依据。</w:t>
      </w:r>
    </w:p>
    <w:p w14:paraId="4AB0D07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b w:val="0"/>
          <w:bCs w:val="0"/>
          <w:snapToGrid w:val="0"/>
          <w:color w:val="auto"/>
          <w:sz w:val="24"/>
          <w:szCs w:val="24"/>
          <w:highlight w:val="none"/>
          <w:lang w:val="en-US" w:eastAsia="zh-CN"/>
        </w:rPr>
      </w:pPr>
      <w:r>
        <w:rPr>
          <w:rFonts w:hint="eastAsia"/>
          <w:b w:val="0"/>
          <w:bCs w:val="0"/>
          <w:snapToGrid w:val="0"/>
          <w:color w:val="auto"/>
          <w:sz w:val="24"/>
          <w:szCs w:val="24"/>
          <w:highlight w:val="none"/>
          <w:lang w:val="en-US" w:eastAsia="zh-CN"/>
        </w:rPr>
        <w:t>6.2</w:t>
      </w:r>
      <w:r>
        <w:rPr>
          <w:rFonts w:hint="eastAsia" w:ascii="宋体" w:hAnsi="宋体" w:eastAsia="宋体"/>
          <w:b w:val="0"/>
          <w:bCs w:val="0"/>
          <w:snapToGrid w:val="0"/>
          <w:color w:val="auto"/>
          <w:sz w:val="24"/>
          <w:szCs w:val="24"/>
          <w:highlight w:val="none"/>
          <w:lang w:val="en-US" w:eastAsia="zh-CN"/>
        </w:rPr>
        <w:t>操作流程</w:t>
      </w:r>
    </w:p>
    <w:p w14:paraId="6FB111D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b w:val="0"/>
          <w:bCs w:val="0"/>
          <w:snapToGrid w:val="0"/>
          <w:color w:val="auto"/>
          <w:sz w:val="24"/>
          <w:szCs w:val="24"/>
          <w:highlight w:val="none"/>
          <w:lang w:val="en-US" w:eastAsia="zh-CN"/>
        </w:rPr>
      </w:pPr>
      <w:r>
        <w:rPr>
          <w:rFonts w:hint="eastAsia" w:ascii="宋体" w:hAnsi="宋体" w:eastAsia="宋体"/>
          <w:b w:val="0"/>
          <w:bCs w:val="0"/>
          <w:snapToGrid w:val="0"/>
          <w:color w:val="auto"/>
          <w:sz w:val="24"/>
          <w:szCs w:val="24"/>
          <w:highlight w:val="none"/>
          <w:lang w:val="en-US" w:eastAsia="zh-CN"/>
        </w:rPr>
        <w:t>样品准备：按国家标准要求制备样品，确保样品代表性、均匀性。系统实时监测操作过程，视觉辅助系统可放大展示样品细节。</w:t>
      </w:r>
    </w:p>
    <w:p w14:paraId="1359FDC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b w:val="0"/>
          <w:bCs w:val="0"/>
          <w:snapToGrid w:val="0"/>
          <w:color w:val="auto"/>
          <w:sz w:val="24"/>
          <w:szCs w:val="24"/>
          <w:highlight w:val="none"/>
          <w:lang w:val="en-US" w:eastAsia="zh-CN"/>
        </w:rPr>
      </w:pPr>
      <w:r>
        <w:rPr>
          <w:rFonts w:hint="eastAsia" w:ascii="宋体" w:hAnsi="宋体" w:eastAsia="宋体"/>
          <w:b w:val="0"/>
          <w:bCs w:val="0"/>
          <w:snapToGrid w:val="0"/>
          <w:color w:val="auto"/>
          <w:sz w:val="24"/>
          <w:szCs w:val="24"/>
          <w:highlight w:val="none"/>
          <w:lang w:val="en-US" w:eastAsia="zh-CN"/>
        </w:rPr>
        <w:t>仪器开机与校准：开机预热后，使用标准色板和马克隆值标准样品进行校准。系统自动记录校准过程，对不规范操作进行提示。</w:t>
      </w:r>
    </w:p>
    <w:p w14:paraId="649D040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b w:val="0"/>
          <w:bCs w:val="0"/>
          <w:snapToGrid w:val="0"/>
          <w:color w:val="auto"/>
          <w:sz w:val="24"/>
          <w:szCs w:val="24"/>
          <w:highlight w:val="none"/>
          <w:lang w:val="en-US" w:eastAsia="zh-CN"/>
        </w:rPr>
      </w:pPr>
      <w:r>
        <w:rPr>
          <w:rFonts w:hint="eastAsia" w:ascii="宋体" w:hAnsi="宋体" w:eastAsia="宋体"/>
          <w:b w:val="0"/>
          <w:bCs w:val="0"/>
          <w:snapToGrid w:val="0"/>
          <w:color w:val="auto"/>
          <w:sz w:val="24"/>
          <w:szCs w:val="24"/>
          <w:highlight w:val="none"/>
          <w:lang w:val="en-US" w:eastAsia="zh-CN"/>
        </w:rPr>
        <w:t>样品放置：将样品放入检测位置，视觉系统确认放置正确性，并提供辅助引导。</w:t>
      </w:r>
    </w:p>
    <w:p w14:paraId="5CB5443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b w:val="0"/>
          <w:bCs w:val="0"/>
          <w:snapToGrid w:val="0"/>
          <w:color w:val="auto"/>
          <w:sz w:val="24"/>
          <w:szCs w:val="24"/>
          <w:highlight w:val="none"/>
          <w:lang w:val="en-US" w:eastAsia="zh-CN"/>
        </w:rPr>
      </w:pPr>
      <w:r>
        <w:rPr>
          <w:rFonts w:hint="eastAsia" w:ascii="宋体" w:hAnsi="宋体" w:eastAsia="宋体"/>
          <w:b w:val="0"/>
          <w:bCs w:val="0"/>
          <w:snapToGrid w:val="0"/>
          <w:color w:val="auto"/>
          <w:sz w:val="24"/>
          <w:szCs w:val="24"/>
          <w:highlight w:val="none"/>
          <w:lang w:val="en-US" w:eastAsia="zh-CN"/>
        </w:rPr>
        <w:t>参数设置：选择检测项目（颜色、马克隆值或同时检测），设置样品信息。系统对异常参数进行锁定并提示指导。</w:t>
      </w:r>
    </w:p>
    <w:p w14:paraId="62692E4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b w:val="0"/>
          <w:bCs w:val="0"/>
          <w:snapToGrid w:val="0"/>
          <w:color w:val="auto"/>
          <w:sz w:val="24"/>
          <w:szCs w:val="24"/>
          <w:highlight w:val="none"/>
          <w:lang w:val="en-US" w:eastAsia="zh-CN"/>
        </w:rPr>
      </w:pPr>
      <w:r>
        <w:rPr>
          <w:rFonts w:hint="eastAsia" w:ascii="宋体" w:hAnsi="宋体" w:eastAsia="宋体"/>
          <w:b w:val="0"/>
          <w:bCs w:val="0"/>
          <w:snapToGrid w:val="0"/>
          <w:color w:val="auto"/>
          <w:sz w:val="24"/>
          <w:szCs w:val="24"/>
          <w:highlight w:val="none"/>
          <w:lang w:val="en-US" w:eastAsia="zh-CN"/>
        </w:rPr>
        <w:t>开始检测：启动检测，仪器自动完成自检。过程中如有干扰动作，系统暂停并发出警告。</w:t>
      </w:r>
    </w:p>
    <w:p w14:paraId="3C30A79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b w:val="0"/>
          <w:bCs w:val="0"/>
          <w:snapToGrid w:val="0"/>
          <w:color w:val="auto"/>
          <w:sz w:val="24"/>
          <w:szCs w:val="24"/>
          <w:highlight w:val="none"/>
          <w:lang w:val="en-US" w:eastAsia="zh-CN"/>
        </w:rPr>
      </w:pPr>
      <w:r>
        <w:rPr>
          <w:rFonts w:hint="eastAsia" w:ascii="宋体" w:hAnsi="宋体" w:eastAsia="宋体"/>
          <w:b w:val="0"/>
          <w:bCs w:val="0"/>
          <w:snapToGrid w:val="0"/>
          <w:color w:val="auto"/>
          <w:sz w:val="24"/>
          <w:szCs w:val="24"/>
          <w:highlight w:val="none"/>
          <w:lang w:val="en-US" w:eastAsia="zh-CN"/>
        </w:rPr>
        <w:t>结果查看与处理：显示检测结果（Rd、+b、马克隆值、等级等），支持数据存储、打印、导出，并监督操作规范性。</w:t>
      </w:r>
    </w:p>
    <w:p w14:paraId="797E453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b w:val="0"/>
          <w:bCs w:val="0"/>
          <w:snapToGrid w:val="0"/>
          <w:color w:val="auto"/>
          <w:sz w:val="24"/>
          <w:szCs w:val="24"/>
          <w:highlight w:val="none"/>
          <w:lang w:val="en-US" w:eastAsia="zh-CN"/>
        </w:rPr>
      </w:pPr>
      <w:r>
        <w:rPr>
          <w:rFonts w:hint="eastAsia" w:ascii="宋体" w:hAnsi="宋体" w:eastAsia="宋体"/>
          <w:b w:val="0"/>
          <w:bCs w:val="0"/>
          <w:snapToGrid w:val="0"/>
          <w:color w:val="auto"/>
          <w:sz w:val="24"/>
          <w:szCs w:val="24"/>
          <w:highlight w:val="none"/>
          <w:lang w:val="en-US" w:eastAsia="zh-CN"/>
        </w:rPr>
        <w:t>样品更换与下一轮检测：取出样品，准备下一个样品，重复上述步骤。</w:t>
      </w:r>
    </w:p>
    <w:p w14:paraId="0634AFC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b w:val="0"/>
          <w:bCs w:val="0"/>
          <w:snapToGrid w:val="0"/>
          <w:color w:val="auto"/>
          <w:sz w:val="24"/>
          <w:szCs w:val="24"/>
          <w:highlight w:val="none"/>
          <w:lang w:val="en-US" w:eastAsia="zh-CN"/>
        </w:rPr>
      </w:pPr>
      <w:r>
        <w:rPr>
          <w:rFonts w:hint="eastAsia"/>
          <w:b w:val="0"/>
          <w:bCs w:val="0"/>
          <w:snapToGrid w:val="0"/>
          <w:color w:val="auto"/>
          <w:sz w:val="24"/>
          <w:szCs w:val="24"/>
          <w:highlight w:val="none"/>
          <w:lang w:val="en-US" w:eastAsia="zh-CN"/>
        </w:rPr>
        <w:t>6.3</w:t>
      </w:r>
      <w:r>
        <w:rPr>
          <w:rFonts w:hint="eastAsia" w:ascii="宋体" w:hAnsi="宋体" w:eastAsia="宋体"/>
          <w:b w:val="0"/>
          <w:bCs w:val="0"/>
          <w:snapToGrid w:val="0"/>
          <w:color w:val="auto"/>
          <w:sz w:val="24"/>
          <w:szCs w:val="24"/>
          <w:highlight w:val="none"/>
          <w:lang w:val="en-US" w:eastAsia="zh-CN"/>
        </w:rPr>
        <w:t>维护与保养</w:t>
      </w:r>
    </w:p>
    <w:p w14:paraId="60092E4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b w:val="0"/>
          <w:bCs w:val="0"/>
          <w:snapToGrid w:val="0"/>
          <w:color w:val="auto"/>
          <w:sz w:val="24"/>
          <w:szCs w:val="24"/>
          <w:highlight w:val="none"/>
          <w:lang w:val="en-US" w:eastAsia="zh-CN"/>
        </w:rPr>
      </w:pPr>
      <w:r>
        <w:rPr>
          <w:rFonts w:hint="eastAsia" w:ascii="宋体" w:hAnsi="宋体" w:eastAsia="宋体"/>
          <w:b w:val="0"/>
          <w:bCs w:val="0"/>
          <w:snapToGrid w:val="0"/>
          <w:color w:val="auto"/>
          <w:sz w:val="24"/>
          <w:szCs w:val="24"/>
          <w:highlight w:val="none"/>
          <w:lang w:val="en-US" w:eastAsia="zh-CN"/>
        </w:rPr>
        <w:t>日常清洁：定期清洁仪器外壳、检测腔体及光学部件，使用柔软无尘布或专用清洁剂。同时清洁传感器与摄像头镜头，确保行为分析与视觉辅助功能正常。</w:t>
      </w:r>
    </w:p>
    <w:p w14:paraId="151EB16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b w:val="0"/>
          <w:bCs w:val="0"/>
          <w:snapToGrid w:val="0"/>
          <w:color w:val="auto"/>
          <w:sz w:val="24"/>
          <w:szCs w:val="24"/>
          <w:highlight w:val="none"/>
          <w:lang w:val="en-US" w:eastAsia="zh-CN"/>
        </w:rPr>
      </w:pPr>
      <w:r>
        <w:rPr>
          <w:rFonts w:hint="eastAsia" w:ascii="宋体" w:hAnsi="宋体" w:eastAsia="宋体"/>
          <w:b w:val="0"/>
          <w:bCs w:val="0"/>
          <w:snapToGrid w:val="0"/>
          <w:color w:val="auto"/>
          <w:sz w:val="24"/>
          <w:szCs w:val="24"/>
          <w:highlight w:val="none"/>
          <w:lang w:val="en-US" w:eastAsia="zh-CN"/>
        </w:rPr>
        <w:t>定期校准：按说明书要求定期使用标准样品进行校准，建议每季度校准一次，搬动或维修后应及时校准。行为分析与视觉系统参数亦应定期验证。</w:t>
      </w:r>
    </w:p>
    <w:p w14:paraId="2AE4B2F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b w:val="0"/>
          <w:bCs w:val="0"/>
          <w:snapToGrid w:val="0"/>
          <w:color w:val="auto"/>
          <w:sz w:val="24"/>
          <w:szCs w:val="24"/>
          <w:highlight w:val="none"/>
          <w:lang w:val="en-US" w:eastAsia="zh-CN"/>
        </w:rPr>
      </w:pPr>
      <w:r>
        <w:rPr>
          <w:rFonts w:hint="eastAsia" w:ascii="宋体" w:hAnsi="宋体" w:eastAsia="宋体"/>
          <w:b w:val="0"/>
          <w:bCs w:val="0"/>
          <w:snapToGrid w:val="0"/>
          <w:color w:val="auto"/>
          <w:sz w:val="24"/>
          <w:szCs w:val="24"/>
          <w:highlight w:val="none"/>
          <w:lang w:val="en-US" w:eastAsia="zh-CN"/>
        </w:rPr>
        <w:t>耗材更换：如使用一次性样品杯等耗材，应确保质量并及时更换。</w:t>
      </w:r>
    </w:p>
    <w:p w14:paraId="543B619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b w:val="0"/>
          <w:bCs w:val="0"/>
          <w:snapToGrid w:val="0"/>
          <w:color w:val="auto"/>
          <w:sz w:val="24"/>
          <w:szCs w:val="24"/>
          <w:highlight w:val="none"/>
          <w:lang w:val="en-US" w:eastAsia="zh-CN"/>
        </w:rPr>
      </w:pPr>
      <w:r>
        <w:rPr>
          <w:rFonts w:hint="eastAsia" w:ascii="宋体" w:hAnsi="宋体" w:eastAsia="宋体"/>
          <w:b w:val="0"/>
          <w:bCs w:val="0"/>
          <w:snapToGrid w:val="0"/>
          <w:color w:val="auto"/>
          <w:sz w:val="24"/>
          <w:szCs w:val="24"/>
          <w:highlight w:val="none"/>
          <w:lang w:val="en-US" w:eastAsia="zh-CN"/>
        </w:rPr>
        <w:t>环境控制：保持温湿度稳定，避免阳光直射、震动及强电磁干扰。</w:t>
      </w:r>
    </w:p>
    <w:p w14:paraId="45179AB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b w:val="0"/>
          <w:bCs w:val="0"/>
          <w:snapToGrid w:val="0"/>
          <w:color w:val="auto"/>
          <w:sz w:val="24"/>
          <w:szCs w:val="24"/>
          <w:highlight w:val="none"/>
          <w:lang w:val="en-US" w:eastAsia="zh-CN"/>
        </w:rPr>
      </w:pPr>
      <w:r>
        <w:rPr>
          <w:rFonts w:hint="eastAsia" w:ascii="宋体" w:hAnsi="宋体" w:eastAsia="宋体"/>
          <w:b w:val="0"/>
          <w:bCs w:val="0"/>
          <w:snapToGrid w:val="0"/>
          <w:color w:val="auto"/>
          <w:sz w:val="24"/>
          <w:szCs w:val="24"/>
          <w:highlight w:val="none"/>
          <w:lang w:val="en-US" w:eastAsia="zh-CN"/>
        </w:rPr>
        <w:t>软件更新：及时更新仪器软件，获取功能优化与模型迭代。</w:t>
      </w:r>
    </w:p>
    <w:p w14:paraId="782D81AB">
      <w:pPr>
        <w:rPr>
          <w:rFonts w:hint="eastAsia" w:ascii="宋体" w:hAnsi="宋体" w:eastAsia="黑体" w:cstheme="minorBidi"/>
          <w:b/>
          <w:bCs/>
          <w:color w:val="auto"/>
          <w:kern w:val="44"/>
          <w:sz w:val="44"/>
          <w:szCs w:val="44"/>
          <w:highlight w:val="none"/>
          <w:lang w:val="en-US" w:eastAsia="zh-CN" w:bidi="ar-SA"/>
        </w:rPr>
      </w:pPr>
      <w:r>
        <w:rPr>
          <w:rFonts w:hint="eastAsia" w:ascii="宋体" w:hAnsi="宋体" w:eastAsia="宋体"/>
          <w:b w:val="0"/>
          <w:bCs w:val="0"/>
          <w:snapToGrid w:val="0"/>
          <w:color w:val="auto"/>
          <w:sz w:val="24"/>
          <w:szCs w:val="24"/>
          <w:highlight w:val="none"/>
          <w:lang w:val="en-US" w:eastAsia="zh-CN"/>
        </w:rPr>
        <w:t>故障处理：出现故障时先查阅手册排查，无法解决时联系厂家技术支持。行为分析或视觉系统异常时，优先检查镜头清洁度与系统校准状态。</w:t>
      </w:r>
    </w:p>
    <w:p w14:paraId="75823E1B">
      <w:pPr>
        <w:keepNext w:val="0"/>
        <w:keepLines w:val="0"/>
        <w:widowControl/>
        <w:suppressLineNumbers w:val="0"/>
        <w:jc w:val="left"/>
        <w:rPr>
          <w:color w:val="auto"/>
          <w:highlight w:val="none"/>
        </w:rPr>
      </w:pPr>
    </w:p>
    <w:p w14:paraId="46C449C0">
      <w:pPr>
        <w:keepNext w:val="0"/>
        <w:keepLines w:val="0"/>
        <w:widowControl/>
        <w:suppressLineNumbers w:val="0"/>
        <w:jc w:val="left"/>
        <w:rPr>
          <w:color w:val="auto"/>
          <w:highlight w:val="none"/>
        </w:rPr>
      </w:pPr>
    </w:p>
    <w:p w14:paraId="574765BA">
      <w:pPr>
        <w:keepNext w:val="0"/>
        <w:keepLines w:val="0"/>
        <w:widowControl/>
        <w:suppressLineNumbers w:val="0"/>
        <w:jc w:val="left"/>
        <w:rPr>
          <w:color w:val="auto"/>
          <w:highlight w:val="none"/>
        </w:rPr>
      </w:pPr>
    </w:p>
    <w:p w14:paraId="0CC769EB">
      <w:pPr>
        <w:keepNext w:val="0"/>
        <w:keepLines w:val="0"/>
        <w:widowControl/>
        <w:suppressLineNumbers w:val="0"/>
        <w:jc w:val="left"/>
        <w:rPr>
          <w:color w:val="auto"/>
          <w:highlight w:val="none"/>
        </w:rPr>
      </w:pPr>
    </w:p>
    <w:p w14:paraId="7D968B9A">
      <w:pPr>
        <w:keepNext w:val="0"/>
        <w:keepLines w:val="0"/>
        <w:widowControl/>
        <w:suppressLineNumbers w:val="0"/>
        <w:jc w:val="left"/>
        <w:rPr>
          <w:color w:val="auto"/>
          <w:highlight w:val="none"/>
        </w:rPr>
      </w:pPr>
    </w:p>
    <w:p w14:paraId="45F12F87">
      <w:pPr>
        <w:keepNext w:val="0"/>
        <w:keepLines w:val="0"/>
        <w:widowControl/>
        <w:suppressLineNumbers w:val="0"/>
        <w:jc w:val="left"/>
        <w:rPr>
          <w:color w:val="auto"/>
          <w:highlight w:val="none"/>
        </w:rPr>
      </w:pPr>
    </w:p>
    <w:p w14:paraId="649BF6D1">
      <w:pPr>
        <w:keepNext w:val="0"/>
        <w:keepLines w:val="0"/>
        <w:widowControl/>
        <w:suppressLineNumbers w:val="0"/>
        <w:jc w:val="left"/>
        <w:rPr>
          <w:color w:val="auto"/>
          <w:highlight w:val="none"/>
        </w:rPr>
      </w:pPr>
    </w:p>
    <w:p w14:paraId="1EF972E9">
      <w:pPr>
        <w:keepNext w:val="0"/>
        <w:keepLines w:val="0"/>
        <w:widowControl/>
        <w:suppressLineNumbers w:val="0"/>
        <w:jc w:val="left"/>
        <w:rPr>
          <w:color w:val="auto"/>
          <w:highlight w:val="none"/>
        </w:rPr>
      </w:pPr>
    </w:p>
    <w:p w14:paraId="2FA94758">
      <w:pPr>
        <w:keepNext w:val="0"/>
        <w:keepLines w:val="0"/>
        <w:widowControl/>
        <w:suppressLineNumbers w:val="0"/>
        <w:jc w:val="left"/>
        <w:rPr>
          <w:color w:val="auto"/>
          <w:highlight w:val="none"/>
        </w:rPr>
      </w:pPr>
    </w:p>
    <w:p w14:paraId="692E6F5E">
      <w:pPr>
        <w:keepNext w:val="0"/>
        <w:keepLines w:val="0"/>
        <w:widowControl/>
        <w:suppressLineNumbers w:val="0"/>
        <w:jc w:val="left"/>
        <w:rPr>
          <w:color w:val="auto"/>
          <w:highlight w:val="none"/>
        </w:rPr>
      </w:pPr>
    </w:p>
    <w:p w14:paraId="6353B5F3">
      <w:pPr>
        <w:keepNext w:val="0"/>
        <w:keepLines w:val="0"/>
        <w:widowControl/>
        <w:suppressLineNumbers w:val="0"/>
        <w:jc w:val="left"/>
        <w:rPr>
          <w:color w:val="auto"/>
          <w:highlight w:val="none"/>
        </w:rPr>
      </w:pPr>
    </w:p>
    <w:p w14:paraId="7960DFEA">
      <w:pPr>
        <w:keepNext w:val="0"/>
        <w:keepLines w:val="0"/>
        <w:widowControl/>
        <w:suppressLineNumbers w:val="0"/>
        <w:jc w:val="left"/>
        <w:rPr>
          <w:color w:val="auto"/>
          <w:highlight w:val="none"/>
        </w:rPr>
      </w:pPr>
    </w:p>
    <w:p w14:paraId="03BCA221">
      <w:pPr>
        <w:keepNext w:val="0"/>
        <w:keepLines w:val="0"/>
        <w:widowControl/>
        <w:suppressLineNumbers w:val="0"/>
        <w:jc w:val="left"/>
        <w:rPr>
          <w:color w:val="auto"/>
          <w:highlight w:val="none"/>
        </w:rPr>
      </w:pPr>
    </w:p>
    <w:p w14:paraId="67C7939C">
      <w:pPr>
        <w:keepNext w:val="0"/>
        <w:keepLines w:val="0"/>
        <w:widowControl/>
        <w:suppressLineNumbers w:val="0"/>
        <w:jc w:val="left"/>
        <w:rPr>
          <w:color w:val="auto"/>
          <w:highlight w:val="none"/>
        </w:rPr>
      </w:pPr>
    </w:p>
    <w:p w14:paraId="2EFEE85E">
      <w:pPr>
        <w:keepNext w:val="0"/>
        <w:keepLines w:val="0"/>
        <w:widowControl/>
        <w:suppressLineNumbers w:val="0"/>
        <w:jc w:val="left"/>
        <w:rPr>
          <w:color w:val="auto"/>
          <w:highlight w:val="none"/>
        </w:rPr>
      </w:pPr>
    </w:p>
    <w:p w14:paraId="2DB0B7D5">
      <w:pPr>
        <w:keepNext w:val="0"/>
        <w:keepLines w:val="0"/>
        <w:widowControl/>
        <w:suppressLineNumbers w:val="0"/>
        <w:jc w:val="left"/>
        <w:rPr>
          <w:color w:val="auto"/>
          <w:highlight w:val="none"/>
        </w:rPr>
      </w:pPr>
    </w:p>
    <w:p w14:paraId="4A3BE954">
      <w:pPr>
        <w:keepNext w:val="0"/>
        <w:keepLines w:val="0"/>
        <w:widowControl/>
        <w:suppressLineNumbers w:val="0"/>
        <w:jc w:val="left"/>
        <w:rPr>
          <w:color w:val="auto"/>
          <w:highlight w:val="none"/>
        </w:rPr>
      </w:pPr>
    </w:p>
    <w:p w14:paraId="737DFBFD">
      <w:pPr>
        <w:keepNext w:val="0"/>
        <w:keepLines w:val="0"/>
        <w:widowControl/>
        <w:suppressLineNumbers w:val="0"/>
        <w:jc w:val="left"/>
        <w:rPr>
          <w:color w:val="auto"/>
          <w:highlight w:val="none"/>
        </w:rPr>
      </w:pPr>
    </w:p>
    <w:p w14:paraId="28FA2165">
      <w:pPr>
        <w:pStyle w:val="2"/>
        <w:keepNext/>
        <w:keepLines/>
        <w:pageBreakBefore w:val="0"/>
        <w:widowControl w:val="0"/>
        <w:numPr>
          <w:ilvl w:val="0"/>
          <w:numId w:val="0"/>
        </w:numPr>
        <w:kinsoku/>
        <w:wordWrap/>
        <w:overflowPunct/>
        <w:topLinePunct w:val="0"/>
        <w:autoSpaceDE/>
        <w:autoSpaceDN/>
        <w:bidi w:val="0"/>
        <w:adjustRightInd/>
        <w:snapToGrid/>
        <w:spacing w:before="100" w:after="10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435" w:name="_Toc716"/>
      <w:bookmarkStart w:id="436" w:name="_Toc14354"/>
      <w:r>
        <w:rPr>
          <w:rFonts w:hint="eastAsia" w:ascii="宋体" w:hAnsi="宋体" w:eastAsia="宋体" w:cs="宋体"/>
          <w:b/>
          <w:bCs/>
          <w:color w:val="auto"/>
          <w:kern w:val="44"/>
          <w:sz w:val="36"/>
          <w:szCs w:val="36"/>
          <w:highlight w:val="none"/>
          <w:lang w:val="en-US" w:eastAsia="zh-CN" w:bidi="ar-SA"/>
        </w:rPr>
        <w:t>第四章 评审方法及标准</w:t>
      </w:r>
      <w:bookmarkEnd w:id="435"/>
      <w:bookmarkEnd w:id="436"/>
    </w:p>
    <w:p w14:paraId="3C2D8384">
      <w:pPr>
        <w:pStyle w:val="3"/>
        <w:keepNext w:val="0"/>
        <w:keepLines w:val="0"/>
        <w:pageBreakBefore w:val="0"/>
        <w:widowControl w:val="0"/>
        <w:numPr>
          <w:ilvl w:val="0"/>
          <w:numId w:val="0"/>
        </w:numPr>
        <w:kinsoku/>
        <w:wordWrap/>
        <w:overflowPunct/>
        <w:topLinePunct w:val="0"/>
        <w:autoSpaceDE/>
        <w:autoSpaceDN/>
        <w:bidi w:val="0"/>
        <w:adjustRightInd/>
        <w:snapToGrid/>
        <w:spacing w:before="140" w:after="140" w:line="480" w:lineRule="exact"/>
        <w:ind w:left="420" w:leftChars="0" w:hanging="420" w:firstLineChars="0"/>
        <w:textAlignment w:val="auto"/>
        <w:rPr>
          <w:rFonts w:hint="eastAsia" w:ascii="宋体" w:hAnsi="宋体" w:eastAsia="宋体" w:cs="宋体"/>
          <w:color w:val="auto"/>
          <w:sz w:val="28"/>
          <w:szCs w:val="28"/>
          <w:highlight w:val="none"/>
          <w:lang w:val="zh-CN" w:eastAsia="zh-CN"/>
        </w:rPr>
      </w:pPr>
      <w:bookmarkStart w:id="437" w:name="_Toc28495"/>
      <w:bookmarkStart w:id="438" w:name="_Toc17162"/>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lang w:val="zh-CN" w:eastAsia="zh-CN"/>
        </w:rPr>
        <w:t>评审方法</w:t>
      </w:r>
      <w:bookmarkEnd w:id="437"/>
      <w:bookmarkEnd w:id="438"/>
    </w:p>
    <w:p w14:paraId="53640E9C">
      <w:pPr>
        <w:pStyle w:val="35"/>
        <w:keepNext w:val="0"/>
        <w:keepLines w:val="0"/>
        <w:pageBreakBefore w:val="0"/>
        <w:widowControl w:val="0"/>
        <w:kinsoku/>
        <w:wordWrap w:val="0"/>
        <w:overflowPunct/>
        <w:topLinePunct w:val="0"/>
        <w:autoSpaceDE/>
        <w:autoSpaceDN/>
        <w:bidi w:val="0"/>
        <w:adjustRightInd/>
        <w:snapToGrid/>
        <w:spacing w:line="420" w:lineRule="exact"/>
        <w:ind w:firstLine="480"/>
        <w:textAlignment w:val="auto"/>
        <w:rPr>
          <w:rFonts w:hint="eastAsia" w:ascii="宋体" w:hAnsi="宋体" w:eastAsia="宋体" w:cs="宋体"/>
          <w:color w:val="auto"/>
          <w:highlight w:val="none"/>
        </w:rPr>
      </w:pPr>
      <w:r>
        <w:rPr>
          <w:rFonts w:hint="eastAsia" w:cs="宋体"/>
          <w:color w:val="auto"/>
          <w:highlight w:val="none"/>
          <w:lang w:val="en-US" w:eastAsia="zh-CN"/>
        </w:rPr>
        <w:t>评审方法：</w:t>
      </w:r>
      <w:r>
        <w:rPr>
          <w:rFonts w:hint="eastAsia" w:ascii="宋体" w:hAnsi="宋体" w:eastAsia="宋体" w:cs="宋体"/>
          <w:color w:val="auto"/>
          <w:highlight w:val="none"/>
          <w:lang w:val="en-US" w:eastAsia="zh-CN"/>
        </w:rPr>
        <w:t>谈判小组与符合资格条件的供应商就采购货物、工程和服务事宜进行谈判，供应商按照谈判文件的要求提交响应文件和最后报价</w:t>
      </w:r>
      <w:r>
        <w:rPr>
          <w:rFonts w:hint="eastAsia" w:ascii="宋体" w:hAnsi="宋体" w:eastAsia="宋体" w:cs="宋体"/>
          <w:b/>
          <w:bCs/>
          <w:color w:val="auto"/>
          <w:szCs w:val="24"/>
          <w:highlight w:val="none"/>
          <w:lang w:val="zh-CN"/>
        </w:rPr>
        <w:t>（因落实政府采购政策进行价格调整的，以调整后的价格计算）</w:t>
      </w:r>
      <w:r>
        <w:rPr>
          <w:rFonts w:hint="eastAsia" w:ascii="宋体" w:hAnsi="宋体" w:eastAsia="宋体" w:cs="宋体"/>
          <w:color w:val="auto"/>
          <w:highlight w:val="none"/>
          <w:lang w:val="en-US" w:eastAsia="zh-CN"/>
        </w:rPr>
        <w:t>，采购人从谈判小组提出的成交候选人中确定成交供应商</w:t>
      </w:r>
      <w:r>
        <w:rPr>
          <w:rFonts w:hint="eastAsia" w:ascii="宋体" w:hAnsi="宋体" w:eastAsia="宋体" w:cs="宋体"/>
          <w:color w:val="auto"/>
          <w:highlight w:val="none"/>
        </w:rPr>
        <w:t>。</w:t>
      </w:r>
    </w:p>
    <w:p w14:paraId="2E5B7BB0">
      <w:pPr>
        <w:pStyle w:val="3"/>
        <w:keepNext w:val="0"/>
        <w:keepLines w:val="0"/>
        <w:pageBreakBefore w:val="0"/>
        <w:widowControl w:val="0"/>
        <w:numPr>
          <w:ilvl w:val="0"/>
          <w:numId w:val="0"/>
        </w:numPr>
        <w:kinsoku/>
        <w:wordWrap/>
        <w:overflowPunct/>
        <w:topLinePunct w:val="0"/>
        <w:autoSpaceDE/>
        <w:autoSpaceDN/>
        <w:bidi w:val="0"/>
        <w:adjustRightInd/>
        <w:snapToGrid/>
        <w:spacing w:before="140" w:after="140" w:line="480" w:lineRule="exact"/>
        <w:ind w:left="420" w:leftChars="0" w:hanging="420" w:firstLineChars="0"/>
        <w:textAlignment w:val="auto"/>
        <w:rPr>
          <w:rFonts w:hint="default" w:ascii="宋体" w:hAnsi="宋体" w:eastAsia="宋体" w:cs="宋体"/>
          <w:color w:val="auto"/>
          <w:sz w:val="28"/>
          <w:szCs w:val="28"/>
          <w:highlight w:val="none"/>
          <w:lang w:val="en-US" w:eastAsia="zh-CN"/>
        </w:rPr>
      </w:pPr>
      <w:bookmarkStart w:id="439" w:name="_Toc662"/>
      <w:bookmarkStart w:id="440" w:name="_Toc26445"/>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评审程序</w:t>
      </w:r>
      <w:bookmarkEnd w:id="439"/>
      <w:bookmarkEnd w:id="440"/>
    </w:p>
    <w:p w14:paraId="25412360">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46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41" w:name="_Toc1596"/>
      <w:bookmarkStart w:id="442" w:name="_Toc163493634"/>
      <w:r>
        <w:rPr>
          <w:rFonts w:hint="eastAsia" w:ascii="宋体" w:hAnsi="宋体" w:eastAsia="宋体" w:cs="宋体"/>
          <w:b/>
          <w:bCs/>
          <w:color w:val="auto"/>
          <w:kern w:val="2"/>
          <w:sz w:val="24"/>
          <w:szCs w:val="24"/>
          <w:highlight w:val="none"/>
          <w:lang w:val="zh-CN" w:eastAsia="zh-CN" w:bidi="ar-SA"/>
        </w:rPr>
        <w:t>（一）资格审查和符合性审查</w:t>
      </w:r>
      <w:bookmarkEnd w:id="441"/>
      <w:bookmarkEnd w:id="442"/>
    </w:p>
    <w:p w14:paraId="6C7F2EBF">
      <w:pPr>
        <w:keepNext w:val="0"/>
        <w:keepLines w:val="0"/>
        <w:pageBreakBefore w:val="0"/>
        <w:widowControl w:val="0"/>
        <w:tabs>
          <w:tab w:val="left" w:pos="312"/>
        </w:tabs>
        <w:kinsoku/>
        <w:wordWrap w:val="0"/>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小组根据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文件规定的供应商资格条件、评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成交的标准等事项，对供应商的响应文件进行评审。资格审查和符合性审查不符合</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文件要求的响应文件，按</w:t>
      </w:r>
      <w:r>
        <w:rPr>
          <w:rFonts w:hint="eastAsia" w:ascii="宋体" w:hAnsi="宋体" w:eastAsia="宋体" w:cs="宋体"/>
          <w:b/>
          <w:bCs/>
          <w:color w:val="auto"/>
          <w:sz w:val="24"/>
          <w:szCs w:val="24"/>
          <w:highlight w:val="none"/>
        </w:rPr>
        <w:t>无效文件</w:t>
      </w:r>
      <w:r>
        <w:rPr>
          <w:rFonts w:hint="eastAsia" w:ascii="宋体" w:hAnsi="宋体" w:eastAsia="宋体" w:cs="宋体"/>
          <w:color w:val="auto"/>
          <w:sz w:val="24"/>
          <w:szCs w:val="24"/>
          <w:highlight w:val="none"/>
        </w:rPr>
        <w:t>处理，不进入</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，并告知有关供应商</w:t>
      </w:r>
      <w:r>
        <w:rPr>
          <w:rFonts w:hint="eastAsia" w:ascii="宋体" w:hAnsi="宋体" w:eastAsia="宋体" w:cs="宋体"/>
          <w:color w:val="auto"/>
          <w:sz w:val="24"/>
          <w:szCs w:val="24"/>
          <w:highlight w:val="none"/>
          <w:lang w:val="zh-CN"/>
        </w:rPr>
        <w:t>。</w:t>
      </w:r>
    </w:p>
    <w:p w14:paraId="1C382249">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2.同品牌检查：</w:t>
      </w:r>
    </w:p>
    <w:p w14:paraId="30880557">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2.1单一产品采购（或非单一产品采购中的核心产品），提供相同品牌产品且通过资格审查、符合性审查的不同供应商参加同一合同项下谈判的，按一家供应商计算。</w:t>
      </w:r>
    </w:p>
    <w:p w14:paraId="6D41A4A2">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非单一产品采购项目，采购人应当根据采购项目技术构成、产品价格比重等合理确定一个核心产品（采购清单中作“与核心产品相同〈或同一〉品牌”实质性要求的产品，视为一个核心产品），并以“核心产品”在竞争性谈判文件中载明，评审时按前款规定处理。</w:t>
      </w:r>
    </w:p>
    <w:p w14:paraId="52208256">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2.3有效品牌不足3家的应按废标处理</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公开招标的货物和服务项目，招标过程中提交投标文件或者经评审实质性响应</w:t>
      </w:r>
      <w:r>
        <w:rPr>
          <w:rFonts w:hint="eastAsia" w:cs="宋体"/>
          <w:color w:val="auto"/>
          <w:sz w:val="24"/>
          <w:szCs w:val="24"/>
          <w:highlight w:val="none"/>
          <w:lang w:eastAsia="zh-CN"/>
        </w:rPr>
        <w:t>采购文件</w:t>
      </w:r>
      <w:r>
        <w:rPr>
          <w:rFonts w:hint="eastAsia" w:ascii="宋体" w:hAnsi="宋体" w:eastAsia="宋体" w:cs="宋体"/>
          <w:color w:val="auto"/>
          <w:sz w:val="24"/>
          <w:szCs w:val="24"/>
          <w:highlight w:val="none"/>
        </w:rPr>
        <w:t>要求的供应商只有2家时，经本级财政部门批准后采用竞争性谈判方式采购的可以为2家</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w:t>
      </w:r>
    </w:p>
    <w:p w14:paraId="2480155A">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46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43" w:name="_Toc11015"/>
      <w:bookmarkStart w:id="444" w:name="_Toc163493635"/>
      <w:bookmarkStart w:id="445" w:name="_Hlk158124046"/>
      <w:bookmarkStart w:id="446" w:name="_Toc102056244"/>
      <w:bookmarkStart w:id="447" w:name="_Toc102114946"/>
      <w:bookmarkStart w:id="448" w:name="_Toc102057744"/>
      <w:bookmarkStart w:id="449" w:name="_Toc102116178"/>
      <w:bookmarkStart w:id="450" w:name="_Toc102119879"/>
      <w:bookmarkStart w:id="451" w:name="_Toc102116048"/>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响应文件澄清</w:t>
      </w:r>
      <w:bookmarkEnd w:id="443"/>
      <w:bookmarkEnd w:id="444"/>
    </w:p>
    <w:p w14:paraId="4E589A43">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1.评审期间，</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小组在对响应文件的有效性、完整性和响应程度进行审查时，可以要求供应商对响应文件中含义不明确、同类问题表述不一致或者有明显文字和计算错误的内容等作出必要的澄清、说明或者更正。供应商应按照谈判小组要求在规定时间内作出澄清、说明或者补正，澄清、说明或者补正不得超出响应文件的范围或者改变响应文件的实质性内容。</w:t>
      </w:r>
    </w:p>
    <w:p w14:paraId="7D6F80BE">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2.谈判小组应当以书面形式要求供应商作出澄清、说明或者更正响应文件。供应商的澄清、说明或者更正</w:t>
      </w:r>
      <w:r>
        <w:rPr>
          <w:rFonts w:hint="eastAsia" w:ascii="宋体" w:hAnsi="宋体" w:eastAsia="宋体" w:cs="宋体"/>
          <w:color w:val="auto"/>
          <w:sz w:val="24"/>
          <w:szCs w:val="24"/>
          <w:highlight w:val="none"/>
        </w:rPr>
        <w:t>是其响应文件的有效组成部分，澄清、说明或者补正应当以书面的方式</w:t>
      </w:r>
      <w:r>
        <w:rPr>
          <w:rFonts w:hint="eastAsia" w:ascii="宋体" w:hAnsi="宋体" w:eastAsia="宋体" w:cs="宋体"/>
          <w:color w:val="auto"/>
          <w:sz w:val="24"/>
          <w:szCs w:val="24"/>
          <w:highlight w:val="none"/>
          <w:lang w:val="en-US" w:eastAsia="zh-CN"/>
        </w:rPr>
        <w:t>由法定代表人或其授权代表签字或者加盖公章（</w:t>
      </w:r>
      <w:r>
        <w:rPr>
          <w:rFonts w:hint="eastAsia" w:ascii="宋体" w:hAnsi="宋体" w:eastAsia="宋体" w:cs="宋体"/>
          <w:color w:val="auto"/>
          <w:sz w:val="24"/>
          <w:szCs w:val="24"/>
          <w:highlight w:val="none"/>
        </w:rPr>
        <w:t>电子印章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后提交</w:t>
      </w:r>
      <w:r>
        <w:rPr>
          <w:rFonts w:hint="eastAsia" w:ascii="宋体" w:hAnsi="宋体" w:eastAsia="宋体" w:cs="宋体"/>
          <w:color w:val="auto"/>
          <w:sz w:val="24"/>
          <w:szCs w:val="24"/>
          <w:highlight w:val="none"/>
          <w:lang w:val="en-US" w:eastAsia="zh-CN"/>
        </w:rPr>
        <w:t>。由授权代表签字的，应当附法定代表人授权书。供应商为自然人的，应当由本人签字并附身份证明。</w:t>
      </w:r>
    </w:p>
    <w:bookmarkEnd w:id="445"/>
    <w:p w14:paraId="27E4E052">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46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52" w:name="_Toc13539"/>
      <w:bookmarkStart w:id="453" w:name="_Toc163493636"/>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谈判程序</w:t>
      </w:r>
      <w:bookmarkEnd w:id="452"/>
      <w:bookmarkEnd w:id="453"/>
    </w:p>
    <w:p w14:paraId="3B21DF86">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小组应当依据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文件规定的程序、评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成交的标准等事项与</w:t>
      </w:r>
      <w:r>
        <w:rPr>
          <w:rFonts w:hint="eastAsia" w:ascii="宋体" w:hAnsi="宋体" w:eastAsia="宋体" w:cs="宋体"/>
          <w:color w:val="auto"/>
          <w:sz w:val="24"/>
          <w:szCs w:val="24"/>
          <w:highlight w:val="none"/>
          <w:lang w:val="zh-CN"/>
        </w:rPr>
        <w:t>实质性</w:t>
      </w:r>
      <w:r>
        <w:rPr>
          <w:rFonts w:hint="eastAsia" w:ascii="宋体" w:hAnsi="宋体" w:eastAsia="宋体" w:cs="宋体"/>
          <w:color w:val="auto"/>
          <w:sz w:val="24"/>
          <w:szCs w:val="24"/>
          <w:highlight w:val="none"/>
        </w:rPr>
        <w:t>响应</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文件要求的供应商进行</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w:t>
      </w:r>
    </w:p>
    <w:p w14:paraId="410355B6">
      <w:pPr>
        <w:pStyle w:val="5"/>
        <w:keepNext w:val="0"/>
        <w:keepLines w:val="0"/>
        <w:pageBreakBefore w:val="0"/>
        <w:widowControl w:val="0"/>
        <w:numPr>
          <w:ilvl w:val="0"/>
          <w:numId w:val="0"/>
        </w:numPr>
        <w:kinsoku/>
        <w:wordWrap/>
        <w:overflowPunct/>
        <w:topLinePunct w:val="0"/>
        <w:autoSpaceDE/>
        <w:autoSpaceDN/>
        <w:bidi w:val="0"/>
        <w:adjustRightInd/>
        <w:snapToGrid/>
        <w:spacing w:before="60" w:after="60" w:line="42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1.第一轮谈判</w:t>
      </w:r>
    </w:p>
    <w:p w14:paraId="0B92300B">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1.1</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小组将按照系统随机的顺序决定供应商的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顺序，并集中与单一供应商分别进行</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w:t>
      </w:r>
    </w:p>
    <w:p w14:paraId="7F6A6EA2">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小组所有成员应当对照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文件和响应文件就采购需求、质量和服务等内容集中与单一供应商分别进行</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，并给予所有参加</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的供应商平等的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机会。在</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中，</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的任何一方不得透露与</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有关的其他供应商的技术资料、价格和其他信息。</w:t>
      </w:r>
    </w:p>
    <w:p w14:paraId="1BC6C917">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1.3</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过程中，</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小组可以根据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文件和</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情况实质性变动采购需求中的技术、服务要求以及合同草案条款，但不得变动</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文件中的其他内容。实质性变动的内容，须经采购人代表确认。</w:t>
      </w:r>
    </w:p>
    <w:p w14:paraId="26C7DC2C">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1.4对</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文件作出的实质性变动的内容是</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文件的有效组成部分。</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小组应将</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文件的变动情况以书面</w:t>
      </w:r>
      <w:r>
        <w:rPr>
          <w:rFonts w:hint="eastAsia" w:ascii="宋体" w:hAnsi="宋体" w:eastAsia="宋体" w:cs="宋体"/>
          <w:color w:val="auto"/>
          <w:sz w:val="24"/>
          <w:szCs w:val="24"/>
          <w:highlight w:val="none"/>
          <w:lang w:val="en-US" w:eastAsia="zh-CN"/>
        </w:rPr>
        <w:t>形</w:t>
      </w:r>
      <w:r>
        <w:rPr>
          <w:rFonts w:hint="eastAsia" w:ascii="宋体" w:hAnsi="宋体" w:eastAsia="宋体" w:cs="宋体"/>
          <w:color w:val="auto"/>
          <w:sz w:val="24"/>
          <w:szCs w:val="24"/>
          <w:highlight w:val="none"/>
        </w:rPr>
        <w:t>式通知所有参加</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的供应商。</w:t>
      </w:r>
    </w:p>
    <w:p w14:paraId="708F2F98">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1.5供应商应当按照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文件的变动情况和</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的要求在规定的时间内重新提交响应文件，并由其法定代表人或授权代表签字或者加盖公章。由授权代表签字的，应当附法定代表人授权书。供应商为自然人的，应当由本人签字并附身份证明。逾时不提交的，视同退出</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w:t>
      </w:r>
    </w:p>
    <w:p w14:paraId="296A5BF1">
      <w:pPr>
        <w:pStyle w:val="5"/>
        <w:keepNext w:val="0"/>
        <w:keepLines w:val="0"/>
        <w:pageBreakBefore w:val="0"/>
        <w:widowControl w:val="0"/>
        <w:numPr>
          <w:ilvl w:val="0"/>
          <w:numId w:val="0"/>
        </w:numPr>
        <w:kinsoku/>
        <w:wordWrap/>
        <w:overflowPunct/>
        <w:topLinePunct w:val="0"/>
        <w:autoSpaceDE/>
        <w:autoSpaceDN/>
        <w:bidi w:val="0"/>
        <w:adjustRightInd/>
        <w:snapToGrid/>
        <w:spacing w:before="60" w:after="60" w:line="42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2.多轮谈判</w:t>
      </w:r>
    </w:p>
    <w:p w14:paraId="07D8F4C4">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文件中不能详细列明采购标的的技术、服务要求，需经</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由供应商提供最终设计方案或解决方案的项目，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小组可以根据采购人对采购需求的确认情况，进行多轮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，直到采购人代表最终确认采购需求为止。</w:t>
      </w:r>
    </w:p>
    <w:p w14:paraId="7990D9D0">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程序同第一轮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w:t>
      </w:r>
    </w:p>
    <w:p w14:paraId="0F051FC6">
      <w:pPr>
        <w:pStyle w:val="35"/>
        <w:keepNext w:val="0"/>
        <w:keepLines w:val="0"/>
        <w:pageBreakBefore w:val="0"/>
        <w:widowControl w:val="0"/>
        <w:kinsoku/>
        <w:overflowPunct/>
        <w:topLinePunct w:val="0"/>
        <w:autoSpaceDE/>
        <w:autoSpaceDN/>
        <w:bidi w:val="0"/>
        <w:spacing w:line="420" w:lineRule="exact"/>
        <w:ind w:firstLine="480"/>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2.4如谈判</w:t>
      </w:r>
      <w:r>
        <w:rPr>
          <w:rFonts w:hint="eastAsia" w:ascii="宋体" w:hAnsi="宋体" w:eastAsia="宋体" w:cs="宋体"/>
          <w:color w:val="auto"/>
          <w:sz w:val="24"/>
          <w:szCs w:val="24"/>
          <w:highlight w:val="none"/>
        </w:rPr>
        <w:t>小组根据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文件和</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情况</w:t>
      </w:r>
      <w:r>
        <w:rPr>
          <w:rFonts w:hint="eastAsia" w:cs="宋体"/>
          <w:color w:val="auto"/>
          <w:sz w:val="24"/>
          <w:szCs w:val="24"/>
          <w:highlight w:val="none"/>
          <w:lang w:val="en-US" w:eastAsia="zh-CN"/>
        </w:rPr>
        <w:t>未</w:t>
      </w:r>
      <w:r>
        <w:rPr>
          <w:rFonts w:hint="eastAsia" w:ascii="宋体" w:hAnsi="宋体" w:eastAsia="宋体" w:cs="宋体"/>
          <w:color w:val="auto"/>
          <w:sz w:val="24"/>
          <w:szCs w:val="24"/>
          <w:highlight w:val="none"/>
        </w:rPr>
        <w:t>对</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文件作出实质性变动</w:t>
      </w:r>
      <w:r>
        <w:rPr>
          <w:rFonts w:hint="eastAsia" w:cs="宋体"/>
          <w:color w:val="auto"/>
          <w:sz w:val="24"/>
          <w:szCs w:val="24"/>
          <w:highlight w:val="none"/>
          <w:lang w:val="en-US" w:eastAsia="zh-CN"/>
        </w:rPr>
        <w:t>增加新的需求，则供应商后一轮报价不得高于前一轮报价。本项目谈判轮次及谈判顺序详“供应商须知前附表”。</w:t>
      </w:r>
    </w:p>
    <w:p w14:paraId="47413248">
      <w:pPr>
        <w:pStyle w:val="5"/>
        <w:keepNext w:val="0"/>
        <w:keepLines w:val="0"/>
        <w:pageBreakBefore w:val="0"/>
        <w:widowControl w:val="0"/>
        <w:numPr>
          <w:ilvl w:val="0"/>
          <w:numId w:val="0"/>
        </w:numPr>
        <w:kinsoku/>
        <w:wordWrap/>
        <w:overflowPunct/>
        <w:topLinePunct w:val="0"/>
        <w:autoSpaceDE/>
        <w:autoSpaceDN/>
        <w:bidi w:val="0"/>
        <w:adjustRightInd/>
        <w:snapToGrid/>
        <w:spacing w:before="60" w:after="60" w:line="42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3.最后报价</w:t>
      </w:r>
    </w:p>
    <w:p w14:paraId="3FE2B13F">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文件中能够详细列明采购标的的技术、服务要求的，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结束后，</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小组应当要求所有</w:t>
      </w:r>
      <w:r>
        <w:rPr>
          <w:rFonts w:hint="eastAsia" w:ascii="宋体" w:hAnsi="宋体" w:eastAsia="宋体" w:cs="宋体"/>
          <w:color w:val="auto"/>
          <w:sz w:val="24"/>
          <w:szCs w:val="24"/>
          <w:highlight w:val="none"/>
          <w:lang w:val="en-US" w:eastAsia="zh-CN"/>
        </w:rPr>
        <w:t>实质性响应</w:t>
      </w:r>
      <w:r>
        <w:rPr>
          <w:rFonts w:hint="eastAsia" w:ascii="宋体" w:hAnsi="宋体" w:eastAsia="宋体" w:cs="宋体"/>
          <w:color w:val="auto"/>
          <w:sz w:val="24"/>
          <w:szCs w:val="24"/>
          <w:highlight w:val="none"/>
        </w:rPr>
        <w:t>的供应商，在规定时间内，以书面的方式经</w:t>
      </w:r>
      <w:r>
        <w:rPr>
          <w:rFonts w:hint="eastAsia" w:cs="宋体"/>
          <w:color w:val="auto"/>
          <w:sz w:val="24"/>
          <w:szCs w:val="24"/>
          <w:highlight w:val="none"/>
          <w:lang w:val="en-US" w:eastAsia="zh-CN"/>
        </w:rPr>
        <w:t>法定代表人或</w:t>
      </w:r>
      <w:r>
        <w:rPr>
          <w:rFonts w:hint="eastAsia" w:ascii="宋体" w:hAnsi="宋体" w:eastAsia="宋体" w:cs="宋体"/>
          <w:color w:val="auto"/>
          <w:sz w:val="24"/>
          <w:szCs w:val="24"/>
          <w:highlight w:val="none"/>
        </w:rPr>
        <w:t>授权代表签字（或加盖公章）后提交最后报价，提交最后报价的供应商不得少于3家</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市场竞争不充分的科研项目，以及需要扶持的科技成果转化项目可以为2家，</w:t>
      </w:r>
      <w:r>
        <w:rPr>
          <w:rFonts w:hint="eastAsia" w:ascii="宋体" w:hAnsi="宋体" w:eastAsia="宋体" w:cs="宋体"/>
          <w:snapToGrid w:val="0"/>
          <w:color w:val="auto"/>
          <w:sz w:val="24"/>
          <w:szCs w:val="24"/>
          <w:highlight w:val="none"/>
        </w:rPr>
        <w:t>政府购买服务项目[含政府和社会资本合作项目]，在采购过程中符合要求的供应商[社会资本]只有2家的</w:t>
      </w:r>
      <w:r>
        <w:rPr>
          <w:rFonts w:hint="eastAsia" w:ascii="宋体" w:hAnsi="宋体" w:eastAsia="宋体" w:cs="宋体"/>
          <w:color w:val="auto"/>
          <w:sz w:val="24"/>
          <w:szCs w:val="24"/>
          <w:highlight w:val="none"/>
        </w:rPr>
        <w:t>可以为2家</w:t>
      </w:r>
      <w:r>
        <w:rPr>
          <w:rFonts w:hint="eastAsia" w:cs="宋体"/>
          <w:color w:val="auto"/>
          <w:sz w:val="24"/>
          <w:szCs w:val="24"/>
          <w:highlight w:val="none"/>
          <w:lang w:val="en-US" w:eastAsia="zh-CN"/>
        </w:rPr>
        <w:t>；公开招标的货物和服务项目，招标过程中提交投标文件或者经评审实质性响应采购文件要求的供应商只有2家时，经本级财政部门批准后采用竞争性谈判方式采购的可以为2家</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w:t>
      </w:r>
    </w:p>
    <w:p w14:paraId="45C3849D">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文件中不能详细列明采购标的的技术、服务要求，需经</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由供应商提供最</w:t>
      </w:r>
      <w:r>
        <w:rPr>
          <w:rFonts w:hint="eastAsia" w:ascii="宋体" w:hAnsi="宋体" w:eastAsia="宋体" w:cs="宋体"/>
          <w:color w:val="auto"/>
          <w:sz w:val="24"/>
          <w:szCs w:val="24"/>
          <w:highlight w:val="none"/>
          <w:lang w:val="en-US" w:eastAsia="zh-CN"/>
        </w:rPr>
        <w:t>终</w:t>
      </w:r>
      <w:r>
        <w:rPr>
          <w:rFonts w:hint="eastAsia" w:ascii="宋体" w:hAnsi="宋体" w:eastAsia="宋体" w:cs="宋体"/>
          <w:color w:val="auto"/>
          <w:sz w:val="24"/>
          <w:szCs w:val="24"/>
          <w:highlight w:val="none"/>
        </w:rPr>
        <w:t>设计方案或解决方案的，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结束后，</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小组应当按照少数服从多数的原则投票推荐3家以上（公开招标的货物和服务项目，招标过程中提交投标文件或者经评审实质性响应</w:t>
      </w:r>
      <w:r>
        <w:rPr>
          <w:rFonts w:hint="eastAsia" w:cs="宋体"/>
          <w:color w:val="auto"/>
          <w:sz w:val="24"/>
          <w:szCs w:val="24"/>
          <w:highlight w:val="none"/>
          <w:lang w:eastAsia="zh-CN"/>
        </w:rPr>
        <w:t>采购文件</w:t>
      </w:r>
      <w:r>
        <w:rPr>
          <w:rFonts w:hint="eastAsia" w:ascii="宋体" w:hAnsi="宋体" w:eastAsia="宋体" w:cs="宋体"/>
          <w:color w:val="auto"/>
          <w:sz w:val="24"/>
          <w:szCs w:val="24"/>
          <w:highlight w:val="none"/>
        </w:rPr>
        <w:t>要求的供应商只有2家时，经本级财政部门批准后采用竞争性谈判方式采购的可以为2家）供应商的设计方案或者解决方案，并要求其在规定时间内提交最后报价。</w:t>
      </w:r>
    </w:p>
    <w:p w14:paraId="6A85ACA0">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最后报价是供应商响应文件的有效组成部分。逾时不提交的，视同退出</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w:t>
      </w:r>
    </w:p>
    <w:p w14:paraId="63316710">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最后报价出现前后不一致的，按照下列规定修正：</w:t>
      </w:r>
    </w:p>
    <w:p w14:paraId="41A8A1D4">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（1）大写金额和小写金额不一致的，以大写金额为准；</w:t>
      </w:r>
    </w:p>
    <w:p w14:paraId="79A2142F">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（2）单价金额</w:t>
      </w:r>
      <w:r>
        <w:rPr>
          <w:rFonts w:hint="eastAsia" w:ascii="宋体" w:hAnsi="宋体" w:eastAsia="宋体" w:cs="宋体"/>
          <w:color w:val="auto"/>
          <w:sz w:val="24"/>
          <w:szCs w:val="24"/>
          <w:highlight w:val="none"/>
        </w:rPr>
        <w:t>小数点</w:t>
      </w:r>
      <w:r>
        <w:rPr>
          <w:rFonts w:hint="eastAsia" w:ascii="宋体" w:hAnsi="宋体" w:eastAsia="宋体" w:cs="宋体"/>
          <w:color w:val="auto"/>
          <w:sz w:val="24"/>
          <w:szCs w:val="24"/>
          <w:highlight w:val="none"/>
          <w:lang w:val="zh-CN"/>
        </w:rPr>
        <w:t>或百分比有明显错位的，以最后报价表的总价为准，并修改单价；</w:t>
      </w:r>
    </w:p>
    <w:p w14:paraId="53C9A123">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（3）总价金额与按单价汇总金额不一致的，以单价金额计算结果为准；</w:t>
      </w:r>
    </w:p>
    <w:p w14:paraId="62F02C6F">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（4）同时出现</w:t>
      </w:r>
      <w:r>
        <w:rPr>
          <w:rFonts w:hint="eastAsia" w:ascii="宋体" w:hAnsi="宋体" w:eastAsia="宋体" w:cs="宋体"/>
          <w:color w:val="auto"/>
          <w:sz w:val="24"/>
          <w:szCs w:val="24"/>
          <w:highlight w:val="none"/>
        </w:rPr>
        <w:t>两种</w:t>
      </w:r>
      <w:r>
        <w:rPr>
          <w:rFonts w:hint="eastAsia" w:ascii="宋体" w:hAnsi="宋体" w:eastAsia="宋体" w:cs="宋体"/>
          <w:color w:val="auto"/>
          <w:sz w:val="24"/>
          <w:szCs w:val="24"/>
          <w:highlight w:val="none"/>
          <w:lang w:val="zh-CN"/>
        </w:rPr>
        <w:t>以上不一致的，按照前款规定的顺序修正；</w:t>
      </w:r>
    </w:p>
    <w:p w14:paraId="492B1BCC">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修正后的报价应通过书面方式通知供应商，由供应商</w:t>
      </w:r>
      <w:r>
        <w:rPr>
          <w:rFonts w:hint="eastAsia" w:cs="宋体"/>
          <w:color w:val="auto"/>
          <w:sz w:val="24"/>
          <w:szCs w:val="24"/>
          <w:highlight w:val="none"/>
          <w:lang w:val="en-US" w:eastAsia="zh-CN"/>
        </w:rPr>
        <w:t>法定代表人或</w:t>
      </w:r>
      <w:r>
        <w:rPr>
          <w:rFonts w:hint="eastAsia" w:ascii="宋体" w:hAnsi="宋体" w:eastAsia="宋体" w:cs="宋体"/>
          <w:color w:val="auto"/>
          <w:sz w:val="24"/>
          <w:szCs w:val="24"/>
          <w:highlight w:val="none"/>
          <w:lang w:val="zh-CN"/>
        </w:rPr>
        <w:t>授权代表签字（或加盖公章）确认后产生约束力，供应商不确认的，按照</w:t>
      </w:r>
      <w:r>
        <w:rPr>
          <w:rFonts w:hint="eastAsia" w:ascii="宋体" w:hAnsi="宋体" w:eastAsia="宋体" w:cs="宋体"/>
          <w:b/>
          <w:bCs/>
          <w:color w:val="auto"/>
          <w:sz w:val="24"/>
          <w:szCs w:val="24"/>
          <w:highlight w:val="none"/>
          <w:lang w:val="zh-CN"/>
        </w:rPr>
        <w:t>无效响应</w:t>
      </w:r>
      <w:r>
        <w:rPr>
          <w:rFonts w:hint="eastAsia" w:ascii="宋体" w:hAnsi="宋体" w:eastAsia="宋体" w:cs="宋体"/>
          <w:color w:val="auto"/>
          <w:sz w:val="24"/>
          <w:szCs w:val="24"/>
          <w:highlight w:val="none"/>
          <w:lang w:val="zh-CN"/>
        </w:rPr>
        <w:t>处理。</w:t>
      </w:r>
    </w:p>
    <w:p w14:paraId="040E7FCB">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en-US" w:eastAsia="zh-CN"/>
        </w:rPr>
      </w:pPr>
      <w:bookmarkStart w:id="454" w:name="_Toc102116049"/>
      <w:bookmarkStart w:id="455" w:name="_Toc102056245"/>
      <w:bookmarkStart w:id="456" w:name="_Toc102116179"/>
      <w:bookmarkStart w:id="457" w:name="_Toc102114947"/>
      <w:bookmarkStart w:id="458" w:name="_Toc102119880"/>
      <w:bookmarkStart w:id="459" w:name="_Toc102057745"/>
      <w:r>
        <w:rPr>
          <w:rFonts w:hint="eastAsia" w:ascii="宋体" w:hAnsi="宋体" w:eastAsia="宋体" w:cs="宋体"/>
          <w:color w:val="auto"/>
          <w:sz w:val="24"/>
          <w:szCs w:val="24"/>
          <w:highlight w:val="none"/>
          <w:lang w:val="en-US" w:eastAsia="zh-CN"/>
        </w:rPr>
        <w:t>3.4已提交响应文件的供应商，在提交最后报价之前，可以根据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情况退出</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，退出</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供应商的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保证金可予以退还。</w:t>
      </w:r>
    </w:p>
    <w:p w14:paraId="37D01FAF">
      <w:pPr>
        <w:pStyle w:val="5"/>
        <w:keepNext w:val="0"/>
        <w:keepLines w:val="0"/>
        <w:pageBreakBefore w:val="0"/>
        <w:widowControl w:val="0"/>
        <w:numPr>
          <w:ilvl w:val="0"/>
          <w:numId w:val="0"/>
        </w:numPr>
        <w:kinsoku/>
        <w:wordWrap/>
        <w:overflowPunct/>
        <w:topLinePunct w:val="0"/>
        <w:autoSpaceDE/>
        <w:autoSpaceDN/>
        <w:bidi w:val="0"/>
        <w:adjustRightInd/>
        <w:snapToGrid/>
        <w:spacing w:before="60" w:after="60" w:line="42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4.商务技术评审</w:t>
      </w:r>
    </w:p>
    <w:p w14:paraId="2D2ED263">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4.1</w:t>
      </w:r>
      <w:r>
        <w:rPr>
          <w:rFonts w:hint="eastAsia" w:cs="宋体"/>
          <w:color w:val="auto"/>
          <w:sz w:val="24"/>
          <w:szCs w:val="24"/>
          <w:highlight w:val="none"/>
          <w:lang w:val="en-US" w:eastAsia="zh-CN"/>
        </w:rPr>
        <w:t>谈判小组根据本章的评审标准以及谈判文件实质性变动的内容，按谈判文件要求对修正后的响应文件进行商务技术评审，未实质性响应谈判文件要求的响应文件按</w:t>
      </w:r>
      <w:r>
        <w:rPr>
          <w:rFonts w:hint="eastAsia" w:cs="宋体"/>
          <w:b/>
          <w:bCs/>
          <w:color w:val="auto"/>
          <w:sz w:val="24"/>
          <w:szCs w:val="24"/>
          <w:highlight w:val="none"/>
          <w:lang w:val="en-US" w:eastAsia="zh-CN"/>
        </w:rPr>
        <w:t>无效响应</w:t>
      </w:r>
      <w:r>
        <w:rPr>
          <w:rFonts w:hint="eastAsia" w:cs="宋体"/>
          <w:color w:val="auto"/>
          <w:sz w:val="24"/>
          <w:szCs w:val="24"/>
          <w:highlight w:val="none"/>
          <w:lang w:val="en-US" w:eastAsia="zh-CN"/>
        </w:rPr>
        <w:t>处理</w:t>
      </w:r>
      <w:r>
        <w:rPr>
          <w:rFonts w:hint="eastAsia" w:ascii="宋体" w:hAnsi="宋体" w:eastAsia="宋体" w:cs="宋体"/>
          <w:color w:val="auto"/>
          <w:sz w:val="24"/>
          <w:szCs w:val="24"/>
          <w:highlight w:val="none"/>
          <w:lang w:val="zh-CN"/>
        </w:rPr>
        <w:t>。</w:t>
      </w:r>
    </w:p>
    <w:bookmarkEnd w:id="446"/>
    <w:bookmarkEnd w:id="447"/>
    <w:bookmarkEnd w:id="448"/>
    <w:bookmarkEnd w:id="449"/>
    <w:bookmarkEnd w:id="450"/>
    <w:bookmarkEnd w:id="451"/>
    <w:bookmarkEnd w:id="454"/>
    <w:bookmarkEnd w:id="455"/>
    <w:bookmarkEnd w:id="456"/>
    <w:bookmarkEnd w:id="457"/>
    <w:bookmarkEnd w:id="458"/>
    <w:bookmarkEnd w:id="459"/>
    <w:p w14:paraId="11B2A599">
      <w:pPr>
        <w:pStyle w:val="5"/>
        <w:keepNext w:val="0"/>
        <w:keepLines w:val="0"/>
        <w:pageBreakBefore w:val="0"/>
        <w:widowControl w:val="0"/>
        <w:numPr>
          <w:ilvl w:val="0"/>
          <w:numId w:val="0"/>
        </w:numPr>
        <w:kinsoku/>
        <w:wordWrap/>
        <w:overflowPunct/>
        <w:topLinePunct w:val="0"/>
        <w:autoSpaceDE/>
        <w:autoSpaceDN/>
        <w:bidi w:val="0"/>
        <w:adjustRightInd/>
        <w:snapToGrid/>
        <w:spacing w:before="60" w:after="60" w:line="42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60" w:name="_Toc102116181"/>
      <w:bookmarkStart w:id="461" w:name="_Toc102116051"/>
      <w:bookmarkStart w:id="462" w:name="_Toc102057747"/>
      <w:bookmarkStart w:id="463" w:name="_Toc102119882"/>
      <w:bookmarkStart w:id="464" w:name="_Toc102114949"/>
      <w:bookmarkStart w:id="465" w:name="_Toc102056247"/>
      <w:r>
        <w:rPr>
          <w:rFonts w:hint="eastAsia" w:ascii="宋体" w:hAnsi="宋体" w:eastAsia="宋体" w:cs="宋体"/>
          <w:b/>
          <w:bCs/>
          <w:color w:val="auto"/>
          <w:kern w:val="2"/>
          <w:sz w:val="24"/>
          <w:szCs w:val="24"/>
          <w:highlight w:val="none"/>
          <w:lang w:val="en-US" w:eastAsia="zh-CN" w:bidi="ar-SA"/>
        </w:rPr>
        <w:t>5.报价评</w:t>
      </w:r>
      <w:bookmarkEnd w:id="460"/>
      <w:bookmarkEnd w:id="461"/>
      <w:bookmarkEnd w:id="462"/>
      <w:bookmarkEnd w:id="463"/>
      <w:bookmarkEnd w:id="464"/>
      <w:bookmarkEnd w:id="465"/>
      <w:r>
        <w:rPr>
          <w:rFonts w:hint="eastAsia" w:ascii="宋体" w:hAnsi="宋体" w:eastAsia="宋体" w:cs="宋体"/>
          <w:b/>
          <w:bCs/>
          <w:color w:val="auto"/>
          <w:kern w:val="2"/>
          <w:sz w:val="24"/>
          <w:szCs w:val="24"/>
          <w:highlight w:val="none"/>
          <w:lang w:val="en-US" w:eastAsia="zh-CN" w:bidi="ar-SA"/>
        </w:rPr>
        <w:t>审</w:t>
      </w:r>
    </w:p>
    <w:p w14:paraId="4F87D81F">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5.1报价合理性说明：</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小组认为供应商的最后报价明显低于其他供应商最后报价，有可能影响</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lang w:val="zh-CN"/>
        </w:rPr>
        <w:t>质量或者不能诚信履约的，应当要求其在合理的时间内提供说明，必要时提交相关证明材料；供应商不能证明其最后报价合理性的，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小组应当将其作</w:t>
      </w:r>
      <w:r>
        <w:rPr>
          <w:rFonts w:hint="eastAsia" w:ascii="宋体" w:hAnsi="宋体" w:eastAsia="宋体" w:cs="宋体"/>
          <w:b/>
          <w:color w:val="auto"/>
          <w:sz w:val="24"/>
          <w:szCs w:val="24"/>
          <w:highlight w:val="none"/>
          <w:lang w:val="zh-CN"/>
        </w:rPr>
        <w:t>无效响应处理</w:t>
      </w:r>
      <w:r>
        <w:rPr>
          <w:rFonts w:hint="eastAsia" w:ascii="宋体" w:hAnsi="宋体" w:eastAsia="宋体" w:cs="宋体"/>
          <w:color w:val="auto"/>
          <w:sz w:val="24"/>
          <w:szCs w:val="24"/>
          <w:highlight w:val="none"/>
          <w:lang w:val="zh-CN"/>
        </w:rPr>
        <w:t>。</w:t>
      </w:r>
    </w:p>
    <w:p w14:paraId="1B3E8B52">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5.1.1供应商应根据答疑内容在规定的时间内提供说明和成本清单等相关证明材料，</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小组认定相关证明材料对此报价的说明或者证明材料可以佐证此报价的货物质量和具有诚信履约能力，予以通过审查；</w:t>
      </w:r>
    </w:p>
    <w:p w14:paraId="61371D00">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5.1.2供应商提供的说明或者证明材料必须按照国家财务会计制度的规定要求，逐项就供应商提供的货物和服务的主营业务成本、税收及附加、销售费用、管理费用、财务费用等成本构成事项详细陈述，并由法定代表人或者其授权代表签字确认并加盖公章；</w:t>
      </w:r>
    </w:p>
    <w:p w14:paraId="3E3AF71F">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5.1.3供应商不能合理说明或者不能提供相关证明材料的，由</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小组认定该供应商以低于成本报价竞标，有可能影响货物质量或者不能诚信履约，应当</w:t>
      </w:r>
      <w:r>
        <w:rPr>
          <w:rFonts w:hint="eastAsia" w:ascii="宋体" w:hAnsi="宋体" w:eastAsia="宋体" w:cs="宋体"/>
          <w:color w:val="auto"/>
          <w:sz w:val="24"/>
          <w:szCs w:val="24"/>
          <w:highlight w:val="none"/>
          <w:lang w:val="zh-CN"/>
        </w:rPr>
        <w:t>将其作为</w:t>
      </w:r>
      <w:r>
        <w:rPr>
          <w:rFonts w:hint="eastAsia" w:ascii="宋体" w:hAnsi="宋体" w:eastAsia="宋体" w:cs="宋体"/>
          <w:b/>
          <w:color w:val="auto"/>
          <w:sz w:val="24"/>
          <w:szCs w:val="24"/>
          <w:highlight w:val="none"/>
          <w:lang w:val="zh-CN"/>
        </w:rPr>
        <w:t>无效响应处理</w:t>
      </w:r>
      <w:r>
        <w:rPr>
          <w:rFonts w:hint="eastAsia" w:ascii="宋体" w:hAnsi="宋体" w:eastAsia="宋体" w:cs="宋体"/>
          <w:color w:val="auto"/>
          <w:sz w:val="24"/>
          <w:szCs w:val="24"/>
          <w:highlight w:val="none"/>
          <w:lang w:val="en-US" w:eastAsia="zh-CN"/>
        </w:rPr>
        <w:t>；</w:t>
      </w:r>
    </w:p>
    <w:p w14:paraId="071B5B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5.1.4供应商也可以有预见性地准备好上述要求的书面说明和相关证明材料并加盖公章。</w:t>
      </w:r>
    </w:p>
    <w:p w14:paraId="048C375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color w:val="auto"/>
          <w:sz w:val="24"/>
          <w:szCs w:val="24"/>
          <w:highlight w:val="none"/>
          <w:lang w:val="en-US" w:eastAsia="zh-CN"/>
        </w:rPr>
      </w:pPr>
      <w:r>
        <w:rPr>
          <w:rFonts w:hint="eastAsia" w:ascii="宋体" w:hAnsi="宋体" w:eastAsia="宋体" w:cs="宋体"/>
          <w:b/>
          <w:bCs/>
          <w:color w:val="auto"/>
          <w:sz w:val="24"/>
          <w:szCs w:val="24"/>
          <w:highlight w:val="none"/>
          <w:lang w:val="zh-CN"/>
        </w:rPr>
        <w:t>5.2</w:t>
      </w:r>
      <w:r>
        <w:rPr>
          <w:rFonts w:hint="eastAsia"/>
          <w:b/>
          <w:bCs/>
          <w:color w:val="auto"/>
          <w:sz w:val="24"/>
          <w:szCs w:val="24"/>
          <w:highlight w:val="none"/>
          <w:lang w:val="en-US" w:eastAsia="zh-CN"/>
        </w:rPr>
        <w:t>.</w:t>
      </w:r>
      <w:r>
        <w:rPr>
          <w:rFonts w:hint="eastAsia"/>
          <w:b/>
          <w:bCs/>
          <w:color w:val="auto"/>
          <w:sz w:val="24"/>
          <w:szCs w:val="24"/>
          <w:highlight w:val="none"/>
        </w:rPr>
        <w:t>政府采购异常低价审查</w:t>
      </w:r>
    </w:p>
    <w:p w14:paraId="6A7A5B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5.2.1</w:t>
      </w:r>
      <w:r>
        <w:rPr>
          <w:rFonts w:hint="eastAsia"/>
          <w:color w:val="auto"/>
          <w:sz w:val="24"/>
          <w:szCs w:val="24"/>
          <w:highlight w:val="none"/>
        </w:rPr>
        <w:t>政府采购评审中出现下列情形之一的，评审委员会应当启动异常低价投标（响应）审查程序：</w:t>
      </w:r>
    </w:p>
    <w:p w14:paraId="5625AA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投标（响应）报价低于全部通过符合性审查供应商投标（响应）报价平均值50%的，即投标（响应）报价&lt;全部通过符合性审查供应商投标（响应）报价平均值×50%；</w:t>
      </w:r>
    </w:p>
    <w:p w14:paraId="6D7397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投标（响应）报价低于通过符合性审查的次低报价供应商投标（响应）报价50%的，即投标（响应）报价&lt;通过符合性审查的次低报价供应商投标（响应）报价×50%；</w:t>
      </w:r>
    </w:p>
    <w:p w14:paraId="465D4A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投标（响应）报价低于采购项目最高限价45%的，即投标（响应）报价&lt;采购项目最高限价×45%；</w:t>
      </w:r>
    </w:p>
    <w:p w14:paraId="78081D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评审委员会基于专业判断，认为供应商报价过低，有可能影响产品质量或者不能诚信履约的其他情形。</w:t>
      </w:r>
    </w:p>
    <w:p w14:paraId="08143A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5.2.2</w:t>
      </w:r>
      <w:r>
        <w:rPr>
          <w:rFonts w:hint="eastAsia"/>
          <w:color w:val="auto"/>
          <w:sz w:val="24"/>
          <w:szCs w:val="24"/>
          <w:highlight w:val="none"/>
        </w:rPr>
        <w:t>评审委员会启动异常低价投标（响应）审查后，属于前述第</w:t>
      </w: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项至第</w:t>
      </w: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79FD6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784FDBF">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5.</w:t>
      </w:r>
      <w:r>
        <w:rPr>
          <w:rFonts w:hint="eastAsia"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zh-CN"/>
        </w:rPr>
        <w:t>价格扣除：</w:t>
      </w:r>
      <w:r>
        <w:rPr>
          <w:rFonts w:hint="eastAsia" w:ascii="宋体" w:hAnsi="宋体" w:eastAsia="宋体" w:cs="宋体"/>
          <w:color w:val="auto"/>
          <w:sz w:val="24"/>
          <w:szCs w:val="24"/>
          <w:highlight w:val="none"/>
          <w:lang w:val="zh-CN"/>
        </w:rPr>
        <w:t xml:space="preserve"> </w:t>
      </w:r>
    </w:p>
    <w:p w14:paraId="1F4B5526">
      <w:pPr>
        <w:pStyle w:val="35"/>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5.3.1非专门面向中小企业的采购项目或采购包，对符合规定的小微企业（监狱企业、残疾人福利性单位、联合体各方均为小微企业的联合体、符合小微企业划分标准的个体工商户视同小微企业）报价按照竞争性谈判文件“供应商须知前附表”中的规定扣除，对小微企业中的监狱企业、残疾人福利性单位的报价按照本竞争性谈判文件“供应商须知前附表”中的规定扣除，用扣除后的价格参与评审，采购产品纳入创新产品应用示范推荐目录内企业、采购产品获得节能产品或环境标志产品认证证书的供应商按照本竞争性谈判文件“供应商须知前附表”中的规定给予评审优惠。</w:t>
      </w:r>
    </w:p>
    <w:p w14:paraId="72014FEF">
      <w:pPr>
        <w:pStyle w:val="35"/>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p>
    <w:p w14:paraId="1A495953">
      <w:pPr>
        <w:pStyle w:val="35"/>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5.3.3组成联合体或者接受分包的小微企业与联合体内其他企业、分包企业之间存在直接控股、管理关系的，不享受价格扣除优惠政策。</w:t>
      </w:r>
    </w:p>
    <w:p w14:paraId="60984AA9">
      <w:pPr>
        <w:pStyle w:val="35"/>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5.3.4价格扣除比例对小型企业和微型企业同等对待，不作区分。</w:t>
      </w:r>
    </w:p>
    <w:p w14:paraId="19B743D0">
      <w:pPr>
        <w:pStyle w:val="35"/>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5.3.5专门面向中小企业、预留部分采购份额面向中小企业采购的项目或采购包，评审时不再进行价格扣除。</w:t>
      </w:r>
    </w:p>
    <w:p w14:paraId="57E1355E">
      <w:pPr>
        <w:pStyle w:val="35"/>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5.3.6</w:t>
      </w:r>
      <w:r>
        <w:rPr>
          <w:rFonts w:hint="eastAsia" w:ascii="宋体" w:hAnsi="宋体" w:eastAsia="宋体" w:cs="宋体"/>
          <w:color w:val="auto"/>
          <w:sz w:val="24"/>
          <w:szCs w:val="24"/>
          <w:highlight w:val="none"/>
          <w:lang w:val="en-US" w:eastAsia="zh-CN"/>
        </w:rPr>
        <w:t>若供应商同时属于小型或微型企业、监狱企业、残疾人福利性单位 中的两种及以上，将不重复享受小微企业价格扣减的优惠政策。</w:t>
      </w:r>
    </w:p>
    <w:p w14:paraId="25435DD2">
      <w:pPr>
        <w:pStyle w:val="35"/>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5.4</w:t>
      </w:r>
      <w:r>
        <w:rPr>
          <w:rFonts w:hint="eastAsia"/>
          <w:snapToGrid w:val="0"/>
          <w:color w:val="auto"/>
          <w:sz w:val="24"/>
          <w:highlight w:val="none"/>
          <w:lang w:val="en-US" w:eastAsia="zh-CN"/>
        </w:rPr>
        <w:t>供应商对其提供的产品出具《关于符合本国产品标准的声明函》（样式见附件1，以下简称《声明函》）或财政部会同有关部门规定的有关证明文件。出具符合要求的《声明函》或有关证明文件的，该产品视为本国产品。</w:t>
      </w:r>
    </w:p>
    <w:p w14:paraId="04F976C3">
      <w:pPr>
        <w:pStyle w:val="35"/>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E40AAE6">
      <w:pPr>
        <w:pStyle w:val="35"/>
        <w:jc w:val="both"/>
        <w:rPr>
          <w:rFonts w:hint="eastAsia" w:ascii="宋体" w:hAnsi="宋体" w:eastAsia="宋体" w:cs="宋体"/>
          <w:color w:val="auto"/>
          <w:sz w:val="24"/>
          <w:szCs w:val="24"/>
          <w:highlight w:val="none"/>
          <w:lang w:val="en-US" w:eastAsia="zh-CN"/>
        </w:rPr>
      </w:pPr>
      <w:r>
        <w:rPr>
          <w:rFonts w:hint="eastAsia"/>
          <w:snapToGrid w:val="0"/>
          <w:color w:val="auto"/>
          <w:sz w:val="24"/>
          <w:highlight w:val="none"/>
          <w:lang w:val="en-US" w:eastAsia="zh-CN"/>
        </w:rPr>
        <w:t>5.5</w:t>
      </w:r>
      <w:r>
        <w:rPr>
          <w:rFonts w:hint="eastAsia" w:eastAsia="宋体"/>
          <w:snapToGrid w:val="0"/>
          <w:color w:val="auto"/>
          <w:sz w:val="24"/>
          <w:highlight w:val="none"/>
          <w:lang w:val="en-US" w:eastAsia="zh-CN"/>
        </w:rPr>
        <w:t>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65C3AFB4">
      <w:pPr>
        <w:pStyle w:val="35"/>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5.6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7F32BCC9">
      <w:pPr>
        <w:pStyle w:val="35"/>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5.</w:t>
      </w:r>
      <w:r>
        <w:rPr>
          <w:rFonts w:hint="eastAsia"/>
          <w:snapToGrid w:val="0"/>
          <w:color w:val="auto"/>
          <w:sz w:val="24"/>
          <w:highlight w:val="none"/>
          <w:lang w:val="en-US" w:eastAsia="zh-CN"/>
        </w:rPr>
        <w:t>7</w:t>
      </w:r>
      <w:r>
        <w:rPr>
          <w:rFonts w:hint="eastAsia" w:eastAsia="宋体"/>
          <w:snapToGrid w:val="0"/>
          <w:color w:val="auto"/>
          <w:sz w:val="24"/>
          <w:highlight w:val="none"/>
          <w:lang w:val="en-US" w:eastAsia="zh-CN"/>
        </w:rPr>
        <w:t>对于仅有本国产品参与竞争的政府采购项目，本国产品不享受价格扣除评审优惠</w:t>
      </w:r>
    </w:p>
    <w:p w14:paraId="2D3F2273">
      <w:pPr>
        <w:pStyle w:val="35"/>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5.</w:t>
      </w:r>
      <w:r>
        <w:rPr>
          <w:rFonts w:hint="eastAsia"/>
          <w:snapToGrid w:val="0"/>
          <w:color w:val="auto"/>
          <w:sz w:val="24"/>
          <w:highlight w:val="none"/>
          <w:lang w:val="en-US" w:eastAsia="zh-CN"/>
        </w:rPr>
        <w:t>8</w:t>
      </w:r>
      <w:r>
        <w:rPr>
          <w:rFonts w:hint="eastAsia" w:eastAsia="宋体"/>
          <w:snapToGrid w:val="0"/>
          <w:color w:val="auto"/>
          <w:sz w:val="24"/>
          <w:highlight w:val="none"/>
          <w:lang w:val="en-US" w:eastAsia="zh-CN"/>
        </w:rPr>
        <w:t>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0393D35F">
      <w:pPr>
        <w:pStyle w:val="35"/>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对医疗器械产品，</w:t>
      </w:r>
      <w:r>
        <w:rPr>
          <w:rFonts w:hint="eastAsia"/>
          <w:snapToGrid w:val="0"/>
          <w:color w:val="auto"/>
          <w:sz w:val="24"/>
          <w:highlight w:val="none"/>
          <w:lang w:val="en-US" w:eastAsia="zh-CN"/>
        </w:rPr>
        <w:t>提供</w:t>
      </w:r>
      <w:r>
        <w:rPr>
          <w:rFonts w:hint="eastAsia" w:eastAsia="宋体"/>
          <w:snapToGrid w:val="0"/>
          <w:color w:val="auto"/>
          <w:sz w:val="24"/>
          <w:highlight w:val="none"/>
          <w:lang w:val="en-US" w:eastAsia="zh-CN"/>
        </w:rPr>
        <w:t>取得药品监督管理部门授予的准字号医疗器械注册证的，</w:t>
      </w:r>
      <w:r>
        <w:rPr>
          <w:rFonts w:hint="eastAsia"/>
          <w:snapToGrid w:val="0"/>
          <w:color w:val="auto"/>
          <w:sz w:val="24"/>
          <w:highlight w:val="none"/>
          <w:lang w:val="en-US" w:eastAsia="zh-CN"/>
        </w:rPr>
        <w:t>视为符合本国产品标准，无须填写</w:t>
      </w:r>
      <w:r>
        <w:rPr>
          <w:rFonts w:hint="eastAsia" w:eastAsia="宋体"/>
          <w:snapToGrid w:val="0"/>
          <w:color w:val="auto"/>
          <w:sz w:val="24"/>
          <w:highlight w:val="none"/>
          <w:lang w:val="en-US" w:eastAsia="zh-CN"/>
        </w:rPr>
        <w:t>《声明函》</w:t>
      </w:r>
      <w:r>
        <w:rPr>
          <w:rFonts w:hint="eastAsia"/>
          <w:snapToGrid w:val="0"/>
          <w:color w:val="auto"/>
          <w:sz w:val="24"/>
          <w:highlight w:val="none"/>
          <w:lang w:val="en-US" w:eastAsia="zh-CN"/>
        </w:rPr>
        <w:t>，</w:t>
      </w:r>
      <w:r>
        <w:rPr>
          <w:rFonts w:hint="eastAsia" w:ascii="宋体" w:hAnsi="宋体" w:eastAsia="宋体" w:cs="宋体"/>
          <w:color w:val="auto"/>
          <w:sz w:val="24"/>
          <w:szCs w:val="24"/>
          <w:highlight w:val="none"/>
          <w:lang w:val="en-US" w:eastAsia="zh-CN"/>
        </w:rPr>
        <w:t>报价给予20%的价格扣除，用扣除后的价格参与评审</w:t>
      </w:r>
      <w:r>
        <w:rPr>
          <w:rFonts w:hint="eastAsia" w:cs="宋体"/>
          <w:color w:val="auto"/>
          <w:sz w:val="24"/>
          <w:szCs w:val="24"/>
          <w:highlight w:val="none"/>
          <w:lang w:val="en-US" w:eastAsia="zh-CN"/>
        </w:rPr>
        <w:t>。</w:t>
      </w:r>
    </w:p>
    <w:p w14:paraId="58FAD26D">
      <w:pPr>
        <w:pStyle w:val="35"/>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5.</w:t>
      </w:r>
      <w:r>
        <w:rPr>
          <w:rFonts w:hint="eastAsia"/>
          <w:snapToGrid w:val="0"/>
          <w:color w:val="auto"/>
          <w:sz w:val="24"/>
          <w:highlight w:val="none"/>
          <w:lang w:val="en-US" w:eastAsia="zh-CN"/>
        </w:rPr>
        <w:t>9</w:t>
      </w:r>
      <w:r>
        <w:rPr>
          <w:rFonts w:hint="eastAsia" w:eastAsia="宋体"/>
          <w:snapToGrid w:val="0"/>
          <w:color w:val="auto"/>
          <w:sz w:val="24"/>
          <w:highlight w:val="none"/>
          <w:lang w:val="en-US" w:eastAsia="zh-CN"/>
        </w:rPr>
        <w:t>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5E5FD8B2">
      <w:pPr>
        <w:pStyle w:val="5"/>
        <w:keepNext w:val="0"/>
        <w:keepLines w:val="0"/>
        <w:pageBreakBefore w:val="0"/>
        <w:widowControl w:val="0"/>
        <w:numPr>
          <w:ilvl w:val="0"/>
          <w:numId w:val="0"/>
        </w:numPr>
        <w:kinsoku/>
        <w:wordWrap/>
        <w:overflowPunct/>
        <w:topLinePunct w:val="0"/>
        <w:autoSpaceDE/>
        <w:autoSpaceDN/>
        <w:bidi w:val="0"/>
        <w:adjustRightInd/>
        <w:snapToGrid/>
        <w:spacing w:before="60" w:after="60" w:line="420" w:lineRule="exact"/>
        <w:ind w:left="420" w:leftChars="0" w:hanging="420" w:firstLineChars="0"/>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6.相同品牌处理原则</w:t>
      </w:r>
    </w:p>
    <w:p w14:paraId="4D6606A2">
      <w:pPr>
        <w:pStyle w:val="35"/>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6.1单一产品采购（或非单一产品采购中的核心产品），提供相同品牌产品的不同供应商参加同一项目下谈判的，以其中通过商务技术评审且最后报价最低的参加评审；报价相同的，由采购人确定或者采购人委托谈判小组以投票方式确定一个参加评审的供应商。</w:t>
      </w:r>
    </w:p>
    <w:p w14:paraId="5E195C1A">
      <w:pPr>
        <w:pStyle w:val="35"/>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6.2非单一产品采购项目，采购人应当根据采购项目技术构成、产品价格比重等合理确定一个核心产品（采购清单中作“与核心产品相同〈或同一〉品牌”要求的产品，视为一个核心产品），并以“核心产品”在谈判文件中载明，评审时按照前款规定处理。</w:t>
      </w:r>
    </w:p>
    <w:p w14:paraId="6D6DB070">
      <w:pPr>
        <w:pStyle w:val="5"/>
        <w:keepNext w:val="0"/>
        <w:keepLines w:val="0"/>
        <w:pageBreakBefore w:val="0"/>
        <w:widowControl w:val="0"/>
        <w:numPr>
          <w:ilvl w:val="0"/>
          <w:numId w:val="0"/>
        </w:numPr>
        <w:kinsoku/>
        <w:wordWrap/>
        <w:overflowPunct/>
        <w:topLinePunct w:val="0"/>
        <w:autoSpaceDE/>
        <w:autoSpaceDN/>
        <w:bidi w:val="0"/>
        <w:adjustRightInd/>
        <w:snapToGrid/>
        <w:spacing w:before="60" w:after="60" w:line="420" w:lineRule="exact"/>
        <w:ind w:left="420" w:leftChars="0" w:hanging="420" w:firstLineChars="0"/>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7.确定成交候选供应商</w:t>
      </w:r>
    </w:p>
    <w:p w14:paraId="0A48BCBB">
      <w:pPr>
        <w:pStyle w:val="35"/>
        <w:pageBreakBefore w:val="0"/>
        <w:kinsoku/>
        <w:overflowPunct/>
        <w:topLinePunct w:val="0"/>
        <w:autoSpaceDE/>
        <w:autoSpaceDN/>
        <w:bidi w:val="0"/>
        <w:spacing w:line="440" w:lineRule="exact"/>
        <w:ind w:firstLine="480"/>
        <w:textAlignment w:val="auto"/>
        <w:rPr>
          <w:rFonts w:hint="eastAsia"/>
          <w:i w:val="0"/>
          <w:iCs w:val="0"/>
          <w:color w:val="auto"/>
          <w:highlight w:val="none"/>
          <w:lang w:val="en-US" w:eastAsia="zh-CN"/>
        </w:rPr>
      </w:pPr>
      <w:r>
        <w:rPr>
          <w:rFonts w:hint="eastAsia"/>
          <w:i w:val="0"/>
          <w:iCs w:val="0"/>
          <w:color w:val="auto"/>
          <w:highlight w:val="none"/>
          <w:lang w:val="en-US" w:eastAsia="zh-CN"/>
        </w:rPr>
        <w:t>7.1谈判小组按照谈判文件确定的评审方法、程序及标准，对响应文件进行评审。评审结果按最后报价（因落实政府采购政策进行价格扣除的，以扣除后的价格计算）由低到高顺序排列。报价相同并列的按照“供应商须知前附表”的规定排序。响应文件全部实质性满足谈判文件要求且报价最低的供应商为排名第一的成交候选供应商。</w:t>
      </w:r>
    </w:p>
    <w:p w14:paraId="5C7A17A0">
      <w:pPr>
        <w:pStyle w:val="35"/>
        <w:pageBreakBefore w:val="0"/>
        <w:kinsoku/>
        <w:overflowPunct/>
        <w:topLinePunct w:val="0"/>
        <w:autoSpaceDE/>
        <w:autoSpaceDN/>
        <w:bidi w:val="0"/>
        <w:spacing w:line="440" w:lineRule="exact"/>
        <w:ind w:firstLine="480"/>
        <w:textAlignment w:val="auto"/>
        <w:rPr>
          <w:rFonts w:hint="eastAsia"/>
          <w:i w:val="0"/>
          <w:iCs w:val="0"/>
          <w:color w:val="auto"/>
          <w:highlight w:val="none"/>
          <w:lang w:val="en-US" w:eastAsia="zh-CN"/>
        </w:rPr>
      </w:pPr>
      <w:r>
        <w:rPr>
          <w:rFonts w:hint="eastAsia"/>
          <w:i w:val="0"/>
          <w:iCs w:val="0"/>
          <w:color w:val="auto"/>
          <w:highlight w:val="none"/>
          <w:lang w:val="en-US" w:eastAsia="zh-CN"/>
        </w:rPr>
        <w:t>7.2除资格性审查认定错误和价格计算错误外，采购人或者采购代理机构不得以任何理由组织重新评审。采购人、采购代理机构发现谈判小组未按照采购文件规定的评定成交的标准进行评审的，应当重新开展采购活动，并同时书面报告本级财政部门。</w:t>
      </w:r>
    </w:p>
    <w:p w14:paraId="4D6D309B">
      <w:pPr>
        <w:pStyle w:val="35"/>
        <w:pageBreakBefore w:val="0"/>
        <w:kinsoku/>
        <w:overflowPunct/>
        <w:topLinePunct w:val="0"/>
        <w:autoSpaceDE/>
        <w:autoSpaceDN/>
        <w:bidi w:val="0"/>
        <w:spacing w:line="440" w:lineRule="exact"/>
        <w:ind w:firstLine="480"/>
        <w:textAlignment w:val="auto"/>
        <w:rPr>
          <w:rFonts w:hint="eastAsia"/>
          <w:i w:val="0"/>
          <w:iCs w:val="0"/>
          <w:color w:val="auto"/>
          <w:highlight w:val="none"/>
          <w:lang w:val="en-US" w:eastAsia="zh-CN"/>
        </w:rPr>
      </w:pPr>
      <w:r>
        <w:rPr>
          <w:rFonts w:hint="eastAsia"/>
          <w:i w:val="0"/>
          <w:iCs w:val="0"/>
          <w:color w:val="auto"/>
          <w:highlight w:val="none"/>
          <w:lang w:val="en-US" w:eastAsia="zh-CN"/>
        </w:rPr>
        <w:t>7.3采购人或者采购代理机构不得通过对样品进行检测、对供应商进行考察等方式改变评审结果。</w:t>
      </w:r>
    </w:p>
    <w:p w14:paraId="1F8EBB86">
      <w:pPr>
        <w:pStyle w:val="5"/>
        <w:keepNext w:val="0"/>
        <w:keepLines w:val="0"/>
        <w:pageBreakBefore w:val="0"/>
        <w:widowControl w:val="0"/>
        <w:numPr>
          <w:ilvl w:val="0"/>
          <w:numId w:val="0"/>
        </w:numPr>
        <w:kinsoku/>
        <w:wordWrap/>
        <w:overflowPunct/>
        <w:topLinePunct w:val="0"/>
        <w:autoSpaceDE/>
        <w:autoSpaceDN/>
        <w:bidi w:val="0"/>
        <w:adjustRightInd/>
        <w:snapToGrid/>
        <w:spacing w:before="60" w:after="60" w:line="42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66" w:name="_Toc102056250"/>
      <w:bookmarkStart w:id="467" w:name="_Toc102119885"/>
      <w:bookmarkStart w:id="468" w:name="_Toc102114952"/>
      <w:bookmarkStart w:id="469" w:name="_Toc102116054"/>
      <w:bookmarkStart w:id="470" w:name="_Toc102116184"/>
      <w:bookmarkStart w:id="471" w:name="_Toc102057750"/>
      <w:r>
        <w:rPr>
          <w:rFonts w:hint="eastAsia" w:ascii="宋体" w:hAnsi="宋体" w:eastAsia="宋体" w:cs="宋体"/>
          <w:b/>
          <w:bCs/>
          <w:color w:val="auto"/>
          <w:kern w:val="2"/>
          <w:sz w:val="24"/>
          <w:szCs w:val="24"/>
          <w:highlight w:val="none"/>
          <w:lang w:val="en-US" w:eastAsia="zh-CN" w:bidi="ar-SA"/>
        </w:rPr>
        <w:t>8.评审报告</w:t>
      </w:r>
      <w:bookmarkEnd w:id="466"/>
      <w:bookmarkEnd w:id="467"/>
      <w:bookmarkEnd w:id="468"/>
      <w:bookmarkEnd w:id="469"/>
      <w:bookmarkEnd w:id="470"/>
      <w:bookmarkEnd w:id="471"/>
    </w:p>
    <w:p w14:paraId="1836027C">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8.1</w:t>
      </w:r>
      <w:r>
        <w:rPr>
          <w:rFonts w:hint="eastAsia" w:cs="宋体"/>
          <w:color w:val="auto"/>
          <w:sz w:val="24"/>
          <w:szCs w:val="24"/>
          <w:highlight w:val="none"/>
          <w:lang w:val="en-US" w:eastAsia="zh-CN"/>
        </w:rPr>
        <w:t>谈判小组依据评审结果，从质量和服务均能满足采购文件实质性响应要求的供应商中，按照最后报价（因落实政府采购政策进行价格扣除的，以扣除后的价格计算）由低到高的顺序向采购人推荐3家（公开招标的货物和服务项目，招标过程中提交投标文件或者经评审实质性响应采购文件要求的供应商只有2家时，经本级财政部门批准后采用竞争性谈判方式采购的可以为2家）以上成交候选供应商，并根据评审记录和评审结果编写评审报告</w:t>
      </w:r>
      <w:r>
        <w:rPr>
          <w:rFonts w:hint="eastAsia" w:ascii="宋体" w:hAnsi="宋体" w:eastAsia="宋体" w:cs="宋体"/>
          <w:color w:val="auto"/>
          <w:sz w:val="24"/>
          <w:szCs w:val="24"/>
          <w:highlight w:val="none"/>
          <w:lang w:eastAsia="zh-CN"/>
        </w:rPr>
        <w:t>。</w:t>
      </w:r>
    </w:p>
    <w:p w14:paraId="541E582F">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8.</w:t>
      </w:r>
      <w:bookmarkStart w:id="472" w:name="_Toc102116021"/>
      <w:bookmarkStart w:id="473" w:name="_Toc102119852"/>
      <w:bookmarkStart w:id="474" w:name="_Toc102116151"/>
      <w:bookmarkStart w:id="475" w:name="_Toc102056217"/>
      <w:bookmarkStart w:id="476" w:name="_Toc102114919"/>
      <w:bookmarkStart w:id="477" w:name="_Toc102057717"/>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评审报告应当由</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eastAsia="zh-CN"/>
        </w:rPr>
        <w:t>小组全体人员签字认可</w:t>
      </w:r>
      <w:r>
        <w:rPr>
          <w:rFonts w:hint="eastAsia" w:cs="Helvetica"/>
          <w:color w:val="auto"/>
          <w:szCs w:val="24"/>
          <w:highlight w:val="none"/>
          <w:lang w:val="zh-CN"/>
        </w:rPr>
        <w:t>，对自己的评审意见依法承担相应责任</w:t>
      </w:r>
      <w:r>
        <w:rPr>
          <w:rFonts w:hint="eastAsia" w:ascii="宋体" w:hAnsi="宋体" w:eastAsia="宋体" w:cs="宋体"/>
          <w:color w:val="auto"/>
          <w:sz w:val="24"/>
          <w:szCs w:val="24"/>
          <w:highlight w:val="none"/>
          <w:lang w:val="zh-CN" w:eastAsia="zh-CN"/>
        </w:rPr>
        <w:t>。</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eastAsia="zh-CN"/>
        </w:rPr>
        <w:t>小组成员对评审报告有异议的，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eastAsia="zh-CN"/>
        </w:rPr>
        <w:t>小组按照少数服从多数的原则推荐成交候选供应商，采购程序继续进行。对评审报告有异议的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eastAsia="zh-CN"/>
        </w:rPr>
        <w:t>小组成员，应当在报告上签署不同意见并说明理由，由</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eastAsia="zh-CN"/>
        </w:rPr>
        <w:t>小组书面记录相关情况。</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eastAsia="zh-CN"/>
        </w:rPr>
        <w:t>小组成员拒绝在报告上签字又不书面说明其不同意见和理由的，视为同意评审报告。</w:t>
      </w:r>
    </w:p>
    <w:p w14:paraId="25913F09">
      <w:pPr>
        <w:pStyle w:val="5"/>
        <w:keepNext w:val="0"/>
        <w:keepLines w:val="0"/>
        <w:pageBreakBefore w:val="0"/>
        <w:widowControl w:val="0"/>
        <w:numPr>
          <w:ilvl w:val="0"/>
          <w:numId w:val="0"/>
        </w:numPr>
        <w:kinsoku/>
        <w:wordWrap/>
        <w:overflowPunct/>
        <w:topLinePunct w:val="0"/>
        <w:autoSpaceDE/>
        <w:autoSpaceDN/>
        <w:bidi w:val="0"/>
        <w:adjustRightInd/>
        <w:snapToGrid/>
        <w:spacing w:before="60" w:after="60" w:line="42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78" w:name="_Toc102119853"/>
      <w:bookmarkStart w:id="479" w:name="_Toc102116022"/>
      <w:bookmarkStart w:id="480" w:name="_Toc102114920"/>
      <w:bookmarkStart w:id="481" w:name="_Toc102057718"/>
      <w:bookmarkStart w:id="482" w:name="_Toc102116152"/>
      <w:bookmarkStart w:id="483" w:name="_Toc102056218"/>
      <w:r>
        <w:rPr>
          <w:rFonts w:hint="eastAsia" w:ascii="宋体" w:hAnsi="宋体" w:eastAsia="宋体" w:cs="宋体"/>
          <w:b/>
          <w:bCs/>
          <w:color w:val="auto"/>
          <w:kern w:val="2"/>
          <w:sz w:val="24"/>
          <w:szCs w:val="24"/>
          <w:highlight w:val="none"/>
          <w:lang w:val="en-US" w:eastAsia="zh-CN" w:bidi="ar-SA"/>
        </w:rPr>
        <w:t>9.响应无效的情形</w:t>
      </w:r>
    </w:p>
    <w:p w14:paraId="21B88F58">
      <w:pPr>
        <w:keepNext w:val="0"/>
        <w:keepLines w:val="0"/>
        <w:pageBreakBefore w:val="0"/>
        <w:widowControl/>
        <w:suppressLineNumbers w:val="0"/>
        <w:kinsoku/>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9.1</w:t>
      </w:r>
      <w:r>
        <w:rPr>
          <w:rFonts w:hint="eastAsia" w:ascii="宋体" w:hAnsi="宋体" w:eastAsia="宋体" w:cs="宋体"/>
          <w:b w:val="0"/>
          <w:bCs w:val="0"/>
          <w:color w:val="auto"/>
          <w:sz w:val="24"/>
          <w:szCs w:val="24"/>
          <w:highlight w:val="none"/>
        </w:rPr>
        <w:t>供应商存在下列情况之一的，</w:t>
      </w:r>
      <w:r>
        <w:rPr>
          <w:rFonts w:hint="eastAsia" w:ascii="宋体" w:hAnsi="宋体" w:eastAsia="宋体" w:cs="宋体"/>
          <w:b w:val="0"/>
          <w:bCs w:val="0"/>
          <w:color w:val="auto"/>
          <w:sz w:val="24"/>
          <w:szCs w:val="24"/>
          <w:highlight w:val="none"/>
          <w:lang w:val="en-US" w:eastAsia="zh-CN"/>
        </w:rPr>
        <w:t>其</w:t>
      </w:r>
      <w:r>
        <w:rPr>
          <w:rFonts w:hint="eastAsia" w:ascii="宋体" w:hAnsi="宋体" w:eastAsia="宋体" w:cs="宋体"/>
          <w:b/>
          <w:bCs/>
          <w:color w:val="auto"/>
          <w:sz w:val="24"/>
          <w:szCs w:val="24"/>
          <w:highlight w:val="none"/>
          <w:lang w:val="en-US" w:eastAsia="zh-CN"/>
        </w:rPr>
        <w:t>响应</w:t>
      </w:r>
      <w:r>
        <w:rPr>
          <w:rFonts w:hint="eastAsia" w:ascii="宋体" w:hAnsi="宋体" w:eastAsia="宋体" w:cs="宋体"/>
          <w:b/>
          <w:bCs/>
          <w:color w:val="auto"/>
          <w:sz w:val="24"/>
          <w:szCs w:val="24"/>
          <w:highlight w:val="none"/>
        </w:rPr>
        <w:t>无效</w:t>
      </w:r>
      <w:r>
        <w:rPr>
          <w:rFonts w:hint="eastAsia" w:ascii="宋体" w:hAnsi="宋体" w:eastAsia="宋体" w:cs="宋体"/>
          <w:b w:val="0"/>
          <w:bCs w:val="0"/>
          <w:color w:val="auto"/>
          <w:sz w:val="24"/>
          <w:szCs w:val="24"/>
          <w:highlight w:val="none"/>
        </w:rPr>
        <w:t>：</w:t>
      </w:r>
    </w:p>
    <w:p w14:paraId="702D1A6A">
      <w:pPr>
        <w:pStyle w:val="57"/>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不同供应商的响应文件由同一单位或者个人编制；</w:t>
      </w:r>
    </w:p>
    <w:p w14:paraId="2B2A7ABE">
      <w:pPr>
        <w:pStyle w:val="57"/>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不同供应商委托同一单位或者个人办理</w:t>
      </w:r>
      <w:r>
        <w:rPr>
          <w:rFonts w:hint="eastAsia" w:ascii="宋体" w:hAnsi="宋体" w:eastAsia="宋体" w:cs="宋体"/>
          <w:b w:val="0"/>
          <w:bCs w:val="0"/>
          <w:color w:val="auto"/>
          <w:sz w:val="24"/>
          <w:szCs w:val="24"/>
          <w:highlight w:val="none"/>
          <w:lang w:val="en-US" w:eastAsia="zh-CN"/>
        </w:rPr>
        <w:t>谈判响应</w:t>
      </w:r>
      <w:r>
        <w:rPr>
          <w:rFonts w:hint="eastAsia" w:ascii="宋体" w:hAnsi="宋体" w:eastAsia="宋体" w:cs="宋体"/>
          <w:b w:val="0"/>
          <w:bCs w:val="0"/>
          <w:color w:val="auto"/>
          <w:sz w:val="24"/>
          <w:szCs w:val="24"/>
          <w:highlight w:val="none"/>
        </w:rPr>
        <w:t>事宜；</w:t>
      </w:r>
    </w:p>
    <w:p w14:paraId="4EE2FB0A">
      <w:pPr>
        <w:pStyle w:val="57"/>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不同供应商的响应文件载明的项目管理成员或者联系人员为同一人；</w:t>
      </w:r>
    </w:p>
    <w:p w14:paraId="53A78381">
      <w:pPr>
        <w:pStyle w:val="57"/>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不同供应商的响应文件异常一致或者</w:t>
      </w:r>
      <w:r>
        <w:rPr>
          <w:rFonts w:hint="eastAsia" w:ascii="宋体" w:hAnsi="宋体" w:eastAsia="宋体" w:cs="宋体"/>
          <w:b w:val="0"/>
          <w:bCs w:val="0"/>
          <w:color w:val="auto"/>
          <w:sz w:val="24"/>
          <w:szCs w:val="24"/>
          <w:highlight w:val="none"/>
          <w:lang w:val="en-US" w:eastAsia="zh-CN"/>
        </w:rPr>
        <w:t>谈判</w:t>
      </w:r>
      <w:r>
        <w:rPr>
          <w:rFonts w:hint="eastAsia" w:ascii="宋体" w:hAnsi="宋体" w:eastAsia="宋体" w:cs="宋体"/>
          <w:b w:val="0"/>
          <w:bCs w:val="0"/>
          <w:color w:val="auto"/>
          <w:sz w:val="24"/>
          <w:szCs w:val="24"/>
          <w:highlight w:val="none"/>
        </w:rPr>
        <w:t>报价呈规律性差异；</w:t>
      </w:r>
    </w:p>
    <w:p w14:paraId="60D5A539">
      <w:pPr>
        <w:pStyle w:val="57"/>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不同供应商的响应文件相互混装；</w:t>
      </w:r>
    </w:p>
    <w:p w14:paraId="2FF50D83">
      <w:pPr>
        <w:pStyle w:val="57"/>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不同供应商的</w:t>
      </w:r>
      <w:r>
        <w:rPr>
          <w:rFonts w:hint="eastAsia" w:ascii="宋体" w:hAnsi="宋体" w:eastAsia="宋体" w:cs="宋体"/>
          <w:b w:val="0"/>
          <w:bCs w:val="0"/>
          <w:color w:val="auto"/>
          <w:sz w:val="24"/>
          <w:szCs w:val="24"/>
          <w:highlight w:val="none"/>
          <w:lang w:val="en-US" w:eastAsia="zh-CN"/>
        </w:rPr>
        <w:t>谈判</w:t>
      </w:r>
      <w:r>
        <w:rPr>
          <w:rFonts w:hint="eastAsia" w:ascii="宋体" w:hAnsi="宋体" w:eastAsia="宋体" w:cs="宋体"/>
          <w:b w:val="0"/>
          <w:bCs w:val="0"/>
          <w:color w:val="auto"/>
          <w:sz w:val="24"/>
          <w:szCs w:val="24"/>
          <w:highlight w:val="none"/>
        </w:rPr>
        <w:t>保证金从同一单位或者个人的账户转出</w:t>
      </w:r>
      <w:r>
        <w:rPr>
          <w:rFonts w:hint="eastAsia" w:ascii="宋体" w:hAnsi="宋体" w:eastAsia="宋体" w:cs="宋体"/>
          <w:b w:val="0"/>
          <w:bCs w:val="0"/>
          <w:color w:val="auto"/>
          <w:sz w:val="24"/>
          <w:szCs w:val="24"/>
          <w:highlight w:val="none"/>
          <w:lang w:val="en-US" w:eastAsia="zh-CN"/>
        </w:rPr>
        <w:t>；</w:t>
      </w:r>
    </w:p>
    <w:p w14:paraId="29DA958A">
      <w:pPr>
        <w:pStyle w:val="35"/>
        <w:keepNext w:val="0"/>
        <w:keepLines w:val="0"/>
        <w:pageBreakBefore w:val="0"/>
        <w:kinsoku/>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（7）法律、法规、规章和竞争性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文件规定的其他响应无效的情形。</w:t>
      </w:r>
    </w:p>
    <w:p w14:paraId="51CFEB2F">
      <w:pPr>
        <w:pStyle w:val="57"/>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val="en-US" w:eastAsia="zh-CN"/>
        </w:rPr>
        <w:t>谈判</w:t>
      </w:r>
      <w:r>
        <w:rPr>
          <w:rFonts w:hint="eastAsia" w:ascii="宋体" w:hAnsi="宋体" w:eastAsia="宋体" w:cs="宋体"/>
          <w:b w:val="0"/>
          <w:bCs w:val="0"/>
          <w:color w:val="auto"/>
          <w:sz w:val="24"/>
          <w:szCs w:val="24"/>
          <w:highlight w:val="none"/>
        </w:rPr>
        <w:t>小组应当审查</w:t>
      </w:r>
      <w:r>
        <w:rPr>
          <w:rFonts w:hint="eastAsia" w:ascii="宋体" w:hAnsi="宋体" w:eastAsia="宋体" w:cs="宋体"/>
          <w:b w:val="0"/>
          <w:bCs w:val="0"/>
          <w:color w:val="auto"/>
          <w:sz w:val="24"/>
          <w:szCs w:val="24"/>
          <w:highlight w:val="none"/>
          <w:lang w:val="en-US" w:eastAsia="zh-CN"/>
        </w:rPr>
        <w:t>所有供应商的</w:t>
      </w:r>
      <w:r>
        <w:rPr>
          <w:rFonts w:hint="eastAsia" w:ascii="宋体" w:hAnsi="宋体" w:eastAsia="宋体" w:cs="宋体"/>
          <w:b w:val="0"/>
          <w:bCs w:val="0"/>
          <w:color w:val="auto"/>
          <w:sz w:val="24"/>
          <w:szCs w:val="24"/>
          <w:highlight w:val="none"/>
        </w:rPr>
        <w:t>响应文件是否对竞争性</w:t>
      </w:r>
      <w:r>
        <w:rPr>
          <w:rFonts w:hint="eastAsia" w:ascii="宋体" w:hAnsi="宋体" w:eastAsia="宋体" w:cs="宋体"/>
          <w:b w:val="0"/>
          <w:bCs w:val="0"/>
          <w:color w:val="auto"/>
          <w:sz w:val="24"/>
          <w:szCs w:val="24"/>
          <w:highlight w:val="none"/>
          <w:lang w:val="en-US" w:eastAsia="zh-CN"/>
        </w:rPr>
        <w:t>谈判</w:t>
      </w:r>
      <w:r>
        <w:rPr>
          <w:rFonts w:hint="eastAsia" w:ascii="宋体" w:hAnsi="宋体" w:eastAsia="宋体" w:cs="宋体"/>
          <w:b w:val="0"/>
          <w:bCs w:val="0"/>
          <w:color w:val="auto"/>
          <w:sz w:val="24"/>
          <w:szCs w:val="24"/>
          <w:highlight w:val="none"/>
        </w:rPr>
        <w:t>文件提出的所有实质性要求和条件做出响应。未能实质</w:t>
      </w:r>
      <w:r>
        <w:rPr>
          <w:rFonts w:hint="eastAsia" w:ascii="宋体" w:hAnsi="宋体" w:eastAsia="宋体" w:cs="宋体"/>
          <w:b w:val="0"/>
          <w:bCs w:val="0"/>
          <w:color w:val="auto"/>
          <w:sz w:val="24"/>
          <w:szCs w:val="24"/>
          <w:highlight w:val="none"/>
          <w:lang w:val="en-US" w:eastAsia="zh-CN"/>
        </w:rPr>
        <w:t>性</w:t>
      </w:r>
      <w:r>
        <w:rPr>
          <w:rFonts w:hint="eastAsia" w:ascii="宋体" w:hAnsi="宋体" w:eastAsia="宋体" w:cs="宋体"/>
          <w:b w:val="0"/>
          <w:bCs w:val="0"/>
          <w:color w:val="auto"/>
          <w:sz w:val="24"/>
          <w:szCs w:val="24"/>
          <w:highlight w:val="none"/>
        </w:rPr>
        <w:t>响应的</w:t>
      </w:r>
      <w:r>
        <w:rPr>
          <w:rFonts w:hint="eastAsia" w:ascii="宋体" w:hAnsi="宋体" w:eastAsia="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rPr>
        <w:t>，其</w:t>
      </w:r>
      <w:r>
        <w:rPr>
          <w:rFonts w:hint="eastAsia" w:ascii="宋体" w:hAnsi="宋体" w:eastAsia="宋体" w:cs="宋体"/>
          <w:b/>
          <w:bCs/>
          <w:color w:val="auto"/>
          <w:sz w:val="24"/>
          <w:szCs w:val="24"/>
          <w:highlight w:val="none"/>
          <w:lang w:val="en-US" w:eastAsia="zh-CN"/>
        </w:rPr>
        <w:t>响应无效</w:t>
      </w:r>
      <w:r>
        <w:rPr>
          <w:rFonts w:hint="eastAsia" w:ascii="宋体" w:hAnsi="宋体" w:eastAsia="宋体" w:cs="宋体"/>
          <w:b w:val="0"/>
          <w:bCs w:val="0"/>
          <w:color w:val="auto"/>
          <w:sz w:val="24"/>
          <w:szCs w:val="24"/>
          <w:highlight w:val="none"/>
        </w:rPr>
        <w:t>。</w:t>
      </w:r>
    </w:p>
    <w:p w14:paraId="076ED559">
      <w:pPr>
        <w:keepNext w:val="0"/>
        <w:keepLines w:val="0"/>
        <w:pageBreakBefore w:val="0"/>
        <w:widowControl/>
        <w:suppressLineNumbers w:val="0"/>
        <w:kinsoku/>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 xml:space="preserve"> 供应商不得误导、干扰</w:t>
      </w:r>
      <w:r>
        <w:rPr>
          <w:rFonts w:hint="eastAsia" w:cs="宋体"/>
          <w:b w:val="0"/>
          <w:bCs w:val="0"/>
          <w:color w:val="auto"/>
          <w:sz w:val="24"/>
          <w:szCs w:val="24"/>
          <w:highlight w:val="none"/>
          <w:lang w:val="en-US" w:eastAsia="zh-CN"/>
        </w:rPr>
        <w:t>谈判</w:t>
      </w:r>
      <w:r>
        <w:rPr>
          <w:rFonts w:hint="eastAsia" w:ascii="宋体" w:hAnsi="宋体" w:eastAsia="宋体" w:cs="宋体"/>
          <w:b w:val="0"/>
          <w:bCs w:val="0"/>
          <w:color w:val="auto"/>
          <w:sz w:val="24"/>
          <w:szCs w:val="24"/>
          <w:highlight w:val="none"/>
          <w:lang w:val="en-US" w:eastAsia="zh-CN"/>
        </w:rPr>
        <w:t>小组</w:t>
      </w:r>
      <w:r>
        <w:rPr>
          <w:rFonts w:hint="eastAsia" w:ascii="宋体" w:hAnsi="宋体" w:eastAsia="宋体" w:cs="宋体"/>
          <w:b w:val="0"/>
          <w:bCs w:val="0"/>
          <w:color w:val="auto"/>
          <w:sz w:val="24"/>
          <w:szCs w:val="24"/>
          <w:highlight w:val="none"/>
        </w:rPr>
        <w:t>的评审活动，否则其</w:t>
      </w:r>
      <w:r>
        <w:rPr>
          <w:rFonts w:hint="eastAsia" w:ascii="宋体" w:hAnsi="宋体" w:eastAsia="宋体" w:cs="宋体"/>
          <w:b/>
          <w:bCs/>
          <w:color w:val="auto"/>
          <w:sz w:val="24"/>
          <w:szCs w:val="24"/>
          <w:highlight w:val="none"/>
          <w:lang w:val="en-US" w:eastAsia="zh-CN"/>
        </w:rPr>
        <w:t>响应无效</w:t>
      </w:r>
      <w:r>
        <w:rPr>
          <w:rFonts w:hint="eastAsia" w:ascii="宋体" w:hAnsi="宋体" w:eastAsia="宋体" w:cs="宋体"/>
          <w:b w:val="0"/>
          <w:bCs w:val="0"/>
          <w:color w:val="auto"/>
          <w:sz w:val="24"/>
          <w:szCs w:val="24"/>
          <w:highlight w:val="none"/>
        </w:rPr>
        <w:t>。</w:t>
      </w:r>
    </w:p>
    <w:p w14:paraId="054A61A3">
      <w:pPr>
        <w:pStyle w:val="5"/>
        <w:keepNext w:val="0"/>
        <w:keepLines w:val="0"/>
        <w:pageBreakBefore w:val="0"/>
        <w:widowControl w:val="0"/>
        <w:numPr>
          <w:ilvl w:val="0"/>
          <w:numId w:val="0"/>
        </w:numPr>
        <w:kinsoku/>
        <w:wordWrap/>
        <w:overflowPunct/>
        <w:topLinePunct w:val="0"/>
        <w:autoSpaceDE/>
        <w:autoSpaceDN/>
        <w:bidi w:val="0"/>
        <w:adjustRightInd/>
        <w:snapToGrid/>
        <w:spacing w:before="60" w:after="60" w:line="42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10.停止评审的情形</w:t>
      </w:r>
      <w:bookmarkEnd w:id="478"/>
      <w:bookmarkEnd w:id="479"/>
      <w:bookmarkEnd w:id="480"/>
      <w:bookmarkEnd w:id="481"/>
      <w:bookmarkEnd w:id="482"/>
      <w:bookmarkEnd w:id="483"/>
    </w:p>
    <w:p w14:paraId="58A3D9D5">
      <w:pPr>
        <w:keepNext w:val="0"/>
        <w:keepLines w:val="0"/>
        <w:pageBreakBefore w:val="0"/>
        <w:widowControl w:val="0"/>
        <w:suppressLineNumbers w:val="0"/>
        <w:kinsoku/>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zh-CN" w:eastAsia="zh-CN" w:bidi="ar-SA"/>
        </w:rPr>
        <w:t>.1</w:t>
      </w:r>
      <w:r>
        <w:rPr>
          <w:rFonts w:hint="eastAsia" w:cs="宋体"/>
          <w:color w:val="auto"/>
          <w:kern w:val="2"/>
          <w:sz w:val="24"/>
          <w:szCs w:val="24"/>
          <w:highlight w:val="none"/>
          <w:lang w:val="en-US" w:eastAsia="zh-CN" w:bidi="ar-SA"/>
        </w:rPr>
        <w:t>谈判</w:t>
      </w:r>
      <w:r>
        <w:rPr>
          <w:rFonts w:hint="eastAsia" w:ascii="宋体" w:hAnsi="宋体" w:eastAsia="宋体" w:cs="宋体"/>
          <w:color w:val="auto"/>
          <w:kern w:val="2"/>
          <w:sz w:val="24"/>
          <w:szCs w:val="24"/>
          <w:highlight w:val="none"/>
          <w:lang w:val="en-US" w:eastAsia="zh-CN" w:bidi="ar-SA"/>
        </w:rPr>
        <w:t>小组在评审过程中发现供应商有行贿、提供虚假材料或者串通等违法行为的，应当及时向财政部门报告。</w:t>
      </w:r>
    </w:p>
    <w:p w14:paraId="47788DEC">
      <w:pPr>
        <w:pStyle w:val="35"/>
        <w:keepNext w:val="0"/>
        <w:keepLines w:val="0"/>
        <w:pageBreakBefore w:val="0"/>
        <w:widowControl w:val="0"/>
        <w:kinsoku/>
        <w:overflowPunct/>
        <w:topLinePunct w:val="0"/>
        <w:autoSpaceDE/>
        <w:autoSpaceDN/>
        <w:bidi w:val="0"/>
        <w:adjustRightInd/>
        <w:snapToGrid/>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10.2</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小组发现</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文件存在歧义、重大缺陷导致评审工作无法进行，或者</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文件内容违反国家有关强制性规定的，应当停止评审工作，与采购人或者采购代理机构沟通并作书面记录。采购人或者采购代理机构确认后，应当修改</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文件，重新组织采购活动。</w:t>
      </w:r>
    </w:p>
    <w:bookmarkEnd w:id="472"/>
    <w:bookmarkEnd w:id="473"/>
    <w:bookmarkEnd w:id="474"/>
    <w:bookmarkEnd w:id="475"/>
    <w:bookmarkEnd w:id="476"/>
    <w:bookmarkEnd w:id="477"/>
    <w:p w14:paraId="72A0944C">
      <w:pPr>
        <w:pStyle w:val="3"/>
        <w:keepNext w:val="0"/>
        <w:keepLines w:val="0"/>
        <w:pageBreakBefore w:val="0"/>
        <w:widowControl w:val="0"/>
        <w:numPr>
          <w:ilvl w:val="0"/>
          <w:numId w:val="0"/>
        </w:numPr>
        <w:kinsoku/>
        <w:wordWrap/>
        <w:overflowPunct/>
        <w:topLinePunct w:val="0"/>
        <w:autoSpaceDE/>
        <w:autoSpaceDN/>
        <w:bidi w:val="0"/>
        <w:adjustRightInd/>
        <w:snapToGrid/>
        <w:spacing w:before="140" w:after="140" w:line="480" w:lineRule="exact"/>
        <w:ind w:left="420" w:leftChars="0" w:hanging="420" w:firstLineChars="0"/>
        <w:textAlignment w:val="auto"/>
        <w:rPr>
          <w:rFonts w:hint="eastAsia" w:ascii="宋体" w:hAnsi="宋体" w:eastAsia="宋体" w:cs="宋体"/>
          <w:color w:val="auto"/>
          <w:sz w:val="28"/>
          <w:szCs w:val="28"/>
          <w:highlight w:val="none"/>
          <w:lang w:val="en-US" w:eastAsia="zh-CN"/>
        </w:rPr>
      </w:pPr>
      <w:bookmarkStart w:id="484" w:name="_Toc18608"/>
      <w:bookmarkStart w:id="485" w:name="_Toc22597"/>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lang w:val="zh-CN" w:eastAsia="zh-CN"/>
        </w:rPr>
        <w:t>评审</w:t>
      </w:r>
      <w:r>
        <w:rPr>
          <w:rFonts w:hint="eastAsia" w:ascii="宋体" w:hAnsi="宋体" w:eastAsia="宋体" w:cs="宋体"/>
          <w:color w:val="auto"/>
          <w:sz w:val="28"/>
          <w:szCs w:val="28"/>
          <w:highlight w:val="none"/>
          <w:lang w:val="en-US" w:eastAsia="zh-CN"/>
        </w:rPr>
        <w:t>其他要求</w:t>
      </w:r>
      <w:bookmarkEnd w:id="484"/>
      <w:bookmarkEnd w:id="485"/>
    </w:p>
    <w:p w14:paraId="3B9B7B2C">
      <w:pPr>
        <w:pStyle w:val="35"/>
        <w:keepNext w:val="0"/>
        <w:keepLines w:val="0"/>
        <w:pageBreakBefore w:val="0"/>
        <w:widowControl w:val="0"/>
        <w:kinsoku/>
        <w:overflowPunct/>
        <w:topLinePunct w:val="0"/>
        <w:autoSpaceDE/>
        <w:autoSpaceDN/>
        <w:bidi w:val="0"/>
        <w:adjustRightInd/>
        <w:snapToGrid/>
        <w:spacing w:line="440" w:lineRule="exact"/>
        <w:ind w:firstLine="480" w:firstLineChars="0"/>
        <w:textAlignment w:val="auto"/>
        <w:rPr>
          <w:rFonts w:hint="eastAsia" w:ascii="宋体" w:hAnsi="宋体" w:eastAsia="宋体" w:cs="宋体"/>
          <w:iCs/>
          <w:color w:val="auto"/>
          <w:highlight w:val="none"/>
          <w:shd w:val="clear" w:color="auto" w:fill="FFFFFF" w:themeFill="background1"/>
          <w:lang w:val="en-US" w:eastAsia="zh-CN"/>
        </w:rPr>
      </w:pPr>
      <w:r>
        <w:rPr>
          <w:rFonts w:hint="eastAsia" w:ascii="宋体" w:hAnsi="宋体" w:eastAsia="宋体" w:cs="宋体"/>
          <w:iCs/>
          <w:color w:val="auto"/>
          <w:highlight w:val="none"/>
          <w:shd w:val="clear" w:color="auto" w:fill="FFFFFF" w:themeFill="background1"/>
          <w:lang w:val="zh-CN" w:eastAsia="zh-CN"/>
        </w:rPr>
        <w:t>【</w:t>
      </w:r>
      <w:r>
        <w:rPr>
          <w:rFonts w:hint="eastAsia" w:ascii="宋体" w:hAnsi="宋体" w:eastAsia="宋体" w:cs="宋体"/>
          <w:iCs/>
          <w:color w:val="auto"/>
          <w:highlight w:val="none"/>
          <w:shd w:val="clear" w:color="auto" w:fill="FFFFFF" w:themeFill="background1"/>
          <w:lang w:val="en-US" w:eastAsia="zh-CN"/>
        </w:rPr>
        <w:t>可根据项目的情况增加上述内容中未包含的要求</w:t>
      </w:r>
      <w:r>
        <w:rPr>
          <w:rFonts w:hint="eastAsia" w:ascii="宋体" w:hAnsi="宋体" w:eastAsia="宋体" w:cs="宋体"/>
          <w:iCs/>
          <w:color w:val="auto"/>
          <w:highlight w:val="none"/>
          <w:shd w:val="clear" w:color="auto" w:fill="FFFFFF" w:themeFill="background1"/>
          <w:lang w:val="zh-CN" w:eastAsia="zh-CN"/>
        </w:rPr>
        <w:t>】</w:t>
      </w:r>
    </w:p>
    <w:p w14:paraId="65250809">
      <w:pPr>
        <w:pStyle w:val="3"/>
        <w:keepNext w:val="0"/>
        <w:keepLines w:val="0"/>
        <w:pageBreakBefore w:val="0"/>
        <w:widowControl w:val="0"/>
        <w:numPr>
          <w:ilvl w:val="0"/>
          <w:numId w:val="0"/>
        </w:numPr>
        <w:kinsoku/>
        <w:wordWrap/>
        <w:overflowPunct/>
        <w:topLinePunct w:val="0"/>
        <w:autoSpaceDE/>
        <w:autoSpaceDN/>
        <w:bidi w:val="0"/>
        <w:adjustRightInd/>
        <w:snapToGrid/>
        <w:spacing w:before="140" w:after="140" w:line="480" w:lineRule="exact"/>
        <w:ind w:left="420" w:leftChars="0" w:hanging="420" w:firstLineChars="0"/>
        <w:textAlignment w:val="auto"/>
        <w:rPr>
          <w:rFonts w:hint="eastAsia" w:ascii="宋体" w:hAnsi="宋体" w:eastAsia="宋体" w:cs="宋体"/>
          <w:color w:val="auto"/>
          <w:sz w:val="28"/>
          <w:szCs w:val="28"/>
          <w:highlight w:val="none"/>
          <w:lang w:val="zh-CN" w:eastAsia="zh-CN"/>
        </w:rPr>
      </w:pPr>
      <w:bookmarkStart w:id="486" w:name="_Toc28211"/>
      <w:bookmarkStart w:id="487" w:name="_Toc8432"/>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评审标准</w:t>
      </w:r>
      <w:bookmarkEnd w:id="486"/>
      <w:bookmarkEnd w:id="487"/>
    </w:p>
    <w:p w14:paraId="0FAE5B4D">
      <w:pPr>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zh-CN" w:eastAsia="zh-CN"/>
        </w:rPr>
        <w:br w:type="page"/>
      </w:r>
    </w:p>
    <w:p w14:paraId="50D957CF">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46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88" w:name="_Toc163493638"/>
      <w:bookmarkStart w:id="489" w:name="_Toc9052"/>
      <w:r>
        <w:rPr>
          <w:rFonts w:hint="eastAsia" w:ascii="宋体" w:hAnsi="宋体" w:eastAsia="宋体"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zh-CN" w:eastAsia="zh-CN" w:bidi="ar-SA"/>
        </w:rPr>
        <w:t>资格审查表</w:t>
      </w:r>
      <w:bookmarkEnd w:id="488"/>
      <w:bookmarkEnd w:id="489"/>
    </w:p>
    <w:tbl>
      <w:tblPr>
        <w:tblStyle w:val="28"/>
        <w:tblW w:w="54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57" w:type="dxa"/>
          <w:left w:w="108" w:type="dxa"/>
          <w:bottom w:w="57" w:type="dxa"/>
          <w:right w:w="108" w:type="dxa"/>
        </w:tblCellMar>
      </w:tblPr>
      <w:tblGrid>
        <w:gridCol w:w="822"/>
        <w:gridCol w:w="1872"/>
        <w:gridCol w:w="5165"/>
        <w:gridCol w:w="1500"/>
      </w:tblGrid>
      <w:tr w14:paraId="4C40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jc w:val="center"/>
        </w:trPr>
        <w:tc>
          <w:tcPr>
            <w:tcW w:w="439" w:type="pct"/>
            <w:shd w:val="clear" w:color="auto" w:fill="auto"/>
            <w:vAlign w:val="center"/>
          </w:tcPr>
          <w:p w14:paraId="31F150F3">
            <w:pPr>
              <w:pStyle w:val="46"/>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000" w:type="pct"/>
            <w:shd w:val="clear" w:color="auto" w:fill="auto"/>
            <w:vAlign w:val="center"/>
          </w:tcPr>
          <w:p w14:paraId="29694278">
            <w:pPr>
              <w:pStyle w:val="46"/>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审查因素</w:t>
            </w:r>
          </w:p>
        </w:tc>
        <w:tc>
          <w:tcPr>
            <w:tcW w:w="2759" w:type="pct"/>
            <w:shd w:val="clear" w:color="auto" w:fill="auto"/>
            <w:vAlign w:val="center"/>
          </w:tcPr>
          <w:p w14:paraId="635BC09B">
            <w:pPr>
              <w:pStyle w:val="46"/>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审查内容</w:t>
            </w:r>
          </w:p>
        </w:tc>
        <w:tc>
          <w:tcPr>
            <w:tcW w:w="801" w:type="pct"/>
            <w:shd w:val="clear" w:color="auto" w:fill="auto"/>
            <w:vAlign w:val="center"/>
          </w:tcPr>
          <w:p w14:paraId="6075A15A">
            <w:pPr>
              <w:pStyle w:val="46"/>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格式要求</w:t>
            </w:r>
          </w:p>
        </w:tc>
      </w:tr>
      <w:tr w14:paraId="6969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jc w:val="center"/>
        </w:trPr>
        <w:tc>
          <w:tcPr>
            <w:tcW w:w="439" w:type="pct"/>
            <w:shd w:val="clear" w:color="auto" w:fill="auto"/>
            <w:vAlign w:val="center"/>
          </w:tcPr>
          <w:p w14:paraId="636EB3B4">
            <w:pPr>
              <w:pStyle w:val="46"/>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1000" w:type="pct"/>
            <w:shd w:val="clear" w:color="auto" w:fill="auto"/>
            <w:vAlign w:val="center"/>
          </w:tcPr>
          <w:p w14:paraId="4DBD5590">
            <w:pPr>
              <w:pStyle w:val="46"/>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具有独立承担民事责任的能力</w:t>
            </w:r>
          </w:p>
        </w:tc>
        <w:tc>
          <w:tcPr>
            <w:tcW w:w="2759" w:type="pct"/>
            <w:shd w:val="clear" w:color="auto" w:fill="auto"/>
            <w:vAlign w:val="center"/>
          </w:tcPr>
          <w:p w14:paraId="2462A70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投标人为企业（包括合伙企业）的，应提供有效的“营业执照”； </w:t>
            </w:r>
          </w:p>
          <w:p w14:paraId="76B4C15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投标人为事业单位的，应提供有效的“事业单位法人证书” ； </w:t>
            </w:r>
          </w:p>
          <w:p w14:paraId="2F5321C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投标人是非企业机构的，应提供有效的“执业许可证”、“登记证书”等证明文件； </w:t>
            </w:r>
          </w:p>
          <w:p w14:paraId="33FFC30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投标人是个体工商户的，应提供有效的“个体工商户营业执照”； </w:t>
            </w:r>
          </w:p>
          <w:p w14:paraId="0CD6CCC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11"/>
                <w:kern w:val="0"/>
                <w:sz w:val="24"/>
                <w:szCs w:val="24"/>
                <w:highlight w:val="none"/>
                <w:lang w:val="en-US" w:eastAsia="zh-CN" w:bidi="ar"/>
              </w:rPr>
              <w:t>投标人是自然人的，应提供有效的自然人身份证明。</w:t>
            </w:r>
          </w:p>
        </w:tc>
        <w:tc>
          <w:tcPr>
            <w:tcW w:w="801" w:type="pct"/>
            <w:shd w:val="clear" w:color="auto" w:fill="auto"/>
            <w:vAlign w:val="center"/>
          </w:tcPr>
          <w:p w14:paraId="24AF559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提供证明文件的电子件或电子证照</w:t>
            </w:r>
          </w:p>
        </w:tc>
      </w:tr>
      <w:tr w14:paraId="26E7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jc w:val="center"/>
        </w:trPr>
        <w:tc>
          <w:tcPr>
            <w:tcW w:w="439" w:type="pct"/>
            <w:shd w:val="clear" w:color="auto" w:fill="auto"/>
            <w:vAlign w:val="center"/>
          </w:tcPr>
          <w:p w14:paraId="1AF8CF7F">
            <w:pPr>
              <w:pStyle w:val="46"/>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2</w:t>
            </w:r>
          </w:p>
        </w:tc>
        <w:tc>
          <w:tcPr>
            <w:tcW w:w="1000" w:type="pct"/>
            <w:shd w:val="clear" w:color="auto" w:fill="auto"/>
            <w:vAlign w:val="center"/>
          </w:tcPr>
          <w:p w14:paraId="055CD5DC">
            <w:pPr>
              <w:pStyle w:val="46"/>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具有良好的商业信誉和健全的财务会计制度</w:t>
            </w:r>
          </w:p>
        </w:tc>
        <w:tc>
          <w:tcPr>
            <w:tcW w:w="2759" w:type="pct"/>
            <w:shd w:val="clear" w:color="auto" w:fill="auto"/>
            <w:vAlign w:val="center"/>
          </w:tcPr>
          <w:p w14:paraId="3CB6034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提供</w:t>
            </w:r>
            <w:r>
              <w:rPr>
                <w:rFonts w:hint="eastAsia" w:cs="宋体"/>
                <w:color w:val="auto"/>
                <w:spacing w:val="-6"/>
                <w:sz w:val="24"/>
                <w:szCs w:val="24"/>
                <w:highlight w:val="none"/>
                <w:lang w:val="en-US" w:eastAsia="zh-CN"/>
              </w:rPr>
              <w:t>2025年</w:t>
            </w:r>
            <w:r>
              <w:rPr>
                <w:rFonts w:hint="eastAsia" w:ascii="宋体" w:hAnsi="宋体" w:eastAsia="宋体" w:cs="宋体"/>
                <w:color w:val="auto"/>
                <w:spacing w:val="-6"/>
                <w:sz w:val="24"/>
                <w:szCs w:val="24"/>
                <w:highlight w:val="none"/>
                <w:lang w:val="en-US" w:eastAsia="zh-CN"/>
              </w:rPr>
              <w:t>度经审计财务报告或财务报表（包括资产负债表、利润表、现金流量表）或</w:t>
            </w:r>
            <w:r>
              <w:rPr>
                <w:rFonts w:hint="eastAsia" w:cs="宋体"/>
                <w:color w:val="auto"/>
                <w:spacing w:val="-6"/>
                <w:sz w:val="24"/>
                <w:szCs w:val="24"/>
                <w:highlight w:val="none"/>
                <w:lang w:val="en-US" w:eastAsia="zh-CN"/>
              </w:rPr>
              <w:t>投标截止日前三个月内</w:t>
            </w:r>
            <w:r>
              <w:rPr>
                <w:rFonts w:hint="eastAsia" w:ascii="宋体" w:hAnsi="宋体" w:eastAsia="宋体" w:cs="宋体"/>
                <w:color w:val="auto"/>
                <w:spacing w:val="-6"/>
                <w:sz w:val="24"/>
                <w:szCs w:val="24"/>
                <w:highlight w:val="none"/>
                <w:lang w:val="en-US" w:eastAsia="zh-CN"/>
              </w:rPr>
              <w:t>开户银行出具的资信证明；供应商成立时间少于该规定时限的，提供成立至今的材料；</w:t>
            </w:r>
          </w:p>
        </w:tc>
        <w:tc>
          <w:tcPr>
            <w:tcW w:w="801" w:type="pct"/>
            <w:shd w:val="clear" w:color="auto" w:fill="auto"/>
            <w:vAlign w:val="center"/>
          </w:tcPr>
          <w:p w14:paraId="60CD4B8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提供证明文件的电子件或电子证照</w:t>
            </w:r>
          </w:p>
        </w:tc>
      </w:tr>
      <w:tr w14:paraId="5270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jc w:val="center"/>
        </w:trPr>
        <w:tc>
          <w:tcPr>
            <w:tcW w:w="439" w:type="pct"/>
            <w:shd w:val="clear" w:color="auto" w:fill="auto"/>
            <w:vAlign w:val="center"/>
          </w:tcPr>
          <w:p w14:paraId="124E7CC2">
            <w:pPr>
              <w:pStyle w:val="46"/>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3</w:t>
            </w:r>
          </w:p>
        </w:tc>
        <w:tc>
          <w:tcPr>
            <w:tcW w:w="1000" w:type="pct"/>
            <w:shd w:val="clear" w:color="auto" w:fill="auto"/>
            <w:vAlign w:val="center"/>
          </w:tcPr>
          <w:p w14:paraId="314CB701">
            <w:pPr>
              <w:pStyle w:val="46"/>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具有履行合同所必需的设备和专业技术能力</w:t>
            </w:r>
          </w:p>
        </w:tc>
        <w:tc>
          <w:tcPr>
            <w:tcW w:w="2759" w:type="pct"/>
            <w:shd w:val="clear" w:color="auto" w:fill="auto"/>
            <w:vAlign w:val="center"/>
          </w:tcPr>
          <w:p w14:paraId="5D3891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11"/>
                <w:kern w:val="0"/>
                <w:sz w:val="24"/>
                <w:szCs w:val="24"/>
                <w:highlight w:val="none"/>
                <w:lang w:val="en-US" w:eastAsia="zh-CN" w:bidi="ar"/>
              </w:rPr>
            </w:pPr>
            <w:r>
              <w:rPr>
                <w:rFonts w:hint="eastAsia" w:ascii="宋体" w:hAnsi="宋体" w:eastAsia="宋体" w:cs="宋体"/>
                <w:color w:val="auto"/>
                <w:spacing w:val="-11"/>
                <w:kern w:val="0"/>
                <w:sz w:val="24"/>
                <w:szCs w:val="24"/>
                <w:highlight w:val="none"/>
                <w:lang w:val="en-US" w:eastAsia="zh-CN" w:bidi="ar"/>
              </w:rPr>
              <w:t>提供书面声明</w:t>
            </w:r>
            <w:r>
              <w:rPr>
                <w:rFonts w:hint="eastAsia" w:cs="宋体"/>
                <w:color w:val="auto"/>
                <w:spacing w:val="-11"/>
                <w:kern w:val="0"/>
                <w:sz w:val="24"/>
                <w:szCs w:val="24"/>
                <w:highlight w:val="none"/>
                <w:lang w:val="en-US" w:eastAsia="zh-CN" w:bidi="ar"/>
              </w:rPr>
              <w:t>；</w:t>
            </w:r>
          </w:p>
        </w:tc>
        <w:tc>
          <w:tcPr>
            <w:tcW w:w="801" w:type="pct"/>
            <w:shd w:val="clear" w:color="auto" w:fill="auto"/>
            <w:vAlign w:val="center"/>
          </w:tcPr>
          <w:p w14:paraId="1A7C719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格式见《第七章 投标文件格式》</w:t>
            </w:r>
          </w:p>
        </w:tc>
      </w:tr>
      <w:tr w14:paraId="5486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836" w:hRule="atLeast"/>
          <w:jc w:val="center"/>
        </w:trPr>
        <w:tc>
          <w:tcPr>
            <w:tcW w:w="439" w:type="pct"/>
            <w:shd w:val="clear" w:color="auto" w:fill="auto"/>
            <w:vAlign w:val="center"/>
          </w:tcPr>
          <w:p w14:paraId="1B6B10C6">
            <w:pPr>
              <w:pStyle w:val="46"/>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4</w:t>
            </w:r>
          </w:p>
        </w:tc>
        <w:tc>
          <w:tcPr>
            <w:tcW w:w="1000" w:type="pct"/>
            <w:shd w:val="clear" w:color="auto" w:fill="auto"/>
            <w:vAlign w:val="center"/>
          </w:tcPr>
          <w:p w14:paraId="1BD0E12D">
            <w:pPr>
              <w:pStyle w:val="46"/>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有依法缴纳税收和社会保障资金的良好记录</w:t>
            </w:r>
          </w:p>
        </w:tc>
        <w:tc>
          <w:tcPr>
            <w:tcW w:w="2759" w:type="pct"/>
            <w:shd w:val="clear" w:color="auto" w:fill="auto"/>
            <w:vAlign w:val="center"/>
          </w:tcPr>
          <w:p w14:paraId="041E784F">
            <w:pPr>
              <w:pStyle w:val="46"/>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提供近</w:t>
            </w:r>
            <w:r>
              <w:rPr>
                <w:rFonts w:hint="eastAsia" w:cs="宋体"/>
                <w:color w:val="auto"/>
                <w:sz w:val="24"/>
                <w:szCs w:val="24"/>
                <w:highlight w:val="none"/>
                <w:lang w:val="en-US" w:eastAsia="zh-CN"/>
              </w:rPr>
              <w:t>近一年</w:t>
            </w:r>
            <w:r>
              <w:rPr>
                <w:rFonts w:hint="eastAsia" w:ascii="宋体" w:hAnsi="宋体" w:eastAsia="宋体" w:cs="宋体"/>
                <w:color w:val="auto"/>
                <w:sz w:val="24"/>
                <w:szCs w:val="24"/>
                <w:highlight w:val="none"/>
                <w:lang w:val="en-US" w:eastAsia="zh-CN"/>
              </w:rPr>
              <w:t xml:space="preserve">任一个月缴纳税收的凭据以及缴纳社会保险的凭据（专用收据或社会保险缴纳清单）；依法免税或不需要缴纳社会保障资金的供应商，提供相应文件证明。供应商成立时间少于该规定时限的，提供成立至今的材料原件复印件； </w:t>
            </w:r>
          </w:p>
        </w:tc>
        <w:tc>
          <w:tcPr>
            <w:tcW w:w="801" w:type="pct"/>
            <w:shd w:val="clear" w:color="auto" w:fill="auto"/>
            <w:vAlign w:val="center"/>
          </w:tcPr>
          <w:p w14:paraId="1422A2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提供证明文件的电子件或电子证照</w:t>
            </w:r>
          </w:p>
        </w:tc>
      </w:tr>
      <w:tr w14:paraId="70F7C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36" w:hRule="atLeast"/>
          <w:jc w:val="center"/>
        </w:trPr>
        <w:tc>
          <w:tcPr>
            <w:tcW w:w="439" w:type="pct"/>
            <w:shd w:val="clear" w:color="auto" w:fill="auto"/>
            <w:vAlign w:val="center"/>
          </w:tcPr>
          <w:p w14:paraId="0ED6E819">
            <w:pPr>
              <w:pStyle w:val="46"/>
              <w:keepNext w:val="0"/>
              <w:keepLines w:val="0"/>
              <w:pageBreakBefore w:val="0"/>
              <w:kinsoku/>
              <w:wordWrap/>
              <w:overflowPunct/>
              <w:topLinePunct w:val="0"/>
              <w:autoSpaceDE/>
              <w:autoSpaceDN/>
              <w:bidi w:val="0"/>
              <w:adjustRightInd/>
              <w:snapToGrid/>
              <w:jc w:val="center"/>
              <w:textAlignment w:val="auto"/>
              <w:rPr>
                <w:rFonts w:hint="default" w:cs="宋体"/>
                <w:b/>
                <w:bCs/>
                <w:color w:val="auto"/>
                <w:sz w:val="24"/>
                <w:szCs w:val="24"/>
                <w:highlight w:val="none"/>
                <w:lang w:val="en-US" w:eastAsia="zh-CN"/>
              </w:rPr>
            </w:pPr>
            <w:r>
              <w:rPr>
                <w:rFonts w:hint="eastAsia" w:cs="宋体"/>
                <w:b/>
                <w:bCs/>
                <w:color w:val="auto"/>
                <w:sz w:val="24"/>
                <w:szCs w:val="24"/>
                <w:highlight w:val="none"/>
                <w:lang w:val="en-US" w:eastAsia="zh-CN"/>
              </w:rPr>
              <w:t>5</w:t>
            </w:r>
          </w:p>
        </w:tc>
        <w:tc>
          <w:tcPr>
            <w:tcW w:w="1000" w:type="pct"/>
            <w:shd w:val="clear" w:color="auto" w:fill="auto"/>
            <w:vAlign w:val="center"/>
          </w:tcPr>
          <w:p w14:paraId="6DD47066">
            <w:pPr>
              <w:pStyle w:val="46"/>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参加政府采购活动前三年内，在 经营活动中没有重大违法记录</w:t>
            </w:r>
          </w:p>
        </w:tc>
        <w:tc>
          <w:tcPr>
            <w:tcW w:w="2759" w:type="pct"/>
            <w:shd w:val="clear" w:color="auto" w:fill="auto"/>
            <w:vAlign w:val="center"/>
          </w:tcPr>
          <w:p w14:paraId="6B7F4B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11"/>
                <w:kern w:val="0"/>
                <w:sz w:val="24"/>
                <w:szCs w:val="24"/>
                <w:highlight w:val="none"/>
                <w:lang w:val="en-US" w:eastAsia="zh-CN" w:bidi="ar"/>
              </w:rPr>
              <w:t>提供书面声明</w:t>
            </w:r>
            <w:r>
              <w:rPr>
                <w:rFonts w:hint="eastAsia" w:cs="宋体"/>
                <w:color w:val="auto"/>
                <w:spacing w:val="-11"/>
                <w:kern w:val="0"/>
                <w:sz w:val="24"/>
                <w:szCs w:val="24"/>
                <w:highlight w:val="none"/>
                <w:lang w:val="en-US" w:eastAsia="zh-CN" w:bidi="ar"/>
              </w:rPr>
              <w:t>；</w:t>
            </w:r>
          </w:p>
        </w:tc>
        <w:tc>
          <w:tcPr>
            <w:tcW w:w="801" w:type="pct"/>
            <w:shd w:val="clear" w:color="auto" w:fill="auto"/>
            <w:vAlign w:val="center"/>
          </w:tcPr>
          <w:p w14:paraId="197C08D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格式见《第七章 投标文件格式》</w:t>
            </w:r>
          </w:p>
        </w:tc>
      </w:tr>
      <w:tr w14:paraId="28276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36" w:hRule="atLeast"/>
          <w:jc w:val="center"/>
        </w:trPr>
        <w:tc>
          <w:tcPr>
            <w:tcW w:w="439" w:type="pct"/>
            <w:shd w:val="clear" w:color="auto" w:fill="auto"/>
            <w:vAlign w:val="center"/>
          </w:tcPr>
          <w:p w14:paraId="680B90A2">
            <w:pPr>
              <w:pStyle w:val="46"/>
              <w:keepNext w:val="0"/>
              <w:keepLines w:val="0"/>
              <w:pageBreakBefore w:val="0"/>
              <w:kinsoku/>
              <w:wordWrap/>
              <w:overflowPunct/>
              <w:topLinePunct w:val="0"/>
              <w:autoSpaceDE/>
              <w:autoSpaceDN/>
              <w:bidi w:val="0"/>
              <w:adjustRightInd/>
              <w:snapToGrid/>
              <w:jc w:val="center"/>
              <w:textAlignment w:val="auto"/>
              <w:rPr>
                <w:rFonts w:hint="default" w:cs="宋体"/>
                <w:b/>
                <w:bCs/>
                <w:color w:val="auto"/>
                <w:sz w:val="24"/>
                <w:szCs w:val="24"/>
                <w:highlight w:val="none"/>
                <w:lang w:val="en-US" w:eastAsia="zh-CN"/>
              </w:rPr>
            </w:pPr>
            <w:r>
              <w:rPr>
                <w:rFonts w:hint="eastAsia" w:cs="宋体"/>
                <w:b/>
                <w:bCs/>
                <w:color w:val="auto"/>
                <w:sz w:val="24"/>
                <w:szCs w:val="24"/>
                <w:highlight w:val="none"/>
                <w:lang w:val="en-US" w:eastAsia="zh-CN"/>
              </w:rPr>
              <w:t>6</w:t>
            </w:r>
          </w:p>
        </w:tc>
        <w:tc>
          <w:tcPr>
            <w:tcW w:w="1000" w:type="pct"/>
            <w:shd w:val="clear" w:color="auto" w:fill="auto"/>
            <w:vAlign w:val="center"/>
          </w:tcPr>
          <w:p w14:paraId="525D4A4E">
            <w:pPr>
              <w:pStyle w:val="46"/>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落实政府采购政策需满足的资格要求</w:t>
            </w:r>
          </w:p>
        </w:tc>
        <w:tc>
          <w:tcPr>
            <w:tcW w:w="2759" w:type="pct"/>
            <w:shd w:val="clear" w:color="auto" w:fill="auto"/>
            <w:vAlign w:val="center"/>
          </w:tcPr>
          <w:p w14:paraId="200F5DC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11"/>
                <w:kern w:val="0"/>
                <w:sz w:val="24"/>
                <w:szCs w:val="24"/>
                <w:highlight w:val="none"/>
                <w:lang w:val="en-US" w:eastAsia="zh-CN" w:bidi="ar"/>
              </w:rPr>
            </w:pPr>
            <w:r>
              <w:rPr>
                <w:rFonts w:hint="eastAsia" w:ascii="宋体" w:hAnsi="宋体" w:eastAsia="宋体" w:cs="宋体"/>
                <w:color w:val="auto"/>
                <w:spacing w:val="-11"/>
                <w:kern w:val="0"/>
                <w:sz w:val="24"/>
                <w:szCs w:val="24"/>
                <w:highlight w:val="none"/>
                <w:lang w:val="en-US" w:eastAsia="zh-CN" w:bidi="ar"/>
              </w:rPr>
              <w:t>提供“中小企业声明函”或“残疾人福利性单位声明函”或由省级以上监狱管理局、戒毒管理局（含新疆生产建设兵团）出具的属于监狱企业的证明文件。</w:t>
            </w:r>
          </w:p>
        </w:tc>
        <w:tc>
          <w:tcPr>
            <w:tcW w:w="801" w:type="pct"/>
            <w:shd w:val="clear" w:color="auto" w:fill="auto"/>
            <w:vAlign w:val="center"/>
          </w:tcPr>
          <w:p w14:paraId="2E9BFEE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格式见《第七章 投标文件格式》</w:t>
            </w:r>
          </w:p>
        </w:tc>
      </w:tr>
      <w:tr w14:paraId="41CD1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836" w:hRule="atLeast"/>
          <w:jc w:val="center"/>
        </w:trPr>
        <w:tc>
          <w:tcPr>
            <w:tcW w:w="439" w:type="pct"/>
            <w:shd w:val="clear" w:color="auto" w:fill="auto"/>
            <w:vAlign w:val="center"/>
          </w:tcPr>
          <w:p w14:paraId="263FA4A6">
            <w:pPr>
              <w:pStyle w:val="46"/>
              <w:keepNext w:val="0"/>
              <w:keepLines w:val="0"/>
              <w:pageBreakBefore w:val="0"/>
              <w:kinsoku/>
              <w:wordWrap/>
              <w:overflowPunct/>
              <w:topLinePunct w:val="0"/>
              <w:autoSpaceDE/>
              <w:autoSpaceDN/>
              <w:bidi w:val="0"/>
              <w:adjustRightInd/>
              <w:snapToGrid/>
              <w:jc w:val="center"/>
              <w:textAlignment w:val="auto"/>
              <w:rPr>
                <w:rFonts w:hint="default" w:cs="宋体"/>
                <w:b/>
                <w:bCs/>
                <w:color w:val="auto"/>
                <w:sz w:val="24"/>
                <w:szCs w:val="24"/>
                <w:highlight w:val="none"/>
                <w:lang w:val="en-US" w:eastAsia="zh-CN"/>
              </w:rPr>
            </w:pPr>
            <w:r>
              <w:rPr>
                <w:rFonts w:hint="eastAsia" w:cs="宋体"/>
                <w:b/>
                <w:bCs/>
                <w:color w:val="auto"/>
                <w:sz w:val="24"/>
                <w:szCs w:val="24"/>
                <w:highlight w:val="none"/>
                <w:lang w:val="en-US" w:eastAsia="zh-CN"/>
              </w:rPr>
              <w:t>7</w:t>
            </w:r>
          </w:p>
        </w:tc>
        <w:tc>
          <w:tcPr>
            <w:tcW w:w="1000" w:type="pct"/>
            <w:shd w:val="clear" w:color="auto" w:fill="auto"/>
            <w:vAlign w:val="center"/>
          </w:tcPr>
          <w:p w14:paraId="340E0829">
            <w:pPr>
              <w:pStyle w:val="46"/>
              <w:keepNext w:val="0"/>
              <w:keepLines w:val="0"/>
              <w:pageBreakBefore w:val="0"/>
              <w:kinsoku/>
              <w:wordWrap/>
              <w:overflowPunct/>
              <w:topLinePunct w:val="0"/>
              <w:autoSpaceDE/>
              <w:autoSpaceDN/>
              <w:bidi w:val="0"/>
              <w:adjustRightInd/>
              <w:snapToGrid/>
              <w:spacing w:line="280" w:lineRule="exact"/>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其他要求</w:t>
            </w:r>
          </w:p>
        </w:tc>
        <w:tc>
          <w:tcPr>
            <w:tcW w:w="2759" w:type="pct"/>
            <w:shd w:val="clear" w:color="auto" w:fill="auto"/>
            <w:vAlign w:val="center"/>
          </w:tcPr>
          <w:p w14:paraId="3F09155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11"/>
                <w:kern w:val="0"/>
                <w:sz w:val="24"/>
                <w:szCs w:val="24"/>
                <w:highlight w:val="none"/>
                <w:lang w:val="en-US" w:eastAsia="zh-CN" w:bidi="ar"/>
              </w:rPr>
            </w:pPr>
            <w:r>
              <w:rPr>
                <w:rFonts w:hint="eastAsia" w:ascii="宋体" w:hAnsi="宋体" w:eastAsia="宋体" w:cs="宋体"/>
                <w:color w:val="auto"/>
                <w:spacing w:val="-11"/>
                <w:kern w:val="0"/>
                <w:sz w:val="24"/>
                <w:szCs w:val="24"/>
                <w:highlight w:val="none"/>
                <w:lang w:val="en-US" w:eastAsia="zh-CN" w:bidi="ar"/>
              </w:rPr>
              <w:t>提供</w:t>
            </w:r>
            <w:r>
              <w:rPr>
                <w:rFonts w:hint="eastAsia" w:ascii="宋体" w:hAnsi="宋体" w:eastAsia="宋体" w:cs="宋体"/>
                <w:color w:val="auto"/>
                <w:sz w:val="24"/>
                <w:szCs w:val="24"/>
                <w:lang w:val="en-US" w:eastAsia="zh-CN"/>
              </w:rPr>
              <w:t>法定代表人或单位负责人为同一人或者存在直接控股、管理关系</w:t>
            </w:r>
            <w:r>
              <w:rPr>
                <w:rFonts w:hint="eastAsia" w:ascii="宋体" w:hAnsi="宋体" w:eastAsia="宋体" w:cs="宋体"/>
                <w:color w:val="auto"/>
                <w:spacing w:val="-11"/>
                <w:kern w:val="0"/>
                <w:sz w:val="24"/>
                <w:szCs w:val="24"/>
                <w:highlight w:val="none"/>
                <w:lang w:val="en-US" w:eastAsia="zh-CN" w:bidi="ar"/>
              </w:rPr>
              <w:t>的书面声明；</w:t>
            </w:r>
          </w:p>
        </w:tc>
        <w:tc>
          <w:tcPr>
            <w:tcW w:w="801" w:type="pct"/>
            <w:shd w:val="clear" w:color="auto" w:fill="auto"/>
            <w:vAlign w:val="center"/>
          </w:tcPr>
          <w:p w14:paraId="3CB242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《格式自拟》</w:t>
            </w:r>
          </w:p>
        </w:tc>
      </w:tr>
      <w:tr w14:paraId="0881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254" w:hRule="atLeast"/>
          <w:jc w:val="center"/>
        </w:trPr>
        <w:tc>
          <w:tcPr>
            <w:tcW w:w="439" w:type="pct"/>
            <w:shd w:val="clear" w:color="auto" w:fill="auto"/>
            <w:vAlign w:val="center"/>
          </w:tcPr>
          <w:p w14:paraId="0A4E48AD">
            <w:pPr>
              <w:pStyle w:val="46"/>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8</w:t>
            </w:r>
          </w:p>
        </w:tc>
        <w:tc>
          <w:tcPr>
            <w:tcW w:w="1000" w:type="pct"/>
            <w:shd w:val="clear" w:color="auto" w:fill="auto"/>
            <w:vAlign w:val="center"/>
          </w:tcPr>
          <w:p w14:paraId="6F347850">
            <w:pPr>
              <w:pStyle w:val="46"/>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投标人信用记录</w:t>
            </w:r>
          </w:p>
        </w:tc>
        <w:tc>
          <w:tcPr>
            <w:tcW w:w="2759" w:type="pct"/>
            <w:shd w:val="clear" w:color="auto" w:fill="auto"/>
            <w:vAlign w:val="center"/>
          </w:tcPr>
          <w:p w14:paraId="4D80C0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11"/>
                <w:kern w:val="0"/>
                <w:sz w:val="24"/>
                <w:szCs w:val="24"/>
                <w:highlight w:val="none"/>
                <w:lang w:val="en-US" w:eastAsia="zh-CN" w:bidi="ar"/>
              </w:rPr>
            </w:pPr>
            <w:r>
              <w:rPr>
                <w:rFonts w:hint="eastAsia" w:ascii="宋体" w:hAnsi="宋体" w:eastAsia="宋体" w:cs="宋体"/>
                <w:color w:val="auto"/>
                <w:spacing w:val="-11"/>
                <w:kern w:val="0"/>
                <w:sz w:val="24"/>
                <w:szCs w:val="24"/>
                <w:highlight w:val="none"/>
                <w:lang w:val="en-US" w:eastAsia="zh-CN" w:bidi="ar"/>
              </w:rPr>
              <w:t xml:space="preserve">查询渠道：信用中国网站和中国政府采购网; </w:t>
            </w:r>
          </w:p>
          <w:p w14:paraId="496D125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11"/>
                <w:kern w:val="0"/>
                <w:sz w:val="24"/>
                <w:szCs w:val="24"/>
                <w:highlight w:val="none"/>
                <w:lang w:val="en-US" w:eastAsia="zh-CN" w:bidi="ar"/>
              </w:rPr>
            </w:pPr>
            <w:r>
              <w:rPr>
                <w:rFonts w:hint="eastAsia" w:ascii="宋体" w:hAnsi="宋体" w:eastAsia="宋体" w:cs="宋体"/>
                <w:color w:val="auto"/>
                <w:spacing w:val="-11"/>
                <w:kern w:val="0"/>
                <w:sz w:val="24"/>
                <w:szCs w:val="24"/>
                <w:highlight w:val="none"/>
                <w:lang w:val="en-US" w:eastAsia="zh-CN" w:bidi="ar"/>
              </w:rPr>
              <w:t xml:space="preserve">截止时点：投标截止时间以后，谈判小组的实际查询时间； </w:t>
            </w:r>
          </w:p>
          <w:p w14:paraId="2F28F46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11"/>
                <w:kern w:val="0"/>
                <w:sz w:val="24"/>
                <w:szCs w:val="24"/>
                <w:highlight w:val="none"/>
                <w:lang w:val="en-US" w:eastAsia="zh-CN" w:bidi="ar"/>
              </w:rPr>
            </w:pPr>
            <w:r>
              <w:rPr>
                <w:rFonts w:hint="eastAsia" w:ascii="宋体" w:hAnsi="宋体" w:eastAsia="宋体" w:cs="宋体"/>
                <w:color w:val="auto"/>
                <w:spacing w:val="-11"/>
                <w:kern w:val="0"/>
                <w:sz w:val="24"/>
                <w:szCs w:val="24"/>
                <w:highlight w:val="none"/>
                <w:lang w:val="en-US" w:eastAsia="zh-CN" w:bidi="ar"/>
              </w:rPr>
              <w:t xml:space="preserve">信用信息查询记录和证据留存具体方式：查询结果网页打印页作为查询记录和证据，与其他采购文件一并保存； </w:t>
            </w:r>
          </w:p>
          <w:p w14:paraId="1A0058F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11"/>
                <w:kern w:val="0"/>
                <w:sz w:val="24"/>
                <w:szCs w:val="24"/>
                <w:highlight w:val="none"/>
                <w:lang w:val="en-US" w:eastAsia="zh-CN" w:bidi="ar"/>
              </w:rPr>
              <w:t>信用信息的使用原则：经认定的被列入失信被执行人、重大税收违法失信主体、政府采购严重违法失信行为记录名单的投标人，其投标无效。联合体形式投标的，联合体成员存在不良信用记录，视同联合体存在不良信用记录。</w:t>
            </w:r>
          </w:p>
        </w:tc>
        <w:tc>
          <w:tcPr>
            <w:tcW w:w="801" w:type="pct"/>
            <w:shd w:val="clear" w:color="auto" w:fill="auto"/>
            <w:vAlign w:val="center"/>
          </w:tcPr>
          <w:p w14:paraId="41CEE03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无须</w:t>
            </w:r>
            <w:r>
              <w:rPr>
                <w:rFonts w:hint="eastAsia" w:cs="宋体"/>
                <w:color w:val="auto"/>
                <w:kern w:val="0"/>
                <w:sz w:val="24"/>
                <w:szCs w:val="24"/>
                <w:highlight w:val="none"/>
                <w:lang w:val="en-US" w:eastAsia="zh-CN" w:bidi="ar"/>
              </w:rPr>
              <w:t>供应商</w:t>
            </w:r>
            <w:r>
              <w:rPr>
                <w:rFonts w:hint="eastAsia" w:ascii="宋体" w:hAnsi="宋体" w:eastAsia="宋体" w:cs="宋体"/>
                <w:color w:val="auto"/>
                <w:kern w:val="0"/>
                <w:sz w:val="24"/>
                <w:szCs w:val="24"/>
                <w:highlight w:val="none"/>
                <w:lang w:val="en-US" w:eastAsia="zh-CN" w:bidi="ar"/>
              </w:rPr>
              <w:t>提供，由</w:t>
            </w:r>
            <w:r>
              <w:rPr>
                <w:rFonts w:hint="eastAsia" w:ascii="宋体" w:hAnsi="宋体" w:eastAsia="宋体" w:cs="宋体"/>
                <w:color w:val="auto"/>
                <w:spacing w:val="-11"/>
                <w:kern w:val="0"/>
                <w:sz w:val="24"/>
                <w:szCs w:val="24"/>
                <w:highlight w:val="none"/>
                <w:lang w:val="en-US" w:eastAsia="zh-CN" w:bidi="ar"/>
              </w:rPr>
              <w:t>谈判小组</w:t>
            </w:r>
            <w:r>
              <w:rPr>
                <w:rFonts w:hint="eastAsia" w:ascii="宋体" w:hAnsi="宋体" w:eastAsia="宋体" w:cs="宋体"/>
                <w:color w:val="auto"/>
                <w:kern w:val="0"/>
                <w:sz w:val="24"/>
                <w:szCs w:val="24"/>
                <w:highlight w:val="none"/>
                <w:lang w:val="en-US" w:eastAsia="zh-CN" w:bidi="ar"/>
              </w:rPr>
              <w:t>查询。</w:t>
            </w:r>
          </w:p>
          <w:p w14:paraId="0D14032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p>
        </w:tc>
      </w:tr>
    </w:tbl>
    <w:p w14:paraId="6B55D4AC">
      <w:pPr>
        <w:rPr>
          <w:rFonts w:hint="eastAsia" w:ascii="宋体" w:hAnsi="宋体" w:eastAsia="宋体" w:cs="宋体"/>
          <w:b/>
          <w:bCs/>
          <w:color w:val="auto"/>
          <w:kern w:val="2"/>
          <w:sz w:val="24"/>
          <w:szCs w:val="24"/>
          <w:highlight w:val="none"/>
          <w:lang w:val="zh-CN" w:eastAsia="zh-CN" w:bidi="ar-SA"/>
        </w:rPr>
      </w:pPr>
    </w:p>
    <w:p w14:paraId="1C79E11B">
      <w:pPr>
        <w:rPr>
          <w:b/>
          <w:bCs/>
          <w:color w:val="auto"/>
          <w:sz w:val="21"/>
          <w:szCs w:val="21"/>
          <w:highlight w:val="none"/>
        </w:rPr>
      </w:pPr>
      <w:bookmarkStart w:id="490" w:name="_Toc156490348"/>
      <w:r>
        <w:rPr>
          <w:rFonts w:hint="eastAsia"/>
          <w:b/>
          <w:bCs/>
          <w:color w:val="auto"/>
          <w:sz w:val="21"/>
          <w:szCs w:val="21"/>
          <w:highlight w:val="none"/>
        </w:rPr>
        <w:t>备注：</w:t>
      </w:r>
    </w:p>
    <w:p w14:paraId="509818B3">
      <w:pPr>
        <w:pStyle w:val="39"/>
        <w:keepNext w:val="0"/>
        <w:keepLines w:val="0"/>
        <w:pageBreakBefore w:val="0"/>
        <w:widowControl w:val="0"/>
        <w:kinsoku/>
        <w:overflowPunct/>
        <w:topLinePunct w:val="0"/>
        <w:autoSpaceDE/>
        <w:autoSpaceDN/>
        <w:bidi w:val="0"/>
        <w:adjustRightInd/>
        <w:snapToGrid/>
        <w:spacing w:line="360" w:lineRule="exact"/>
        <w:ind w:firstLine="480"/>
        <w:textAlignment w:val="auto"/>
        <w:rPr>
          <w:rFonts w:hint="eastAsia" w:ascii="宋体" w:hAnsi="宋体" w:eastAsia="宋体" w:cs="宋体"/>
          <w:color w:val="auto"/>
          <w:spacing w:val="-6"/>
          <w:kern w:val="0"/>
          <w:sz w:val="21"/>
          <w:szCs w:val="21"/>
          <w:highlight w:val="none"/>
          <w:lang w:val="en-US" w:eastAsia="zh-CN" w:bidi="ar"/>
        </w:rPr>
      </w:pPr>
      <w:r>
        <w:rPr>
          <w:rFonts w:hint="eastAsia" w:ascii="宋体" w:hAnsi="宋体" w:eastAsia="宋体" w:cs="宋体"/>
          <w:color w:val="auto"/>
          <w:spacing w:val="-6"/>
          <w:kern w:val="0"/>
          <w:sz w:val="21"/>
          <w:szCs w:val="21"/>
          <w:highlight w:val="none"/>
          <w:lang w:val="en-US" w:eastAsia="zh-CN" w:bidi="ar"/>
        </w:rPr>
        <w:t>1.供应商须按上表格式要求提供相关证明文件，响应文件中须编入清晰的扫描件或网页截图。所有证明材料须清晰可辨认，如因证明材料模糊无法辨认，缺页、漏页导致无法进行评审认定的，责任由供应商承担。</w:t>
      </w:r>
    </w:p>
    <w:p w14:paraId="6B3A690E">
      <w:pPr>
        <w:pStyle w:val="39"/>
        <w:keepNext w:val="0"/>
        <w:keepLines w:val="0"/>
        <w:pageBreakBefore w:val="0"/>
        <w:widowControl w:val="0"/>
        <w:numPr>
          <w:ilvl w:val="0"/>
          <w:numId w:val="0"/>
        </w:numPr>
        <w:kinsoku/>
        <w:overflowPunct/>
        <w:topLinePunct w:val="0"/>
        <w:autoSpaceDE/>
        <w:autoSpaceDN/>
        <w:bidi w:val="0"/>
        <w:adjustRightInd/>
        <w:snapToGrid/>
        <w:spacing w:line="360" w:lineRule="exact"/>
        <w:ind w:firstLine="396" w:firstLineChars="200"/>
        <w:textAlignment w:val="auto"/>
        <w:rPr>
          <w:rFonts w:hint="eastAsia" w:ascii="宋体" w:hAnsi="宋体" w:eastAsia="宋体" w:cs="宋体"/>
          <w:color w:val="auto"/>
          <w:spacing w:val="-6"/>
          <w:kern w:val="0"/>
          <w:sz w:val="21"/>
          <w:szCs w:val="21"/>
          <w:highlight w:val="none"/>
          <w:lang w:val="en-US" w:eastAsia="zh-CN" w:bidi="ar"/>
        </w:rPr>
      </w:pPr>
      <w:r>
        <w:rPr>
          <w:rFonts w:hint="eastAsia" w:ascii="宋体" w:hAnsi="宋体" w:eastAsia="宋体" w:cs="宋体"/>
          <w:color w:val="auto"/>
          <w:spacing w:val="-6"/>
          <w:kern w:val="0"/>
          <w:sz w:val="21"/>
          <w:szCs w:val="21"/>
          <w:highlight w:val="none"/>
          <w:lang w:val="en-US" w:eastAsia="zh-CN" w:bidi="ar"/>
        </w:rPr>
        <w:t>2.</w:t>
      </w:r>
      <w:r>
        <w:rPr>
          <w:rFonts w:hint="eastAsia" w:ascii="宋体" w:hAnsi="宋体" w:eastAsia="宋体" w:cs="宋体"/>
          <w:color w:val="auto"/>
          <w:spacing w:val="-6"/>
          <w:kern w:val="0"/>
          <w:sz w:val="21"/>
          <w:szCs w:val="21"/>
          <w:highlight w:val="none"/>
          <w:lang w:val="zh-CN" w:eastAsia="zh-CN" w:bidi="ar"/>
        </w:rPr>
        <w:t>信用信息核</w:t>
      </w:r>
      <w:r>
        <w:rPr>
          <w:rFonts w:hint="eastAsia" w:ascii="宋体" w:hAnsi="宋体" w:eastAsia="宋体" w:cs="宋体"/>
          <w:color w:val="auto"/>
          <w:spacing w:val="-6"/>
          <w:kern w:val="0"/>
          <w:sz w:val="21"/>
          <w:szCs w:val="21"/>
          <w:highlight w:val="none"/>
          <w:lang w:val="en-US" w:eastAsia="zh-CN" w:bidi="ar"/>
        </w:rPr>
        <w:t>查</w:t>
      </w:r>
    </w:p>
    <w:p w14:paraId="693A48C3">
      <w:pPr>
        <w:pStyle w:val="35"/>
        <w:keepNext w:val="0"/>
        <w:keepLines w:val="0"/>
        <w:pageBreakBefore w:val="0"/>
        <w:widowControl w:val="0"/>
        <w:kinsoku/>
        <w:overflowPunct/>
        <w:topLinePunct w:val="0"/>
        <w:autoSpaceDE/>
        <w:autoSpaceDN/>
        <w:bidi w:val="0"/>
        <w:adjustRightInd/>
        <w:snapToGrid/>
        <w:spacing w:line="360" w:lineRule="exact"/>
        <w:ind w:firstLine="480"/>
        <w:textAlignment w:val="auto"/>
        <w:rPr>
          <w:rFonts w:hint="eastAsia" w:ascii="宋体" w:hAnsi="宋体" w:eastAsia="宋体" w:cs="宋体"/>
          <w:color w:val="auto"/>
          <w:spacing w:val="-6"/>
          <w:kern w:val="0"/>
          <w:sz w:val="21"/>
          <w:szCs w:val="21"/>
          <w:highlight w:val="none"/>
          <w:lang w:val="en-US" w:eastAsia="zh-CN" w:bidi="ar"/>
        </w:rPr>
      </w:pPr>
      <w:r>
        <w:rPr>
          <w:rFonts w:hint="eastAsia" w:ascii="宋体" w:hAnsi="宋体" w:eastAsia="宋体" w:cs="宋体"/>
          <w:color w:val="auto"/>
          <w:spacing w:val="-6"/>
          <w:kern w:val="0"/>
          <w:sz w:val="21"/>
          <w:szCs w:val="21"/>
          <w:highlight w:val="none"/>
          <w:lang w:val="en-US" w:eastAsia="zh-CN" w:bidi="ar"/>
        </w:rPr>
        <w:t>2.1资格审查阶段应当核查供应商信用记录，供应商被列入失信被执行人、重大税收违法失信主体、政府采购严重违法失信行为记录名单的，采购人拒绝其参与政府采购活动。</w:t>
      </w:r>
    </w:p>
    <w:p w14:paraId="3CDD2CE4">
      <w:pPr>
        <w:pStyle w:val="35"/>
        <w:keepNext w:val="0"/>
        <w:keepLines w:val="0"/>
        <w:pageBreakBefore w:val="0"/>
        <w:widowControl w:val="0"/>
        <w:kinsoku/>
        <w:overflowPunct/>
        <w:topLinePunct w:val="0"/>
        <w:autoSpaceDE/>
        <w:autoSpaceDN/>
        <w:bidi w:val="0"/>
        <w:adjustRightInd/>
        <w:snapToGrid/>
        <w:spacing w:line="360" w:lineRule="exact"/>
        <w:ind w:firstLine="480"/>
        <w:textAlignment w:val="auto"/>
        <w:rPr>
          <w:rFonts w:hint="eastAsia" w:ascii="宋体" w:hAnsi="宋体" w:eastAsia="宋体" w:cs="宋体"/>
          <w:color w:val="auto"/>
          <w:spacing w:val="-6"/>
          <w:kern w:val="0"/>
          <w:sz w:val="21"/>
          <w:szCs w:val="21"/>
          <w:highlight w:val="none"/>
          <w:lang w:val="en-US" w:eastAsia="zh-CN" w:bidi="ar"/>
        </w:rPr>
      </w:pPr>
      <w:r>
        <w:rPr>
          <w:rFonts w:hint="eastAsia" w:ascii="宋体" w:hAnsi="宋体" w:eastAsia="宋体" w:cs="宋体"/>
          <w:color w:val="auto"/>
          <w:spacing w:val="-6"/>
          <w:kern w:val="0"/>
          <w:sz w:val="21"/>
          <w:szCs w:val="21"/>
          <w:highlight w:val="none"/>
          <w:lang w:val="en-US" w:eastAsia="zh-CN" w:bidi="ar"/>
        </w:rPr>
        <w:t>2.2以联合体形式参与谈判的，应当核查联合体所有成员和信用记录，联合体成员存在不良信用记录的，视同联合体存在不良信用信息。</w:t>
      </w:r>
    </w:p>
    <w:p w14:paraId="5E74E935">
      <w:pPr>
        <w:pStyle w:val="39"/>
        <w:keepNext w:val="0"/>
        <w:keepLines w:val="0"/>
        <w:pageBreakBefore w:val="0"/>
        <w:widowControl w:val="0"/>
        <w:numPr>
          <w:ilvl w:val="0"/>
          <w:numId w:val="0"/>
        </w:numPr>
        <w:kinsoku/>
        <w:overflowPunct/>
        <w:topLinePunct w:val="0"/>
        <w:autoSpaceDE/>
        <w:autoSpaceDN/>
        <w:bidi w:val="0"/>
        <w:adjustRightInd/>
        <w:snapToGrid/>
        <w:spacing w:line="360" w:lineRule="exact"/>
        <w:ind w:firstLine="396" w:firstLineChars="200"/>
        <w:textAlignment w:val="auto"/>
        <w:rPr>
          <w:rFonts w:hint="eastAsia" w:ascii="宋体" w:hAnsi="宋体" w:eastAsia="宋体" w:cs="宋体"/>
          <w:color w:val="auto"/>
          <w:spacing w:val="-6"/>
          <w:kern w:val="0"/>
          <w:sz w:val="21"/>
          <w:szCs w:val="21"/>
          <w:highlight w:val="none"/>
          <w:lang w:val="en-US" w:eastAsia="zh-CN" w:bidi="ar"/>
        </w:rPr>
      </w:pPr>
      <w:r>
        <w:rPr>
          <w:rFonts w:hint="eastAsia" w:ascii="宋体" w:hAnsi="宋体" w:eastAsia="宋体" w:cs="宋体"/>
          <w:color w:val="auto"/>
          <w:spacing w:val="-6"/>
          <w:kern w:val="0"/>
          <w:sz w:val="21"/>
          <w:szCs w:val="21"/>
          <w:highlight w:val="none"/>
          <w:lang w:val="en-US" w:eastAsia="zh-CN" w:bidi="ar"/>
        </w:rPr>
        <w:t>3.对于响应文件中有任意一条不满足上表要求的，将导致其</w:t>
      </w:r>
      <w:r>
        <w:rPr>
          <w:rFonts w:hint="eastAsia" w:ascii="宋体" w:hAnsi="宋体" w:eastAsia="宋体" w:cs="宋体"/>
          <w:b/>
          <w:bCs/>
          <w:color w:val="auto"/>
          <w:spacing w:val="-6"/>
          <w:kern w:val="0"/>
          <w:sz w:val="21"/>
          <w:szCs w:val="21"/>
          <w:highlight w:val="none"/>
          <w:lang w:val="en-US" w:eastAsia="zh-CN" w:bidi="ar"/>
        </w:rPr>
        <w:t>响应无效</w:t>
      </w:r>
      <w:r>
        <w:rPr>
          <w:rFonts w:hint="eastAsia" w:ascii="宋体" w:hAnsi="宋体" w:eastAsia="宋体" w:cs="宋体"/>
          <w:color w:val="auto"/>
          <w:spacing w:val="-6"/>
          <w:kern w:val="0"/>
          <w:sz w:val="21"/>
          <w:szCs w:val="21"/>
          <w:highlight w:val="none"/>
          <w:lang w:val="en-US" w:eastAsia="zh-CN" w:bidi="ar"/>
        </w:rPr>
        <w:t>，不得进入下一项评审。</w:t>
      </w:r>
    </w:p>
    <w:p w14:paraId="55110B7F">
      <w:pPr>
        <w:rPr>
          <w:rFonts w:hint="eastAsia"/>
          <w:color w:val="auto"/>
          <w:highlight w:val="none"/>
        </w:rPr>
      </w:pPr>
      <w:r>
        <w:rPr>
          <w:rFonts w:hint="eastAsia"/>
          <w:color w:val="auto"/>
          <w:highlight w:val="none"/>
        </w:rPr>
        <w:br w:type="page"/>
      </w:r>
    </w:p>
    <w:p w14:paraId="613615CA">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48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91" w:name="_Toc163493639"/>
      <w:bookmarkStart w:id="492" w:name="_Toc31092"/>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符合性审查表</w:t>
      </w:r>
      <w:bookmarkEnd w:id="490"/>
      <w:bookmarkEnd w:id="491"/>
      <w:bookmarkEnd w:id="492"/>
    </w:p>
    <w:tbl>
      <w:tblPr>
        <w:tblStyle w:val="28"/>
        <w:tblW w:w="5424"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1"/>
        <w:gridCol w:w="1302"/>
        <w:gridCol w:w="5488"/>
        <w:gridCol w:w="866"/>
        <w:gridCol w:w="1088"/>
      </w:tblGrid>
      <w:tr w14:paraId="6867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1" w:type="pct"/>
            <w:vMerge w:val="restart"/>
            <w:shd w:val="clear" w:color="auto" w:fill="auto"/>
            <w:vAlign w:val="center"/>
          </w:tcPr>
          <w:p w14:paraId="3B188FC3">
            <w:pPr>
              <w:pStyle w:val="46"/>
              <w:jc w:val="center"/>
              <w:rPr>
                <w:rFonts w:hint="eastAsia" w:ascii="宋体" w:hAnsi="宋体" w:eastAsia="宋体" w:cs="宋体"/>
                <w:b/>
                <w:bCs/>
                <w:color w:val="auto"/>
                <w:sz w:val="21"/>
                <w:szCs w:val="21"/>
                <w:highlight w:val="none"/>
                <w:lang w:val="zh-CN"/>
              </w:rPr>
            </w:pPr>
            <w:bookmarkStart w:id="493" w:name="_Toc163493640"/>
            <w:r>
              <w:rPr>
                <w:rFonts w:hint="eastAsia" w:ascii="宋体" w:hAnsi="宋体" w:eastAsia="宋体" w:cs="宋体"/>
                <w:b/>
                <w:bCs/>
                <w:color w:val="auto"/>
                <w:sz w:val="21"/>
                <w:szCs w:val="21"/>
                <w:highlight w:val="none"/>
                <w:lang w:val="zh-CN"/>
              </w:rPr>
              <w:t>序号</w:t>
            </w:r>
          </w:p>
        </w:tc>
        <w:tc>
          <w:tcPr>
            <w:tcW w:w="704" w:type="pct"/>
            <w:vMerge w:val="restart"/>
            <w:shd w:val="clear" w:color="auto" w:fill="auto"/>
            <w:vAlign w:val="center"/>
          </w:tcPr>
          <w:p w14:paraId="316B5F87">
            <w:pPr>
              <w:pStyle w:val="46"/>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2967" w:type="pct"/>
            <w:vMerge w:val="restart"/>
            <w:shd w:val="clear" w:color="auto" w:fill="auto"/>
            <w:vAlign w:val="center"/>
          </w:tcPr>
          <w:p w14:paraId="44B32FDC">
            <w:pPr>
              <w:pStyle w:val="46"/>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1056" w:type="pct"/>
            <w:gridSpan w:val="2"/>
            <w:shd w:val="clear" w:color="auto" w:fill="auto"/>
            <w:vAlign w:val="center"/>
          </w:tcPr>
          <w:p w14:paraId="2724C461">
            <w:pPr>
              <w:pStyle w:val="46"/>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6963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1" w:type="pct"/>
            <w:vMerge w:val="continue"/>
            <w:shd w:val="clear" w:color="auto" w:fill="auto"/>
            <w:vAlign w:val="center"/>
          </w:tcPr>
          <w:p w14:paraId="1859AA86">
            <w:pPr>
              <w:pStyle w:val="46"/>
              <w:jc w:val="center"/>
              <w:rPr>
                <w:rFonts w:hint="eastAsia" w:ascii="宋体" w:hAnsi="宋体" w:eastAsia="宋体" w:cs="宋体"/>
                <w:b/>
                <w:bCs/>
                <w:color w:val="auto"/>
                <w:sz w:val="21"/>
                <w:szCs w:val="21"/>
                <w:highlight w:val="none"/>
                <w:lang w:val="zh-CN"/>
              </w:rPr>
            </w:pPr>
          </w:p>
        </w:tc>
        <w:tc>
          <w:tcPr>
            <w:tcW w:w="704" w:type="pct"/>
            <w:vMerge w:val="continue"/>
            <w:shd w:val="clear" w:color="auto" w:fill="auto"/>
            <w:vAlign w:val="center"/>
          </w:tcPr>
          <w:p w14:paraId="51EF0565">
            <w:pPr>
              <w:pStyle w:val="46"/>
              <w:jc w:val="center"/>
              <w:rPr>
                <w:rFonts w:hint="eastAsia" w:ascii="宋体" w:hAnsi="宋体" w:eastAsia="宋体" w:cs="宋体"/>
                <w:b/>
                <w:bCs/>
                <w:color w:val="auto"/>
                <w:sz w:val="21"/>
                <w:szCs w:val="21"/>
                <w:highlight w:val="none"/>
                <w:lang w:val="zh-CN"/>
              </w:rPr>
            </w:pPr>
          </w:p>
        </w:tc>
        <w:tc>
          <w:tcPr>
            <w:tcW w:w="2967" w:type="pct"/>
            <w:vMerge w:val="continue"/>
            <w:shd w:val="clear" w:color="auto" w:fill="auto"/>
            <w:vAlign w:val="center"/>
          </w:tcPr>
          <w:p w14:paraId="2128C077">
            <w:pPr>
              <w:pStyle w:val="46"/>
              <w:jc w:val="center"/>
              <w:rPr>
                <w:rFonts w:hint="eastAsia" w:ascii="宋体" w:hAnsi="宋体" w:eastAsia="宋体" w:cs="宋体"/>
                <w:b/>
                <w:bCs/>
                <w:color w:val="auto"/>
                <w:sz w:val="21"/>
                <w:szCs w:val="21"/>
                <w:highlight w:val="none"/>
                <w:lang w:val="zh-CN"/>
              </w:rPr>
            </w:pPr>
          </w:p>
        </w:tc>
        <w:tc>
          <w:tcPr>
            <w:tcW w:w="468" w:type="pct"/>
            <w:shd w:val="clear" w:color="auto" w:fill="auto"/>
            <w:vAlign w:val="center"/>
          </w:tcPr>
          <w:p w14:paraId="0CAA21D7">
            <w:pPr>
              <w:pStyle w:val="46"/>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588" w:type="pct"/>
            <w:shd w:val="clear" w:color="auto" w:fill="auto"/>
            <w:vAlign w:val="center"/>
          </w:tcPr>
          <w:p w14:paraId="15D1F439">
            <w:pPr>
              <w:pStyle w:val="46"/>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233AF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271" w:type="pct"/>
            <w:shd w:val="clear" w:color="auto" w:fill="auto"/>
            <w:vAlign w:val="center"/>
          </w:tcPr>
          <w:p w14:paraId="4A515C07">
            <w:pPr>
              <w:pStyle w:val="46"/>
              <w:numPr>
                <w:ilvl w:val="0"/>
                <w:numId w:val="0"/>
              </w:numPr>
              <w:ind w:left="420" w:leftChars="0" w:hanging="42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eastAsia="zh-CN" w:bidi="ar-SA"/>
              </w:rPr>
              <w:t>1</w:t>
            </w:r>
          </w:p>
        </w:tc>
        <w:tc>
          <w:tcPr>
            <w:tcW w:w="704" w:type="pct"/>
            <w:vAlign w:val="center"/>
          </w:tcPr>
          <w:p w14:paraId="5E0E3062">
            <w:pPr>
              <w:pStyle w:val="46"/>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响应文件</w:t>
            </w:r>
            <w:r>
              <w:rPr>
                <w:rFonts w:hint="eastAsia" w:ascii="宋体" w:hAnsi="宋体" w:eastAsia="宋体" w:cs="宋体"/>
                <w:color w:val="auto"/>
                <w:sz w:val="21"/>
                <w:szCs w:val="21"/>
                <w:highlight w:val="none"/>
              </w:rPr>
              <w:t>签署</w:t>
            </w:r>
          </w:p>
        </w:tc>
        <w:tc>
          <w:tcPr>
            <w:tcW w:w="2967" w:type="pct"/>
            <w:shd w:val="clear" w:color="auto" w:fill="auto"/>
            <w:vAlign w:val="center"/>
          </w:tcPr>
          <w:p w14:paraId="0FA4ED80">
            <w:pPr>
              <w:pStyle w:val="46"/>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响应文件</w:t>
            </w:r>
            <w:r>
              <w:rPr>
                <w:rFonts w:hint="eastAsia" w:ascii="宋体" w:hAnsi="宋体" w:eastAsia="宋体" w:cs="宋体"/>
                <w:color w:val="auto"/>
                <w:sz w:val="21"/>
                <w:szCs w:val="21"/>
                <w:highlight w:val="none"/>
                <w:lang w:val="en-US" w:eastAsia="zh-CN"/>
              </w:rPr>
              <w:t>按</w:t>
            </w: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文件要求签署、盖章的</w:t>
            </w:r>
          </w:p>
        </w:tc>
        <w:tc>
          <w:tcPr>
            <w:tcW w:w="468" w:type="pct"/>
            <w:shd w:val="clear" w:color="auto" w:fill="auto"/>
            <w:vAlign w:val="center"/>
          </w:tcPr>
          <w:p w14:paraId="1E1F1EB1">
            <w:pPr>
              <w:pStyle w:val="46"/>
              <w:rPr>
                <w:rFonts w:hint="eastAsia" w:ascii="宋体" w:hAnsi="宋体" w:eastAsia="宋体" w:cs="宋体"/>
                <w:color w:val="auto"/>
                <w:sz w:val="21"/>
                <w:szCs w:val="21"/>
                <w:highlight w:val="none"/>
                <w:lang w:val="zh-CN"/>
              </w:rPr>
            </w:pPr>
          </w:p>
        </w:tc>
        <w:tc>
          <w:tcPr>
            <w:tcW w:w="588" w:type="pct"/>
            <w:shd w:val="clear" w:color="auto" w:fill="auto"/>
            <w:vAlign w:val="center"/>
          </w:tcPr>
          <w:p w14:paraId="35325BAA">
            <w:pPr>
              <w:pStyle w:val="46"/>
              <w:rPr>
                <w:rFonts w:hint="eastAsia" w:ascii="宋体" w:hAnsi="宋体" w:eastAsia="宋体" w:cs="宋体"/>
                <w:color w:val="auto"/>
                <w:sz w:val="21"/>
                <w:szCs w:val="21"/>
                <w:highlight w:val="none"/>
                <w:lang w:val="zh-CN"/>
              </w:rPr>
            </w:pPr>
          </w:p>
        </w:tc>
      </w:tr>
      <w:tr w14:paraId="75797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271" w:type="pct"/>
            <w:shd w:val="clear" w:color="auto" w:fill="auto"/>
            <w:vAlign w:val="center"/>
          </w:tcPr>
          <w:p w14:paraId="6556A671">
            <w:pPr>
              <w:pStyle w:val="46"/>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w:t>
            </w:r>
          </w:p>
        </w:tc>
        <w:tc>
          <w:tcPr>
            <w:tcW w:w="704" w:type="pct"/>
            <w:vAlign w:val="center"/>
          </w:tcPr>
          <w:p w14:paraId="76C02010">
            <w:pPr>
              <w:pStyle w:val="46"/>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eastAsia="zh-CN"/>
              </w:rPr>
              <w:t>法定代表人身份证明或授权委托书</w:t>
            </w:r>
          </w:p>
        </w:tc>
        <w:tc>
          <w:tcPr>
            <w:tcW w:w="2967" w:type="pct"/>
            <w:shd w:val="clear" w:color="auto" w:fill="auto"/>
            <w:vAlign w:val="center"/>
          </w:tcPr>
          <w:p w14:paraId="48673990">
            <w:pPr>
              <w:pStyle w:val="46"/>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w:t>
            </w:r>
            <w:r>
              <w:rPr>
                <w:rFonts w:hint="eastAsia" w:ascii="宋体" w:hAnsi="宋体" w:eastAsia="宋体" w:cs="宋体"/>
                <w:color w:val="auto"/>
                <w:sz w:val="21"/>
                <w:szCs w:val="21"/>
                <w:highlight w:val="none"/>
                <w:lang w:eastAsia="zh-CN"/>
              </w:rPr>
              <w:t>提供了法定代表人身份证明或授权委托书</w:t>
            </w:r>
          </w:p>
        </w:tc>
        <w:tc>
          <w:tcPr>
            <w:tcW w:w="468" w:type="pct"/>
            <w:shd w:val="clear" w:color="auto" w:fill="auto"/>
            <w:vAlign w:val="center"/>
          </w:tcPr>
          <w:p w14:paraId="62FD01F3">
            <w:pPr>
              <w:pStyle w:val="46"/>
              <w:rPr>
                <w:rFonts w:hint="eastAsia" w:ascii="宋体" w:hAnsi="宋体" w:eastAsia="宋体" w:cs="宋体"/>
                <w:color w:val="auto"/>
                <w:sz w:val="21"/>
                <w:szCs w:val="21"/>
                <w:highlight w:val="none"/>
                <w:lang w:val="zh-CN"/>
              </w:rPr>
            </w:pPr>
          </w:p>
        </w:tc>
        <w:tc>
          <w:tcPr>
            <w:tcW w:w="588" w:type="pct"/>
            <w:shd w:val="clear" w:color="auto" w:fill="auto"/>
            <w:vAlign w:val="center"/>
          </w:tcPr>
          <w:p w14:paraId="76BA01EA">
            <w:pPr>
              <w:pStyle w:val="46"/>
              <w:rPr>
                <w:rFonts w:hint="eastAsia" w:ascii="宋体" w:hAnsi="宋体" w:eastAsia="宋体" w:cs="宋体"/>
                <w:color w:val="auto"/>
                <w:sz w:val="21"/>
                <w:szCs w:val="21"/>
                <w:highlight w:val="none"/>
                <w:lang w:val="zh-CN"/>
              </w:rPr>
            </w:pPr>
          </w:p>
        </w:tc>
      </w:tr>
      <w:tr w14:paraId="6BB86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271" w:type="pct"/>
            <w:shd w:val="clear" w:color="auto" w:fill="auto"/>
            <w:vAlign w:val="center"/>
          </w:tcPr>
          <w:p w14:paraId="70154C2F">
            <w:pPr>
              <w:pStyle w:val="46"/>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3</w:t>
            </w:r>
          </w:p>
        </w:tc>
        <w:tc>
          <w:tcPr>
            <w:tcW w:w="704" w:type="pct"/>
            <w:shd w:val="clear" w:color="auto" w:fill="auto"/>
            <w:vAlign w:val="center"/>
          </w:tcPr>
          <w:p w14:paraId="1B390AF0">
            <w:pPr>
              <w:pStyle w:val="46"/>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实质性要求</w:t>
            </w:r>
          </w:p>
        </w:tc>
        <w:tc>
          <w:tcPr>
            <w:tcW w:w="2967" w:type="pct"/>
            <w:shd w:val="clear" w:color="auto" w:fill="auto"/>
            <w:vAlign w:val="center"/>
          </w:tcPr>
          <w:p w14:paraId="6D95F485">
            <w:pPr>
              <w:pStyle w:val="46"/>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响应文件</w:t>
            </w:r>
            <w:r>
              <w:rPr>
                <w:rFonts w:hint="eastAsia" w:ascii="宋体" w:hAnsi="宋体" w:eastAsia="宋体" w:cs="宋体"/>
                <w:color w:val="auto"/>
                <w:sz w:val="21"/>
                <w:szCs w:val="21"/>
                <w:highlight w:val="none"/>
                <w:lang w:val="zh-CN" w:eastAsia="zh-CN"/>
              </w:rPr>
              <w:t>满足</w:t>
            </w: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lang w:val="zh-CN" w:eastAsia="zh-CN"/>
              </w:rPr>
              <w:t>文件中标注“★”号的实质性条款（或指标）要求的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具体详见</w:t>
            </w:r>
            <w:r>
              <w:rPr>
                <w:rFonts w:hint="eastAsia" w:ascii="宋体" w:hAnsi="宋体" w:eastAsia="宋体" w:cs="宋体"/>
                <w:color w:val="auto"/>
                <w:sz w:val="21"/>
                <w:szCs w:val="21"/>
                <w:highlight w:val="none"/>
                <w:lang w:val="zh-CN"/>
              </w:rPr>
              <w:t>“实质性响应一览表”</w:t>
            </w:r>
          </w:p>
        </w:tc>
        <w:tc>
          <w:tcPr>
            <w:tcW w:w="468" w:type="pct"/>
            <w:shd w:val="clear" w:color="auto" w:fill="auto"/>
            <w:vAlign w:val="center"/>
          </w:tcPr>
          <w:p w14:paraId="4C63B966">
            <w:pPr>
              <w:pStyle w:val="46"/>
              <w:rPr>
                <w:rFonts w:hint="eastAsia" w:ascii="宋体" w:hAnsi="宋体" w:eastAsia="宋体" w:cs="宋体"/>
                <w:color w:val="auto"/>
                <w:sz w:val="21"/>
                <w:szCs w:val="21"/>
                <w:highlight w:val="none"/>
                <w:lang w:val="zh-CN"/>
              </w:rPr>
            </w:pPr>
          </w:p>
        </w:tc>
        <w:tc>
          <w:tcPr>
            <w:tcW w:w="588" w:type="pct"/>
            <w:shd w:val="clear" w:color="auto" w:fill="auto"/>
            <w:vAlign w:val="center"/>
          </w:tcPr>
          <w:p w14:paraId="5A615EFE">
            <w:pPr>
              <w:pStyle w:val="46"/>
              <w:rPr>
                <w:rFonts w:hint="eastAsia" w:ascii="宋体" w:hAnsi="宋体" w:eastAsia="宋体" w:cs="宋体"/>
                <w:color w:val="auto"/>
                <w:sz w:val="21"/>
                <w:szCs w:val="21"/>
                <w:highlight w:val="none"/>
                <w:lang w:val="zh-CN"/>
              </w:rPr>
            </w:pPr>
          </w:p>
        </w:tc>
      </w:tr>
      <w:tr w14:paraId="591B9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271" w:type="pct"/>
            <w:shd w:val="clear" w:color="auto" w:fill="auto"/>
            <w:vAlign w:val="center"/>
          </w:tcPr>
          <w:p w14:paraId="48860C47">
            <w:pPr>
              <w:pStyle w:val="46"/>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4</w:t>
            </w:r>
          </w:p>
        </w:tc>
        <w:tc>
          <w:tcPr>
            <w:tcW w:w="704" w:type="pct"/>
            <w:vAlign w:val="center"/>
          </w:tcPr>
          <w:p w14:paraId="31EA832C">
            <w:pPr>
              <w:pStyle w:val="46"/>
              <w:rPr>
                <w:rFonts w:hint="eastAsia" w:ascii="宋体" w:hAnsi="宋体" w:eastAsia="宋体" w:cs="宋体"/>
                <w:color w:val="auto"/>
                <w:sz w:val="21"/>
                <w:szCs w:val="21"/>
                <w:highlight w:val="none"/>
                <w:lang w:val="zh-CN"/>
              </w:rPr>
            </w:pP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lang w:val="zh-CN"/>
              </w:rPr>
              <w:t>响应性报价</w:t>
            </w:r>
          </w:p>
        </w:tc>
        <w:tc>
          <w:tcPr>
            <w:tcW w:w="2967" w:type="pct"/>
            <w:shd w:val="clear" w:color="auto" w:fill="auto"/>
            <w:vAlign w:val="center"/>
          </w:tcPr>
          <w:p w14:paraId="02D97709">
            <w:pPr>
              <w:pStyle w:val="46"/>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供应商报价未超过</w:t>
            </w: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文件中规定的最高限价或者预算金额的</w:t>
            </w:r>
          </w:p>
        </w:tc>
        <w:tc>
          <w:tcPr>
            <w:tcW w:w="468" w:type="pct"/>
            <w:shd w:val="clear" w:color="auto" w:fill="auto"/>
            <w:vAlign w:val="center"/>
          </w:tcPr>
          <w:p w14:paraId="18835E98">
            <w:pPr>
              <w:pStyle w:val="46"/>
              <w:rPr>
                <w:rFonts w:hint="eastAsia" w:ascii="宋体" w:hAnsi="宋体" w:eastAsia="宋体" w:cs="宋体"/>
                <w:color w:val="auto"/>
                <w:sz w:val="21"/>
                <w:szCs w:val="21"/>
                <w:highlight w:val="none"/>
                <w:lang w:val="zh-CN"/>
              </w:rPr>
            </w:pPr>
          </w:p>
        </w:tc>
        <w:tc>
          <w:tcPr>
            <w:tcW w:w="588" w:type="pct"/>
            <w:shd w:val="clear" w:color="auto" w:fill="auto"/>
            <w:vAlign w:val="center"/>
          </w:tcPr>
          <w:p w14:paraId="32826E79">
            <w:pPr>
              <w:pStyle w:val="46"/>
              <w:rPr>
                <w:rFonts w:hint="eastAsia" w:ascii="宋体" w:hAnsi="宋体" w:eastAsia="宋体" w:cs="宋体"/>
                <w:color w:val="auto"/>
                <w:sz w:val="21"/>
                <w:szCs w:val="21"/>
                <w:highlight w:val="none"/>
                <w:lang w:val="zh-CN"/>
              </w:rPr>
            </w:pPr>
          </w:p>
        </w:tc>
      </w:tr>
      <w:tr w14:paraId="0759F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271" w:type="pct"/>
            <w:shd w:val="clear" w:color="auto" w:fill="auto"/>
            <w:vAlign w:val="center"/>
          </w:tcPr>
          <w:p w14:paraId="55C41672">
            <w:pPr>
              <w:pStyle w:val="46"/>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5</w:t>
            </w:r>
          </w:p>
        </w:tc>
        <w:tc>
          <w:tcPr>
            <w:tcW w:w="704" w:type="pct"/>
            <w:shd w:val="clear" w:color="auto" w:fill="auto"/>
            <w:vAlign w:val="center"/>
          </w:tcPr>
          <w:p w14:paraId="165805AD">
            <w:pPr>
              <w:pStyle w:val="46"/>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采购清单</w:t>
            </w:r>
          </w:p>
        </w:tc>
        <w:tc>
          <w:tcPr>
            <w:tcW w:w="2967" w:type="pct"/>
            <w:shd w:val="clear" w:color="auto" w:fill="auto"/>
            <w:vAlign w:val="center"/>
          </w:tcPr>
          <w:p w14:paraId="64323A44">
            <w:pPr>
              <w:pStyle w:val="46"/>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未改变</w:t>
            </w:r>
            <w:r>
              <w:rPr>
                <w:rFonts w:hint="eastAsia" w:cs="宋体"/>
                <w:color w:val="auto"/>
                <w:kern w:val="2"/>
                <w:sz w:val="21"/>
                <w:szCs w:val="21"/>
                <w:highlight w:val="none"/>
                <w:lang w:val="en-US" w:eastAsia="zh-CN" w:bidi="ar-SA"/>
              </w:rPr>
              <w:t>谈判</w:t>
            </w:r>
            <w:r>
              <w:rPr>
                <w:rFonts w:hint="eastAsia" w:ascii="宋体" w:hAnsi="宋体" w:eastAsia="宋体" w:cs="宋体"/>
                <w:color w:val="auto"/>
                <w:kern w:val="2"/>
                <w:sz w:val="21"/>
                <w:szCs w:val="21"/>
                <w:highlight w:val="none"/>
                <w:lang w:val="en-US" w:eastAsia="zh-CN" w:bidi="ar-SA"/>
              </w:rPr>
              <w:t>文件提供的采购</w:t>
            </w:r>
            <w:r>
              <w:rPr>
                <w:rFonts w:hint="eastAsia" w:cs="宋体"/>
                <w:color w:val="auto"/>
                <w:kern w:val="2"/>
                <w:sz w:val="21"/>
                <w:szCs w:val="21"/>
                <w:highlight w:val="none"/>
                <w:lang w:val="en-US" w:eastAsia="zh-CN" w:bidi="ar-SA"/>
              </w:rPr>
              <w:t>标的</w:t>
            </w:r>
            <w:r>
              <w:rPr>
                <w:rFonts w:hint="eastAsia" w:ascii="宋体" w:hAnsi="宋体" w:eastAsia="宋体" w:cs="宋体"/>
                <w:color w:val="auto"/>
                <w:kern w:val="2"/>
                <w:sz w:val="21"/>
                <w:szCs w:val="21"/>
                <w:highlight w:val="none"/>
                <w:lang w:val="en-US" w:eastAsia="zh-CN" w:bidi="ar-SA"/>
              </w:rPr>
              <w:t>清单</w:t>
            </w:r>
            <w:r>
              <w:rPr>
                <w:rFonts w:hint="eastAsia" w:cs="宋体"/>
                <w:color w:val="auto"/>
                <w:kern w:val="2"/>
                <w:sz w:val="21"/>
                <w:szCs w:val="21"/>
                <w:highlight w:val="none"/>
                <w:lang w:val="en-US" w:eastAsia="zh-CN" w:bidi="ar-SA"/>
              </w:rPr>
              <w:t>数量</w:t>
            </w:r>
            <w:r>
              <w:rPr>
                <w:rFonts w:hint="eastAsia" w:ascii="宋体" w:hAnsi="宋体" w:eastAsia="宋体" w:cs="宋体"/>
                <w:color w:val="auto"/>
                <w:kern w:val="2"/>
                <w:sz w:val="21"/>
                <w:szCs w:val="21"/>
                <w:highlight w:val="none"/>
                <w:lang w:val="en-US" w:eastAsia="zh-CN" w:bidi="ar-SA"/>
              </w:rPr>
              <w:t>的</w:t>
            </w:r>
          </w:p>
        </w:tc>
        <w:tc>
          <w:tcPr>
            <w:tcW w:w="468" w:type="pct"/>
            <w:shd w:val="clear" w:color="auto" w:fill="auto"/>
            <w:vAlign w:val="center"/>
          </w:tcPr>
          <w:p w14:paraId="61407A1E">
            <w:pPr>
              <w:pStyle w:val="46"/>
              <w:rPr>
                <w:rFonts w:hint="eastAsia" w:ascii="宋体" w:hAnsi="宋体" w:eastAsia="宋体" w:cs="宋体"/>
                <w:color w:val="auto"/>
                <w:sz w:val="21"/>
                <w:szCs w:val="21"/>
                <w:highlight w:val="none"/>
                <w:lang w:val="zh-CN"/>
              </w:rPr>
            </w:pPr>
          </w:p>
        </w:tc>
        <w:tc>
          <w:tcPr>
            <w:tcW w:w="588" w:type="pct"/>
            <w:shd w:val="clear" w:color="auto" w:fill="auto"/>
            <w:vAlign w:val="center"/>
          </w:tcPr>
          <w:p w14:paraId="0B05B99E">
            <w:pPr>
              <w:pStyle w:val="46"/>
              <w:rPr>
                <w:rFonts w:hint="eastAsia" w:ascii="宋体" w:hAnsi="宋体" w:eastAsia="宋体" w:cs="宋体"/>
                <w:color w:val="auto"/>
                <w:sz w:val="21"/>
                <w:szCs w:val="21"/>
                <w:highlight w:val="none"/>
                <w:lang w:val="zh-CN"/>
              </w:rPr>
            </w:pPr>
          </w:p>
        </w:tc>
      </w:tr>
      <w:tr w14:paraId="7C777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271" w:type="pct"/>
            <w:shd w:val="clear" w:color="auto" w:fill="auto"/>
            <w:vAlign w:val="center"/>
          </w:tcPr>
          <w:p w14:paraId="0D25BA5B">
            <w:pPr>
              <w:pStyle w:val="46"/>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6</w:t>
            </w:r>
          </w:p>
        </w:tc>
        <w:tc>
          <w:tcPr>
            <w:tcW w:w="704" w:type="pct"/>
            <w:vAlign w:val="center"/>
          </w:tcPr>
          <w:p w14:paraId="6B53D7DD">
            <w:pPr>
              <w:pStyle w:val="46"/>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虚假材料</w:t>
            </w:r>
          </w:p>
        </w:tc>
        <w:tc>
          <w:tcPr>
            <w:tcW w:w="2967" w:type="pct"/>
            <w:shd w:val="clear" w:color="auto" w:fill="auto"/>
            <w:vAlign w:val="center"/>
          </w:tcPr>
          <w:p w14:paraId="3C241A91">
            <w:pPr>
              <w:pStyle w:val="46"/>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提供虚假材料的</w:t>
            </w:r>
          </w:p>
        </w:tc>
        <w:tc>
          <w:tcPr>
            <w:tcW w:w="468" w:type="pct"/>
            <w:shd w:val="clear" w:color="auto" w:fill="auto"/>
            <w:vAlign w:val="center"/>
          </w:tcPr>
          <w:p w14:paraId="4B513014">
            <w:pPr>
              <w:pStyle w:val="46"/>
              <w:rPr>
                <w:rFonts w:hint="eastAsia" w:ascii="宋体" w:hAnsi="宋体" w:eastAsia="宋体" w:cs="宋体"/>
                <w:color w:val="auto"/>
                <w:sz w:val="21"/>
                <w:szCs w:val="21"/>
                <w:highlight w:val="none"/>
                <w:lang w:val="zh-CN"/>
              </w:rPr>
            </w:pPr>
          </w:p>
        </w:tc>
        <w:tc>
          <w:tcPr>
            <w:tcW w:w="588" w:type="pct"/>
            <w:shd w:val="clear" w:color="auto" w:fill="auto"/>
            <w:vAlign w:val="center"/>
          </w:tcPr>
          <w:p w14:paraId="48AFA180">
            <w:pPr>
              <w:pStyle w:val="46"/>
              <w:rPr>
                <w:rFonts w:hint="eastAsia" w:ascii="宋体" w:hAnsi="宋体" w:eastAsia="宋体" w:cs="宋体"/>
                <w:color w:val="auto"/>
                <w:sz w:val="21"/>
                <w:szCs w:val="21"/>
                <w:highlight w:val="none"/>
                <w:lang w:val="zh-CN"/>
              </w:rPr>
            </w:pPr>
          </w:p>
        </w:tc>
      </w:tr>
      <w:tr w14:paraId="30B89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271" w:type="pct"/>
            <w:shd w:val="clear" w:color="auto" w:fill="auto"/>
            <w:vAlign w:val="center"/>
          </w:tcPr>
          <w:p w14:paraId="6C002E13">
            <w:pPr>
              <w:pStyle w:val="46"/>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7</w:t>
            </w:r>
          </w:p>
        </w:tc>
        <w:tc>
          <w:tcPr>
            <w:tcW w:w="704" w:type="pct"/>
            <w:vAlign w:val="center"/>
          </w:tcPr>
          <w:p w14:paraId="5C91A4A7">
            <w:pPr>
              <w:pStyle w:val="46"/>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响应文件的澄清、说明、补正</w:t>
            </w:r>
          </w:p>
        </w:tc>
        <w:tc>
          <w:tcPr>
            <w:tcW w:w="2967" w:type="pct"/>
            <w:shd w:val="clear" w:color="auto" w:fill="auto"/>
            <w:vAlign w:val="center"/>
          </w:tcPr>
          <w:p w14:paraId="3E6052BB">
            <w:pPr>
              <w:pStyle w:val="46"/>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评审期间,</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eastAsia="zh-CN"/>
              </w:rPr>
              <w:t>按</w:t>
            </w: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lang w:val="zh-CN" w:eastAsia="zh-CN"/>
              </w:rPr>
              <w:t>小组的要求提交经授权代表签字的澄清、说明、更正且澄清、说明、更正未超出响应文件范围或</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改变</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eastAsia="zh-CN"/>
              </w:rPr>
              <w:t>文件的实质性内容</w:t>
            </w:r>
          </w:p>
        </w:tc>
        <w:tc>
          <w:tcPr>
            <w:tcW w:w="468" w:type="pct"/>
            <w:shd w:val="clear" w:color="auto" w:fill="auto"/>
            <w:vAlign w:val="center"/>
          </w:tcPr>
          <w:p w14:paraId="1EA81190">
            <w:pPr>
              <w:pStyle w:val="46"/>
              <w:rPr>
                <w:rFonts w:hint="eastAsia" w:ascii="宋体" w:hAnsi="宋体" w:eastAsia="宋体" w:cs="宋体"/>
                <w:color w:val="auto"/>
                <w:sz w:val="21"/>
                <w:szCs w:val="21"/>
                <w:highlight w:val="none"/>
                <w:lang w:val="zh-CN"/>
              </w:rPr>
            </w:pPr>
          </w:p>
        </w:tc>
        <w:tc>
          <w:tcPr>
            <w:tcW w:w="588" w:type="pct"/>
            <w:shd w:val="clear" w:color="auto" w:fill="auto"/>
            <w:vAlign w:val="center"/>
          </w:tcPr>
          <w:p w14:paraId="2394B23D">
            <w:pPr>
              <w:pStyle w:val="46"/>
              <w:rPr>
                <w:rFonts w:hint="eastAsia" w:ascii="宋体" w:hAnsi="宋体" w:eastAsia="宋体" w:cs="宋体"/>
                <w:color w:val="auto"/>
                <w:sz w:val="21"/>
                <w:szCs w:val="21"/>
                <w:highlight w:val="none"/>
                <w:lang w:val="zh-CN"/>
              </w:rPr>
            </w:pPr>
          </w:p>
        </w:tc>
      </w:tr>
      <w:tr w14:paraId="6D40C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71" w:type="pct"/>
            <w:shd w:val="clear" w:color="auto" w:fill="auto"/>
            <w:vAlign w:val="center"/>
          </w:tcPr>
          <w:p w14:paraId="09617D9C">
            <w:pPr>
              <w:pStyle w:val="46"/>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8</w:t>
            </w:r>
          </w:p>
        </w:tc>
        <w:tc>
          <w:tcPr>
            <w:tcW w:w="704" w:type="pct"/>
            <w:vAlign w:val="center"/>
          </w:tcPr>
          <w:p w14:paraId="2016E93A">
            <w:pPr>
              <w:pStyle w:val="46"/>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供应商影响评审</w:t>
            </w:r>
          </w:p>
        </w:tc>
        <w:tc>
          <w:tcPr>
            <w:tcW w:w="2967" w:type="pct"/>
            <w:shd w:val="clear" w:color="auto" w:fill="auto"/>
            <w:vAlign w:val="center"/>
          </w:tcPr>
          <w:p w14:paraId="50B76BB4">
            <w:pPr>
              <w:pStyle w:val="46"/>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eastAsia="zh-CN"/>
              </w:rPr>
              <w:t>对采购人、采购代理机构、</w:t>
            </w: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lang w:val="zh-CN" w:eastAsia="zh-CN"/>
              </w:rPr>
              <w:t>小组及其工作人员</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施加影响,</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zh-CN" w:eastAsia="zh-CN"/>
              </w:rPr>
              <w:t>有碍公平、公正</w:t>
            </w:r>
            <w:r>
              <w:rPr>
                <w:rFonts w:hint="eastAsia" w:ascii="宋体" w:hAnsi="宋体" w:eastAsia="宋体" w:cs="宋体"/>
                <w:color w:val="auto"/>
                <w:sz w:val="21"/>
                <w:szCs w:val="21"/>
                <w:highlight w:val="none"/>
                <w:lang w:val="en-US" w:eastAsia="zh-CN"/>
              </w:rPr>
              <w:t>行为的</w:t>
            </w:r>
          </w:p>
        </w:tc>
        <w:tc>
          <w:tcPr>
            <w:tcW w:w="468" w:type="pct"/>
            <w:shd w:val="clear" w:color="auto" w:fill="auto"/>
            <w:vAlign w:val="center"/>
          </w:tcPr>
          <w:p w14:paraId="75DB24A7">
            <w:pPr>
              <w:pStyle w:val="46"/>
              <w:rPr>
                <w:rFonts w:hint="eastAsia" w:ascii="宋体" w:hAnsi="宋体" w:eastAsia="宋体" w:cs="宋体"/>
                <w:color w:val="auto"/>
                <w:sz w:val="21"/>
                <w:szCs w:val="21"/>
                <w:highlight w:val="none"/>
                <w:lang w:val="zh-CN"/>
              </w:rPr>
            </w:pPr>
          </w:p>
        </w:tc>
        <w:tc>
          <w:tcPr>
            <w:tcW w:w="588" w:type="pct"/>
            <w:shd w:val="clear" w:color="auto" w:fill="auto"/>
            <w:vAlign w:val="center"/>
          </w:tcPr>
          <w:p w14:paraId="7D6DA84C">
            <w:pPr>
              <w:pStyle w:val="46"/>
              <w:rPr>
                <w:rFonts w:hint="eastAsia" w:ascii="宋体" w:hAnsi="宋体" w:eastAsia="宋体" w:cs="宋体"/>
                <w:color w:val="auto"/>
                <w:sz w:val="21"/>
                <w:szCs w:val="21"/>
                <w:highlight w:val="none"/>
                <w:lang w:val="zh-CN"/>
              </w:rPr>
            </w:pPr>
          </w:p>
        </w:tc>
      </w:tr>
      <w:tr w14:paraId="35AAC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1" w:type="pct"/>
            <w:shd w:val="clear" w:color="auto" w:fill="auto"/>
            <w:vAlign w:val="center"/>
          </w:tcPr>
          <w:p w14:paraId="332BD4A6">
            <w:pPr>
              <w:pStyle w:val="46"/>
              <w:numPr>
                <w:ilvl w:val="0"/>
                <w:numId w:val="0"/>
              </w:numPr>
              <w:ind w:left="420" w:leftChars="0" w:hanging="420" w:firstLineChars="0"/>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9</w:t>
            </w:r>
          </w:p>
        </w:tc>
        <w:tc>
          <w:tcPr>
            <w:tcW w:w="704" w:type="pct"/>
            <w:vAlign w:val="center"/>
          </w:tcPr>
          <w:p w14:paraId="56EEFE7E">
            <w:pPr>
              <w:pStyle w:val="46"/>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附加条件</w:t>
            </w:r>
          </w:p>
        </w:tc>
        <w:tc>
          <w:tcPr>
            <w:tcW w:w="2967" w:type="pct"/>
            <w:shd w:val="clear" w:color="auto" w:fill="auto"/>
            <w:vAlign w:val="center"/>
          </w:tcPr>
          <w:p w14:paraId="618DB2FB">
            <w:pPr>
              <w:pStyle w:val="46"/>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响应文件没有采购人不能接受的附加条件的</w:t>
            </w:r>
          </w:p>
        </w:tc>
        <w:tc>
          <w:tcPr>
            <w:tcW w:w="468" w:type="pct"/>
            <w:shd w:val="clear" w:color="auto" w:fill="auto"/>
            <w:vAlign w:val="center"/>
          </w:tcPr>
          <w:p w14:paraId="36C2A679">
            <w:pPr>
              <w:pStyle w:val="46"/>
              <w:rPr>
                <w:rFonts w:hint="eastAsia" w:ascii="宋体" w:hAnsi="宋体" w:eastAsia="宋体" w:cs="宋体"/>
                <w:color w:val="auto"/>
                <w:sz w:val="21"/>
                <w:szCs w:val="21"/>
                <w:highlight w:val="none"/>
                <w:lang w:val="zh-CN"/>
              </w:rPr>
            </w:pPr>
          </w:p>
        </w:tc>
        <w:tc>
          <w:tcPr>
            <w:tcW w:w="588" w:type="pct"/>
            <w:shd w:val="clear" w:color="auto" w:fill="auto"/>
            <w:vAlign w:val="center"/>
          </w:tcPr>
          <w:p w14:paraId="73E4201A">
            <w:pPr>
              <w:pStyle w:val="46"/>
              <w:rPr>
                <w:rFonts w:hint="eastAsia" w:ascii="宋体" w:hAnsi="宋体" w:eastAsia="宋体" w:cs="宋体"/>
                <w:color w:val="auto"/>
                <w:sz w:val="21"/>
                <w:szCs w:val="21"/>
                <w:highlight w:val="none"/>
                <w:lang w:val="zh-CN"/>
              </w:rPr>
            </w:pPr>
          </w:p>
        </w:tc>
      </w:tr>
      <w:tr w14:paraId="56775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1" w:type="pct"/>
            <w:shd w:val="clear" w:color="auto" w:fill="auto"/>
            <w:vAlign w:val="center"/>
          </w:tcPr>
          <w:p w14:paraId="3CD6AABE">
            <w:pPr>
              <w:pStyle w:val="46"/>
              <w:jc w:val="center"/>
              <w:rPr>
                <w:rFonts w:hint="default" w:ascii="宋体" w:hAnsi="宋体" w:eastAsia="宋体" w:cs="宋体"/>
                <w:color w:val="auto"/>
                <w:kern w:val="2"/>
                <w:sz w:val="21"/>
                <w:szCs w:val="21"/>
                <w:highlight w:val="yellow"/>
                <w:lang w:val="en-US" w:eastAsia="zh-CN" w:bidi="ar-SA"/>
              </w:rPr>
            </w:pPr>
            <w:r>
              <w:rPr>
                <w:rFonts w:hint="eastAsia" w:cs="宋体"/>
                <w:color w:val="auto"/>
                <w:sz w:val="21"/>
                <w:szCs w:val="21"/>
                <w:highlight w:val="none"/>
                <w:lang w:val="en-US" w:eastAsia="zh-CN"/>
              </w:rPr>
              <w:t>10</w:t>
            </w:r>
          </w:p>
        </w:tc>
        <w:tc>
          <w:tcPr>
            <w:tcW w:w="704" w:type="pct"/>
            <w:shd w:val="clear" w:color="auto" w:fill="auto"/>
            <w:vAlign w:val="center"/>
          </w:tcPr>
          <w:p w14:paraId="40726A5F">
            <w:pPr>
              <w:pStyle w:val="46"/>
              <w:jc w:val="both"/>
              <w:rPr>
                <w:rFonts w:hint="eastAsia" w:ascii="宋体" w:hAnsi="宋体" w:eastAsia="宋体" w:cs="宋体"/>
                <w:color w:val="auto"/>
                <w:kern w:val="2"/>
                <w:sz w:val="21"/>
                <w:szCs w:val="21"/>
                <w:highlight w:val="yellow"/>
                <w:lang w:val="zh-CN" w:eastAsia="zh-CN" w:bidi="ar-SA"/>
              </w:rPr>
            </w:pPr>
            <w:r>
              <w:rPr>
                <w:rFonts w:hint="eastAsia" w:cs="宋体"/>
                <w:color w:val="auto"/>
                <w:sz w:val="21"/>
                <w:szCs w:val="21"/>
                <w:highlight w:val="none"/>
                <w:lang w:val="en-US" w:eastAsia="zh-CN"/>
              </w:rPr>
              <w:t>其他情形</w:t>
            </w:r>
          </w:p>
        </w:tc>
        <w:tc>
          <w:tcPr>
            <w:tcW w:w="2967" w:type="pct"/>
            <w:shd w:val="clear" w:color="auto" w:fill="auto"/>
            <w:vAlign w:val="center"/>
          </w:tcPr>
          <w:p w14:paraId="05CC0303">
            <w:pPr>
              <w:pStyle w:val="46"/>
              <w:rPr>
                <w:rFonts w:hint="eastAsia" w:ascii="宋体" w:hAnsi="宋体" w:eastAsia="宋体" w:cs="宋体"/>
                <w:color w:val="auto"/>
                <w:kern w:val="2"/>
                <w:sz w:val="21"/>
                <w:szCs w:val="21"/>
                <w:highlight w:val="yellow"/>
                <w:lang w:val="zh-CN" w:eastAsia="zh-CN" w:bidi="ar-SA"/>
              </w:rPr>
            </w:pPr>
            <w:r>
              <w:rPr>
                <w:sz w:val="21"/>
                <w:szCs w:val="21"/>
              </w:rPr>
              <w:t>不存在不符合法律、法规及本</w:t>
            </w:r>
            <w:r>
              <w:rPr>
                <w:rFonts w:hint="eastAsia"/>
                <w:sz w:val="21"/>
                <w:szCs w:val="21"/>
                <w:lang w:val="en-US" w:eastAsia="zh-CN"/>
              </w:rPr>
              <w:t>采购</w:t>
            </w:r>
            <w:r>
              <w:rPr>
                <w:sz w:val="21"/>
                <w:szCs w:val="21"/>
              </w:rPr>
              <w:t>文件规定</w:t>
            </w:r>
            <w:r>
              <w:rPr>
                <w:spacing w:val="-1"/>
                <w:sz w:val="21"/>
                <w:szCs w:val="21"/>
              </w:rPr>
              <w:t>的其他情形</w:t>
            </w:r>
          </w:p>
        </w:tc>
        <w:tc>
          <w:tcPr>
            <w:tcW w:w="468" w:type="pct"/>
            <w:shd w:val="clear" w:color="auto" w:fill="auto"/>
            <w:vAlign w:val="center"/>
          </w:tcPr>
          <w:p w14:paraId="3A44DE13">
            <w:pPr>
              <w:pStyle w:val="46"/>
              <w:rPr>
                <w:rFonts w:hint="eastAsia" w:ascii="宋体" w:hAnsi="宋体" w:eastAsia="宋体" w:cs="宋体"/>
                <w:color w:val="auto"/>
                <w:sz w:val="21"/>
                <w:szCs w:val="21"/>
                <w:highlight w:val="none"/>
                <w:lang w:val="zh-CN"/>
              </w:rPr>
            </w:pPr>
          </w:p>
        </w:tc>
        <w:tc>
          <w:tcPr>
            <w:tcW w:w="588" w:type="pct"/>
            <w:shd w:val="clear" w:color="auto" w:fill="auto"/>
            <w:vAlign w:val="center"/>
          </w:tcPr>
          <w:p w14:paraId="5D1C94D8">
            <w:pPr>
              <w:pStyle w:val="46"/>
              <w:rPr>
                <w:rFonts w:hint="eastAsia" w:ascii="宋体" w:hAnsi="宋体" w:eastAsia="宋体" w:cs="宋体"/>
                <w:color w:val="auto"/>
                <w:sz w:val="21"/>
                <w:szCs w:val="21"/>
                <w:highlight w:val="none"/>
                <w:lang w:val="zh-CN"/>
              </w:rPr>
            </w:pPr>
          </w:p>
        </w:tc>
      </w:tr>
    </w:tbl>
    <w:p w14:paraId="1ED88D2A">
      <w:pPr>
        <w:shd w:val="clear" w:color="auto"/>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028E1FEF">
      <w:pPr>
        <w:shd w:val="clear" w:color="auto"/>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199811C3">
      <w:pPr>
        <w:shd w:val="clear" w:color="auto"/>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1AACC489">
      <w:pPr>
        <w:shd w:val="clear" w:color="auto"/>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0A621C99">
      <w:pPr>
        <w:shd w:val="clear" w:color="auto"/>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2E60AFF0">
      <w:pPr>
        <w:shd w:val="clear" w:color="auto"/>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3624643D">
      <w:pPr>
        <w:shd w:val="clear" w:color="auto"/>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6A22AD6B">
      <w:pPr>
        <w:shd w:val="clear" w:color="auto"/>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3107E210">
      <w:pPr>
        <w:keepNext w:val="0"/>
        <w:keepLines w:val="0"/>
        <w:pageBreakBefore w:val="0"/>
        <w:widowControl w:val="0"/>
        <w:numPr>
          <w:ilvl w:val="0"/>
          <w:numId w:val="0"/>
        </w:numPr>
        <w:kinsoku/>
        <w:wordWrap/>
        <w:overflowPunct/>
        <w:topLinePunct w:val="0"/>
        <w:autoSpaceDE/>
        <w:autoSpaceDN/>
        <w:bidi w:val="0"/>
        <w:adjustRightInd/>
        <w:snapToGrid/>
        <w:spacing w:before="100" w:after="100" w:line="480" w:lineRule="exact"/>
        <w:ind w:left="420" w:leftChars="0" w:hanging="420" w:firstLineChars="0"/>
        <w:textAlignment w:val="auto"/>
        <w:outlineLvl w:val="9"/>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符合性检查</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zh-CN" w:eastAsia="zh-CN" w:bidi="ar-SA"/>
        </w:rPr>
        <w:t>附表</w:t>
      </w:r>
    </w:p>
    <w:p w14:paraId="4F7CC118">
      <w:pPr>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outlineLvl w:val="9"/>
        <w:rPr>
          <w:rFonts w:hint="eastAsia" w:ascii="宋体" w:hAnsi="宋体" w:eastAsia="宋体" w:cstheme="minorBidi"/>
          <w:b/>
          <w:bCs/>
          <w:color w:val="auto"/>
          <w:kern w:val="2"/>
          <w:sz w:val="28"/>
          <w:szCs w:val="28"/>
          <w:highlight w:val="none"/>
          <w:lang w:val="zh-CN" w:eastAsia="zh-CN" w:bidi="ar-SA"/>
        </w:rPr>
      </w:pPr>
      <w:bookmarkStart w:id="494" w:name="_Toc18208"/>
      <w:r>
        <w:rPr>
          <w:rFonts w:hint="eastAsia" w:ascii="宋体" w:hAnsi="宋体" w:eastAsia="宋体" w:cstheme="minorBidi"/>
          <w:b/>
          <w:bCs/>
          <w:color w:val="auto"/>
          <w:kern w:val="2"/>
          <w:sz w:val="28"/>
          <w:szCs w:val="28"/>
          <w:highlight w:val="none"/>
          <w:lang w:val="zh-CN" w:eastAsia="zh-CN" w:bidi="ar-SA"/>
        </w:rPr>
        <w:t>实质性响应一览表</w:t>
      </w:r>
      <w:bookmarkEnd w:id="494"/>
    </w:p>
    <w:p w14:paraId="231F5A14">
      <w:pPr>
        <w:shd w:val="clear" w:color="auto"/>
        <w:tabs>
          <w:tab w:val="left" w:pos="3045"/>
        </w:tabs>
        <w:autoSpaceDE w:val="0"/>
        <w:autoSpaceDN w:val="0"/>
        <w:adjustRightInd w:val="0"/>
        <w:snapToGrid w:val="0"/>
        <w:spacing w:line="360" w:lineRule="exact"/>
        <w:jc w:val="center"/>
        <w:rPr>
          <w:rFonts w:hint="eastAsia" w:ascii="宋体" w:hAnsi="宋体" w:cs="宋体"/>
          <w:b/>
          <w:color w:val="auto"/>
          <w:sz w:val="24"/>
          <w:highlight w:val="none"/>
        </w:rPr>
      </w:pPr>
      <w:r>
        <w:rPr>
          <w:rFonts w:hint="eastAsia" w:ascii="宋体" w:hAnsi="宋体" w:cs="宋体"/>
          <w:b w:val="0"/>
          <w:bCs/>
          <w:color w:val="auto"/>
          <w:sz w:val="24"/>
          <w:highlight w:val="none"/>
        </w:rPr>
        <w:t>（供应商须对本附表所有内容逐条响应且无负偏离，否则</w:t>
      </w:r>
      <w:r>
        <w:rPr>
          <w:rFonts w:hint="eastAsia" w:cs="宋体"/>
          <w:b/>
          <w:color w:val="auto"/>
          <w:sz w:val="24"/>
          <w:highlight w:val="none"/>
          <w:lang w:val="en-US" w:eastAsia="zh-CN"/>
        </w:rPr>
        <w:t>响应</w:t>
      </w:r>
      <w:r>
        <w:rPr>
          <w:rFonts w:hint="eastAsia" w:ascii="宋体" w:hAnsi="宋体" w:cs="宋体"/>
          <w:b/>
          <w:color w:val="auto"/>
          <w:sz w:val="24"/>
          <w:highlight w:val="none"/>
        </w:rPr>
        <w:t>无效</w:t>
      </w:r>
      <w:r>
        <w:rPr>
          <w:rFonts w:hint="eastAsia" w:ascii="宋体" w:hAnsi="宋体" w:cs="宋体"/>
          <w:b w:val="0"/>
          <w:bCs/>
          <w:color w:val="auto"/>
          <w:sz w:val="24"/>
          <w:highlight w:val="none"/>
        </w:rPr>
        <w:t>）</w:t>
      </w:r>
    </w:p>
    <w:p w14:paraId="4F532689">
      <w:pPr>
        <w:pStyle w:val="21"/>
        <w:rPr>
          <w:rFonts w:hint="eastAsia" w:ascii="宋体" w:hAnsi="宋体" w:cs="宋体"/>
          <w:color w:val="auto"/>
          <w:highlight w:val="none"/>
        </w:rPr>
      </w:pPr>
    </w:p>
    <w:tbl>
      <w:tblPr>
        <w:tblStyle w:val="28"/>
        <w:tblW w:w="5272" w:type="pct"/>
        <w:tblInd w:w="-1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446"/>
        <w:gridCol w:w="3179"/>
        <w:gridCol w:w="1957"/>
        <w:gridCol w:w="732"/>
      </w:tblGrid>
      <w:tr w14:paraId="1404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74" w:type="pct"/>
            <w:vMerge w:val="restart"/>
            <w:noWrap w:val="0"/>
            <w:vAlign w:val="center"/>
          </w:tcPr>
          <w:p w14:paraId="7974C54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序号</w:t>
            </w:r>
          </w:p>
        </w:tc>
        <w:tc>
          <w:tcPr>
            <w:tcW w:w="3129" w:type="pct"/>
            <w:gridSpan w:val="2"/>
            <w:noWrap w:val="0"/>
            <w:vAlign w:val="center"/>
          </w:tcPr>
          <w:p w14:paraId="4F79053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cs="宋体"/>
                <w:i w:val="0"/>
                <w:iCs w:val="0"/>
                <w:color w:val="auto"/>
                <w:sz w:val="21"/>
                <w:szCs w:val="21"/>
                <w:highlight w:val="none"/>
                <w:lang w:val="en-US" w:eastAsia="zh-CN"/>
              </w:rPr>
              <w:t>谈判</w:t>
            </w:r>
            <w:r>
              <w:rPr>
                <w:rFonts w:hint="eastAsia" w:ascii="宋体" w:hAnsi="宋体" w:eastAsia="宋体" w:cs="宋体"/>
                <w:i w:val="0"/>
                <w:iCs w:val="0"/>
                <w:color w:val="auto"/>
                <w:sz w:val="21"/>
                <w:szCs w:val="21"/>
                <w:highlight w:val="none"/>
              </w:rPr>
              <w:t>文件要求的实质性响应内容</w:t>
            </w:r>
          </w:p>
        </w:tc>
        <w:tc>
          <w:tcPr>
            <w:tcW w:w="1088" w:type="pct"/>
            <w:vMerge w:val="restart"/>
            <w:noWrap w:val="0"/>
            <w:vAlign w:val="center"/>
          </w:tcPr>
          <w:p w14:paraId="1DFD5A1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供应商</w:t>
            </w:r>
            <w:r>
              <w:rPr>
                <w:rFonts w:hint="eastAsia" w:ascii="宋体" w:hAnsi="宋体" w:eastAsia="宋体" w:cs="宋体"/>
                <w:i w:val="0"/>
                <w:iCs w:val="0"/>
                <w:color w:val="auto"/>
                <w:sz w:val="21"/>
                <w:szCs w:val="21"/>
                <w:highlight w:val="none"/>
                <w:lang w:eastAsia="zh-CN"/>
              </w:rPr>
              <w:t>响应</w:t>
            </w:r>
            <w:r>
              <w:rPr>
                <w:rFonts w:hint="eastAsia" w:ascii="宋体" w:hAnsi="宋体" w:eastAsia="宋体" w:cs="宋体"/>
                <w:i w:val="0"/>
                <w:iCs w:val="0"/>
                <w:color w:val="auto"/>
                <w:sz w:val="21"/>
                <w:szCs w:val="21"/>
                <w:highlight w:val="none"/>
              </w:rPr>
              <w:t>文件具体</w:t>
            </w:r>
            <w:r>
              <w:rPr>
                <w:rFonts w:hint="eastAsia" w:ascii="宋体" w:hAnsi="宋体" w:eastAsia="宋体" w:cs="宋体"/>
                <w:i w:val="0"/>
                <w:iCs w:val="0"/>
                <w:color w:val="auto"/>
                <w:sz w:val="21"/>
                <w:szCs w:val="21"/>
                <w:highlight w:val="none"/>
                <w:lang w:eastAsia="zh-CN"/>
              </w:rPr>
              <w:t>响应</w:t>
            </w:r>
            <w:r>
              <w:rPr>
                <w:rFonts w:hint="eastAsia" w:ascii="宋体" w:hAnsi="宋体" w:eastAsia="宋体" w:cs="宋体"/>
                <w:i w:val="0"/>
                <w:iCs w:val="0"/>
                <w:color w:val="auto"/>
                <w:sz w:val="21"/>
                <w:szCs w:val="21"/>
                <w:highlight w:val="none"/>
              </w:rPr>
              <w:t>内容</w:t>
            </w:r>
          </w:p>
        </w:tc>
        <w:tc>
          <w:tcPr>
            <w:tcW w:w="407" w:type="pct"/>
            <w:vMerge w:val="restart"/>
            <w:noWrap w:val="0"/>
            <w:vAlign w:val="center"/>
          </w:tcPr>
          <w:p w14:paraId="182E982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备注</w:t>
            </w:r>
          </w:p>
        </w:tc>
      </w:tr>
      <w:tr w14:paraId="3C4CE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74" w:type="pct"/>
            <w:vMerge w:val="continue"/>
            <w:noWrap w:val="0"/>
            <w:vAlign w:val="center"/>
          </w:tcPr>
          <w:p w14:paraId="72371D4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1360" w:type="pct"/>
            <w:shd w:val="clear" w:color="auto" w:fill="auto"/>
            <w:noWrap w:val="0"/>
            <w:vAlign w:val="center"/>
          </w:tcPr>
          <w:p w14:paraId="1BF2081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实质性要求</w:t>
            </w:r>
          </w:p>
        </w:tc>
        <w:tc>
          <w:tcPr>
            <w:tcW w:w="1768" w:type="pct"/>
            <w:shd w:val="clear" w:color="auto" w:fill="auto"/>
            <w:noWrap w:val="0"/>
            <w:vAlign w:val="center"/>
          </w:tcPr>
          <w:p w14:paraId="7E16D5C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cs="宋体"/>
                <w:i w:val="0"/>
                <w:iCs w:val="0"/>
                <w:color w:val="auto"/>
                <w:sz w:val="21"/>
                <w:szCs w:val="21"/>
                <w:highlight w:val="none"/>
                <w:lang w:val="en-US" w:eastAsia="zh-CN"/>
              </w:rPr>
              <w:t>谈判</w:t>
            </w:r>
            <w:r>
              <w:rPr>
                <w:rFonts w:hint="eastAsia" w:ascii="宋体" w:hAnsi="宋体" w:eastAsia="宋体" w:cs="宋体"/>
                <w:i w:val="0"/>
                <w:iCs w:val="0"/>
                <w:color w:val="auto"/>
                <w:sz w:val="21"/>
                <w:szCs w:val="21"/>
                <w:highlight w:val="none"/>
                <w:lang w:val="en-US" w:eastAsia="zh-CN"/>
              </w:rPr>
              <w:t>文件中的规定</w:t>
            </w:r>
          </w:p>
        </w:tc>
        <w:tc>
          <w:tcPr>
            <w:tcW w:w="1088" w:type="pct"/>
            <w:vMerge w:val="continue"/>
            <w:noWrap w:val="0"/>
            <w:vAlign w:val="center"/>
          </w:tcPr>
          <w:p w14:paraId="70107A5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eastAsia="zh-CN"/>
              </w:rPr>
            </w:pPr>
          </w:p>
        </w:tc>
        <w:tc>
          <w:tcPr>
            <w:tcW w:w="407" w:type="pct"/>
            <w:vMerge w:val="continue"/>
            <w:noWrap w:val="0"/>
            <w:vAlign w:val="center"/>
          </w:tcPr>
          <w:p w14:paraId="34815FA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eastAsia="zh-CN"/>
              </w:rPr>
            </w:pPr>
          </w:p>
        </w:tc>
      </w:tr>
      <w:tr w14:paraId="64681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374" w:type="pct"/>
            <w:noWrap w:val="0"/>
            <w:vAlign w:val="center"/>
          </w:tcPr>
          <w:p w14:paraId="1D030E8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w:t>
            </w:r>
          </w:p>
        </w:tc>
        <w:tc>
          <w:tcPr>
            <w:tcW w:w="1360" w:type="pct"/>
            <w:shd w:val="clear" w:color="auto" w:fill="auto"/>
            <w:noWrap w:val="0"/>
            <w:vAlign w:val="center"/>
          </w:tcPr>
          <w:p w14:paraId="2AE01BE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eastAsia="zh-CN"/>
              </w:rPr>
              <w:t>响应文件</w:t>
            </w:r>
            <w:r>
              <w:rPr>
                <w:rFonts w:hint="eastAsia" w:ascii="宋体" w:hAnsi="宋体" w:eastAsia="宋体" w:cs="宋体"/>
                <w:i w:val="0"/>
                <w:iCs w:val="0"/>
                <w:color w:val="auto"/>
                <w:sz w:val="21"/>
                <w:szCs w:val="21"/>
                <w:highlight w:val="none"/>
              </w:rPr>
              <w:t>有效期</w:t>
            </w:r>
          </w:p>
        </w:tc>
        <w:tc>
          <w:tcPr>
            <w:tcW w:w="1768" w:type="pct"/>
            <w:shd w:val="clear" w:color="auto" w:fill="auto"/>
            <w:noWrap w:val="0"/>
            <w:vAlign w:val="center"/>
          </w:tcPr>
          <w:p w14:paraId="27457AC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val="en-US" w:eastAsia="zh-CN"/>
              </w:rPr>
              <w:t>（谈判文件关于响应文件有效期的规定）</w:t>
            </w:r>
          </w:p>
        </w:tc>
        <w:tc>
          <w:tcPr>
            <w:tcW w:w="1088" w:type="pct"/>
            <w:noWrap w:val="0"/>
            <w:vAlign w:val="center"/>
          </w:tcPr>
          <w:p w14:paraId="1B8FC55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供应商在</w:t>
            </w:r>
            <w:r>
              <w:rPr>
                <w:rFonts w:hint="eastAsia" w:ascii="宋体" w:hAnsi="宋体" w:eastAsia="宋体" w:cs="宋体"/>
                <w:i w:val="0"/>
                <w:iCs w:val="0"/>
                <w:color w:val="auto"/>
                <w:sz w:val="21"/>
                <w:szCs w:val="21"/>
                <w:highlight w:val="none"/>
              </w:rPr>
              <w:t>此处填写</w:t>
            </w:r>
            <w:r>
              <w:rPr>
                <w:rFonts w:hint="eastAsia" w:ascii="宋体" w:hAnsi="宋体" w:eastAsia="宋体" w:cs="宋体"/>
                <w:i w:val="0"/>
                <w:iCs w:val="0"/>
                <w:color w:val="auto"/>
                <w:sz w:val="21"/>
                <w:szCs w:val="21"/>
                <w:highlight w:val="none"/>
                <w:lang w:eastAsia="zh-CN"/>
              </w:rPr>
              <w:t>响应</w:t>
            </w:r>
            <w:r>
              <w:rPr>
                <w:rFonts w:hint="eastAsia" w:ascii="宋体" w:hAnsi="宋体" w:eastAsia="宋体" w:cs="宋体"/>
                <w:i w:val="0"/>
                <w:iCs w:val="0"/>
                <w:color w:val="auto"/>
                <w:sz w:val="21"/>
                <w:szCs w:val="21"/>
                <w:highlight w:val="none"/>
                <w:lang w:val="en-US" w:eastAsia="zh-CN"/>
              </w:rPr>
              <w:t>文件的相关内容</w:t>
            </w:r>
            <w:r>
              <w:rPr>
                <w:rFonts w:hint="eastAsia" w:ascii="宋体" w:hAnsi="宋体" w:eastAsia="宋体" w:cs="宋体"/>
                <w:i w:val="0"/>
                <w:iCs w:val="0"/>
                <w:color w:val="auto"/>
                <w:sz w:val="21"/>
                <w:szCs w:val="21"/>
                <w:highlight w:val="none"/>
                <w:lang w:eastAsia="zh-CN"/>
              </w:rPr>
              <w:t>】</w:t>
            </w:r>
          </w:p>
        </w:tc>
        <w:tc>
          <w:tcPr>
            <w:tcW w:w="407" w:type="pct"/>
            <w:noWrap w:val="0"/>
            <w:vAlign w:val="center"/>
          </w:tcPr>
          <w:p w14:paraId="7AC0423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r w14:paraId="160B5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74" w:type="pct"/>
            <w:noWrap w:val="0"/>
            <w:vAlign w:val="center"/>
          </w:tcPr>
          <w:p w14:paraId="501E13E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w:t>
            </w:r>
          </w:p>
        </w:tc>
        <w:tc>
          <w:tcPr>
            <w:tcW w:w="1360" w:type="pct"/>
            <w:shd w:val="clear" w:color="auto" w:fill="auto"/>
            <w:noWrap w:val="0"/>
            <w:vAlign w:val="center"/>
          </w:tcPr>
          <w:p w14:paraId="65BB59B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【根据项目需要自行填列及编制】</w:t>
            </w:r>
          </w:p>
        </w:tc>
        <w:tc>
          <w:tcPr>
            <w:tcW w:w="1768" w:type="pct"/>
            <w:shd w:val="clear" w:color="auto" w:fill="auto"/>
            <w:noWrap w:val="0"/>
            <w:vAlign w:val="center"/>
          </w:tcPr>
          <w:p w14:paraId="0AAF3A8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lang w:eastAsia="zh-CN"/>
              </w:rPr>
            </w:pPr>
          </w:p>
        </w:tc>
        <w:tc>
          <w:tcPr>
            <w:tcW w:w="1088" w:type="pct"/>
            <w:noWrap w:val="0"/>
            <w:vAlign w:val="center"/>
          </w:tcPr>
          <w:p w14:paraId="0ED460E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407" w:type="pct"/>
            <w:noWrap w:val="0"/>
            <w:vAlign w:val="center"/>
          </w:tcPr>
          <w:p w14:paraId="79B8A0D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r w14:paraId="6CBB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74" w:type="pct"/>
            <w:noWrap w:val="0"/>
            <w:vAlign w:val="center"/>
          </w:tcPr>
          <w:p w14:paraId="28CC6CF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3</w:t>
            </w:r>
          </w:p>
        </w:tc>
        <w:tc>
          <w:tcPr>
            <w:tcW w:w="1360" w:type="pct"/>
            <w:shd w:val="clear" w:color="auto" w:fill="auto"/>
            <w:noWrap w:val="0"/>
            <w:vAlign w:val="center"/>
          </w:tcPr>
          <w:p w14:paraId="1C9AFC6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zh-CN"/>
              </w:rPr>
              <w:t>……</w:t>
            </w:r>
          </w:p>
        </w:tc>
        <w:tc>
          <w:tcPr>
            <w:tcW w:w="1768" w:type="pct"/>
            <w:shd w:val="clear" w:color="auto" w:fill="auto"/>
            <w:noWrap w:val="0"/>
            <w:vAlign w:val="center"/>
          </w:tcPr>
          <w:p w14:paraId="46223A2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lang w:val="en-US" w:eastAsia="zh-CN"/>
              </w:rPr>
            </w:pPr>
          </w:p>
        </w:tc>
        <w:tc>
          <w:tcPr>
            <w:tcW w:w="1088" w:type="pct"/>
            <w:noWrap w:val="0"/>
            <w:vAlign w:val="center"/>
          </w:tcPr>
          <w:p w14:paraId="5A56FEB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407" w:type="pct"/>
            <w:noWrap w:val="0"/>
            <w:vAlign w:val="center"/>
          </w:tcPr>
          <w:p w14:paraId="135B649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r w14:paraId="2F3F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74" w:type="pct"/>
            <w:noWrap w:val="0"/>
            <w:vAlign w:val="center"/>
          </w:tcPr>
          <w:p w14:paraId="3FE9665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4</w:t>
            </w:r>
          </w:p>
        </w:tc>
        <w:tc>
          <w:tcPr>
            <w:tcW w:w="1360" w:type="pct"/>
            <w:shd w:val="clear" w:color="auto" w:fill="auto"/>
            <w:noWrap w:val="0"/>
            <w:vAlign w:val="center"/>
          </w:tcPr>
          <w:p w14:paraId="6695762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zh-CN"/>
              </w:rPr>
              <w:t>……</w:t>
            </w:r>
          </w:p>
        </w:tc>
        <w:tc>
          <w:tcPr>
            <w:tcW w:w="1768" w:type="pct"/>
            <w:shd w:val="clear" w:color="auto" w:fill="auto"/>
            <w:noWrap w:val="0"/>
            <w:vAlign w:val="center"/>
          </w:tcPr>
          <w:p w14:paraId="5FCDF23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lang w:val="en-US" w:eastAsia="zh-CN"/>
              </w:rPr>
            </w:pPr>
          </w:p>
        </w:tc>
        <w:tc>
          <w:tcPr>
            <w:tcW w:w="1088" w:type="pct"/>
            <w:noWrap w:val="0"/>
            <w:vAlign w:val="center"/>
          </w:tcPr>
          <w:p w14:paraId="56E63EA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407" w:type="pct"/>
            <w:noWrap w:val="0"/>
            <w:vAlign w:val="center"/>
          </w:tcPr>
          <w:p w14:paraId="3CC63F8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r w14:paraId="2BAD1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74" w:type="pct"/>
            <w:noWrap w:val="0"/>
            <w:vAlign w:val="center"/>
          </w:tcPr>
          <w:p w14:paraId="727A18F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5</w:t>
            </w:r>
          </w:p>
        </w:tc>
        <w:tc>
          <w:tcPr>
            <w:tcW w:w="1360" w:type="pct"/>
            <w:shd w:val="clear" w:color="auto" w:fill="auto"/>
            <w:noWrap w:val="0"/>
            <w:vAlign w:val="center"/>
          </w:tcPr>
          <w:p w14:paraId="20EF89D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zh-CN" w:eastAsia="zh-CN"/>
              </w:rPr>
              <w:t>……</w:t>
            </w:r>
          </w:p>
        </w:tc>
        <w:tc>
          <w:tcPr>
            <w:tcW w:w="1768" w:type="pct"/>
            <w:shd w:val="clear" w:color="auto" w:fill="auto"/>
            <w:noWrap w:val="0"/>
            <w:vAlign w:val="center"/>
          </w:tcPr>
          <w:p w14:paraId="2C049B5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lang w:val="en-US" w:eastAsia="zh-CN"/>
              </w:rPr>
            </w:pPr>
          </w:p>
        </w:tc>
        <w:tc>
          <w:tcPr>
            <w:tcW w:w="1088" w:type="pct"/>
            <w:noWrap w:val="0"/>
            <w:vAlign w:val="center"/>
          </w:tcPr>
          <w:p w14:paraId="419B9AA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407" w:type="pct"/>
            <w:noWrap w:val="0"/>
            <w:vAlign w:val="center"/>
          </w:tcPr>
          <w:p w14:paraId="5A561DC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r w14:paraId="578D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74" w:type="pct"/>
            <w:noWrap w:val="0"/>
            <w:vAlign w:val="center"/>
          </w:tcPr>
          <w:p w14:paraId="1BF7767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6</w:t>
            </w:r>
          </w:p>
        </w:tc>
        <w:tc>
          <w:tcPr>
            <w:tcW w:w="1360" w:type="pct"/>
            <w:shd w:val="clear" w:color="auto" w:fill="auto"/>
            <w:noWrap w:val="0"/>
            <w:vAlign w:val="center"/>
          </w:tcPr>
          <w:p w14:paraId="744B405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zh-CN"/>
              </w:rPr>
              <w:t>……</w:t>
            </w:r>
          </w:p>
        </w:tc>
        <w:tc>
          <w:tcPr>
            <w:tcW w:w="1768" w:type="pct"/>
            <w:shd w:val="clear" w:color="auto" w:fill="auto"/>
            <w:noWrap w:val="0"/>
            <w:vAlign w:val="center"/>
          </w:tcPr>
          <w:p w14:paraId="1E3501D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lang w:eastAsia="zh-CN"/>
              </w:rPr>
            </w:pPr>
          </w:p>
        </w:tc>
        <w:tc>
          <w:tcPr>
            <w:tcW w:w="1088" w:type="pct"/>
            <w:noWrap w:val="0"/>
            <w:vAlign w:val="center"/>
          </w:tcPr>
          <w:p w14:paraId="2A85F15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407" w:type="pct"/>
            <w:noWrap w:val="0"/>
            <w:vAlign w:val="center"/>
          </w:tcPr>
          <w:p w14:paraId="61702B2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r w14:paraId="651E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74" w:type="pct"/>
            <w:noWrap w:val="0"/>
            <w:vAlign w:val="center"/>
          </w:tcPr>
          <w:p w14:paraId="259529F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7</w:t>
            </w:r>
          </w:p>
        </w:tc>
        <w:tc>
          <w:tcPr>
            <w:tcW w:w="1360" w:type="pct"/>
            <w:noWrap w:val="0"/>
            <w:vAlign w:val="center"/>
          </w:tcPr>
          <w:p w14:paraId="3D20E21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zh-CN"/>
              </w:rPr>
              <w:t>……</w:t>
            </w:r>
          </w:p>
        </w:tc>
        <w:tc>
          <w:tcPr>
            <w:tcW w:w="1768" w:type="pct"/>
            <w:noWrap w:val="0"/>
            <w:vAlign w:val="center"/>
          </w:tcPr>
          <w:p w14:paraId="535CE2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1"/>
                <w:szCs w:val="21"/>
                <w:highlight w:val="none"/>
              </w:rPr>
            </w:pPr>
          </w:p>
        </w:tc>
        <w:tc>
          <w:tcPr>
            <w:tcW w:w="1088" w:type="pct"/>
            <w:noWrap w:val="0"/>
            <w:vAlign w:val="center"/>
          </w:tcPr>
          <w:p w14:paraId="47072BF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407" w:type="pct"/>
            <w:noWrap w:val="0"/>
            <w:vAlign w:val="center"/>
          </w:tcPr>
          <w:p w14:paraId="1818304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r w14:paraId="38E11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74" w:type="pct"/>
            <w:noWrap w:val="0"/>
            <w:vAlign w:val="center"/>
          </w:tcPr>
          <w:p w14:paraId="6E25679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val="en-US" w:eastAsia="zh-CN"/>
              </w:rPr>
            </w:pPr>
          </w:p>
        </w:tc>
        <w:tc>
          <w:tcPr>
            <w:tcW w:w="1360" w:type="pct"/>
            <w:shd w:val="clear" w:color="auto" w:fill="auto"/>
            <w:noWrap w:val="0"/>
            <w:vAlign w:val="center"/>
          </w:tcPr>
          <w:p w14:paraId="5982B57A">
            <w:pPr>
              <w:pStyle w:val="46"/>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sz w:val="21"/>
                <w:szCs w:val="21"/>
                <w:highlight w:val="none"/>
                <w:lang w:val="zh-CN"/>
              </w:rPr>
              <w:t>……</w:t>
            </w:r>
          </w:p>
        </w:tc>
        <w:tc>
          <w:tcPr>
            <w:tcW w:w="1768" w:type="pct"/>
            <w:noWrap w:val="0"/>
            <w:vAlign w:val="center"/>
          </w:tcPr>
          <w:p w14:paraId="70F27D8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1"/>
                <w:szCs w:val="21"/>
                <w:highlight w:val="none"/>
                <w:lang w:eastAsia="zh-CN"/>
              </w:rPr>
            </w:pPr>
          </w:p>
        </w:tc>
        <w:tc>
          <w:tcPr>
            <w:tcW w:w="1088" w:type="pct"/>
            <w:noWrap w:val="0"/>
            <w:vAlign w:val="center"/>
          </w:tcPr>
          <w:p w14:paraId="479DF9B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407" w:type="pct"/>
            <w:noWrap w:val="0"/>
            <w:vAlign w:val="center"/>
          </w:tcPr>
          <w:p w14:paraId="4938D17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bl>
    <w:p w14:paraId="3F0E658F">
      <w:pPr>
        <w:shd w:val="clear" w:color="auto"/>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5DFE4AA9">
      <w:pPr>
        <w:shd w:val="clear" w:color="auto"/>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73C7580B">
      <w:pPr>
        <w:rPr>
          <w:rFonts w:hint="default" w:eastAsia="宋体"/>
          <w:b/>
          <w:bCs/>
          <w:color w:val="auto"/>
          <w:sz w:val="21"/>
          <w:szCs w:val="21"/>
          <w:highlight w:val="none"/>
          <w:lang w:val="en-US" w:eastAsia="zh-CN"/>
        </w:rPr>
      </w:pPr>
      <w:r>
        <w:rPr>
          <w:rFonts w:hint="eastAsia"/>
          <w:b/>
          <w:bCs/>
          <w:color w:val="auto"/>
          <w:sz w:val="21"/>
          <w:szCs w:val="21"/>
          <w:highlight w:val="none"/>
          <w:lang w:val="en-US" w:eastAsia="zh-CN"/>
        </w:rPr>
        <w:t>注：“实质性响应一览表”中的内容为参考，可根据项目情况自行设置。</w:t>
      </w:r>
    </w:p>
    <w:p w14:paraId="6A6F6B05">
      <w:pPr>
        <w:shd w:val="clear" w:color="auto"/>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033CEC3C">
      <w:pPr>
        <w:shd w:val="clear" w:color="auto"/>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7E1CE7D6">
      <w:pPr>
        <w:shd w:val="clear"/>
        <w:rPr>
          <w:rFonts w:hint="eastAsia"/>
          <w:color w:val="auto"/>
          <w:highlight w:val="none"/>
          <w:lang w:val="en-US" w:eastAsia="zh-CN"/>
        </w:rPr>
      </w:pPr>
    </w:p>
    <w:bookmarkEnd w:id="493"/>
    <w:p w14:paraId="12B23B4E">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480" w:lineRule="exact"/>
        <w:ind w:left="420" w:leftChars="0" w:hanging="420" w:firstLineChars="0"/>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w:t>
      </w:r>
      <w:r>
        <w:rPr>
          <w:rFonts w:hint="eastAsia"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en-US" w:eastAsia="zh-CN" w:bidi="ar-SA"/>
        </w:rPr>
        <w:t>）</w:t>
      </w:r>
      <w:r>
        <w:rPr>
          <w:rFonts w:hint="eastAsia" w:cs="宋体"/>
          <w:b/>
          <w:bCs/>
          <w:color w:val="auto"/>
          <w:kern w:val="2"/>
          <w:sz w:val="24"/>
          <w:szCs w:val="24"/>
          <w:highlight w:val="none"/>
          <w:lang w:val="en-US" w:eastAsia="zh-CN" w:bidi="ar-SA"/>
        </w:rPr>
        <w:t>报价评审</w:t>
      </w:r>
    </w:p>
    <w:tbl>
      <w:tblPr>
        <w:tblStyle w:val="28"/>
        <w:tblW w:w="49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0"/>
        <w:gridCol w:w="1161"/>
        <w:gridCol w:w="6062"/>
      </w:tblGrid>
      <w:tr w14:paraId="4294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397" w:type="pct"/>
            <w:gridSpan w:val="2"/>
            <w:shd w:val="clear" w:color="auto" w:fill="auto"/>
            <w:vAlign w:val="center"/>
          </w:tcPr>
          <w:p w14:paraId="461B3465">
            <w:pPr>
              <w:pStyle w:val="46"/>
              <w:jc w:val="center"/>
              <w:rPr>
                <w:rFonts w:hint="default" w:ascii="宋体" w:hAnsi="宋体" w:eastAsia="宋体"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评审项目</w:t>
            </w:r>
          </w:p>
        </w:tc>
        <w:tc>
          <w:tcPr>
            <w:tcW w:w="3602" w:type="pct"/>
            <w:shd w:val="clear" w:color="auto" w:fill="auto"/>
            <w:vAlign w:val="center"/>
          </w:tcPr>
          <w:p w14:paraId="7189BDF0">
            <w:pPr>
              <w:pStyle w:val="46"/>
              <w:jc w:val="center"/>
              <w:rPr>
                <w:rFonts w:hint="eastAsia" w:ascii="宋体" w:hAnsi="宋体" w:eastAsia="宋体" w:cs="宋体"/>
                <w:color w:val="auto"/>
                <w:kern w:val="2"/>
                <w:sz w:val="21"/>
                <w:szCs w:val="21"/>
                <w:highlight w:val="none"/>
                <w:lang w:val="en-US" w:eastAsia="zh-CN" w:bidi="ar-SA"/>
              </w:rPr>
            </w:pPr>
            <w:r>
              <w:rPr>
                <w:rFonts w:hint="eastAsia" w:cs="宋体"/>
                <w:b/>
                <w:bCs/>
                <w:color w:val="auto"/>
                <w:sz w:val="21"/>
                <w:szCs w:val="21"/>
                <w:highlight w:val="none"/>
                <w:lang w:val="en-US" w:eastAsia="zh-CN"/>
              </w:rPr>
              <w:t>评审标准及要求</w:t>
            </w:r>
          </w:p>
        </w:tc>
      </w:tr>
      <w:tr w14:paraId="374E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707" w:type="pct"/>
            <w:shd w:val="clear" w:color="auto" w:fill="auto"/>
            <w:vAlign w:val="center"/>
          </w:tcPr>
          <w:p w14:paraId="0163FD9C">
            <w:pPr>
              <w:pStyle w:val="46"/>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价格</w:t>
            </w:r>
            <w:r>
              <w:rPr>
                <w:rFonts w:hint="eastAsia" w:cs="宋体"/>
                <w:color w:val="auto"/>
                <w:sz w:val="21"/>
                <w:szCs w:val="21"/>
                <w:highlight w:val="none"/>
                <w:lang w:val="en-US" w:eastAsia="zh-CN"/>
              </w:rPr>
              <w:t>评审</w:t>
            </w:r>
          </w:p>
        </w:tc>
        <w:tc>
          <w:tcPr>
            <w:tcW w:w="689" w:type="pct"/>
            <w:tcBorders>
              <w:top w:val="single" w:color="auto" w:sz="4" w:space="0"/>
            </w:tcBorders>
            <w:shd w:val="clear" w:color="auto" w:fill="auto"/>
            <w:vAlign w:val="center"/>
          </w:tcPr>
          <w:p w14:paraId="42B70C88">
            <w:pPr>
              <w:pStyle w:val="46"/>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最后</w:t>
            </w:r>
            <w:r>
              <w:rPr>
                <w:rFonts w:hint="eastAsia" w:ascii="宋体" w:hAnsi="宋体" w:eastAsia="宋体" w:cs="宋体"/>
                <w:color w:val="auto"/>
                <w:sz w:val="21"/>
                <w:szCs w:val="21"/>
                <w:highlight w:val="none"/>
              </w:rPr>
              <w:t>报价</w:t>
            </w:r>
          </w:p>
        </w:tc>
        <w:tc>
          <w:tcPr>
            <w:tcW w:w="3602" w:type="pct"/>
            <w:shd w:val="clear" w:color="auto" w:fill="auto"/>
            <w:vAlign w:val="center"/>
          </w:tcPr>
          <w:p w14:paraId="747D8086">
            <w:pPr>
              <w:pStyle w:val="4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满足竞争性</w:t>
            </w: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rPr>
              <w:t>文件要求</w:t>
            </w:r>
            <w:r>
              <w:rPr>
                <w:rFonts w:hint="eastAsia" w:cs="宋体"/>
                <w:color w:val="auto"/>
                <w:sz w:val="21"/>
                <w:szCs w:val="21"/>
                <w:highlight w:val="none"/>
                <w:lang w:val="en-US" w:eastAsia="zh-CN"/>
              </w:rPr>
              <w:t>的供应商按</w:t>
            </w:r>
            <w:r>
              <w:rPr>
                <w:rFonts w:hint="eastAsia" w:ascii="宋体" w:hAnsi="宋体" w:eastAsia="宋体" w:cs="宋体"/>
                <w:color w:val="auto"/>
                <w:sz w:val="21"/>
                <w:szCs w:val="21"/>
                <w:highlight w:val="none"/>
                <w:lang w:val="en-US" w:eastAsia="zh-CN"/>
              </w:rPr>
              <w:t>最后</w:t>
            </w:r>
            <w:r>
              <w:rPr>
                <w:rFonts w:hint="eastAsia" w:ascii="宋体" w:hAnsi="宋体" w:eastAsia="宋体" w:cs="宋体"/>
                <w:color w:val="auto"/>
                <w:sz w:val="21"/>
                <w:szCs w:val="21"/>
                <w:highlight w:val="none"/>
              </w:rPr>
              <w:t>报价</w:t>
            </w:r>
            <w:r>
              <w:rPr>
                <w:rFonts w:hint="eastAsia" w:ascii="宋体" w:hAnsi="宋体" w:eastAsia="宋体" w:cs="宋体"/>
                <w:color w:val="auto"/>
                <w:sz w:val="21"/>
                <w:szCs w:val="21"/>
                <w:highlight w:val="none"/>
                <w:lang w:val="zh-CN"/>
              </w:rPr>
              <w:t>由低到高顺序排列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报价相同</w:t>
            </w:r>
            <w:r>
              <w:rPr>
                <w:rFonts w:hint="eastAsia" w:cs="宋体"/>
                <w:color w:val="auto"/>
                <w:sz w:val="21"/>
                <w:szCs w:val="21"/>
                <w:highlight w:val="none"/>
                <w:lang w:val="en-US" w:eastAsia="zh-CN"/>
              </w:rPr>
              <w:t>并列的</w:t>
            </w:r>
            <w:r>
              <w:rPr>
                <w:rFonts w:hint="eastAsia" w:ascii="宋体" w:hAnsi="宋体" w:eastAsia="宋体" w:cs="宋体"/>
                <w:color w:val="auto"/>
                <w:sz w:val="21"/>
                <w:szCs w:val="21"/>
                <w:highlight w:val="none"/>
                <w:lang w:val="en-US" w:eastAsia="zh-CN"/>
              </w:rPr>
              <w:t>按照“供应商须知前附表”的规定排序。</w:t>
            </w:r>
          </w:p>
          <w:p w14:paraId="29CEECA4">
            <w:pPr>
              <w:pStyle w:val="46"/>
              <w:rPr>
                <w:rFonts w:hint="eastAsia" w:ascii="宋体" w:hAnsi="宋体" w:eastAsia="宋体" w:cs="宋体"/>
                <w:color w:val="auto"/>
                <w:sz w:val="21"/>
                <w:szCs w:val="21"/>
                <w:highlight w:val="none"/>
              </w:rPr>
            </w:pPr>
          </w:p>
          <w:p w14:paraId="24BC5FEC">
            <w:pPr>
              <w:pStyle w:val="46"/>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备注：符合供应商须知中价格扣除规定的，在评审时予以价格扣除，用扣除后的</w:t>
            </w:r>
            <w:r>
              <w:rPr>
                <w:rFonts w:hint="eastAsia" w:ascii="宋体" w:hAnsi="宋体" w:eastAsia="宋体" w:cs="宋体"/>
                <w:color w:val="auto"/>
                <w:sz w:val="21"/>
                <w:szCs w:val="21"/>
                <w:highlight w:val="none"/>
                <w:lang w:val="en-US" w:eastAsia="zh-CN"/>
              </w:rPr>
              <w:t>最后报价</w:t>
            </w:r>
            <w:r>
              <w:rPr>
                <w:rFonts w:hint="eastAsia" w:ascii="宋体" w:hAnsi="宋体" w:eastAsia="宋体" w:cs="宋体"/>
                <w:color w:val="auto"/>
                <w:sz w:val="21"/>
                <w:szCs w:val="21"/>
                <w:highlight w:val="none"/>
              </w:rPr>
              <w:t>参与评审。</w:t>
            </w:r>
          </w:p>
        </w:tc>
      </w:tr>
    </w:tbl>
    <w:p w14:paraId="59EC86DB">
      <w:pPr>
        <w:rPr>
          <w:rFonts w:hint="eastAsia"/>
          <w:color w:val="auto"/>
          <w:highlight w:val="none"/>
          <w:lang w:val="en-US" w:eastAsia="zh-CN"/>
        </w:rPr>
      </w:pPr>
    </w:p>
    <w:p w14:paraId="51C4B02C">
      <w:pPr>
        <w:rPr>
          <w:rFonts w:hint="eastAsia"/>
          <w:lang w:val="en-US" w:eastAsia="zh-CN"/>
        </w:rPr>
      </w:pPr>
      <w:bookmarkStart w:id="495" w:name="_Toc6370"/>
    </w:p>
    <w:p w14:paraId="40B54C19">
      <w:pPr>
        <w:rPr>
          <w:rFonts w:hint="eastAsia" w:ascii="宋体" w:hAnsi="宋体" w:eastAsia="宋体" w:cs="宋体"/>
          <w:b/>
          <w:bCs/>
          <w:color w:val="auto"/>
          <w:kern w:val="44"/>
          <w:sz w:val="36"/>
          <w:szCs w:val="36"/>
          <w:highlight w:val="none"/>
          <w:lang w:val="en-US" w:eastAsia="zh-CN" w:bidi="ar-SA"/>
        </w:rPr>
      </w:pPr>
    </w:p>
    <w:p w14:paraId="5687DBDF">
      <w:pPr>
        <w:rPr>
          <w:rFonts w:hint="eastAsia" w:ascii="宋体" w:hAnsi="宋体" w:eastAsia="宋体" w:cs="宋体"/>
          <w:b/>
          <w:bCs/>
          <w:color w:val="auto"/>
          <w:kern w:val="44"/>
          <w:sz w:val="36"/>
          <w:szCs w:val="36"/>
          <w:highlight w:val="none"/>
          <w:lang w:val="en-US" w:eastAsia="zh-CN" w:bidi="ar-SA"/>
        </w:rPr>
      </w:pPr>
    </w:p>
    <w:p w14:paraId="3C300D18">
      <w:pPr>
        <w:rPr>
          <w:rFonts w:hint="eastAsia" w:ascii="宋体" w:hAnsi="宋体" w:eastAsia="宋体" w:cs="宋体"/>
          <w:b/>
          <w:bCs/>
          <w:color w:val="auto"/>
          <w:kern w:val="44"/>
          <w:sz w:val="36"/>
          <w:szCs w:val="36"/>
          <w:highlight w:val="none"/>
          <w:lang w:val="en-US" w:eastAsia="zh-CN" w:bidi="ar-SA"/>
        </w:rPr>
      </w:pPr>
    </w:p>
    <w:p w14:paraId="6EA5E333">
      <w:pPr>
        <w:rPr>
          <w:rFonts w:hint="eastAsia" w:ascii="宋体" w:hAnsi="宋体" w:eastAsia="宋体" w:cs="宋体"/>
          <w:b/>
          <w:bCs/>
          <w:color w:val="auto"/>
          <w:kern w:val="44"/>
          <w:sz w:val="36"/>
          <w:szCs w:val="36"/>
          <w:highlight w:val="none"/>
          <w:lang w:val="en-US" w:eastAsia="zh-CN" w:bidi="ar-SA"/>
        </w:rPr>
      </w:pPr>
    </w:p>
    <w:p w14:paraId="548795F2">
      <w:pPr>
        <w:rPr>
          <w:rFonts w:hint="eastAsia" w:ascii="宋体" w:hAnsi="宋体" w:eastAsia="宋体" w:cs="宋体"/>
          <w:b/>
          <w:bCs/>
          <w:color w:val="auto"/>
          <w:kern w:val="44"/>
          <w:sz w:val="36"/>
          <w:szCs w:val="36"/>
          <w:highlight w:val="none"/>
          <w:lang w:val="en-US" w:eastAsia="zh-CN" w:bidi="ar-SA"/>
        </w:rPr>
      </w:pPr>
    </w:p>
    <w:p w14:paraId="490A82D9">
      <w:pPr>
        <w:rPr>
          <w:rFonts w:hint="eastAsia" w:ascii="宋体" w:hAnsi="宋体" w:eastAsia="宋体" w:cs="宋体"/>
          <w:b/>
          <w:bCs/>
          <w:color w:val="auto"/>
          <w:kern w:val="44"/>
          <w:sz w:val="36"/>
          <w:szCs w:val="36"/>
          <w:highlight w:val="none"/>
          <w:lang w:val="en-US" w:eastAsia="zh-CN" w:bidi="ar-SA"/>
        </w:rPr>
      </w:pPr>
    </w:p>
    <w:p w14:paraId="283FC568">
      <w:pPr>
        <w:rPr>
          <w:rFonts w:hint="eastAsia" w:ascii="宋体" w:hAnsi="宋体" w:eastAsia="宋体" w:cs="宋体"/>
          <w:b/>
          <w:bCs/>
          <w:color w:val="auto"/>
          <w:kern w:val="44"/>
          <w:sz w:val="36"/>
          <w:szCs w:val="36"/>
          <w:highlight w:val="none"/>
          <w:lang w:val="en-US" w:eastAsia="zh-CN" w:bidi="ar-SA"/>
        </w:rPr>
      </w:pPr>
    </w:p>
    <w:p w14:paraId="34B3C58A">
      <w:pPr>
        <w:rPr>
          <w:rFonts w:hint="eastAsia" w:ascii="宋体" w:hAnsi="宋体" w:eastAsia="宋体" w:cs="宋体"/>
          <w:b/>
          <w:bCs/>
          <w:color w:val="auto"/>
          <w:kern w:val="44"/>
          <w:sz w:val="36"/>
          <w:szCs w:val="36"/>
          <w:highlight w:val="none"/>
          <w:lang w:val="en-US" w:eastAsia="zh-CN" w:bidi="ar-SA"/>
        </w:rPr>
      </w:pPr>
    </w:p>
    <w:p w14:paraId="7DC4FA04">
      <w:pPr>
        <w:rPr>
          <w:rFonts w:hint="eastAsia" w:ascii="宋体" w:hAnsi="宋体" w:eastAsia="宋体" w:cs="宋体"/>
          <w:b/>
          <w:bCs/>
          <w:color w:val="auto"/>
          <w:kern w:val="44"/>
          <w:sz w:val="36"/>
          <w:szCs w:val="36"/>
          <w:highlight w:val="none"/>
          <w:lang w:val="en-US" w:eastAsia="zh-CN" w:bidi="ar-SA"/>
        </w:rPr>
      </w:pPr>
    </w:p>
    <w:p w14:paraId="7BDC5F31">
      <w:pPr>
        <w:rPr>
          <w:rFonts w:hint="eastAsia" w:ascii="宋体" w:hAnsi="宋体" w:eastAsia="宋体" w:cs="宋体"/>
          <w:b/>
          <w:bCs/>
          <w:color w:val="auto"/>
          <w:kern w:val="44"/>
          <w:sz w:val="36"/>
          <w:szCs w:val="36"/>
          <w:highlight w:val="none"/>
          <w:lang w:val="en-US" w:eastAsia="zh-CN" w:bidi="ar-SA"/>
        </w:rPr>
      </w:pPr>
    </w:p>
    <w:p w14:paraId="208166D9">
      <w:pPr>
        <w:rPr>
          <w:rFonts w:hint="eastAsia" w:ascii="宋体" w:hAnsi="宋体" w:eastAsia="宋体" w:cs="宋体"/>
          <w:b/>
          <w:bCs/>
          <w:color w:val="auto"/>
          <w:kern w:val="44"/>
          <w:sz w:val="36"/>
          <w:szCs w:val="36"/>
          <w:highlight w:val="none"/>
          <w:lang w:val="en-US" w:eastAsia="zh-CN" w:bidi="ar-SA"/>
        </w:rPr>
      </w:pPr>
    </w:p>
    <w:p w14:paraId="77D7CC72">
      <w:pPr>
        <w:rPr>
          <w:rFonts w:hint="eastAsia" w:ascii="宋体" w:hAnsi="宋体" w:eastAsia="宋体" w:cs="宋体"/>
          <w:b/>
          <w:bCs/>
          <w:color w:val="auto"/>
          <w:kern w:val="44"/>
          <w:sz w:val="36"/>
          <w:szCs w:val="36"/>
          <w:highlight w:val="none"/>
          <w:lang w:val="en-US" w:eastAsia="zh-CN" w:bidi="ar-SA"/>
        </w:rPr>
      </w:pPr>
    </w:p>
    <w:p w14:paraId="1860D5F9">
      <w:pPr>
        <w:rPr>
          <w:rFonts w:hint="eastAsia" w:ascii="宋体" w:hAnsi="宋体" w:eastAsia="宋体" w:cs="宋体"/>
          <w:b/>
          <w:bCs/>
          <w:color w:val="auto"/>
          <w:kern w:val="44"/>
          <w:sz w:val="36"/>
          <w:szCs w:val="36"/>
          <w:highlight w:val="none"/>
          <w:lang w:val="en-US" w:eastAsia="zh-CN" w:bidi="ar-SA"/>
        </w:rPr>
      </w:pPr>
    </w:p>
    <w:p w14:paraId="50193141">
      <w:pPr>
        <w:rPr>
          <w:rFonts w:hint="eastAsia" w:ascii="宋体" w:hAnsi="宋体" w:eastAsia="宋体" w:cs="宋体"/>
          <w:b/>
          <w:bCs/>
          <w:color w:val="auto"/>
          <w:kern w:val="44"/>
          <w:sz w:val="36"/>
          <w:szCs w:val="36"/>
          <w:highlight w:val="none"/>
          <w:lang w:val="en-US" w:eastAsia="zh-CN" w:bidi="ar-SA"/>
        </w:rPr>
      </w:pPr>
    </w:p>
    <w:p w14:paraId="2419524B">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bookmarkStart w:id="496" w:name="_Toc11813"/>
      <w:r>
        <w:rPr>
          <w:rFonts w:hint="eastAsia" w:ascii="宋体" w:hAnsi="宋体" w:eastAsia="宋体" w:cs="宋体"/>
          <w:b/>
          <w:bCs/>
          <w:color w:val="auto"/>
          <w:kern w:val="44"/>
          <w:sz w:val="36"/>
          <w:szCs w:val="36"/>
          <w:highlight w:val="none"/>
          <w:lang w:val="en-US" w:eastAsia="zh-CN" w:bidi="ar-SA"/>
        </w:rPr>
        <w:t xml:space="preserve">第五章 </w:t>
      </w:r>
      <w:r>
        <w:rPr>
          <w:rFonts w:hint="eastAsia" w:ascii="宋体" w:hAnsi="宋体" w:eastAsia="宋体" w:cs="宋体"/>
          <w:b/>
          <w:bCs/>
          <w:color w:val="auto"/>
          <w:kern w:val="44"/>
          <w:sz w:val="36"/>
          <w:szCs w:val="36"/>
          <w:highlight w:val="none"/>
          <w:lang w:val="zh-CN" w:eastAsia="zh-CN" w:bidi="ar-SA"/>
        </w:rPr>
        <w:t>合同草案</w:t>
      </w:r>
      <w:bookmarkEnd w:id="495"/>
      <w:bookmarkEnd w:id="496"/>
    </w:p>
    <w:p w14:paraId="7C3306E8">
      <w:pPr>
        <w:wordWrap w:val="0"/>
        <w:jc w:val="center"/>
        <w:rPr>
          <w:rFonts w:hint="eastAsia" w:eastAsia="宋体"/>
          <w:bCs/>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rPr>
        <w:t>此合同书仅作为签订正式合同时的参考，正式合同书应包括本参考格式的内容</w:t>
      </w:r>
      <w:r>
        <w:rPr>
          <w:rFonts w:hint="eastAsia"/>
          <w:color w:val="auto"/>
          <w:sz w:val="24"/>
          <w:szCs w:val="24"/>
          <w:highlight w:val="none"/>
          <w:lang w:eastAsia="zh-CN"/>
        </w:rPr>
        <w:t>】</w:t>
      </w:r>
    </w:p>
    <w:p w14:paraId="0B642A26">
      <w:pPr>
        <w:wordWrap w:val="0"/>
        <w:rPr>
          <w:bCs/>
          <w:color w:val="auto"/>
          <w:sz w:val="24"/>
          <w:szCs w:val="24"/>
          <w:highlight w:val="none"/>
        </w:rPr>
      </w:pPr>
      <w:r>
        <w:rPr>
          <w:rFonts w:hint="eastAsia" w:cs="Helvetica"/>
          <w:bCs/>
          <w:color w:val="auto"/>
          <w:sz w:val="24"/>
          <w:szCs w:val="24"/>
          <w:highlight w:val="none"/>
          <w:lang w:val="zh-CN"/>
        </w:rPr>
        <w:t>合同编号：</w:t>
      </w:r>
      <w:r>
        <w:rPr>
          <w:rFonts w:hint="eastAsia" w:cs="Helvetica"/>
          <w:bCs/>
          <w:color w:val="auto"/>
          <w:sz w:val="24"/>
          <w:szCs w:val="24"/>
          <w:highlight w:val="none"/>
          <w:u w:val="single"/>
        </w:rPr>
        <w:t xml:space="preserve">              </w:t>
      </w:r>
    </w:p>
    <w:p w14:paraId="0F7A4FAA">
      <w:pPr>
        <w:pStyle w:val="11"/>
        <w:spacing w:after="0"/>
        <w:jc w:val="center"/>
        <w:rPr>
          <w:rFonts w:ascii="宋体" w:hAnsi="宋体" w:cs="宋体"/>
          <w:b/>
          <w:bCs/>
          <w:color w:val="auto"/>
          <w:spacing w:val="-20"/>
          <w:kern w:val="44"/>
          <w:sz w:val="48"/>
          <w:szCs w:val="48"/>
          <w:highlight w:val="none"/>
        </w:rPr>
      </w:pPr>
      <w:bookmarkStart w:id="497" w:name="_Toc3995"/>
    </w:p>
    <w:p w14:paraId="78AA75CD">
      <w:pPr>
        <w:pStyle w:val="11"/>
        <w:spacing w:after="0"/>
        <w:jc w:val="center"/>
        <w:rPr>
          <w:rFonts w:ascii="宋体" w:hAnsi="宋体" w:cs="宋体"/>
          <w:b/>
          <w:bCs/>
          <w:color w:val="auto"/>
          <w:spacing w:val="-20"/>
          <w:kern w:val="44"/>
          <w:sz w:val="48"/>
          <w:szCs w:val="48"/>
          <w:highlight w:val="none"/>
        </w:rPr>
      </w:pPr>
    </w:p>
    <w:p w14:paraId="6EA7DDA3">
      <w:pPr>
        <w:pStyle w:val="11"/>
        <w:spacing w:after="0"/>
        <w:jc w:val="center"/>
        <w:rPr>
          <w:rFonts w:ascii="宋体" w:hAnsi="宋体" w:cs="宋体"/>
          <w:b/>
          <w:bCs/>
          <w:color w:val="auto"/>
          <w:spacing w:val="-20"/>
          <w:kern w:val="44"/>
          <w:sz w:val="48"/>
          <w:szCs w:val="48"/>
          <w:highlight w:val="none"/>
        </w:rPr>
      </w:pPr>
    </w:p>
    <w:p w14:paraId="011DDB92">
      <w:pPr>
        <w:pStyle w:val="11"/>
        <w:spacing w:after="0"/>
        <w:jc w:val="center"/>
        <w:rPr>
          <w:rFonts w:hint="eastAsia" w:ascii="宋体" w:hAnsi="宋体" w:eastAsia="宋体" w:cs="宋体"/>
          <w:b/>
          <w:bCs/>
          <w:color w:val="auto"/>
          <w:spacing w:val="-20"/>
          <w:kern w:val="44"/>
          <w:sz w:val="44"/>
          <w:szCs w:val="44"/>
          <w:highlight w:val="none"/>
        </w:rPr>
      </w:pPr>
      <w:r>
        <w:rPr>
          <w:rFonts w:hint="eastAsia" w:ascii="宋体" w:hAnsi="宋体" w:eastAsia="宋体" w:cs="宋体"/>
          <w:b/>
          <w:bCs/>
          <w:color w:val="auto"/>
          <w:spacing w:val="-20"/>
          <w:kern w:val="44"/>
          <w:sz w:val="44"/>
          <w:szCs w:val="44"/>
          <w:highlight w:val="none"/>
        </w:rPr>
        <w:t>政府采购</w:t>
      </w:r>
      <w:r>
        <w:rPr>
          <w:rFonts w:hint="eastAsia" w:ascii="宋体" w:hAnsi="宋体" w:eastAsia="宋体" w:cs="宋体"/>
          <w:b/>
          <w:bCs/>
          <w:color w:val="auto"/>
          <w:spacing w:val="-20"/>
          <w:kern w:val="44"/>
          <w:sz w:val="44"/>
          <w:szCs w:val="44"/>
          <w:highlight w:val="none"/>
          <w:lang w:eastAsia="zh-CN"/>
        </w:rPr>
        <w:t>货物买卖</w:t>
      </w:r>
      <w:r>
        <w:rPr>
          <w:rFonts w:hint="eastAsia" w:ascii="宋体" w:hAnsi="宋体" w:eastAsia="宋体" w:cs="宋体"/>
          <w:b/>
          <w:bCs/>
          <w:color w:val="auto"/>
          <w:spacing w:val="-20"/>
          <w:kern w:val="44"/>
          <w:sz w:val="44"/>
          <w:szCs w:val="44"/>
          <w:highlight w:val="none"/>
        </w:rPr>
        <w:t>合同</w:t>
      </w:r>
    </w:p>
    <w:p w14:paraId="3F525061">
      <w:pPr>
        <w:pStyle w:val="11"/>
        <w:spacing w:after="0"/>
        <w:jc w:val="center"/>
        <w:rPr>
          <w:rFonts w:hint="eastAsia" w:ascii="宋体" w:hAnsi="宋体" w:eastAsia="宋体" w:cs="宋体"/>
          <w:b/>
          <w:bCs/>
          <w:color w:val="auto"/>
          <w:spacing w:val="-20"/>
          <w:kern w:val="44"/>
          <w:sz w:val="44"/>
          <w:szCs w:val="44"/>
          <w:highlight w:val="none"/>
          <w:lang w:eastAsia="zh-CN"/>
        </w:rPr>
      </w:pPr>
      <w:r>
        <w:rPr>
          <w:rFonts w:hint="eastAsia" w:ascii="宋体" w:hAnsi="宋体" w:eastAsia="宋体" w:cs="宋体"/>
          <w:b/>
          <w:bCs/>
          <w:color w:val="auto"/>
          <w:spacing w:val="-20"/>
          <w:kern w:val="44"/>
          <w:sz w:val="44"/>
          <w:szCs w:val="44"/>
          <w:highlight w:val="none"/>
          <w:lang w:eastAsia="zh-CN"/>
        </w:rPr>
        <w:t>（试行）</w:t>
      </w:r>
    </w:p>
    <w:p w14:paraId="0D7C4B67">
      <w:pPr>
        <w:rPr>
          <w:rFonts w:ascii="宋体" w:hAnsi="宋体" w:cs="宋体"/>
          <w:b/>
          <w:bCs/>
          <w:color w:val="auto"/>
          <w:spacing w:val="-20"/>
          <w:kern w:val="44"/>
          <w:sz w:val="40"/>
          <w:szCs w:val="40"/>
          <w:highlight w:val="none"/>
        </w:rPr>
      </w:pPr>
    </w:p>
    <w:p w14:paraId="6349E143">
      <w:pPr>
        <w:rPr>
          <w:rFonts w:ascii="宋体" w:hAnsi="宋体" w:cs="宋体"/>
          <w:b/>
          <w:bCs/>
          <w:color w:val="auto"/>
          <w:spacing w:val="-20"/>
          <w:kern w:val="44"/>
          <w:sz w:val="40"/>
          <w:szCs w:val="40"/>
          <w:highlight w:val="none"/>
        </w:rPr>
      </w:pPr>
    </w:p>
    <w:p w14:paraId="528A74B4">
      <w:pPr>
        <w:rPr>
          <w:rFonts w:ascii="宋体" w:hAnsi="宋体" w:cs="宋体"/>
          <w:b/>
          <w:bCs/>
          <w:color w:val="auto"/>
          <w:spacing w:val="-20"/>
          <w:kern w:val="44"/>
          <w:sz w:val="40"/>
          <w:szCs w:val="40"/>
          <w:highlight w:val="none"/>
        </w:rPr>
      </w:pPr>
    </w:p>
    <w:p w14:paraId="6673C93A">
      <w:pPr>
        <w:spacing w:line="360" w:lineRule="auto"/>
        <w:ind w:left="480" w:leftChars="200"/>
        <w:rPr>
          <w:color w:val="auto"/>
          <w:sz w:val="36"/>
          <w:szCs w:val="36"/>
          <w:highlight w:val="none"/>
        </w:rPr>
      </w:pPr>
      <w:r>
        <w:rPr>
          <w:rFonts w:hint="eastAsia" w:ascii="宋体" w:hAnsi="宋体" w:cs="宋体"/>
          <w:color w:val="auto"/>
          <w:kern w:val="0"/>
          <w:sz w:val="36"/>
          <w:szCs w:val="36"/>
          <w:highlight w:val="none"/>
        </w:rPr>
        <w:t>项目名称：</w:t>
      </w:r>
      <w:r>
        <w:rPr>
          <w:rFonts w:hint="eastAsia"/>
          <w:color w:val="auto"/>
          <w:sz w:val="36"/>
          <w:szCs w:val="36"/>
          <w:highlight w:val="none"/>
          <w:u w:val="single"/>
        </w:rPr>
        <w:t xml:space="preserve"> </w:t>
      </w:r>
      <w:r>
        <w:rPr>
          <w:rFonts w:hint="eastAsia"/>
          <w:color w:val="auto"/>
          <w:sz w:val="36"/>
          <w:szCs w:val="36"/>
          <w:highlight w:val="none"/>
          <w:u w:val="single"/>
          <w:lang w:eastAsia="zh-CN"/>
        </w:rPr>
        <w:t>阿克苏地区检验检测中心采购束纤维快速测试仪（智能纤维检测训练系统）设备项目</w:t>
      </w:r>
      <w:r>
        <w:rPr>
          <w:rFonts w:hint="eastAsia"/>
          <w:color w:val="auto"/>
          <w:sz w:val="36"/>
          <w:szCs w:val="36"/>
          <w:highlight w:val="none"/>
          <w:u w:val="single"/>
        </w:rPr>
        <w:t xml:space="preserve"> </w:t>
      </w:r>
    </w:p>
    <w:p w14:paraId="3AA2BFC4">
      <w:pPr>
        <w:spacing w:line="360" w:lineRule="auto"/>
        <w:ind w:left="480" w:leftChars="200"/>
        <w:rPr>
          <w:color w:val="auto"/>
          <w:sz w:val="36"/>
          <w:szCs w:val="36"/>
          <w:highlight w:val="none"/>
          <w:u w:val="single"/>
        </w:rPr>
      </w:pPr>
      <w:r>
        <w:rPr>
          <w:rFonts w:hint="eastAsia"/>
          <w:color w:val="auto"/>
          <w:sz w:val="36"/>
          <w:szCs w:val="36"/>
          <w:highlight w:val="none"/>
        </w:rPr>
        <w:t>合同编号：</w:t>
      </w:r>
      <w:r>
        <w:rPr>
          <w:rFonts w:hint="eastAsia"/>
          <w:color w:val="auto"/>
          <w:sz w:val="36"/>
          <w:szCs w:val="36"/>
          <w:highlight w:val="none"/>
          <w:u w:val="single"/>
        </w:rPr>
        <w:t xml:space="preserve">                             </w:t>
      </w:r>
    </w:p>
    <w:p w14:paraId="17A8F806">
      <w:pPr>
        <w:spacing w:line="360" w:lineRule="auto"/>
        <w:ind w:left="480" w:leftChars="200"/>
        <w:rPr>
          <w:color w:val="auto"/>
          <w:sz w:val="36"/>
          <w:szCs w:val="36"/>
          <w:highlight w:val="none"/>
        </w:rPr>
      </w:pPr>
      <w:r>
        <w:rPr>
          <w:rFonts w:hint="eastAsia"/>
          <w:color w:val="auto"/>
          <w:sz w:val="36"/>
          <w:szCs w:val="36"/>
          <w:highlight w:val="none"/>
        </w:rPr>
        <w:t>甲    方：</w:t>
      </w:r>
      <w:r>
        <w:rPr>
          <w:rFonts w:hint="eastAsia"/>
          <w:color w:val="auto"/>
          <w:sz w:val="36"/>
          <w:szCs w:val="36"/>
          <w:highlight w:val="none"/>
          <w:u w:val="single"/>
        </w:rPr>
        <w:t xml:space="preserve"> </w:t>
      </w:r>
      <w:r>
        <w:rPr>
          <w:rFonts w:hint="eastAsia"/>
          <w:color w:val="auto"/>
          <w:sz w:val="36"/>
          <w:szCs w:val="36"/>
          <w:highlight w:val="none"/>
          <w:u w:val="single"/>
          <w:lang w:val="en-US" w:eastAsia="zh-CN"/>
        </w:rPr>
        <w:t>阿克苏地区检验检测中心</w:t>
      </w:r>
      <w:r>
        <w:rPr>
          <w:rFonts w:hint="eastAsia"/>
          <w:color w:val="auto"/>
          <w:sz w:val="36"/>
          <w:szCs w:val="36"/>
          <w:highlight w:val="none"/>
          <w:u w:val="single"/>
        </w:rPr>
        <w:t xml:space="preserve">    </w:t>
      </w:r>
      <w:r>
        <w:rPr>
          <w:rFonts w:hint="eastAsia"/>
          <w:color w:val="auto"/>
          <w:sz w:val="36"/>
          <w:szCs w:val="36"/>
          <w:highlight w:val="none"/>
          <w:u w:val="single"/>
          <w:lang w:val="en-US" w:eastAsia="zh-CN"/>
        </w:rPr>
        <w:t xml:space="preserve"> </w:t>
      </w:r>
      <w:r>
        <w:rPr>
          <w:rFonts w:hint="eastAsia"/>
          <w:color w:val="auto"/>
          <w:sz w:val="36"/>
          <w:szCs w:val="36"/>
          <w:highlight w:val="none"/>
          <w:u w:val="single"/>
        </w:rPr>
        <w:t xml:space="preserve"> </w:t>
      </w:r>
    </w:p>
    <w:p w14:paraId="5A1FCD07">
      <w:pPr>
        <w:spacing w:line="360" w:lineRule="auto"/>
        <w:ind w:left="480" w:leftChars="200"/>
        <w:rPr>
          <w:color w:val="auto"/>
          <w:sz w:val="36"/>
          <w:szCs w:val="36"/>
          <w:highlight w:val="none"/>
          <w:u w:val="single"/>
        </w:rPr>
      </w:pPr>
      <w:r>
        <w:rPr>
          <w:rFonts w:hint="eastAsia"/>
          <w:color w:val="auto"/>
          <w:sz w:val="36"/>
          <w:szCs w:val="36"/>
          <w:highlight w:val="none"/>
        </w:rPr>
        <w:t>乙    方：</w:t>
      </w:r>
      <w:r>
        <w:rPr>
          <w:rFonts w:hint="eastAsia"/>
          <w:color w:val="auto"/>
          <w:sz w:val="36"/>
          <w:szCs w:val="36"/>
          <w:highlight w:val="none"/>
          <w:u w:val="single"/>
        </w:rPr>
        <w:t xml:space="preserve">                             </w:t>
      </w:r>
    </w:p>
    <w:p w14:paraId="772DCE52">
      <w:pPr>
        <w:spacing w:line="360" w:lineRule="auto"/>
        <w:ind w:left="480" w:leftChars="200"/>
        <w:rPr>
          <w:color w:val="auto"/>
          <w:sz w:val="36"/>
          <w:szCs w:val="36"/>
          <w:highlight w:val="none"/>
        </w:rPr>
      </w:pPr>
      <w:r>
        <w:rPr>
          <w:rFonts w:hint="eastAsia"/>
          <w:color w:val="auto"/>
          <w:sz w:val="36"/>
          <w:szCs w:val="36"/>
          <w:highlight w:val="none"/>
        </w:rPr>
        <w:t>签订时间：</w:t>
      </w:r>
      <w:r>
        <w:rPr>
          <w:rFonts w:hint="eastAsia"/>
          <w:color w:val="auto"/>
          <w:sz w:val="36"/>
          <w:szCs w:val="36"/>
          <w:highlight w:val="none"/>
          <w:u w:val="single"/>
        </w:rPr>
        <w:t xml:space="preserve">      </w:t>
      </w:r>
      <w:r>
        <w:rPr>
          <w:color w:val="auto"/>
          <w:sz w:val="36"/>
          <w:szCs w:val="36"/>
          <w:highlight w:val="none"/>
          <w:u w:val="single"/>
        </w:rPr>
        <w:t xml:space="preserve">           </w:t>
      </w:r>
      <w:r>
        <w:rPr>
          <w:rFonts w:hint="eastAsia"/>
          <w:color w:val="auto"/>
          <w:sz w:val="36"/>
          <w:szCs w:val="36"/>
          <w:highlight w:val="none"/>
          <w:u w:val="single"/>
        </w:rPr>
        <w:t xml:space="preserve">            </w:t>
      </w:r>
    </w:p>
    <w:p w14:paraId="15CE477A">
      <w:pPr>
        <w:rPr>
          <w:color w:val="auto"/>
          <w:highlight w:val="none"/>
        </w:rPr>
      </w:pPr>
    </w:p>
    <w:p w14:paraId="7C932E0A">
      <w:pPr>
        <w:rPr>
          <w:rFonts w:eastAsia="黑体"/>
          <w:color w:val="auto"/>
          <w:sz w:val="44"/>
          <w:szCs w:val="44"/>
          <w:highlight w:val="none"/>
        </w:rPr>
      </w:pPr>
      <w:r>
        <w:rPr>
          <w:rFonts w:eastAsia="黑体"/>
          <w:color w:val="auto"/>
          <w:sz w:val="44"/>
          <w:szCs w:val="44"/>
          <w:highlight w:val="none"/>
        </w:rPr>
        <w:br w:type="page"/>
      </w:r>
    </w:p>
    <w:bookmarkEnd w:id="497"/>
    <w:p w14:paraId="7AE86DF7">
      <w:pPr>
        <w:pStyle w:val="3"/>
        <w:adjustRightInd w:val="0"/>
        <w:snapToGrid w:val="0"/>
        <w:spacing w:beforeLines="0" w:line="400" w:lineRule="exact"/>
        <w:jc w:val="center"/>
        <w:rPr>
          <w:rFonts w:hint="eastAsia" w:ascii="宋体" w:hAnsi="宋体" w:eastAsia="宋体" w:cs="宋体"/>
          <w:b/>
          <w:bCs/>
          <w:color w:val="auto"/>
          <w:sz w:val="36"/>
          <w:szCs w:val="36"/>
          <w:highlight w:val="none"/>
        </w:rPr>
      </w:pPr>
      <w:bookmarkStart w:id="498" w:name="_Toc15537"/>
      <w:bookmarkStart w:id="499" w:name="_Toc8407"/>
      <w:bookmarkStart w:id="500" w:name="_Toc22209"/>
      <w:bookmarkStart w:id="501" w:name="_Toc16661"/>
      <w:bookmarkStart w:id="502" w:name="_Toc25367"/>
      <w:r>
        <w:rPr>
          <w:rFonts w:hint="eastAsia" w:ascii="宋体" w:hAnsi="宋体" w:eastAsia="宋体" w:cs="宋体"/>
          <w:b/>
          <w:bCs/>
          <w:color w:val="auto"/>
          <w:sz w:val="36"/>
          <w:szCs w:val="36"/>
          <w:highlight w:val="none"/>
        </w:rPr>
        <w:t>第一节 政府采购合同协议书</w:t>
      </w:r>
      <w:bookmarkEnd w:id="498"/>
      <w:bookmarkEnd w:id="499"/>
      <w:bookmarkEnd w:id="500"/>
      <w:bookmarkEnd w:id="501"/>
      <w:bookmarkEnd w:id="502"/>
    </w:p>
    <w:p w14:paraId="3FAEBA28">
      <w:pPr>
        <w:rPr>
          <w:rFonts w:hint="eastAsia"/>
        </w:rPr>
      </w:pPr>
    </w:p>
    <w:p w14:paraId="7BF169A9">
      <w:pPr>
        <w:adjustRightInd w:val="0"/>
        <w:snapToGrid w:val="0"/>
        <w:spacing w:before="0" w:beforeLines="0" w:line="400" w:lineRule="exact"/>
        <w:ind w:left="4800" w:hanging="4200" w:hangingChars="20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（采购人</w:t>
      </w:r>
      <w:r>
        <w:rPr>
          <w:rFonts w:hint="eastAsia" w:ascii="宋体" w:hAnsi="宋体" w:eastAsia="宋体" w:cs="宋体"/>
          <w:color w:val="auto"/>
          <w:sz w:val="21"/>
          <w:szCs w:val="21"/>
          <w:highlight w:val="none"/>
          <w:lang w:eastAsia="zh-CN"/>
        </w:rPr>
        <w:t>、受采购人委托签订合同的单位</w:t>
      </w:r>
      <w:r>
        <w:rPr>
          <w:rFonts w:hint="eastAsia" w:ascii="宋体" w:hAnsi="宋体" w:eastAsia="宋体" w:cs="宋体"/>
          <w:color w:val="auto"/>
          <w:sz w:val="21"/>
          <w:szCs w:val="21"/>
          <w:highlight w:val="none"/>
        </w:rPr>
        <w:t>或采购文件约定的合同甲方）</w:t>
      </w:r>
    </w:p>
    <w:p w14:paraId="4A72A1F5">
      <w:pPr>
        <w:adjustRightInd w:val="0"/>
        <w:snapToGrid w:val="0"/>
        <w:spacing w:before="0"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（供应商）</w:t>
      </w:r>
    </w:p>
    <w:p w14:paraId="4415BCAF">
      <w:pPr>
        <w:adjustRightInd w:val="0"/>
        <w:snapToGrid w:val="0"/>
        <w:spacing w:before="0" w:beforeLines="0" w:line="400" w:lineRule="exact"/>
        <w:ind w:left="5040" w:hanging="4410" w:hangingChars="2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乙方2（全称）：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（联合体成员供应商或其他合同主体）（如有）</w:t>
      </w:r>
    </w:p>
    <w:p w14:paraId="177356CD">
      <w:pPr>
        <w:adjustRightInd w:val="0"/>
        <w:snapToGrid w:val="0"/>
        <w:spacing w:before="0" w:beforeLines="0" w:line="400" w:lineRule="exact"/>
        <w:ind w:left="5040" w:hanging="4410" w:hangingChars="2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lang w:val="en-US" w:eastAsia="zh-CN"/>
        </w:rPr>
        <w:t>3（全称）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（联合体成员供应商或其他合同主体）（如有）</w:t>
      </w:r>
    </w:p>
    <w:p w14:paraId="0ABF465C">
      <w:pPr>
        <w:spacing w:beforeLines="0" w:line="400" w:lineRule="exact"/>
        <w:rPr>
          <w:rFonts w:hint="eastAsia" w:ascii="宋体" w:hAnsi="宋体" w:eastAsia="宋体" w:cs="宋体"/>
          <w:color w:val="auto"/>
          <w:sz w:val="21"/>
          <w:szCs w:val="21"/>
          <w:highlight w:val="none"/>
          <w:lang w:val="en-US" w:eastAsia="zh-CN"/>
        </w:rPr>
      </w:pPr>
    </w:p>
    <w:p w14:paraId="1D078061">
      <w:pPr>
        <w:pStyle w:val="12"/>
        <w:adjustRightInd w:val="0"/>
        <w:snapToGrid w:val="0"/>
        <w:spacing w:before="0" w:beforeLines="0" w:after="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依据《中华人民共和国民法典》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《中华人民共和国政府采购法》等有关的法律法规，以及</w:t>
      </w:r>
      <w:r>
        <w:rPr>
          <w:rFonts w:hint="eastAsia" w:ascii="宋体" w:hAnsi="宋体" w:eastAsia="宋体" w:cs="宋体"/>
          <w:i w:val="0"/>
          <w:iCs w:val="0"/>
          <w:color w:val="auto"/>
          <w:sz w:val="21"/>
          <w:szCs w:val="21"/>
          <w:highlight w:val="none"/>
          <w:u w:val="none"/>
          <w:lang w:eastAsia="zh-CN"/>
        </w:rPr>
        <w:t>本采购项目</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lang w:eastAsia="zh-CN"/>
        </w:rPr>
        <w:t>文件等</w:t>
      </w:r>
      <w:r>
        <w:rPr>
          <w:rFonts w:hint="eastAsia" w:ascii="宋体" w:hAnsi="宋体" w:eastAsia="宋体" w:cs="宋体"/>
          <w:color w:val="auto"/>
          <w:sz w:val="21"/>
          <w:szCs w:val="21"/>
          <w:highlight w:val="none"/>
        </w:rPr>
        <w:t>采购文件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乙方的《投标（响应）文件》及《中标（成交）通知书》，甲乙双方同意签订本合同。具体情况及要求如下：     </w:t>
      </w:r>
    </w:p>
    <w:p w14:paraId="2B4323DB">
      <w:pPr>
        <w:numPr>
          <w:ilvl w:val="0"/>
          <w:numId w:val="1"/>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项目信息</w:t>
      </w:r>
    </w:p>
    <w:p w14:paraId="7ED22EF0">
      <w:pPr>
        <w:pStyle w:val="12"/>
        <w:numPr>
          <w:ilvl w:val="0"/>
          <w:numId w:val="2"/>
        </w:numPr>
        <w:adjustRightInd w:val="0"/>
        <w:snapToGrid w:val="0"/>
        <w:spacing w:before="0" w:beforeLines="0" w:after="0" w:line="400" w:lineRule="exact"/>
        <w:ind w:left="0"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u w:val="single"/>
        </w:rPr>
        <w:t xml:space="preserve">   </w:t>
      </w:r>
      <w:r>
        <w:rPr>
          <w:rFonts w:hint="eastAsia" w:eastAsia="宋体" w:cs="宋体"/>
          <w:color w:val="auto"/>
          <w:kern w:val="0"/>
          <w:sz w:val="21"/>
          <w:szCs w:val="21"/>
          <w:highlight w:val="none"/>
          <w:u w:val="single"/>
          <w:lang w:val="en-US" w:eastAsia="zh-CN" w:bidi="ar-SA"/>
        </w:rPr>
        <w:t>阿克苏地区检验检测中心采购束纤维快速测试仪（智能纤维检测训练系统）设备项目</w:t>
      </w:r>
      <w:r>
        <w:rPr>
          <w:rFonts w:hint="eastAsia" w:ascii="宋体" w:hAnsi="宋体" w:eastAsia="宋体" w:cs="宋体"/>
          <w:color w:val="auto"/>
          <w:sz w:val="21"/>
          <w:szCs w:val="21"/>
          <w:highlight w:val="none"/>
          <w:u w:val="single"/>
        </w:rPr>
        <w:t xml:space="preserve">   </w:t>
      </w:r>
    </w:p>
    <w:p w14:paraId="632072F8">
      <w:pPr>
        <w:pStyle w:val="12"/>
        <w:numPr>
          <w:ilvl w:val="-1"/>
          <w:numId w:val="0"/>
        </w:numPr>
        <w:tabs>
          <w:tab w:val="left" w:pos="999"/>
        </w:tabs>
        <w:adjustRightInd w:val="0"/>
        <w:snapToGrid w:val="0"/>
        <w:spacing w:before="0" w:beforeLines="0" w:after="0" w:line="400" w:lineRule="exact"/>
        <w:ind w:left="0" w:leftChars="0" w:firstLine="0" w:firstLineChars="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         采购项目（包）编号：</w:t>
      </w:r>
      <w:r>
        <w:rPr>
          <w:rFonts w:hint="eastAsia" w:ascii="宋体" w:hAnsi="宋体" w:eastAsia="宋体" w:cs="宋体"/>
          <w:color w:val="auto"/>
          <w:sz w:val="21"/>
          <w:szCs w:val="21"/>
          <w:highlight w:val="none"/>
          <w:u w:val="single"/>
        </w:rPr>
        <w:t xml:space="preserve">  (2026)823   </w:t>
      </w:r>
    </w:p>
    <w:p w14:paraId="37F47E81">
      <w:pPr>
        <w:pStyle w:val="12"/>
        <w:adjustRightInd w:val="0"/>
        <w:snapToGrid w:val="0"/>
        <w:spacing w:before="0" w:beforeLines="0" w:after="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（2）采购计划编号：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A4F2FAC">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（3）项目内容：</w:t>
      </w:r>
    </w:p>
    <w:p w14:paraId="141C22FC">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采购标的及数量</w:t>
      </w:r>
      <w:r>
        <w:rPr>
          <w:rFonts w:hint="eastAsia" w:ascii="宋体" w:hAnsi="宋体" w:eastAsia="宋体" w:cs="宋体"/>
          <w:color w:val="auto"/>
          <w:sz w:val="21"/>
          <w:szCs w:val="21"/>
          <w:highlight w:val="none"/>
          <w:lang w:val="en-US" w:eastAsia="zh-CN"/>
        </w:rPr>
        <w:t>（台/套</w:t>
      </w:r>
      <w:r>
        <w:rPr>
          <w:rFonts w:hint="eastAsia" w:ascii="宋体" w:hAnsi="宋体" w:eastAsia="宋体" w:cs="宋体"/>
          <w:color w:val="auto"/>
          <w:sz w:val="21"/>
          <w:szCs w:val="21"/>
          <w:highlight w:val="none"/>
          <w:lang w:val="en" w:eastAsia="zh-CN"/>
        </w:rPr>
        <w:t>/个/架/组等</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cs="宋体"/>
          <w:color w:val="auto"/>
          <w:sz w:val="21"/>
          <w:szCs w:val="21"/>
          <w:highlight w:val="none"/>
          <w:u w:val="single"/>
          <w:lang w:val="en-US" w:eastAsia="zh-CN"/>
        </w:rPr>
        <w:t>1台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01D48009">
      <w:pPr>
        <w:numPr>
          <w:ilvl w:val="-1"/>
          <w:numId w:val="0"/>
        </w:num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val="en" w:eastAsia="zh-CN"/>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 w:eastAsia="zh-CN"/>
        </w:rPr>
        <w:t xml:space="preserve">     </w:t>
      </w:r>
      <w:r>
        <w:rPr>
          <w:rFonts w:hint="eastAsia" w:ascii="宋体" w:hAnsi="宋体" w:eastAsia="宋体" w:cs="宋体"/>
          <w:color w:val="auto"/>
          <w:sz w:val="21"/>
          <w:szCs w:val="21"/>
          <w:highlight w:val="none"/>
          <w:lang w:val="en-US" w:eastAsia="zh-CN"/>
        </w:rPr>
        <w:t>规格型号：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p>
    <w:p w14:paraId="73E6C43A">
      <w:pPr>
        <w:adjustRightInd w:val="0"/>
        <w:snapToGrid w:val="0"/>
        <w:spacing w:before="0" w:beforeLines="0" w:line="400" w:lineRule="exact"/>
        <w:ind w:firstLine="945" w:firstLineChars="4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采购标的的技术要求、商务要求具体见附件。</w:t>
      </w:r>
    </w:p>
    <w:p w14:paraId="4669DD1A">
      <w:pPr>
        <w:numPr>
          <w:ilvl w:val="-1"/>
          <w:numId w:val="0"/>
        </w:numPr>
        <w:adjustRightInd w:val="0"/>
        <w:snapToGrid w:val="0"/>
        <w:spacing w:before="0" w:beforeLines="0" w:line="400" w:lineRule="exact"/>
        <w:ind w:firstLine="945" w:firstLineChars="4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①涉及信息类产品，请填写该产品关键部件的品牌、型号：</w:t>
      </w:r>
    </w:p>
    <w:p w14:paraId="701520CC">
      <w:pPr>
        <w:numPr>
          <w:ilvl w:val="-1"/>
          <w:numId w:val="0"/>
        </w:numPr>
        <w:adjustRightInd w:val="0"/>
        <w:snapToGrid w:val="0"/>
        <w:spacing w:before="0" w:beforeLines="0" w:line="400" w:lineRule="exact"/>
        <w:ind w:firstLine="420" w:firstLineChars="200"/>
        <w:rPr>
          <w:rFonts w:hint="eastAsia" w:ascii="宋体" w:hAnsi="宋体" w:eastAsia="宋体" w:cs="宋体"/>
          <w:color w:val="auto"/>
          <w:kern w:val="0"/>
          <w:sz w:val="21"/>
          <w:szCs w:val="21"/>
          <w:highlight w:val="none"/>
          <w:u w:val="single"/>
          <w:lang w:val="en-US" w:eastAsia="zh-CN"/>
        </w:rPr>
      </w:pPr>
      <w:r>
        <w:rPr>
          <w:rFonts w:hint="eastAsia" w:ascii="宋体" w:hAnsi="宋体" w:eastAsia="宋体" w:cs="宋体"/>
          <w:color w:val="auto"/>
          <w:sz w:val="21"/>
          <w:szCs w:val="21"/>
          <w:highlight w:val="none"/>
          <w:lang w:val="en-US" w:eastAsia="zh-CN"/>
        </w:rPr>
        <w:t xml:space="preserve">     标的名称：</w:t>
      </w:r>
      <w:r>
        <w:rPr>
          <w:rFonts w:hint="eastAsia" w:ascii="宋体" w:hAnsi="宋体" w:eastAsia="宋体" w:cs="宋体"/>
          <w:color w:val="auto"/>
          <w:kern w:val="0"/>
          <w:sz w:val="21"/>
          <w:szCs w:val="21"/>
          <w:highlight w:val="none"/>
          <w:u w:val="single"/>
          <w:lang w:val="en-US" w:eastAsia="zh-CN"/>
        </w:rPr>
        <w:t xml:space="preserve">  束纤维快速测试仪 </w:t>
      </w:r>
    </w:p>
    <w:p w14:paraId="1E54D974">
      <w:pPr>
        <w:numPr>
          <w:ilvl w:val="-1"/>
          <w:numId w:val="0"/>
        </w:num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7A2F5753">
      <w:pPr>
        <w:pStyle w:val="53"/>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关键部件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5AD88F4E">
      <w:pPr>
        <w:pStyle w:val="53"/>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p>
    <w:p w14:paraId="6D9B2CAA">
      <w:pPr>
        <w:pStyle w:val="53"/>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39C4C510">
      <w:pPr>
        <w:pStyle w:val="53"/>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②涉及车辆采购，请填写是否属于新能源汽车：</w:t>
      </w:r>
    </w:p>
    <w:p w14:paraId="1442C133">
      <w:pPr>
        <w:pStyle w:val="53"/>
        <w:numPr>
          <w:ilvl w:val="-1"/>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，《政府采购品目分类目录》底级品目名称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数量：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val="0"/>
          <w:color w:val="auto"/>
          <w:sz w:val="21"/>
          <w:szCs w:val="21"/>
          <w:highlight w:val="none"/>
          <w:lang w:val="en-US" w:eastAsia="zh-CN"/>
        </w:rPr>
        <w:t xml:space="preserve"> </w:t>
      </w:r>
    </w:p>
    <w:p w14:paraId="3DA08274">
      <w:pPr>
        <w:pStyle w:val="53"/>
        <w:numPr>
          <w:ilvl w:val="-1"/>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FE"/>
      </w:r>
      <w:r>
        <w:rPr>
          <w:rFonts w:hint="eastAsia" w:ascii="宋体" w:hAnsi="宋体" w:eastAsia="宋体" w:cs="宋体"/>
          <w:iCs w:val="0"/>
          <w:color w:val="auto"/>
          <w:sz w:val="21"/>
          <w:szCs w:val="21"/>
          <w:highlight w:val="none"/>
          <w:lang w:eastAsia="zh-CN"/>
        </w:rPr>
        <w:t>否</w:t>
      </w:r>
    </w:p>
    <w:p w14:paraId="4927EE58">
      <w:pPr>
        <w:pStyle w:val="53"/>
        <w:numPr>
          <w:ilvl w:val="-1"/>
          <w:numId w:val="0"/>
        </w:numPr>
        <w:adjustRightInd w:val="0"/>
        <w:snapToGrid w:val="0"/>
        <w:spacing w:before="0" w:beforeLines="0" w:line="400" w:lineRule="exact"/>
        <w:ind w:left="0"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lang w:val="en" w:eastAsia="zh-CN"/>
        </w:rPr>
        <w:t>4</w:t>
      </w:r>
      <w:r>
        <w:rPr>
          <w:rFonts w:hint="eastAsia" w:ascii="宋体" w:hAnsi="宋体" w:eastAsia="宋体" w:cs="宋体"/>
          <w:iCs w:val="0"/>
          <w:color w:val="auto"/>
          <w:sz w:val="21"/>
          <w:szCs w:val="21"/>
          <w:highlight w:val="none"/>
          <w:lang w:val="en-US" w:eastAsia="zh-CN"/>
        </w:rPr>
        <w:t>）政府采购组织形式：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政府集中采购</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 xml:space="preserve">部门集中采购  </w:t>
      </w:r>
      <w:r>
        <w:rPr>
          <w:rFonts w:hint="eastAsia" w:ascii="宋体" w:hAnsi="宋体" w:eastAsia="宋体" w:cs="宋体"/>
          <w:iCs w:val="0"/>
          <w:color w:val="auto"/>
          <w:sz w:val="21"/>
          <w:szCs w:val="21"/>
          <w:highlight w:val="none"/>
        </w:rPr>
        <w:sym w:font="Wingdings" w:char="00FE"/>
      </w:r>
      <w:r>
        <w:rPr>
          <w:rFonts w:hint="eastAsia" w:ascii="宋体" w:hAnsi="宋体" w:eastAsia="宋体" w:cs="宋体"/>
          <w:iCs w:val="0"/>
          <w:color w:val="auto"/>
          <w:sz w:val="21"/>
          <w:szCs w:val="21"/>
          <w:highlight w:val="none"/>
          <w:lang w:val="en-US" w:eastAsia="zh-CN"/>
        </w:rPr>
        <w:t>分散采购</w:t>
      </w:r>
    </w:p>
    <w:p w14:paraId="41B668EA">
      <w:pPr>
        <w:pStyle w:val="53"/>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w:t>
      </w:r>
      <w:r>
        <w:rPr>
          <w:rFonts w:hint="eastAsia" w:ascii="宋体" w:hAnsi="宋体" w:eastAsia="宋体" w:cs="宋体"/>
          <w:iCs w:val="0"/>
          <w:color w:val="auto"/>
          <w:sz w:val="21"/>
          <w:szCs w:val="21"/>
          <w:highlight w:val="none"/>
          <w:lang w:val="en" w:eastAsia="zh-CN"/>
        </w:rPr>
        <w:t>5</w:t>
      </w:r>
      <w:r>
        <w:rPr>
          <w:rFonts w:hint="eastAsia" w:ascii="宋体" w:hAnsi="宋体" w:eastAsia="宋体" w:cs="宋体"/>
          <w:iCs w:val="0"/>
          <w:color w:val="auto"/>
          <w:sz w:val="21"/>
          <w:szCs w:val="21"/>
          <w:highlight w:val="none"/>
          <w:lang w:val="en-US" w:eastAsia="zh-CN"/>
        </w:rPr>
        <w:t>）政府采购方式：</w:t>
      </w:r>
      <w:r>
        <w:rPr>
          <w:rFonts w:hint="eastAsia" w:ascii="宋体" w:hAnsi="宋体" w:eastAsia="宋体" w:cs="宋体"/>
          <w:iCs w:val="0"/>
          <w:color w:val="auto"/>
          <w:sz w:val="21"/>
          <w:szCs w:val="21"/>
          <w:highlight w:val="none"/>
        </w:rPr>
        <w:sym w:font="Wingdings" w:char="00FE"/>
      </w:r>
      <w:r>
        <w:rPr>
          <w:rFonts w:hint="eastAsia" w:ascii="宋体" w:hAnsi="宋体" w:eastAsia="宋体" w:cs="宋体"/>
          <w:iCs w:val="0"/>
          <w:color w:val="auto"/>
          <w:sz w:val="21"/>
          <w:szCs w:val="21"/>
          <w:highlight w:val="none"/>
          <w:lang w:eastAsia="zh-CN"/>
        </w:rPr>
        <w:t>公开招标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邀请招标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竞争性谈判</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竞争性磋商</w:t>
      </w:r>
    </w:p>
    <w:p w14:paraId="61CC40F5">
      <w:pPr>
        <w:pStyle w:val="53"/>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single"/>
          <w:lang w:val="en-US" w:eastAsia="zh-CN"/>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询价</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单一来源</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框架协议</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      </w:t>
      </w:r>
    </w:p>
    <w:p w14:paraId="7F2C431B">
      <w:pPr>
        <w:pStyle w:val="53"/>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none"/>
          <w:lang w:val="en-US" w:eastAsia="zh-CN"/>
        </w:rPr>
      </w:pPr>
      <w:r>
        <w:rPr>
          <w:rFonts w:hint="eastAsia" w:ascii="宋体" w:hAnsi="宋体" w:eastAsia="宋体" w:cs="宋体"/>
          <w:iCs w:val="0"/>
          <w:color w:val="auto"/>
          <w:sz w:val="21"/>
          <w:szCs w:val="21"/>
          <w:highlight w:val="none"/>
          <w:u w:val="none"/>
          <w:lang w:val="en-US" w:eastAsia="zh-CN"/>
        </w:rPr>
        <w:t>（注：在框架协议采购的第二阶段，可选择使用该合同文本）</w:t>
      </w:r>
    </w:p>
    <w:p w14:paraId="59D57D02">
      <w:pPr>
        <w:pStyle w:val="53"/>
        <w:numPr>
          <w:ilvl w:val="-1"/>
          <w:numId w:val="0"/>
        </w:numPr>
        <w:adjustRightInd w:val="0"/>
        <w:snapToGrid w:val="0"/>
        <w:spacing w:before="0" w:beforeLines="0" w:line="400" w:lineRule="exact"/>
        <w:ind w:firstLine="210" w:firstLineChars="100"/>
        <w:rPr>
          <w:rFonts w:hint="eastAsia" w:ascii="宋体" w:hAnsi="宋体" w:eastAsia="宋体" w:cs="宋体"/>
          <w:color w:val="auto"/>
          <w:w w:val="100"/>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w w:val="100"/>
          <w:kern w:val="2"/>
          <w:sz w:val="21"/>
          <w:szCs w:val="21"/>
          <w:highlight w:val="none"/>
          <w:lang w:val="en-US" w:eastAsia="zh-CN" w:bidi="ar-SA"/>
        </w:rPr>
        <w:t>中标（成交）采购标的制造商是否为中小企业：</w:t>
      </w:r>
      <w:r>
        <w:rPr>
          <w:rFonts w:hint="eastAsia" w:ascii="宋体" w:hAnsi="宋体" w:eastAsia="宋体" w:cs="宋体"/>
          <w:color w:val="auto"/>
          <w:w w:val="100"/>
          <w:kern w:val="2"/>
          <w:sz w:val="21"/>
          <w:szCs w:val="21"/>
          <w:highlight w:val="none"/>
          <w:lang w:val="en-US" w:eastAsia="zh-CN" w:bidi="ar-SA"/>
        </w:rPr>
        <w:sym w:font="Wingdings" w:char="00A8"/>
      </w:r>
      <w:r>
        <w:rPr>
          <w:rFonts w:hint="eastAsia" w:ascii="宋体" w:hAnsi="宋体" w:eastAsia="宋体" w:cs="宋体"/>
          <w:color w:val="auto"/>
          <w:w w:val="100"/>
          <w:kern w:val="2"/>
          <w:sz w:val="21"/>
          <w:szCs w:val="21"/>
          <w:highlight w:val="none"/>
          <w:lang w:val="en-US" w:eastAsia="zh-CN" w:bidi="ar-SA"/>
        </w:rPr>
        <w:t xml:space="preserve">是      </w:t>
      </w:r>
      <w:r>
        <w:rPr>
          <w:rFonts w:hint="eastAsia" w:ascii="宋体" w:hAnsi="宋体" w:eastAsia="宋体" w:cs="宋体"/>
          <w:color w:val="auto"/>
          <w:w w:val="100"/>
          <w:kern w:val="2"/>
          <w:sz w:val="21"/>
          <w:szCs w:val="21"/>
          <w:highlight w:val="none"/>
          <w:lang w:val="en-US" w:eastAsia="zh-CN" w:bidi="ar-SA"/>
        </w:rPr>
        <w:sym w:font="Wingdings" w:char="00A8"/>
      </w:r>
      <w:r>
        <w:rPr>
          <w:rFonts w:hint="eastAsia" w:ascii="宋体" w:hAnsi="宋体" w:eastAsia="宋体" w:cs="宋体"/>
          <w:color w:val="auto"/>
          <w:w w:val="100"/>
          <w:kern w:val="2"/>
          <w:sz w:val="21"/>
          <w:szCs w:val="21"/>
          <w:highlight w:val="none"/>
          <w:lang w:val="en-US" w:eastAsia="zh-CN" w:bidi="ar-SA"/>
        </w:rPr>
        <w:t>否</w:t>
      </w:r>
    </w:p>
    <w:p w14:paraId="5C81CB00">
      <w:pPr>
        <w:numPr>
          <w:ilvl w:val="-1"/>
          <w:numId w:val="0"/>
        </w:numPr>
        <w:adjustRightInd w:val="0"/>
        <w:snapToGrid w:val="0"/>
        <w:spacing w:before="0" w:beforeLines="0" w:line="400" w:lineRule="exact"/>
        <w:ind w:left="0" w:leftChars="0"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w w:val="100"/>
          <w:sz w:val="21"/>
          <w:szCs w:val="21"/>
          <w:highlight w:val="none"/>
          <w:lang w:val="en-US" w:eastAsia="zh-CN"/>
        </w:rPr>
        <w:t xml:space="preserve">         本合同</w:t>
      </w:r>
      <w:r>
        <w:rPr>
          <w:rFonts w:hint="eastAsia" w:ascii="宋体" w:hAnsi="宋体" w:eastAsia="宋体" w:cs="宋体"/>
          <w:color w:val="auto"/>
          <w:w w:val="100"/>
          <w:sz w:val="21"/>
          <w:szCs w:val="21"/>
          <w:highlight w:val="none"/>
        </w:rPr>
        <w:t>是否</w:t>
      </w:r>
      <w:r>
        <w:rPr>
          <w:rFonts w:hint="eastAsia" w:ascii="宋体" w:hAnsi="宋体" w:eastAsia="宋体" w:cs="宋体"/>
          <w:color w:val="auto"/>
          <w:w w:val="100"/>
          <w:sz w:val="21"/>
          <w:szCs w:val="21"/>
          <w:highlight w:val="none"/>
          <w:lang w:eastAsia="zh-CN"/>
        </w:rPr>
        <w:t>为专门面向</w:t>
      </w:r>
      <w:r>
        <w:rPr>
          <w:rFonts w:hint="eastAsia" w:ascii="宋体" w:hAnsi="宋体" w:eastAsia="宋体" w:cs="宋体"/>
          <w:color w:val="auto"/>
          <w:w w:val="100"/>
          <w:sz w:val="21"/>
          <w:szCs w:val="21"/>
          <w:highlight w:val="none"/>
        </w:rPr>
        <w:t>中小企业</w:t>
      </w:r>
      <w:r>
        <w:rPr>
          <w:rFonts w:hint="eastAsia" w:ascii="宋体" w:hAnsi="宋体" w:eastAsia="宋体" w:cs="宋体"/>
          <w:color w:val="auto"/>
          <w:w w:val="100"/>
          <w:sz w:val="21"/>
          <w:szCs w:val="21"/>
          <w:highlight w:val="none"/>
          <w:lang w:eastAsia="zh-CN"/>
        </w:rPr>
        <w:t>的采</w:t>
      </w:r>
      <w:r>
        <w:rPr>
          <w:rFonts w:hint="eastAsia" w:ascii="宋体" w:hAnsi="宋体" w:eastAsia="宋体" w:cs="宋体"/>
          <w:color w:val="auto"/>
          <w:w w:val="100"/>
          <w:sz w:val="21"/>
          <w:szCs w:val="21"/>
          <w:highlight w:val="none"/>
          <w:shd w:val="clear"/>
          <w:lang w:eastAsia="zh-CN"/>
        </w:rPr>
        <w:t>购</w:t>
      </w:r>
      <w:r>
        <w:rPr>
          <w:rFonts w:hint="eastAsia" w:ascii="宋体" w:hAnsi="宋体" w:eastAsia="宋体" w:cs="宋体"/>
          <w:color w:val="auto"/>
          <w:w w:val="100"/>
          <w:sz w:val="21"/>
          <w:szCs w:val="21"/>
          <w:highlight w:val="none"/>
          <w:shd w:val="clear"/>
        </w:rPr>
        <w:t>合同</w:t>
      </w:r>
      <w:r>
        <w:rPr>
          <w:rFonts w:hint="eastAsia" w:ascii="宋体" w:hAnsi="宋体" w:eastAsia="宋体" w:cs="宋体"/>
          <w:color w:val="auto"/>
          <w:w w:val="100"/>
          <w:sz w:val="21"/>
          <w:szCs w:val="21"/>
          <w:highlight w:val="none"/>
          <w:shd w:val="clear"/>
          <w:lang w:eastAsia="zh-CN"/>
        </w:rPr>
        <w:t>（中小企业预留合同）</w:t>
      </w:r>
      <w:r>
        <w:rPr>
          <w:rFonts w:hint="eastAsia" w:ascii="宋体" w:hAnsi="宋体" w:eastAsia="宋体" w:cs="宋体"/>
          <w:color w:val="auto"/>
          <w:sz w:val="21"/>
          <w:szCs w:val="21"/>
          <w:highlight w:val="none"/>
          <w:shd w:val="clear"/>
        </w:rPr>
        <w:t>：</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7DC82833">
      <w:pPr>
        <w:numPr>
          <w:ilvl w:val="-1"/>
          <w:numId w:val="0"/>
        </w:numPr>
        <w:adjustRightInd w:val="0"/>
        <w:snapToGrid w:val="0"/>
        <w:spacing w:before="0" w:beforeLines="0" w:line="400" w:lineRule="exact"/>
        <w:ind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lang w:val="en-US" w:eastAsia="zh-CN"/>
        </w:rPr>
        <w:t xml:space="preserve">         若本项目不专门面向中小企业采购，是否给予小微企业评审优惠：</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06DFC04E">
      <w:pPr>
        <w:numPr>
          <w:ilvl w:val="-1"/>
          <w:numId w:val="0"/>
        </w:numPr>
        <w:adjustRightInd w:val="0"/>
        <w:snapToGrid w:val="0"/>
        <w:spacing w:before="0" w:beforeLines="0" w:line="400" w:lineRule="exact"/>
        <w:ind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lang w:val="en-US" w:eastAsia="zh-CN"/>
        </w:rPr>
        <w:t xml:space="preserve">         中标（成交）采购标的制造商是否为残疾人福利性单位：</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15700511">
      <w:pPr>
        <w:numPr>
          <w:ilvl w:val="0"/>
          <w:numId w:val="0"/>
        </w:numPr>
        <w:snapToGrid w:val="0"/>
        <w:spacing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中标（成交）采购标的制造商是否为监狱企业：</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29B426F2">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eastAsia="zh-CN"/>
        </w:rPr>
        <w:t>7</w:t>
      </w:r>
      <w:r>
        <w:rPr>
          <w:rFonts w:hint="eastAsia" w:ascii="宋体" w:hAnsi="宋体" w:eastAsia="宋体" w:cs="宋体"/>
          <w:color w:val="auto"/>
          <w:sz w:val="21"/>
          <w:szCs w:val="21"/>
          <w:highlight w:val="none"/>
        </w:rPr>
        <w:t>）合同是否分包：</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FE"/>
      </w:r>
      <w:r>
        <w:rPr>
          <w:rFonts w:hint="eastAsia" w:ascii="宋体" w:hAnsi="宋体" w:eastAsia="宋体" w:cs="宋体"/>
          <w:iCs/>
          <w:color w:val="auto"/>
          <w:sz w:val="21"/>
          <w:szCs w:val="21"/>
          <w:highlight w:val="none"/>
        </w:rPr>
        <w:t>否</w:t>
      </w:r>
    </w:p>
    <w:p w14:paraId="51452BB6">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分包主要内容：</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29DB9604">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分包供应商</w:t>
      </w:r>
      <w:r>
        <w:rPr>
          <w:rFonts w:hint="eastAsia" w:ascii="宋体" w:hAnsi="宋体" w:eastAsia="宋体" w:cs="宋体"/>
          <w:color w:val="auto"/>
          <w:sz w:val="21"/>
          <w:szCs w:val="21"/>
          <w:highlight w:val="none"/>
          <w:lang w:eastAsia="zh-CN"/>
        </w:rPr>
        <w:t>/制造商</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（如供应商和制造商不同，请分别填写）</w:t>
      </w:r>
      <w:r>
        <w:rPr>
          <w:rFonts w:hint="eastAsia" w:ascii="宋体" w:hAnsi="宋体" w:eastAsia="宋体" w:cs="宋体"/>
          <w:color w:val="auto"/>
          <w:sz w:val="21"/>
          <w:szCs w:val="21"/>
          <w:highlight w:val="none"/>
        </w:rPr>
        <w:t>：</w:t>
      </w:r>
    </w:p>
    <w:p w14:paraId="2FE3687F">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14:paraId="3C9FA2AF">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分包供应商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制造商</w:t>
      </w:r>
      <w:r>
        <w:rPr>
          <w:rFonts w:hint="eastAsia" w:ascii="宋体" w:hAnsi="宋体" w:eastAsia="宋体" w:cs="宋体"/>
          <w:color w:val="auto"/>
          <w:sz w:val="21"/>
          <w:szCs w:val="21"/>
          <w:highlight w:val="none"/>
        </w:rPr>
        <w:t>类型</w:t>
      </w:r>
      <w:r>
        <w:rPr>
          <w:rFonts w:hint="eastAsia" w:ascii="宋体" w:hAnsi="宋体" w:eastAsia="宋体" w:cs="宋体"/>
          <w:color w:val="auto"/>
          <w:sz w:val="21"/>
          <w:szCs w:val="21"/>
          <w:highlight w:val="none"/>
          <w:lang w:eastAsia="zh-CN"/>
        </w:rPr>
        <w:t>（如果供应商和制造商不同，只填写制造商类型）</w:t>
      </w:r>
      <w:r>
        <w:rPr>
          <w:rFonts w:hint="eastAsia" w:ascii="宋体" w:hAnsi="宋体" w:eastAsia="宋体" w:cs="宋体"/>
          <w:color w:val="auto"/>
          <w:sz w:val="21"/>
          <w:szCs w:val="21"/>
          <w:highlight w:val="none"/>
        </w:rPr>
        <w:t>：</w:t>
      </w:r>
    </w:p>
    <w:p w14:paraId="565949D9">
      <w:pPr>
        <w:adjustRightInd w:val="0"/>
        <w:snapToGrid w:val="0"/>
        <w:spacing w:beforeLines="0" w:line="400" w:lineRule="exact"/>
        <w:ind w:firstLine="840" w:firstLineChars="40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大型企业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中型企业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小微型企业</w:t>
      </w:r>
      <w:r>
        <w:rPr>
          <w:rFonts w:hint="eastAsia" w:ascii="宋体" w:hAnsi="宋体" w:eastAsia="宋体" w:cs="宋体"/>
          <w:iCs/>
          <w:color w:val="auto"/>
          <w:sz w:val="21"/>
          <w:szCs w:val="21"/>
          <w:highlight w:val="none"/>
          <w:lang w:val="en-US" w:eastAsia="zh-CN"/>
        </w:rPr>
        <w:t xml:space="preserve">  </w:t>
      </w:r>
    </w:p>
    <w:p w14:paraId="1E0635A0">
      <w:pPr>
        <w:adjustRightInd w:val="0"/>
        <w:snapToGrid w:val="0"/>
        <w:spacing w:beforeLines="0" w:line="400" w:lineRule="exact"/>
        <w:ind w:firstLine="840" w:firstLineChars="400"/>
        <w:rPr>
          <w:rFonts w:hint="eastAsia" w:ascii="宋体" w:hAnsi="宋体" w:eastAsia="宋体" w:cs="宋体"/>
          <w:color w:val="auto"/>
          <w:sz w:val="21"/>
          <w:szCs w:val="21"/>
          <w:highlight w:val="none"/>
          <w:u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残疾人福利性单位</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监狱</w:t>
      </w:r>
      <w:r>
        <w:rPr>
          <w:rFonts w:hint="eastAsia" w:ascii="宋体" w:hAnsi="宋体" w:eastAsia="宋体" w:cs="宋体"/>
          <w:iCs/>
          <w:color w:val="auto"/>
          <w:sz w:val="21"/>
          <w:szCs w:val="21"/>
          <w:highlight w:val="none"/>
        </w:rPr>
        <w:t>企业</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其他</w:t>
      </w:r>
    </w:p>
    <w:p w14:paraId="3CFB64A8">
      <w:pPr>
        <w:numPr>
          <w:ilvl w:val="-1"/>
          <w:numId w:val="0"/>
        </w:numPr>
        <w:adjustRightInd w:val="0"/>
        <w:snapToGrid w:val="0"/>
        <w:spacing w:before="0" w:beforeLines="0" w:line="400" w:lineRule="exact"/>
        <w:ind w:left="0" w:leftChars="0"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lang w:val="en" w:eastAsia="zh-CN"/>
        </w:rPr>
        <w:t>8</w:t>
      </w:r>
      <w:r>
        <w:rPr>
          <w:rFonts w:hint="eastAsia" w:ascii="宋体" w:hAnsi="宋体" w:eastAsia="宋体" w:cs="宋体"/>
          <w:color w:val="auto"/>
          <w:sz w:val="21"/>
          <w:szCs w:val="21"/>
          <w:highlight w:val="none"/>
          <w:u w:val="none"/>
          <w:lang w:val="en-US" w:eastAsia="zh-CN"/>
        </w:rPr>
        <w:t>）中标（成交）供应商是否为外商投资企业：</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536ABD4E">
      <w:pPr>
        <w:pStyle w:val="53"/>
        <w:tabs>
          <w:tab w:val="left" w:pos="1340"/>
        </w:tabs>
        <w:spacing w:beforeLine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18CB6526">
      <w:pPr>
        <w:numPr>
          <w:ilvl w:val="-1"/>
          <w:numId w:val="0"/>
        </w:numPr>
        <w:adjustRightInd w:val="0"/>
        <w:snapToGrid w:val="0"/>
        <w:spacing w:before="0" w:beforeLines="0" w:line="400" w:lineRule="exact"/>
        <w:ind w:firstLine="420" w:firstLineChars="20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 w:eastAsia="zh-CN"/>
        </w:rPr>
        <w:t>9</w:t>
      </w:r>
      <w:r>
        <w:rPr>
          <w:rFonts w:hint="eastAsia" w:ascii="宋体" w:hAnsi="宋体" w:eastAsia="宋体" w:cs="宋体"/>
          <w:b w:val="0"/>
          <w:bCs w:val="0"/>
          <w:color w:val="auto"/>
          <w:sz w:val="21"/>
          <w:szCs w:val="21"/>
          <w:highlight w:val="none"/>
          <w:u w:val="none"/>
          <w:lang w:val="en-US" w:eastAsia="zh-CN"/>
        </w:rPr>
        <w:t>）是否涉及进口产品：</w:t>
      </w:r>
    </w:p>
    <w:p w14:paraId="456EA3FE">
      <w:pPr>
        <w:numPr>
          <w:ilvl w:val="-1"/>
          <w:numId w:val="0"/>
        </w:num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singl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，《政府采购品目分类目录》底级品目名称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p>
    <w:p w14:paraId="1D7C9FE1">
      <w:pPr>
        <w:numPr>
          <w:ilvl w:val="-1"/>
          <w:numId w:val="0"/>
        </w:numPr>
        <w:adjustRightInd w:val="0"/>
        <w:snapToGrid w:val="0"/>
        <w:spacing w:before="0" w:beforeLines="0" w:line="400" w:lineRule="exact"/>
        <w:ind w:firstLine="840" w:firstLineChars="400"/>
        <w:rPr>
          <w:rFonts w:hint="eastAsia" w:ascii="宋体" w:hAnsi="宋体" w:eastAsia="宋体" w:cs="宋体"/>
          <w:iCs w:val="0"/>
          <w:color w:val="auto"/>
          <w:sz w:val="21"/>
          <w:szCs w:val="21"/>
          <w:highlight w:val="none"/>
        </w:rPr>
      </w:pPr>
      <w:r>
        <w:rPr>
          <w:rFonts w:hint="eastAsia" w:ascii="宋体" w:hAnsi="宋体" w:eastAsia="宋体" w:cs="宋体"/>
          <w:color w:val="auto"/>
          <w:sz w:val="21"/>
          <w:szCs w:val="21"/>
          <w:highlight w:val="none"/>
          <w:lang w:val="en-US" w:eastAsia="zh-CN"/>
        </w:rPr>
        <w:t xml:space="preserve">        国别：</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规格型号：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val="0"/>
          <w:color w:val="auto"/>
          <w:sz w:val="21"/>
          <w:szCs w:val="21"/>
          <w:highlight w:val="none"/>
        </w:rPr>
        <w:t xml:space="preserve">      </w:t>
      </w:r>
    </w:p>
    <w:p w14:paraId="74716C21">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non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否</w:t>
      </w:r>
    </w:p>
    <w:p w14:paraId="46CEF9E3">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（1</w:t>
      </w:r>
      <w:r>
        <w:rPr>
          <w:rFonts w:hint="eastAsia" w:ascii="宋体" w:hAnsi="宋体" w:eastAsia="宋体" w:cs="宋体"/>
          <w:b w:val="0"/>
          <w:bCs w:val="0"/>
          <w:color w:val="auto"/>
          <w:sz w:val="21"/>
          <w:szCs w:val="21"/>
          <w:highlight w:val="none"/>
          <w:u w:val="none"/>
          <w:lang w:val="en" w:eastAsia="zh-CN"/>
        </w:rPr>
        <w:t>0</w:t>
      </w:r>
      <w:r>
        <w:rPr>
          <w:rFonts w:hint="eastAsia" w:ascii="宋体" w:hAnsi="宋体" w:eastAsia="宋体" w:cs="宋体"/>
          <w:b w:val="0"/>
          <w:bCs w:val="0"/>
          <w:color w:val="auto"/>
          <w:sz w:val="21"/>
          <w:szCs w:val="21"/>
          <w:highlight w:val="none"/>
          <w:u w:val="none"/>
          <w:lang w:val="en-US" w:eastAsia="zh-CN"/>
        </w:rPr>
        <w:t>）是否涉及节能产品：</w:t>
      </w:r>
    </w:p>
    <w:p w14:paraId="590B9603">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，《节能产品政府采购品目清单》的底级品目名称：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lang w:val="en-US" w:eastAsia="zh-CN"/>
        </w:rPr>
        <w:t xml:space="preserve">     </w:t>
      </w:r>
    </w:p>
    <w:p w14:paraId="4461BA73">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65DE40F0">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FE"/>
      </w:r>
      <w:r>
        <w:rPr>
          <w:rFonts w:hint="eastAsia" w:ascii="宋体" w:hAnsi="宋体" w:eastAsia="宋体" w:cs="宋体"/>
          <w:iCs w:val="0"/>
          <w:color w:val="auto"/>
          <w:sz w:val="21"/>
          <w:szCs w:val="21"/>
          <w:highlight w:val="none"/>
        </w:rPr>
        <w:t>否</w:t>
      </w:r>
    </w:p>
    <w:p w14:paraId="3EA49D2E">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是否涉及环境标志产品：</w:t>
      </w:r>
    </w:p>
    <w:p w14:paraId="6E7AA133">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，《环境标志产品政府采购品目清单》的底级品目名称：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lang w:val="en-US" w:eastAsia="zh-CN"/>
        </w:rPr>
        <w:t xml:space="preserve"> </w:t>
      </w:r>
    </w:p>
    <w:p w14:paraId="7652AB83">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257189F9">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FE"/>
      </w:r>
      <w:r>
        <w:rPr>
          <w:rFonts w:hint="eastAsia" w:ascii="宋体" w:hAnsi="宋体" w:eastAsia="宋体" w:cs="宋体"/>
          <w:iCs w:val="0"/>
          <w:color w:val="auto"/>
          <w:sz w:val="21"/>
          <w:szCs w:val="21"/>
          <w:highlight w:val="none"/>
        </w:rPr>
        <w:t>否</w:t>
      </w:r>
    </w:p>
    <w:p w14:paraId="24C19990">
      <w:pPr>
        <w:pStyle w:val="53"/>
        <w:numPr>
          <w:ilvl w:val="-1"/>
          <w:numId w:val="0"/>
        </w:numPr>
        <w:adjustRightInd w:val="0"/>
        <w:snapToGrid w:val="0"/>
        <w:spacing w:before="0" w:beforeLines="0" w:line="400" w:lineRule="exact"/>
        <w:ind w:firstLine="0" w:firstLineChars="0"/>
        <w:rPr>
          <w:rFonts w:hint="eastAsia" w:ascii="宋体" w:hAnsi="宋体" w:eastAsia="宋体" w:cs="宋体"/>
          <w:iCs w:val="0"/>
          <w:color w:val="auto"/>
          <w:kern w:val="2"/>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b w:val="0"/>
          <w:bCs w:val="0"/>
          <w:color w:val="auto"/>
          <w:kern w:val="2"/>
          <w:sz w:val="21"/>
          <w:szCs w:val="21"/>
          <w:highlight w:val="none"/>
          <w:u w:val="none"/>
          <w:lang w:val="en-US" w:eastAsia="zh-CN"/>
        </w:rPr>
        <w:t>是否涉及绿色产品：</w:t>
      </w:r>
      <w:r>
        <w:rPr>
          <w:rFonts w:hint="eastAsia" w:ascii="宋体" w:hAnsi="宋体" w:eastAsia="宋体" w:cs="宋体"/>
          <w:iCs w:val="0"/>
          <w:color w:val="auto"/>
          <w:kern w:val="2"/>
          <w:sz w:val="21"/>
          <w:szCs w:val="21"/>
          <w:highlight w:val="none"/>
          <w:u w:val="none"/>
          <w:lang w:val="en-US" w:eastAsia="zh-CN"/>
        </w:rPr>
        <w:t xml:space="preserve"> </w:t>
      </w:r>
    </w:p>
    <w:p w14:paraId="097733A7">
      <w:pPr>
        <w:pStyle w:val="53"/>
        <w:spacing w:beforeLines="0"/>
        <w:ind w:firstLine="420" w:firstLineChars="0"/>
        <w:rPr>
          <w:rFonts w:hint="eastAsia" w:ascii="宋体" w:hAnsi="宋体" w:eastAsia="宋体" w:cs="宋体"/>
          <w:color w:val="auto"/>
          <w:sz w:val="21"/>
          <w:szCs w:val="21"/>
          <w:highlight w:val="none"/>
          <w:u w:val="single"/>
          <w:lang w:val="en-US" w:eastAsia="zh-CN"/>
        </w:rPr>
      </w:pPr>
      <w:r>
        <w:rPr>
          <w:rFonts w:hint="eastAsia" w:ascii="宋体" w:hAnsi="宋体" w:eastAsia="宋体" w:cs="宋体"/>
          <w:iCs w:val="0"/>
          <w:color w:val="auto"/>
          <w:kern w:val="2"/>
          <w:sz w:val="21"/>
          <w:szCs w:val="21"/>
          <w:highlight w:val="none"/>
          <w:u w:val="none"/>
          <w:lang w:val="en-US" w:eastAsia="zh-CN"/>
        </w:rPr>
        <w:t xml:space="preserve">     </w:t>
      </w:r>
      <w:r>
        <w:rPr>
          <w:rFonts w:hint="eastAsia" w:ascii="宋体" w:hAnsi="宋体" w:eastAsia="宋体" w:cs="宋体"/>
          <w:iCs w:val="0"/>
          <w:color w:val="auto"/>
          <w:kern w:val="2"/>
          <w:sz w:val="21"/>
          <w:szCs w:val="21"/>
          <w:highlight w:val="none"/>
          <w:u w:val="none"/>
        </w:rPr>
        <w:sym w:font="Wingdings" w:char="00A8"/>
      </w:r>
      <w:r>
        <w:rPr>
          <w:rFonts w:hint="eastAsia" w:ascii="宋体" w:hAnsi="宋体" w:eastAsia="宋体" w:cs="宋体"/>
          <w:iCs w:val="0"/>
          <w:color w:val="auto"/>
          <w:kern w:val="2"/>
          <w:sz w:val="21"/>
          <w:szCs w:val="21"/>
          <w:highlight w:val="none"/>
          <w:u w:val="none"/>
        </w:rPr>
        <w:t>是</w:t>
      </w:r>
      <w:r>
        <w:rPr>
          <w:rFonts w:hint="eastAsia" w:ascii="宋体" w:hAnsi="宋体" w:eastAsia="宋体" w:cs="宋体"/>
          <w:iCs w:val="0"/>
          <w:color w:val="auto"/>
          <w:kern w:val="2"/>
          <w:sz w:val="21"/>
          <w:szCs w:val="21"/>
          <w:highlight w:val="none"/>
          <w:u w:val="none"/>
          <w:lang w:eastAsia="zh-CN"/>
        </w:rPr>
        <w:t>，绿色产品政府采购相关政策确定的底级品目名称：</w:t>
      </w:r>
      <w:r>
        <w:rPr>
          <w:rFonts w:hint="eastAsia" w:ascii="宋体" w:hAnsi="宋体" w:eastAsia="宋体" w:cs="宋体"/>
          <w:color w:val="auto"/>
          <w:sz w:val="21"/>
          <w:szCs w:val="21"/>
          <w:highlight w:val="none"/>
          <w:u w:val="single"/>
          <w:lang w:val="en-US" w:eastAsia="zh-CN"/>
        </w:rPr>
        <w:t xml:space="preserve">         </w:t>
      </w:r>
    </w:p>
    <w:p w14:paraId="3A9C741B">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450AA306">
      <w:pPr>
        <w:pStyle w:val="53"/>
        <w:spacing w:beforeLines="0"/>
        <w:ind w:firstLine="42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iCs w:val="0"/>
          <w:color w:val="auto"/>
          <w:kern w:val="2"/>
          <w:sz w:val="21"/>
          <w:szCs w:val="21"/>
          <w:highlight w:val="none"/>
          <w:u w:val="none"/>
          <w:lang w:val="en-US" w:eastAsia="zh-CN"/>
        </w:rPr>
        <w:t xml:space="preserve">     </w:t>
      </w:r>
      <w:r>
        <w:rPr>
          <w:rFonts w:hint="eastAsia" w:ascii="宋体" w:hAnsi="宋体" w:eastAsia="宋体" w:cs="宋体"/>
          <w:iCs w:val="0"/>
          <w:color w:val="auto"/>
          <w:kern w:val="2"/>
          <w:sz w:val="21"/>
          <w:szCs w:val="21"/>
          <w:highlight w:val="none"/>
          <w:u w:val="none"/>
        </w:rPr>
        <w:sym w:font="Wingdings" w:char="00FE"/>
      </w:r>
      <w:r>
        <w:rPr>
          <w:rFonts w:hint="eastAsia" w:ascii="宋体" w:hAnsi="宋体" w:eastAsia="宋体" w:cs="宋体"/>
          <w:iCs w:val="0"/>
          <w:color w:val="auto"/>
          <w:kern w:val="2"/>
          <w:sz w:val="21"/>
          <w:szCs w:val="21"/>
          <w:highlight w:val="none"/>
          <w:u w:val="none"/>
        </w:rPr>
        <w:t>否</w:t>
      </w:r>
    </w:p>
    <w:p w14:paraId="1CF9DC26">
      <w:pPr>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（1</w:t>
      </w:r>
      <w:r>
        <w:rPr>
          <w:rFonts w:hint="eastAsia" w:ascii="宋体" w:hAnsi="宋体" w:eastAsia="宋体" w:cs="宋体"/>
          <w:color w:val="auto"/>
          <w:sz w:val="21"/>
          <w:szCs w:val="21"/>
          <w:highlight w:val="none"/>
          <w:lang w:val="en" w:eastAsia="zh-CN"/>
        </w:rPr>
        <w:t>1</w:t>
      </w:r>
      <w:r>
        <w:rPr>
          <w:rFonts w:hint="eastAsia" w:ascii="宋体" w:hAnsi="宋体" w:eastAsia="宋体" w:cs="宋体"/>
          <w:color w:val="auto"/>
          <w:sz w:val="21"/>
          <w:szCs w:val="21"/>
          <w:highlight w:val="none"/>
          <w:lang w:val="en-US" w:eastAsia="zh-CN"/>
        </w:rPr>
        <w:t>）涉及商品包装和快递包装的，是否参考</w:t>
      </w:r>
      <w:r>
        <w:rPr>
          <w:rFonts w:hint="eastAsia" w:ascii="宋体" w:hAnsi="宋体" w:eastAsia="宋体" w:cs="宋体"/>
          <w:color w:val="auto"/>
          <w:sz w:val="21"/>
          <w:szCs w:val="21"/>
          <w:highlight w:val="none"/>
        </w:rPr>
        <w:t>《商品包装政府采购需求标准（试行）》、《快递包装政府采购需求标准（试行）》</w:t>
      </w:r>
      <w:r>
        <w:rPr>
          <w:rFonts w:hint="eastAsia" w:ascii="宋体" w:hAnsi="宋体" w:eastAsia="宋体" w:cs="宋体"/>
          <w:color w:val="auto"/>
          <w:sz w:val="21"/>
          <w:szCs w:val="21"/>
          <w:highlight w:val="none"/>
          <w:lang w:eastAsia="zh-CN"/>
        </w:rPr>
        <w:t>明确产品及相关快递服务的具体包装要求：</w:t>
      </w:r>
    </w:p>
    <w:p w14:paraId="208738B1">
      <w:pPr>
        <w:numPr>
          <w:ilvl w:val="-1"/>
          <w:numId w:val="0"/>
        </w:numPr>
        <w:adjustRightInd w:val="0"/>
        <w:snapToGrid w:val="0"/>
        <w:spacing w:before="0" w:beforeLines="0" w:line="400" w:lineRule="exact"/>
        <w:ind w:firstLine="1050" w:firstLineChars="500"/>
        <w:rPr>
          <w:rFonts w:hint="eastAsia" w:ascii="宋体" w:hAnsi="宋体" w:eastAsia="宋体" w:cs="宋体"/>
          <w:iCs w:val="0"/>
          <w:color w:val="auto"/>
          <w:sz w:val="21"/>
          <w:szCs w:val="21"/>
          <w:highlight w:val="none"/>
          <w:lang w:val="en-US" w:eastAsia="zh-CN"/>
        </w:rPr>
      </w:pP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 xml:space="preserve">是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否</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FE"/>
      </w:r>
      <w:r>
        <w:rPr>
          <w:rFonts w:hint="eastAsia" w:ascii="宋体" w:hAnsi="宋体" w:eastAsia="宋体" w:cs="宋体"/>
          <w:iCs w:val="0"/>
          <w:color w:val="auto"/>
          <w:sz w:val="21"/>
          <w:szCs w:val="21"/>
          <w:highlight w:val="none"/>
          <w:lang w:eastAsia="zh-CN"/>
        </w:rPr>
        <w:t>不涉及</w:t>
      </w:r>
    </w:p>
    <w:p w14:paraId="7B7CC7EA">
      <w:pPr>
        <w:numPr>
          <w:ilvl w:val="0"/>
          <w:numId w:val="1"/>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合同金额</w:t>
      </w:r>
    </w:p>
    <w:p w14:paraId="0B6D2F4F">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（1）合同金额小写：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6C85177E">
      <w:pPr>
        <w:adjustRightInd w:val="0"/>
        <w:snapToGrid w:val="0"/>
        <w:spacing w:before="0" w:beforeLines="0" w:line="400" w:lineRule="exact"/>
        <w:ind w:left="0"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54F515F1">
      <w:pPr>
        <w:adjustRightInd w:val="0"/>
        <w:snapToGrid w:val="0"/>
        <w:spacing w:before="0" w:beforeLines="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分包金额</w:t>
      </w:r>
      <w:r>
        <w:rPr>
          <w:rFonts w:hint="eastAsia" w:ascii="宋体" w:hAnsi="宋体" w:eastAsia="宋体" w:cs="宋体"/>
          <w:color w:val="auto"/>
          <w:sz w:val="21"/>
          <w:szCs w:val="21"/>
          <w:highlight w:val="none"/>
          <w:lang w:eastAsia="zh-CN"/>
        </w:rPr>
        <w:t>（如有）</w:t>
      </w: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p>
    <w:p w14:paraId="4EBBAE9D">
      <w:pPr>
        <w:adjustRightInd w:val="0"/>
        <w:snapToGrid w:val="0"/>
        <w:spacing w:before="0" w:beforeLines="0" w:line="400" w:lineRule="exact"/>
        <w:ind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6AA3AF8A">
      <w:p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（注：固定单价合同应填写单价和最高限价）</w:t>
      </w:r>
    </w:p>
    <w:p w14:paraId="73DDD75E">
      <w:pPr>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合同定价方式</w:t>
      </w:r>
      <w:r>
        <w:rPr>
          <w:rFonts w:hint="eastAsia" w:ascii="宋体" w:hAnsi="宋体" w:eastAsia="宋体" w:cs="宋体"/>
          <w:color w:val="auto"/>
          <w:sz w:val="21"/>
          <w:szCs w:val="21"/>
          <w:highlight w:val="none"/>
          <w:lang w:eastAsia="zh-CN"/>
        </w:rPr>
        <w:t>（采用组合定价方式的，可以勾选多项）</w:t>
      </w:r>
      <w:r>
        <w:rPr>
          <w:rFonts w:hint="eastAsia" w:ascii="宋体" w:hAnsi="宋体" w:eastAsia="宋体" w:cs="宋体"/>
          <w:color w:val="auto"/>
          <w:sz w:val="21"/>
          <w:szCs w:val="21"/>
          <w:highlight w:val="none"/>
        </w:rPr>
        <w:t>：</w:t>
      </w:r>
    </w:p>
    <w:p w14:paraId="6514B820">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FE"/>
      </w:r>
      <w:r>
        <w:rPr>
          <w:rFonts w:hint="eastAsia" w:ascii="宋体" w:hAnsi="宋体" w:eastAsia="宋体" w:cs="宋体"/>
          <w:iCs/>
          <w:color w:val="auto"/>
          <w:sz w:val="21"/>
          <w:szCs w:val="21"/>
          <w:highlight w:val="none"/>
        </w:rPr>
        <w:t xml:space="preserve">固定总价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固定单价</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固定费率</w:t>
      </w:r>
      <w:r>
        <w:rPr>
          <w:rFonts w:hint="eastAsia" w:ascii="宋体" w:hAnsi="宋体" w:eastAsia="宋体" w:cs="宋体"/>
          <w:iCs/>
          <w:color w:val="auto"/>
          <w:sz w:val="21"/>
          <w:szCs w:val="21"/>
          <w:highlight w:val="none"/>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成本补偿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绩效激励</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其他</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p>
    <w:p w14:paraId="5424F225">
      <w:pPr>
        <w:pStyle w:val="60"/>
        <w:spacing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）付款方式（按项目实际勾选填写）：</w:t>
      </w:r>
    </w:p>
    <w:p w14:paraId="3FB0385A">
      <w:pPr>
        <w:adjustRightInd w:val="0"/>
        <w:snapToGrid w:val="0"/>
        <w:spacing w:before="0" w:beforeLines="0" w:line="400" w:lineRule="exact"/>
        <w:ind w:firstLine="630" w:firstLineChars="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全额付款：</w:t>
      </w:r>
      <w:r>
        <w:rPr>
          <w:rFonts w:hint="eastAsia" w:ascii="宋体" w:hAnsi="宋体" w:eastAsia="宋体" w:cs="宋体"/>
          <w:color w:val="auto"/>
          <w:sz w:val="21"/>
          <w:szCs w:val="21"/>
          <w:highlight w:val="none"/>
          <w:u w:val="single"/>
        </w:rPr>
        <w:t xml:space="preserve">  到货验收合格后支付全款  </w:t>
      </w:r>
    </w:p>
    <w:p w14:paraId="7D0E322A">
      <w:pPr>
        <w:snapToGrid w:val="0"/>
        <w:spacing w:beforeLines="0" w:line="40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分期付款：</w:t>
      </w:r>
      <w:r>
        <w:rPr>
          <w:rFonts w:hint="eastAsia" w:ascii="宋体" w:hAnsi="宋体" w:eastAsia="宋体" w:cs="宋体"/>
          <w:color w:val="auto"/>
          <w:sz w:val="21"/>
          <w:szCs w:val="21"/>
          <w:highlight w:val="none"/>
          <w:u w:val="single"/>
        </w:rPr>
        <w:t xml:space="preserve">  （应明确分期支付合同款项的各期比例和支付条件</w:t>
      </w:r>
      <w:r>
        <w:rPr>
          <w:rFonts w:hint="eastAsia" w:ascii="宋体" w:hAnsi="宋体" w:eastAsia="宋体" w:cs="宋体"/>
          <w:color w:val="auto"/>
          <w:sz w:val="21"/>
          <w:szCs w:val="21"/>
          <w:highlight w:val="none"/>
          <w:u w:val="single"/>
          <w:lang w:eastAsia="zh-CN"/>
        </w:rPr>
        <w:t>，各期支付条件应与分期履约验收情况挂钩</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lang w:eastAsia="zh-CN"/>
        </w:rPr>
        <w:t>其中涉及预付款的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（应明确预付款的支付比例和支付条件） </w:t>
      </w:r>
    </w:p>
    <w:p w14:paraId="0B5D861E">
      <w:pPr>
        <w:adjustRightInd w:val="0"/>
        <w:snapToGrid w:val="0"/>
        <w:spacing w:before="0" w:beforeLines="0" w:line="400" w:lineRule="exact"/>
        <w:ind w:firstLine="630" w:firstLineChars="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成本补偿：</w:t>
      </w:r>
      <w:r>
        <w:rPr>
          <w:rFonts w:hint="eastAsia" w:ascii="宋体" w:hAnsi="宋体" w:eastAsia="宋体" w:cs="宋体"/>
          <w:color w:val="auto"/>
          <w:sz w:val="21"/>
          <w:szCs w:val="21"/>
          <w:highlight w:val="none"/>
          <w:u w:val="single"/>
        </w:rPr>
        <w:t xml:space="preserve">      （应明确按照成本补偿方式的支付方式和支付条件）   </w:t>
      </w:r>
    </w:p>
    <w:p w14:paraId="0564D6CC">
      <w:pPr>
        <w:adjustRightInd w:val="0"/>
        <w:snapToGrid w:val="0"/>
        <w:spacing w:before="0" w:beforeLines="0" w:line="40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绩效激励：</w:t>
      </w:r>
      <w:r>
        <w:rPr>
          <w:rFonts w:hint="eastAsia" w:ascii="宋体" w:hAnsi="宋体" w:eastAsia="宋体" w:cs="宋体"/>
          <w:color w:val="auto"/>
          <w:sz w:val="21"/>
          <w:szCs w:val="21"/>
          <w:highlight w:val="none"/>
          <w:u w:val="single"/>
        </w:rPr>
        <w:t xml:space="preserve">      （应明确按照绩效激励方式的支付方式和支付条件）   </w:t>
      </w:r>
    </w:p>
    <w:p w14:paraId="5E3747D3">
      <w:pPr>
        <w:numPr>
          <w:ilvl w:val="0"/>
          <w:numId w:val="1"/>
        </w:numPr>
        <w:adjustRightInd w:val="0"/>
        <w:snapToGrid w:val="0"/>
        <w:spacing w:before="0" w:beforeLines="0" w:line="400" w:lineRule="exact"/>
        <w:ind w:firstLine="422" w:firstLineChars="200"/>
        <w:rPr>
          <w:rFonts w:hint="eastAsia" w:ascii="宋体" w:hAnsi="宋体" w:eastAsia="宋体" w:cs="宋体"/>
          <w:b/>
          <w:bCs w:val="0"/>
          <w:color w:val="auto"/>
          <w:sz w:val="21"/>
          <w:szCs w:val="21"/>
          <w:highlight w:val="none"/>
          <w:u w:val="single"/>
        </w:rPr>
      </w:pPr>
      <w:r>
        <w:rPr>
          <w:rFonts w:hint="eastAsia" w:ascii="宋体" w:hAnsi="宋体" w:eastAsia="宋体" w:cs="宋体"/>
          <w:b/>
          <w:bCs w:val="0"/>
          <w:color w:val="auto"/>
          <w:sz w:val="21"/>
          <w:szCs w:val="21"/>
          <w:highlight w:val="none"/>
        </w:rPr>
        <w:t>合同履行</w:t>
      </w:r>
    </w:p>
    <w:p w14:paraId="7059AF0A">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（1）起始日期：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日，完成日期：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2EFA67F">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履约</w:t>
      </w:r>
      <w:r>
        <w:rPr>
          <w:rFonts w:hint="eastAsia" w:ascii="宋体" w:hAnsi="宋体" w:eastAsia="宋体" w:cs="宋体"/>
          <w:color w:val="auto"/>
          <w:sz w:val="21"/>
          <w:szCs w:val="21"/>
          <w:highlight w:val="none"/>
        </w:rPr>
        <w:t>地点</w:t>
      </w:r>
      <w:r>
        <w:rPr>
          <w:rFonts w:hint="eastAsia" w:ascii="宋体" w:hAnsi="宋体" w:eastAsia="宋体" w:cs="宋体"/>
          <w:b w:val="0"/>
          <w:bCs/>
          <w:color w:val="auto"/>
          <w:sz w:val="21"/>
          <w:szCs w:val="21"/>
          <w:highlight w:val="none"/>
        </w:rPr>
        <w:t>：</w:t>
      </w:r>
      <w:r>
        <w:rPr>
          <w:rFonts w:hint="eastAsia" w:ascii="宋体" w:hAnsi="宋体" w:eastAsia="宋体" w:cs="宋体"/>
          <w:color w:val="auto"/>
          <w:sz w:val="21"/>
          <w:szCs w:val="21"/>
          <w:highlight w:val="none"/>
          <w:u w:val="single"/>
        </w:rPr>
        <w:t xml:space="preserve">  甲方指定地点  </w:t>
      </w:r>
    </w:p>
    <w:p w14:paraId="3E085376">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（3）履约担保：</w:t>
      </w:r>
      <w:r>
        <w:rPr>
          <w:rFonts w:hint="eastAsia" w:ascii="宋体" w:hAnsi="宋体" w:eastAsia="宋体" w:cs="宋体"/>
          <w:color w:val="auto"/>
          <w:sz w:val="21"/>
          <w:szCs w:val="21"/>
          <w:highlight w:val="none"/>
          <w:lang w:val="en-US" w:eastAsia="zh-CN"/>
        </w:rPr>
        <w:t>是否收取履约保证金：</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lang w:eastAsia="zh-CN"/>
        </w:rPr>
        <w:t>否</w:t>
      </w:r>
    </w:p>
    <w:p w14:paraId="4D14203D">
      <w:pPr>
        <w:pStyle w:val="53"/>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 xml:space="preserve">  收取履约保证金形式：</w:t>
      </w:r>
      <w:r>
        <w:rPr>
          <w:rFonts w:hint="eastAsia" w:ascii="宋体" w:hAnsi="宋体" w:eastAsia="宋体" w:cs="宋体"/>
          <w:bCs/>
          <w:color w:val="auto"/>
          <w:sz w:val="21"/>
          <w:szCs w:val="21"/>
          <w:highlight w:val="none"/>
          <w:u w:val="single"/>
        </w:rPr>
        <w:t xml:space="preserve">                            </w:t>
      </w:r>
    </w:p>
    <w:p w14:paraId="4C2FF35E">
      <w:pPr>
        <w:pStyle w:val="53"/>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收取履约保证金金额：</w:t>
      </w:r>
      <w:r>
        <w:rPr>
          <w:rFonts w:hint="eastAsia" w:ascii="宋体" w:hAnsi="宋体" w:eastAsia="宋体" w:cs="宋体"/>
          <w:bCs/>
          <w:color w:val="auto"/>
          <w:sz w:val="21"/>
          <w:szCs w:val="21"/>
          <w:highlight w:val="none"/>
          <w:u w:val="single"/>
        </w:rPr>
        <w:t xml:space="preserve">                            </w:t>
      </w:r>
    </w:p>
    <w:p w14:paraId="0B94E8EE">
      <w:pPr>
        <w:snapToGrid w:val="0"/>
        <w:spacing w:beforeLines="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u w:val="none"/>
          <w:lang w:val="en-US" w:eastAsia="zh-CN"/>
        </w:rPr>
        <w:t xml:space="preserve">    履约担保期限</w:t>
      </w: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128EE580">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（4）分期履行要求：</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397AE8C3">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（5）</w:t>
      </w:r>
      <w:r>
        <w:rPr>
          <w:rFonts w:hint="eastAsia" w:ascii="宋体" w:hAnsi="宋体" w:eastAsia="宋体" w:cs="宋体"/>
          <w:bCs/>
          <w:color w:val="auto"/>
          <w:sz w:val="21"/>
          <w:szCs w:val="21"/>
          <w:highlight w:val="none"/>
          <w:lang w:eastAsia="zh-CN"/>
        </w:rPr>
        <w:t>风险处置措施和替代方案</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u w:val="single"/>
        </w:rPr>
        <w:t xml:space="preserve">                                                               </w:t>
      </w:r>
    </w:p>
    <w:p w14:paraId="1DEE6BF1">
      <w:pPr>
        <w:numPr>
          <w:ilvl w:val="0"/>
          <w:numId w:val="1"/>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合同验收</w:t>
      </w:r>
    </w:p>
    <w:p w14:paraId="5D913780">
      <w:pPr>
        <w:numPr>
          <w:ilvl w:val="0"/>
          <w:numId w:val="3"/>
        </w:num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验收组织方式：</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委托第三方组织</w:t>
      </w:r>
    </w:p>
    <w:p w14:paraId="76C8E81D">
      <w:pPr>
        <w:numPr>
          <w:ilvl w:val="0"/>
          <w:numId w:val="0"/>
        </w:numPr>
        <w:adjustRightInd w:val="0"/>
        <w:snapToGrid w:val="0"/>
        <w:spacing w:before="0" w:before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验收主体：</w:t>
      </w:r>
      <w:r>
        <w:rPr>
          <w:rFonts w:hint="eastAsia" w:ascii="宋体" w:hAnsi="宋体" w:eastAsia="宋体" w:cs="宋体"/>
          <w:bCs/>
          <w:color w:val="auto"/>
          <w:sz w:val="21"/>
          <w:szCs w:val="21"/>
          <w:highlight w:val="none"/>
          <w:u w:val="single"/>
        </w:rPr>
        <w:t xml:space="preserve">                  </w:t>
      </w:r>
    </w:p>
    <w:p w14:paraId="288EE9E5">
      <w:pPr>
        <w:adjustRightInd w:val="0"/>
        <w:snapToGrid w:val="0"/>
        <w:spacing w:before="0" w:beforeLines="0" w:line="400" w:lineRule="exact"/>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是否邀请本项目的其他供应商</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否</w:t>
      </w:r>
    </w:p>
    <w:p w14:paraId="0FCC667F">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是否邀请专家</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5F1676FA">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是否邀请服务对象</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否</w:t>
      </w:r>
    </w:p>
    <w:p w14:paraId="7128F986">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是否邀请第三方检测机构</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否</w:t>
      </w:r>
    </w:p>
    <w:p w14:paraId="5281432C">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是否进行抽查检测：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是</w:t>
      </w:r>
      <w:r>
        <w:rPr>
          <w:rFonts w:hint="eastAsia" w:ascii="宋体" w:hAnsi="宋体" w:eastAsia="宋体" w:cs="宋体"/>
          <w:bCs/>
          <w:color w:val="auto"/>
          <w:sz w:val="21"/>
          <w:szCs w:val="21"/>
          <w:highlight w:val="none"/>
          <w:lang w:eastAsia="zh-CN"/>
        </w:rPr>
        <w:t>，抽查比例：</w:t>
      </w:r>
      <w:r>
        <w:rPr>
          <w:rFonts w:hint="eastAsia" w:ascii="宋体" w:hAnsi="宋体" w:eastAsia="宋体"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否</w:t>
      </w:r>
    </w:p>
    <w:p w14:paraId="11731325">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u w:val="single"/>
          <w:lang w:eastAsia="zh-CN"/>
        </w:rPr>
      </w:pPr>
      <w:r>
        <w:rPr>
          <w:rFonts w:hint="eastAsia" w:ascii="宋体" w:hAnsi="宋体" w:eastAsia="宋体" w:cs="宋体"/>
          <w:bCs/>
          <w:color w:val="auto"/>
          <w:sz w:val="21"/>
          <w:szCs w:val="21"/>
          <w:highlight w:val="none"/>
          <w:lang w:val="en-US" w:eastAsia="zh-CN"/>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是</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u w:val="single"/>
          <w:lang w:eastAsia="zh-CN"/>
        </w:rPr>
        <w:t>（应明确对被破坏的检测产品的处理方式）</w:t>
      </w:r>
    </w:p>
    <w:p w14:paraId="388BAC32">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否</w:t>
      </w:r>
    </w:p>
    <w:p w14:paraId="67DC8E13">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验收组织的其他事项：</w:t>
      </w:r>
      <w:r>
        <w:rPr>
          <w:rFonts w:hint="eastAsia" w:ascii="宋体" w:hAnsi="宋体" w:eastAsia="宋体"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ascii="宋体" w:hAnsi="宋体" w:eastAsia="宋体" w:cs="宋体"/>
          <w:bCs/>
          <w:color w:val="auto"/>
          <w:sz w:val="21"/>
          <w:szCs w:val="21"/>
          <w:highlight w:val="none"/>
          <w:u w:val="single"/>
        </w:rPr>
        <w:t xml:space="preserve">         </w:t>
      </w:r>
    </w:p>
    <w:p w14:paraId="4ED8B687">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（2）履约验收时间：</w:t>
      </w:r>
      <w:r>
        <w:rPr>
          <w:rFonts w:hint="eastAsia" w:ascii="宋体" w:hAnsi="宋体" w:eastAsia="宋体" w:cs="宋体"/>
          <w:bCs/>
          <w:color w:val="auto"/>
          <w:sz w:val="21"/>
          <w:szCs w:val="21"/>
          <w:highlight w:val="none"/>
          <w:u w:val="single"/>
        </w:rPr>
        <w:t xml:space="preserve">（计划于何时验收/供应商提出验收申请之日起 </w:t>
      </w:r>
      <w:r>
        <w:rPr>
          <w:rFonts w:hint="eastAsia" w:cs="宋体"/>
          <w:bCs/>
          <w:color w:val="auto"/>
          <w:sz w:val="21"/>
          <w:szCs w:val="21"/>
          <w:highlight w:val="none"/>
          <w:u w:val="single"/>
          <w:lang w:val="en-US" w:eastAsia="zh-CN"/>
        </w:rPr>
        <w:t>10</w:t>
      </w:r>
      <w:r>
        <w:rPr>
          <w:rFonts w:hint="eastAsia" w:ascii="宋体" w:hAnsi="宋体" w:eastAsia="宋体" w:cs="宋体"/>
          <w:bCs/>
          <w:color w:val="auto"/>
          <w:sz w:val="21"/>
          <w:szCs w:val="21"/>
          <w:highlight w:val="none"/>
          <w:u w:val="single"/>
        </w:rPr>
        <w:t xml:space="preserve"> 日内组织验收）</w:t>
      </w:r>
      <w:r>
        <w:rPr>
          <w:rFonts w:hint="eastAsia" w:ascii="宋体" w:hAnsi="宋体" w:eastAsia="宋体" w:cs="宋体"/>
          <w:bCs/>
          <w:color w:val="auto"/>
          <w:sz w:val="21"/>
          <w:szCs w:val="21"/>
          <w:highlight w:val="none"/>
          <w:u w:val="single"/>
          <w:lang w:val="en-US" w:eastAsia="zh-CN"/>
        </w:rPr>
        <w:t xml:space="preserve"> </w:t>
      </w:r>
    </w:p>
    <w:p w14:paraId="1B36EF27">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（3）履约验收方式：</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 xml:space="preserve">一次性验收         </w:t>
      </w:r>
    </w:p>
    <w:p w14:paraId="63C9A7B6">
      <w:pPr>
        <w:adjustRightInd w:val="0"/>
        <w:snapToGrid w:val="0"/>
        <w:spacing w:before="0" w:beforeLines="0" w:line="400" w:lineRule="exact"/>
        <w:ind w:firstLine="0" w:firstLine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分期/分项验收</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eastAsia="zh-CN"/>
        </w:rPr>
        <w:t>（应明确分期</w:t>
      </w:r>
      <w:r>
        <w:rPr>
          <w:rFonts w:hint="eastAsia" w:ascii="宋体" w:hAnsi="宋体" w:eastAsia="宋体" w:cs="宋体"/>
          <w:bCs/>
          <w:color w:val="auto"/>
          <w:sz w:val="21"/>
          <w:szCs w:val="21"/>
          <w:highlight w:val="none"/>
          <w:u w:val="single"/>
          <w:lang w:val="en" w:eastAsia="zh-CN"/>
        </w:rPr>
        <w:t>/分项验收的工作安排</w:t>
      </w:r>
      <w:r>
        <w:rPr>
          <w:rFonts w:hint="eastAsia" w:ascii="宋体" w:hAns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p>
    <w:p w14:paraId="29879A2D">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（4）履约验收程序：</w:t>
      </w:r>
      <w:r>
        <w:rPr>
          <w:rFonts w:hint="eastAsia" w:ascii="宋体" w:hAnsi="宋体" w:eastAsia="宋体" w:cs="宋体"/>
          <w:bCs/>
          <w:color w:val="auto"/>
          <w:sz w:val="21"/>
          <w:szCs w:val="21"/>
          <w:highlight w:val="none"/>
          <w:u w:val="single"/>
        </w:rPr>
        <w:t xml:space="preserve">                                         </w:t>
      </w:r>
    </w:p>
    <w:p w14:paraId="6777A7E4">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（5）履约验收的内容：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 w:val="21"/>
          <w:szCs w:val="21"/>
          <w:highlight w:val="none"/>
          <w:u w:val="single"/>
        </w:rPr>
        <w:t xml:space="preserve">                                      </w:t>
      </w:r>
    </w:p>
    <w:p w14:paraId="6ADCEA24">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（6）履约验收标准：</w:t>
      </w:r>
      <w:r>
        <w:rPr>
          <w:rFonts w:hint="eastAsia" w:ascii="宋体" w:hAnsi="宋体" w:eastAsia="宋体" w:cs="宋体"/>
          <w:bCs/>
          <w:color w:val="auto"/>
          <w:sz w:val="21"/>
          <w:szCs w:val="21"/>
          <w:highlight w:val="none"/>
          <w:u w:val="single"/>
        </w:rPr>
        <w:t xml:space="preserve">                                         </w:t>
      </w:r>
    </w:p>
    <w:p w14:paraId="0C758F84">
      <w:pPr>
        <w:pStyle w:val="53"/>
        <w:spacing w:beforeLines="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7</w:t>
      </w:r>
      <w:r>
        <w:rPr>
          <w:rFonts w:hint="eastAsia" w:ascii="宋体" w:hAnsi="宋体" w:eastAsia="宋体" w:cs="宋体"/>
          <w:bCs/>
          <w:color w:val="auto"/>
          <w:sz w:val="21"/>
          <w:szCs w:val="21"/>
          <w:highlight w:val="none"/>
          <w:u w:val="none"/>
          <w:lang w:eastAsia="zh-CN"/>
        </w:rPr>
        <w:t>）是否以采购活动中供应商提供的样品作为参考：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否</w:t>
      </w:r>
    </w:p>
    <w:p w14:paraId="59E7B099">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（8）履约验收其他事项：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i w:val="0"/>
          <w:iCs w:val="0"/>
          <w:color w:val="auto"/>
          <w:sz w:val="21"/>
          <w:szCs w:val="21"/>
          <w:highlight w:val="none"/>
          <w:u w:val="single"/>
        </w:rPr>
        <w:t>（产权过户登记等）</w:t>
      </w:r>
      <w:r>
        <w:rPr>
          <w:rFonts w:hint="eastAsia" w:ascii="宋体" w:hAnsi="宋体" w:eastAsia="宋体" w:cs="宋体"/>
          <w:bCs/>
          <w:color w:val="auto"/>
          <w:sz w:val="21"/>
          <w:szCs w:val="21"/>
          <w:highlight w:val="none"/>
          <w:u w:val="single"/>
        </w:rPr>
        <w:t xml:space="preserve">          </w:t>
      </w:r>
    </w:p>
    <w:p w14:paraId="30825CB2">
      <w:pPr>
        <w:numPr>
          <w:ilvl w:val="0"/>
          <w:numId w:val="1"/>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组成合同的文件</w:t>
      </w:r>
    </w:p>
    <w:p w14:paraId="6F19B6A0">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本协议书与下列文件一起构成合同文件，如下述文件之间有任何抵触、矛盾或歧义，应按以下顺序解释：</w:t>
      </w:r>
    </w:p>
    <w:p w14:paraId="0281D173">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政府采购</w:t>
      </w:r>
      <w:r>
        <w:rPr>
          <w:rFonts w:hint="eastAsia" w:ascii="宋体" w:hAnsi="宋体" w:eastAsia="宋体" w:cs="宋体"/>
          <w:color w:val="auto"/>
          <w:sz w:val="21"/>
          <w:szCs w:val="21"/>
          <w:highlight w:val="none"/>
        </w:rPr>
        <w:t>合同协议书及其变更、补充</w:t>
      </w:r>
      <w:r>
        <w:rPr>
          <w:rFonts w:hint="eastAsia" w:ascii="宋体" w:hAnsi="宋体" w:eastAsia="宋体" w:cs="宋体"/>
          <w:color w:val="auto"/>
          <w:sz w:val="21"/>
          <w:szCs w:val="21"/>
          <w:highlight w:val="none"/>
          <w:lang w:eastAsia="zh-CN"/>
        </w:rPr>
        <w:t>协议</w:t>
      </w:r>
    </w:p>
    <w:p w14:paraId="7E69D5A8">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）政府采购合同专用条款</w:t>
      </w:r>
    </w:p>
    <w:p w14:paraId="386CDCFC">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）政府采购合同通用条款</w:t>
      </w:r>
    </w:p>
    <w:p w14:paraId="50B42D25">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w:t>
      </w:r>
    </w:p>
    <w:p w14:paraId="1C045F3A">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）投标（响应）文件</w:t>
      </w:r>
    </w:p>
    <w:p w14:paraId="0A7BBC07">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（6）采购文件</w:t>
      </w:r>
    </w:p>
    <w:p w14:paraId="4A0E1489">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（7）有关技术文件，图纸</w:t>
      </w:r>
    </w:p>
    <w:p w14:paraId="62F9C64E">
      <w:pPr>
        <w:pStyle w:val="53"/>
        <w:spacing w:beforeLine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626B0FE8">
      <w:pPr>
        <w:numPr>
          <w:ilvl w:val="0"/>
          <w:numId w:val="1"/>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合同生效</w:t>
      </w:r>
    </w:p>
    <w:p w14:paraId="6D3CE813">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生效。</w:t>
      </w:r>
    </w:p>
    <w:p w14:paraId="22ECAF8E">
      <w:pPr>
        <w:numPr>
          <w:ilvl w:val="0"/>
          <w:numId w:val="1"/>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合同份数</w:t>
      </w:r>
    </w:p>
    <w:p w14:paraId="3DB80351">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份，均具有同等法律效力。</w:t>
      </w:r>
    </w:p>
    <w:p w14:paraId="218CDDC2">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BE978F2">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合同订立地点：</w:t>
      </w:r>
      <w:r>
        <w:rPr>
          <w:rFonts w:hint="eastAsia" w:ascii="宋体" w:hAnsi="宋体" w:eastAsia="宋体" w:cs="宋体"/>
          <w:color w:val="auto"/>
          <w:sz w:val="21"/>
          <w:szCs w:val="21"/>
          <w:highlight w:val="none"/>
          <w:u w:val="single"/>
        </w:rPr>
        <w:t xml:space="preserve">                           </w:t>
      </w:r>
    </w:p>
    <w:p w14:paraId="51297ED7">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附件：具体标</w:t>
      </w:r>
      <w:r>
        <w:rPr>
          <w:rFonts w:hint="eastAsia" w:ascii="宋体" w:hAnsi="宋体" w:eastAsia="宋体" w:cs="宋体"/>
          <w:color w:val="auto"/>
          <w:sz w:val="21"/>
          <w:szCs w:val="21"/>
          <w:highlight w:val="none"/>
          <w:lang w:eastAsia="zh-CN"/>
        </w:rPr>
        <w:t>的及其</w:t>
      </w:r>
      <w:r>
        <w:rPr>
          <w:rFonts w:hint="eastAsia" w:ascii="宋体" w:hAnsi="宋体" w:eastAsia="宋体" w:cs="宋体"/>
          <w:color w:val="auto"/>
          <w:sz w:val="21"/>
          <w:szCs w:val="21"/>
          <w:highlight w:val="none"/>
          <w:u w:val="none"/>
          <w:lang w:val="en-US" w:eastAsia="zh-CN"/>
        </w:rPr>
        <w:t>技术要求和商务要求</w:t>
      </w:r>
      <w:r>
        <w:rPr>
          <w:rFonts w:hint="eastAsia" w:ascii="宋体" w:hAnsi="宋体" w:eastAsia="宋体" w:cs="宋体"/>
          <w:color w:val="auto"/>
          <w:sz w:val="21"/>
          <w:szCs w:val="21"/>
          <w:highlight w:val="none"/>
        </w:rPr>
        <w:t>、联合</w:t>
      </w:r>
      <w:r>
        <w:rPr>
          <w:rFonts w:hint="eastAsia" w:cs="宋体"/>
          <w:color w:val="auto"/>
          <w:sz w:val="21"/>
          <w:szCs w:val="21"/>
          <w:highlight w:val="none"/>
          <w:lang w:val="en-US" w:eastAsia="zh-CN"/>
        </w:rPr>
        <w:t>体</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等。</w:t>
      </w:r>
    </w:p>
    <w:p w14:paraId="2EE065E8">
      <w:pPr>
        <w:pStyle w:val="60"/>
        <w:rPr>
          <w:rFonts w:hint="eastAsia" w:ascii="宋体" w:hAnsi="宋体" w:eastAsia="宋体" w:cs="宋体"/>
          <w:color w:val="auto"/>
          <w:sz w:val="21"/>
          <w:szCs w:val="21"/>
          <w:highlight w:val="none"/>
        </w:rPr>
      </w:pPr>
    </w:p>
    <w:p w14:paraId="652BA59E">
      <w:pPr>
        <w:pStyle w:val="60"/>
        <w:rPr>
          <w:rFonts w:hint="eastAsia" w:ascii="宋体" w:hAnsi="宋体" w:eastAsia="宋体" w:cs="宋体"/>
          <w:color w:val="auto"/>
          <w:sz w:val="21"/>
          <w:szCs w:val="21"/>
          <w:highlight w:val="none"/>
        </w:rPr>
      </w:pPr>
    </w:p>
    <w:p w14:paraId="48E9277D">
      <w:pPr>
        <w:pStyle w:val="60"/>
        <w:rPr>
          <w:rFonts w:hint="eastAsia" w:ascii="宋体" w:hAnsi="宋体" w:eastAsia="宋体" w:cs="宋体"/>
          <w:color w:val="auto"/>
          <w:sz w:val="21"/>
          <w:szCs w:val="21"/>
          <w:highlight w:val="none"/>
        </w:rPr>
      </w:pPr>
    </w:p>
    <w:p w14:paraId="155AE540">
      <w:pPr>
        <w:pStyle w:val="60"/>
        <w:rPr>
          <w:rFonts w:hint="eastAsia" w:ascii="宋体" w:hAnsi="宋体" w:eastAsia="宋体" w:cs="宋体"/>
          <w:color w:val="auto"/>
          <w:sz w:val="21"/>
          <w:szCs w:val="21"/>
          <w:highlight w:val="none"/>
        </w:rPr>
      </w:pPr>
    </w:p>
    <w:p w14:paraId="4B0F9B60">
      <w:pPr>
        <w:pStyle w:val="60"/>
        <w:rPr>
          <w:rFonts w:hint="eastAsia" w:ascii="宋体" w:hAnsi="宋体" w:eastAsia="宋体" w:cs="宋体"/>
          <w:color w:val="auto"/>
          <w:sz w:val="21"/>
          <w:szCs w:val="21"/>
          <w:highlight w:val="none"/>
        </w:rPr>
      </w:pPr>
    </w:p>
    <w:p w14:paraId="2FCB241E">
      <w:pPr>
        <w:pStyle w:val="60"/>
        <w:rPr>
          <w:rFonts w:hint="eastAsia" w:ascii="宋体" w:hAnsi="宋体" w:eastAsia="宋体" w:cs="宋体"/>
          <w:color w:val="auto"/>
          <w:sz w:val="21"/>
          <w:szCs w:val="21"/>
          <w:highlight w:val="none"/>
        </w:rPr>
      </w:pPr>
    </w:p>
    <w:p w14:paraId="2FA24C74">
      <w:pPr>
        <w:pStyle w:val="60"/>
        <w:rPr>
          <w:rFonts w:hint="eastAsia" w:ascii="宋体" w:hAnsi="宋体" w:eastAsia="宋体" w:cs="宋体"/>
          <w:color w:val="auto"/>
          <w:sz w:val="21"/>
          <w:szCs w:val="21"/>
          <w:highlight w:val="none"/>
        </w:rPr>
      </w:pPr>
    </w:p>
    <w:p w14:paraId="1BDFDC59">
      <w:pPr>
        <w:pStyle w:val="60"/>
        <w:rPr>
          <w:rFonts w:hint="eastAsia" w:ascii="宋体" w:hAnsi="宋体" w:eastAsia="宋体" w:cs="宋体"/>
          <w:color w:val="auto"/>
          <w:sz w:val="21"/>
          <w:szCs w:val="21"/>
          <w:highlight w:val="none"/>
        </w:rPr>
      </w:pPr>
    </w:p>
    <w:tbl>
      <w:tblPr>
        <w:tblStyle w:val="28"/>
        <w:tblW w:w="4868" w:type="pct"/>
        <w:tblInd w:w="10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45"/>
        <w:gridCol w:w="2053"/>
        <w:gridCol w:w="1978"/>
        <w:gridCol w:w="2121"/>
      </w:tblGrid>
      <w:tr w14:paraId="420FD6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30" w:type="pct"/>
            <w:gridSpan w:val="2"/>
            <w:tcBorders>
              <w:bottom w:val="single" w:color="auto" w:sz="2" w:space="0"/>
              <w:right w:val="single" w:color="auto" w:sz="2" w:space="0"/>
            </w:tcBorders>
            <w:vAlign w:val="center"/>
          </w:tcPr>
          <w:p w14:paraId="4A0516C5">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甲方（采购人</w:t>
            </w:r>
            <w:r>
              <w:rPr>
                <w:rFonts w:hint="eastAsia" w:ascii="宋体" w:hAnsi="宋体" w:eastAsia="宋体" w:cs="宋体"/>
                <w:color w:val="auto"/>
                <w:sz w:val="21"/>
                <w:szCs w:val="21"/>
                <w:highlight w:val="none"/>
                <w:lang w:eastAsia="zh-CN"/>
              </w:rPr>
              <w:t>、受采购人委托签订合同的单位</w:t>
            </w:r>
            <w:r>
              <w:rPr>
                <w:rFonts w:hint="eastAsia" w:ascii="宋体" w:hAnsi="宋体" w:eastAsia="宋体" w:cs="宋体"/>
                <w:color w:val="auto"/>
                <w:sz w:val="21"/>
                <w:szCs w:val="21"/>
                <w:highlight w:val="none"/>
              </w:rPr>
              <w:t>或采购文件约定的合同甲方）</w:t>
            </w:r>
          </w:p>
        </w:tc>
        <w:tc>
          <w:tcPr>
            <w:tcW w:w="2469" w:type="pct"/>
            <w:gridSpan w:val="2"/>
            <w:tcBorders>
              <w:left w:val="single" w:color="auto" w:sz="2" w:space="0"/>
              <w:bottom w:val="single" w:color="auto" w:sz="2" w:space="0"/>
            </w:tcBorders>
            <w:vAlign w:val="center"/>
          </w:tcPr>
          <w:p w14:paraId="6E8F87C8">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乙方（供应商）</w:t>
            </w:r>
          </w:p>
        </w:tc>
      </w:tr>
      <w:tr w14:paraId="57489BF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293" w:type="pct"/>
            <w:tcBorders>
              <w:top w:val="single" w:color="auto" w:sz="2" w:space="0"/>
              <w:bottom w:val="single" w:color="auto" w:sz="2" w:space="0"/>
              <w:right w:val="single" w:color="auto" w:sz="2" w:space="0"/>
            </w:tcBorders>
            <w:vAlign w:val="center"/>
          </w:tcPr>
          <w:p w14:paraId="6932155E">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单位名称（公章</w:t>
            </w:r>
            <w:r>
              <w:rPr>
                <w:rFonts w:hint="eastAsia" w:ascii="宋体" w:hAnsi="宋体" w:eastAsia="宋体" w:cs="宋体"/>
                <w:color w:val="auto"/>
                <w:sz w:val="21"/>
                <w:szCs w:val="21"/>
                <w:highlight w:val="none"/>
                <w:lang w:eastAsia="zh-CN"/>
              </w:rPr>
              <w:t>或合同章</w:t>
            </w:r>
            <w:r>
              <w:rPr>
                <w:rFonts w:hint="eastAsia" w:ascii="宋体" w:hAnsi="宋体" w:eastAsia="宋体" w:cs="宋体"/>
                <w:color w:val="auto"/>
                <w:sz w:val="21"/>
                <w:szCs w:val="21"/>
                <w:highlight w:val="none"/>
              </w:rPr>
              <w:t>）</w:t>
            </w:r>
          </w:p>
        </w:tc>
        <w:tc>
          <w:tcPr>
            <w:tcW w:w="1236" w:type="pct"/>
            <w:tcBorders>
              <w:top w:val="single" w:color="auto" w:sz="2" w:space="0"/>
              <w:left w:val="single" w:color="auto" w:sz="2" w:space="0"/>
              <w:bottom w:val="single" w:color="auto" w:sz="2" w:space="0"/>
              <w:right w:val="single" w:color="auto" w:sz="2" w:space="0"/>
            </w:tcBorders>
            <w:vAlign w:val="center"/>
          </w:tcPr>
          <w:p w14:paraId="25974ECC">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5CA5BD94">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单位名称（公章</w:t>
            </w:r>
            <w:r>
              <w:rPr>
                <w:rFonts w:hint="eastAsia" w:ascii="宋体" w:hAnsi="宋体" w:eastAsia="宋体" w:cs="宋体"/>
                <w:color w:val="auto"/>
                <w:sz w:val="21"/>
                <w:szCs w:val="21"/>
                <w:highlight w:val="none"/>
                <w:lang w:eastAsia="zh-CN"/>
              </w:rPr>
              <w:t>或合同章</w:t>
            </w:r>
            <w:r>
              <w:rPr>
                <w:rFonts w:hint="eastAsia" w:ascii="宋体" w:hAnsi="宋体" w:eastAsia="宋体" w:cs="宋体"/>
                <w:color w:val="auto"/>
                <w:sz w:val="21"/>
                <w:szCs w:val="21"/>
                <w:highlight w:val="none"/>
              </w:rPr>
              <w:t>）</w:t>
            </w:r>
          </w:p>
        </w:tc>
        <w:tc>
          <w:tcPr>
            <w:tcW w:w="1277" w:type="pct"/>
            <w:tcBorders>
              <w:top w:val="single" w:color="auto" w:sz="2" w:space="0"/>
              <w:left w:val="single" w:color="auto" w:sz="2" w:space="0"/>
              <w:bottom w:val="single" w:color="auto" w:sz="2" w:space="0"/>
            </w:tcBorders>
            <w:vAlign w:val="center"/>
          </w:tcPr>
          <w:p w14:paraId="6FD3EC4B">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083B01F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293" w:type="pct"/>
            <w:vMerge w:val="restart"/>
            <w:tcBorders>
              <w:top w:val="single" w:color="auto" w:sz="2" w:space="0"/>
              <w:right w:val="single" w:color="auto" w:sz="2" w:space="0"/>
            </w:tcBorders>
            <w:vAlign w:val="center"/>
          </w:tcPr>
          <w:p w14:paraId="73F91B4E">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4BCD6447">
            <w:pPr>
              <w:adjustRightInd w:val="0"/>
              <w:snapToGrid w:val="0"/>
              <w:spacing w:line="300" w:lineRule="exact"/>
              <w:ind w:firstLine="100" w:firstLineChars="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或其委托代理人（签章）</w:t>
            </w:r>
          </w:p>
        </w:tc>
        <w:tc>
          <w:tcPr>
            <w:tcW w:w="1236" w:type="pct"/>
            <w:vMerge w:val="restart"/>
            <w:tcBorders>
              <w:top w:val="single" w:color="auto" w:sz="2" w:space="0"/>
              <w:left w:val="single" w:color="auto" w:sz="2" w:space="0"/>
              <w:right w:val="single" w:color="auto" w:sz="2" w:space="0"/>
            </w:tcBorders>
            <w:vAlign w:val="center"/>
          </w:tcPr>
          <w:p w14:paraId="601D9678">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right w:val="single" w:color="auto" w:sz="2" w:space="0"/>
            </w:tcBorders>
            <w:vAlign w:val="center"/>
          </w:tcPr>
          <w:p w14:paraId="7780F635">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1B79E9B2">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或其委托代理人（签章）</w:t>
            </w:r>
          </w:p>
        </w:tc>
        <w:tc>
          <w:tcPr>
            <w:tcW w:w="1277" w:type="pct"/>
            <w:tcBorders>
              <w:top w:val="single" w:color="auto" w:sz="2" w:space="0"/>
              <w:left w:val="single" w:color="auto" w:sz="2" w:space="0"/>
              <w:bottom w:val="single" w:color="auto" w:sz="2" w:space="0"/>
            </w:tcBorders>
            <w:vAlign w:val="center"/>
          </w:tcPr>
          <w:p w14:paraId="1826A719">
            <w:pPr>
              <w:adjustRightInd w:val="0"/>
              <w:snapToGrid w:val="0"/>
              <w:spacing w:line="300" w:lineRule="exact"/>
              <w:jc w:val="center"/>
              <w:rPr>
                <w:rFonts w:hint="eastAsia" w:ascii="宋体" w:hAnsi="宋体" w:eastAsia="宋体" w:cs="宋体"/>
                <w:color w:val="auto"/>
                <w:sz w:val="21"/>
                <w:szCs w:val="21"/>
                <w:highlight w:val="none"/>
              </w:rPr>
            </w:pPr>
          </w:p>
        </w:tc>
      </w:tr>
      <w:tr w14:paraId="1A8D996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vMerge w:val="continue"/>
            <w:tcBorders>
              <w:bottom w:val="single" w:color="auto" w:sz="2" w:space="0"/>
              <w:right w:val="single" w:color="auto" w:sz="2" w:space="0"/>
            </w:tcBorders>
            <w:vAlign w:val="center"/>
          </w:tcPr>
          <w:p w14:paraId="07B1D5AA">
            <w:pPr>
              <w:adjustRightInd w:val="0"/>
              <w:snapToGrid w:val="0"/>
              <w:spacing w:line="300" w:lineRule="exact"/>
              <w:jc w:val="center"/>
              <w:rPr>
                <w:rFonts w:hint="eastAsia" w:ascii="宋体" w:hAnsi="宋体" w:eastAsia="宋体" w:cs="宋体"/>
                <w:color w:val="auto"/>
                <w:sz w:val="21"/>
                <w:szCs w:val="21"/>
                <w:highlight w:val="none"/>
              </w:rPr>
            </w:pPr>
          </w:p>
        </w:tc>
        <w:tc>
          <w:tcPr>
            <w:tcW w:w="1236" w:type="pct"/>
            <w:vMerge w:val="continue"/>
            <w:tcBorders>
              <w:left w:val="single" w:color="auto" w:sz="2" w:space="0"/>
              <w:bottom w:val="single" w:color="auto" w:sz="2" w:space="0"/>
              <w:right w:val="single" w:color="auto" w:sz="2" w:space="0"/>
            </w:tcBorders>
            <w:vAlign w:val="center"/>
          </w:tcPr>
          <w:p w14:paraId="1970B4A7">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1538E2FB">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拥有者性别</w:t>
            </w:r>
          </w:p>
        </w:tc>
        <w:tc>
          <w:tcPr>
            <w:tcW w:w="1277" w:type="pct"/>
            <w:tcBorders>
              <w:top w:val="single" w:color="auto" w:sz="2" w:space="0"/>
              <w:left w:val="single" w:color="auto" w:sz="2" w:space="0"/>
              <w:bottom w:val="single" w:color="auto" w:sz="2" w:space="0"/>
            </w:tcBorders>
            <w:vAlign w:val="center"/>
          </w:tcPr>
          <w:p w14:paraId="483A4DC5">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1B3AD95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4ED9B374">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所</w:t>
            </w:r>
          </w:p>
        </w:tc>
        <w:tc>
          <w:tcPr>
            <w:tcW w:w="1236" w:type="pct"/>
            <w:tcBorders>
              <w:top w:val="single" w:color="auto" w:sz="2" w:space="0"/>
              <w:left w:val="single" w:color="auto" w:sz="2" w:space="0"/>
              <w:bottom w:val="single" w:color="auto" w:sz="2" w:space="0"/>
              <w:right w:val="single" w:color="auto" w:sz="2" w:space="0"/>
            </w:tcBorders>
            <w:vAlign w:val="center"/>
          </w:tcPr>
          <w:p w14:paraId="76083810">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6C138EC9">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所</w:t>
            </w:r>
          </w:p>
        </w:tc>
        <w:tc>
          <w:tcPr>
            <w:tcW w:w="1277" w:type="pct"/>
            <w:tcBorders>
              <w:top w:val="single" w:color="auto" w:sz="2" w:space="0"/>
              <w:left w:val="single" w:color="auto" w:sz="2" w:space="0"/>
              <w:bottom w:val="single" w:color="auto" w:sz="2" w:space="0"/>
            </w:tcBorders>
            <w:vAlign w:val="center"/>
          </w:tcPr>
          <w:p w14:paraId="2A5B86EF">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43605E9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49B8FF46">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tc>
        <w:tc>
          <w:tcPr>
            <w:tcW w:w="1236" w:type="pct"/>
            <w:tcBorders>
              <w:top w:val="single" w:color="auto" w:sz="2" w:space="0"/>
              <w:left w:val="single" w:color="auto" w:sz="2" w:space="0"/>
              <w:bottom w:val="single" w:color="auto" w:sz="2" w:space="0"/>
              <w:right w:val="single" w:color="auto" w:sz="2" w:space="0"/>
            </w:tcBorders>
            <w:vAlign w:val="center"/>
          </w:tcPr>
          <w:p w14:paraId="5DFF6722">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40D267FC">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tc>
        <w:tc>
          <w:tcPr>
            <w:tcW w:w="1277" w:type="pct"/>
            <w:tcBorders>
              <w:top w:val="single" w:color="auto" w:sz="2" w:space="0"/>
              <w:left w:val="single" w:color="auto" w:sz="2" w:space="0"/>
              <w:bottom w:val="single" w:color="auto" w:sz="2" w:space="0"/>
            </w:tcBorders>
            <w:vAlign w:val="center"/>
          </w:tcPr>
          <w:p w14:paraId="34351CE7">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4080EC7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7FC3B2D5">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236" w:type="pct"/>
            <w:tcBorders>
              <w:top w:val="single" w:color="auto" w:sz="2" w:space="0"/>
              <w:left w:val="single" w:color="auto" w:sz="2" w:space="0"/>
              <w:bottom w:val="single" w:color="auto" w:sz="2" w:space="0"/>
              <w:right w:val="single" w:color="auto" w:sz="2" w:space="0"/>
            </w:tcBorders>
            <w:vAlign w:val="center"/>
          </w:tcPr>
          <w:p w14:paraId="0F265EB1">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3287D44A">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277" w:type="pct"/>
            <w:tcBorders>
              <w:top w:val="single" w:color="auto" w:sz="2" w:space="0"/>
              <w:left w:val="single" w:color="auto" w:sz="2" w:space="0"/>
              <w:bottom w:val="single" w:color="auto" w:sz="2" w:space="0"/>
            </w:tcBorders>
            <w:vAlign w:val="center"/>
          </w:tcPr>
          <w:p w14:paraId="1712CEEE">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10A343C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627EDF4B">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通信地址</w:t>
            </w:r>
          </w:p>
        </w:tc>
        <w:tc>
          <w:tcPr>
            <w:tcW w:w="1236" w:type="pct"/>
            <w:tcBorders>
              <w:top w:val="single" w:color="auto" w:sz="2" w:space="0"/>
              <w:left w:val="single" w:color="auto" w:sz="2" w:space="0"/>
              <w:bottom w:val="single" w:color="auto" w:sz="2" w:space="0"/>
              <w:right w:val="single" w:color="auto" w:sz="2" w:space="0"/>
            </w:tcBorders>
            <w:vAlign w:val="center"/>
          </w:tcPr>
          <w:p w14:paraId="092ADF31">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053CCD90">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通信地址</w:t>
            </w:r>
          </w:p>
        </w:tc>
        <w:tc>
          <w:tcPr>
            <w:tcW w:w="1277" w:type="pct"/>
            <w:tcBorders>
              <w:top w:val="single" w:color="auto" w:sz="2" w:space="0"/>
              <w:left w:val="single" w:color="auto" w:sz="2" w:space="0"/>
              <w:bottom w:val="single" w:color="auto" w:sz="2" w:space="0"/>
            </w:tcBorders>
            <w:vAlign w:val="center"/>
          </w:tcPr>
          <w:p w14:paraId="56C6B0CC">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44F60B4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58F35AD7">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1236" w:type="pct"/>
            <w:tcBorders>
              <w:top w:val="single" w:color="auto" w:sz="2" w:space="0"/>
              <w:left w:val="single" w:color="auto" w:sz="2" w:space="0"/>
              <w:bottom w:val="single" w:color="auto" w:sz="2" w:space="0"/>
              <w:right w:val="single" w:color="auto" w:sz="2" w:space="0"/>
            </w:tcBorders>
            <w:vAlign w:val="center"/>
          </w:tcPr>
          <w:p w14:paraId="30AA502A">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2A521589">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1277" w:type="pct"/>
            <w:tcBorders>
              <w:top w:val="single" w:color="auto" w:sz="2" w:space="0"/>
              <w:left w:val="single" w:color="auto" w:sz="2" w:space="0"/>
              <w:bottom w:val="single" w:color="auto" w:sz="2" w:space="0"/>
            </w:tcBorders>
            <w:vAlign w:val="center"/>
          </w:tcPr>
          <w:p w14:paraId="447B5829">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3FC94BD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380404E3">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1236" w:type="pct"/>
            <w:tcBorders>
              <w:top w:val="single" w:color="auto" w:sz="2" w:space="0"/>
              <w:left w:val="single" w:color="auto" w:sz="2" w:space="0"/>
              <w:bottom w:val="single" w:color="auto" w:sz="2" w:space="0"/>
              <w:right w:val="single" w:color="auto" w:sz="2" w:space="0"/>
            </w:tcBorders>
            <w:vAlign w:val="center"/>
          </w:tcPr>
          <w:p w14:paraId="1107053B">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06CD95A1">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1277" w:type="pct"/>
            <w:tcBorders>
              <w:top w:val="single" w:color="auto" w:sz="2" w:space="0"/>
              <w:left w:val="single" w:color="auto" w:sz="2" w:space="0"/>
              <w:bottom w:val="single" w:color="auto" w:sz="2" w:space="0"/>
            </w:tcBorders>
            <w:vAlign w:val="center"/>
          </w:tcPr>
          <w:p w14:paraId="46E05E27">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28094C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7E062FD4">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1236" w:type="pct"/>
            <w:tcBorders>
              <w:top w:val="single" w:color="auto" w:sz="2" w:space="0"/>
              <w:left w:val="single" w:color="auto" w:sz="2" w:space="0"/>
              <w:bottom w:val="single" w:color="auto" w:sz="2" w:space="0"/>
              <w:right w:val="single" w:color="auto" w:sz="2" w:space="0"/>
            </w:tcBorders>
            <w:vAlign w:val="center"/>
          </w:tcPr>
          <w:p w14:paraId="22094C50">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6F106890">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1277" w:type="pct"/>
            <w:tcBorders>
              <w:top w:val="single" w:color="auto" w:sz="2" w:space="0"/>
              <w:left w:val="single" w:color="auto" w:sz="2" w:space="0"/>
              <w:bottom w:val="single" w:color="auto" w:sz="2" w:space="0"/>
            </w:tcBorders>
            <w:vAlign w:val="center"/>
          </w:tcPr>
          <w:p w14:paraId="4C06592A">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1C38AF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4318DC6F">
            <w:pPr>
              <w:adjustRightInd w:val="0"/>
              <w:snapToGrid w:val="0"/>
              <w:spacing w:line="300" w:lineRule="exact"/>
              <w:jc w:val="center"/>
              <w:rPr>
                <w:rFonts w:hint="eastAsia" w:ascii="宋体" w:hAnsi="宋体" w:eastAsia="宋体" w:cs="宋体"/>
                <w:color w:val="auto"/>
                <w:sz w:val="21"/>
                <w:szCs w:val="21"/>
                <w:highlight w:val="none"/>
              </w:rPr>
            </w:pPr>
          </w:p>
        </w:tc>
        <w:tc>
          <w:tcPr>
            <w:tcW w:w="1236" w:type="pct"/>
            <w:tcBorders>
              <w:top w:val="single" w:color="auto" w:sz="2" w:space="0"/>
              <w:left w:val="single" w:color="auto" w:sz="2" w:space="0"/>
              <w:bottom w:val="single" w:color="auto" w:sz="2" w:space="0"/>
              <w:right w:val="single" w:color="auto" w:sz="2" w:space="0"/>
            </w:tcBorders>
            <w:vAlign w:val="center"/>
          </w:tcPr>
          <w:p w14:paraId="75F537F8">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0E8DD199">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c>
          <w:tcPr>
            <w:tcW w:w="1277" w:type="pct"/>
            <w:tcBorders>
              <w:top w:val="single" w:color="auto" w:sz="2" w:space="0"/>
              <w:left w:val="single" w:color="auto" w:sz="2" w:space="0"/>
              <w:bottom w:val="single" w:color="auto" w:sz="2" w:space="0"/>
            </w:tcBorders>
            <w:vAlign w:val="center"/>
          </w:tcPr>
          <w:p w14:paraId="3CA1366A">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6A221AA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05F529B7">
            <w:pPr>
              <w:adjustRightInd w:val="0"/>
              <w:snapToGrid w:val="0"/>
              <w:spacing w:line="300" w:lineRule="exact"/>
              <w:jc w:val="center"/>
              <w:rPr>
                <w:rFonts w:hint="eastAsia" w:ascii="宋体" w:hAnsi="宋体" w:eastAsia="宋体" w:cs="宋体"/>
                <w:color w:val="auto"/>
                <w:sz w:val="21"/>
                <w:szCs w:val="21"/>
                <w:highlight w:val="none"/>
              </w:rPr>
            </w:pPr>
          </w:p>
        </w:tc>
        <w:tc>
          <w:tcPr>
            <w:tcW w:w="1236" w:type="pct"/>
            <w:tcBorders>
              <w:top w:val="single" w:color="auto" w:sz="2" w:space="0"/>
              <w:left w:val="single" w:color="auto" w:sz="2" w:space="0"/>
              <w:bottom w:val="single" w:color="auto" w:sz="2" w:space="0"/>
              <w:right w:val="single" w:color="auto" w:sz="2" w:space="0"/>
            </w:tcBorders>
            <w:vAlign w:val="center"/>
          </w:tcPr>
          <w:p w14:paraId="47E50790">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776B0410">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1277" w:type="pct"/>
            <w:tcBorders>
              <w:top w:val="single" w:color="auto" w:sz="2" w:space="0"/>
              <w:left w:val="single" w:color="auto" w:sz="2" w:space="0"/>
              <w:bottom w:val="single" w:color="auto" w:sz="2" w:space="0"/>
            </w:tcBorders>
            <w:vAlign w:val="center"/>
          </w:tcPr>
          <w:p w14:paraId="1CA1501C">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7A229A8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49B4821D">
            <w:pPr>
              <w:adjustRightInd w:val="0"/>
              <w:snapToGrid w:val="0"/>
              <w:spacing w:line="300" w:lineRule="exact"/>
              <w:jc w:val="center"/>
              <w:rPr>
                <w:rFonts w:hint="eastAsia" w:ascii="宋体" w:hAnsi="宋体" w:eastAsia="宋体" w:cs="宋体"/>
                <w:color w:val="auto"/>
                <w:sz w:val="21"/>
                <w:szCs w:val="21"/>
                <w:highlight w:val="none"/>
              </w:rPr>
            </w:pPr>
          </w:p>
        </w:tc>
        <w:tc>
          <w:tcPr>
            <w:tcW w:w="1236" w:type="pct"/>
            <w:tcBorders>
              <w:top w:val="single" w:color="auto" w:sz="2" w:space="0"/>
              <w:left w:val="single" w:color="auto" w:sz="2" w:space="0"/>
              <w:bottom w:val="single" w:color="auto" w:sz="2" w:space="0"/>
              <w:right w:val="single" w:color="auto" w:sz="2" w:space="0"/>
            </w:tcBorders>
            <w:vAlign w:val="center"/>
          </w:tcPr>
          <w:p w14:paraId="0927B35E">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3F75F752">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p>
        </w:tc>
        <w:tc>
          <w:tcPr>
            <w:tcW w:w="1277" w:type="pct"/>
            <w:tcBorders>
              <w:top w:val="single" w:color="auto" w:sz="2" w:space="0"/>
              <w:left w:val="single" w:color="auto" w:sz="2" w:space="0"/>
              <w:bottom w:val="single" w:color="auto" w:sz="2" w:space="0"/>
            </w:tcBorders>
            <w:vAlign w:val="center"/>
          </w:tcPr>
          <w:p w14:paraId="4BBC6240">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1367CE5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1C9D09B9">
            <w:pPr>
              <w:pStyle w:val="12"/>
              <w:adjustRightInd w:val="0"/>
              <w:snapToGrid w:val="0"/>
              <w:spacing w:before="156" w:beforeLines="50" w:after="0" w:line="360" w:lineRule="auto"/>
              <w:ind w:left="0" w:leftChars="0"/>
              <w:jc w:val="left"/>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注：涉及联合体或其他合同主体的信息应按上表格式加列。</w:t>
            </w:r>
          </w:p>
        </w:tc>
      </w:tr>
    </w:tbl>
    <w:p w14:paraId="06B8E108">
      <w:pPr>
        <w:pStyle w:val="3"/>
        <w:keepNext/>
        <w:keepLines/>
        <w:pageBreakBefore w:val="0"/>
        <w:widowControl w:val="0"/>
        <w:kinsoku/>
        <w:wordWrap/>
        <w:overflowPunct/>
        <w:topLinePunct w:val="0"/>
        <w:autoSpaceDE/>
        <w:autoSpaceDN/>
        <w:bidi w:val="0"/>
        <w:adjustRightInd w:val="0"/>
        <w:snapToGrid w:val="0"/>
        <w:spacing w:before="156" w:beforeLines="50" w:after="157" w:afterLines="50" w:line="240" w:lineRule="auto"/>
        <w:jc w:val="center"/>
        <w:textAlignment w:val="auto"/>
        <w:rPr>
          <w:rFonts w:hint="eastAsia" w:ascii="宋体" w:hAnsi="宋体" w:eastAsia="宋体" w:cs="宋体"/>
          <w:b/>
          <w:bCs/>
          <w:color w:val="auto"/>
          <w:sz w:val="36"/>
          <w:szCs w:val="36"/>
          <w:highlight w:val="none"/>
        </w:rPr>
      </w:pPr>
      <w:r>
        <w:rPr>
          <w:rFonts w:hint="eastAsia" w:ascii="宋体" w:hAnsi="宋体" w:eastAsia="宋体" w:cs="宋体"/>
          <w:color w:val="auto"/>
          <w:sz w:val="21"/>
          <w:szCs w:val="21"/>
          <w:highlight w:val="none"/>
          <w:u w:val="single"/>
        </w:rPr>
        <w:br w:type="page"/>
      </w:r>
      <w:bookmarkStart w:id="503" w:name="_Toc27624"/>
      <w:bookmarkStart w:id="504" w:name="_Toc2429"/>
      <w:bookmarkStart w:id="505" w:name="_Toc16493"/>
      <w:bookmarkStart w:id="506" w:name="_Toc25534"/>
      <w:bookmarkStart w:id="507" w:name="_Toc4926"/>
      <w:r>
        <w:rPr>
          <w:rFonts w:hint="eastAsia" w:ascii="宋体" w:hAnsi="宋体" w:eastAsia="宋体" w:cs="宋体"/>
          <w:b/>
          <w:bCs/>
          <w:color w:val="auto"/>
          <w:sz w:val="36"/>
          <w:szCs w:val="36"/>
          <w:highlight w:val="none"/>
        </w:rPr>
        <w:t>第二节 政府采购合同通用条款</w:t>
      </w:r>
      <w:bookmarkEnd w:id="503"/>
      <w:bookmarkEnd w:id="504"/>
      <w:bookmarkEnd w:id="505"/>
      <w:bookmarkEnd w:id="506"/>
      <w:bookmarkEnd w:id="507"/>
    </w:p>
    <w:p w14:paraId="30C53993">
      <w:pPr>
        <w:tabs>
          <w:tab w:val="left" w:pos="8820"/>
          <w:tab w:val="left" w:pos="9345"/>
          <w:tab w:val="left" w:pos="9765"/>
        </w:tabs>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bCs/>
          <w:color w:val="auto"/>
          <w:sz w:val="21"/>
          <w:szCs w:val="21"/>
          <w:highlight w:val="none"/>
        </w:rPr>
        <w:t>定义</w:t>
      </w:r>
    </w:p>
    <w:p w14:paraId="194045E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1.1合同当事人</w:t>
      </w:r>
    </w:p>
    <w:p w14:paraId="15E59B8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（1）采购人（以下称甲方）是指使用财政性资金，通过政府采购方式向供应商购买货物</w:t>
      </w:r>
      <w:r>
        <w:rPr>
          <w:rFonts w:hint="eastAsia" w:ascii="宋体" w:hAnsi="宋体" w:eastAsia="宋体" w:cs="宋体"/>
          <w:color w:val="auto"/>
          <w:sz w:val="21"/>
          <w:szCs w:val="21"/>
          <w:highlight w:val="none"/>
          <w:lang w:val="en-US" w:eastAsia="zh-CN"/>
        </w:rPr>
        <w:t>及其相关服务的</w:t>
      </w:r>
      <w:r>
        <w:rPr>
          <w:rFonts w:hint="eastAsia" w:ascii="宋体" w:hAnsi="宋体" w:eastAsia="宋体" w:cs="宋体"/>
          <w:color w:val="auto"/>
          <w:sz w:val="21"/>
          <w:szCs w:val="21"/>
          <w:highlight w:val="none"/>
        </w:rPr>
        <w:t>国家机关、事业单位、团体组织。</w:t>
      </w:r>
    </w:p>
    <w:p w14:paraId="1699E51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（2）供应商（以下称</w:t>
      </w:r>
      <w:r>
        <w:rPr>
          <w:rFonts w:hint="eastAsia" w:ascii="宋体" w:hAnsi="宋体" w:eastAsia="宋体" w:cs="宋体"/>
          <w:color w:val="auto"/>
          <w:sz w:val="21"/>
          <w:szCs w:val="21"/>
          <w:highlight w:val="none"/>
          <w:lang w:eastAsia="zh-CN"/>
        </w:rPr>
        <w:t>乙</w:t>
      </w:r>
      <w:r>
        <w:rPr>
          <w:rFonts w:hint="eastAsia" w:ascii="宋体" w:hAnsi="宋体" w:eastAsia="宋体" w:cs="宋体"/>
          <w:color w:val="auto"/>
          <w:sz w:val="21"/>
          <w:szCs w:val="21"/>
          <w:highlight w:val="none"/>
        </w:rPr>
        <w:t>方）是指参加政府采购活动并且中标（成交），向采购人提供</w:t>
      </w:r>
      <w:r>
        <w:rPr>
          <w:rFonts w:hint="eastAsia" w:ascii="宋体" w:hAnsi="宋体" w:eastAsia="宋体" w:cs="宋体"/>
          <w:color w:val="auto"/>
          <w:sz w:val="21"/>
          <w:szCs w:val="21"/>
          <w:highlight w:val="none"/>
          <w:lang w:val="en-US" w:eastAsia="zh-CN"/>
        </w:rPr>
        <w:t>合同约定的货物及其相关服务的法人、非法人组织或者自然人</w:t>
      </w:r>
      <w:r>
        <w:rPr>
          <w:rFonts w:hint="eastAsia" w:ascii="宋体" w:hAnsi="宋体" w:eastAsia="宋体" w:cs="宋体"/>
          <w:color w:val="auto"/>
          <w:sz w:val="21"/>
          <w:szCs w:val="21"/>
          <w:highlight w:val="none"/>
        </w:rPr>
        <w:t>。</w:t>
      </w:r>
    </w:p>
    <w:p w14:paraId="09F8A17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（3）其他合同主体是指除采购人和供应商以外，</w:t>
      </w:r>
      <w:r>
        <w:rPr>
          <w:rFonts w:hint="eastAsia" w:ascii="宋体" w:hAnsi="宋体" w:eastAsia="宋体" w:cs="宋体"/>
          <w:bCs/>
          <w:color w:val="auto"/>
          <w:sz w:val="21"/>
          <w:szCs w:val="21"/>
          <w:highlight w:val="none"/>
        </w:rPr>
        <w:t>依法参与合同缔结或履行，享有权利、承担义务的合同当事人</w:t>
      </w:r>
      <w:r>
        <w:rPr>
          <w:rFonts w:hint="eastAsia" w:ascii="宋体" w:hAnsi="宋体" w:eastAsia="宋体" w:cs="宋体"/>
          <w:color w:val="auto"/>
          <w:sz w:val="21"/>
          <w:szCs w:val="21"/>
          <w:highlight w:val="none"/>
        </w:rPr>
        <w:t>。</w:t>
      </w:r>
    </w:p>
    <w:p w14:paraId="24D72639">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1.2本合同下列术语应解释为：</w:t>
      </w:r>
    </w:p>
    <w:p w14:paraId="2EF46703">
      <w:pPr>
        <w:adjustRightInd w:val="0"/>
        <w:snapToGrid w:val="0"/>
        <w:spacing w:before="0" w:beforeLines="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（1）“合同”系指</w:t>
      </w:r>
      <w:r>
        <w:rPr>
          <w:rFonts w:hint="eastAsia" w:ascii="宋体" w:hAnsi="宋体" w:eastAsia="宋体" w:cs="宋体"/>
          <w:bCs/>
          <w:color w:val="auto"/>
          <w:sz w:val="21"/>
          <w:szCs w:val="21"/>
          <w:highlight w:val="none"/>
        </w:rPr>
        <w:t>合同当事人意思表示达成一致的任何协议，包括签署的</w:t>
      </w:r>
      <w:r>
        <w:rPr>
          <w:rFonts w:hint="eastAsia" w:ascii="宋体" w:hAnsi="宋体" w:eastAsia="宋体" w:cs="宋体"/>
          <w:color w:val="auto"/>
          <w:sz w:val="21"/>
          <w:szCs w:val="21"/>
          <w:highlight w:val="none"/>
          <w:lang w:eastAsia="zh-CN"/>
        </w:rPr>
        <w:t>政府采购</w:t>
      </w:r>
      <w:r>
        <w:rPr>
          <w:rFonts w:hint="eastAsia" w:ascii="宋体" w:hAnsi="宋体" w:eastAsia="宋体" w:cs="宋体"/>
          <w:color w:val="auto"/>
          <w:sz w:val="21"/>
          <w:szCs w:val="21"/>
          <w:highlight w:val="none"/>
        </w:rPr>
        <w:t>合同协议书及其变更、补充</w:t>
      </w:r>
      <w:r>
        <w:rPr>
          <w:rFonts w:hint="eastAsia" w:ascii="宋体" w:hAnsi="宋体" w:eastAsia="宋体" w:cs="宋体"/>
          <w:color w:val="auto"/>
          <w:sz w:val="21"/>
          <w:szCs w:val="21"/>
          <w:highlight w:val="none"/>
          <w:lang w:eastAsia="zh-CN"/>
        </w:rPr>
        <w:t>协议，</w:t>
      </w:r>
      <w:r>
        <w:rPr>
          <w:rFonts w:hint="eastAsia" w:ascii="宋体" w:hAnsi="宋体" w:eastAsia="宋体" w:cs="宋体"/>
          <w:color w:val="auto"/>
          <w:sz w:val="21"/>
          <w:szCs w:val="21"/>
          <w:highlight w:val="none"/>
        </w:rPr>
        <w:t>政府采购合同专用条款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政府采购合同通用条款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投标（响应）文件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有关技术文件</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图纸</w:t>
      </w:r>
      <w:r>
        <w:rPr>
          <w:rFonts w:hint="eastAsia" w:ascii="宋体" w:hAnsi="宋体" w:eastAsia="宋体" w:cs="宋体"/>
          <w:color w:val="auto"/>
          <w:sz w:val="21"/>
          <w:szCs w:val="21"/>
          <w:highlight w:val="none"/>
          <w:lang w:eastAsia="zh-CN"/>
        </w:rPr>
        <w:t>，以及国家法律、行政法规和规章制度规定或合同约定的作为合同组成部分的其他文件</w:t>
      </w:r>
      <w:r>
        <w:rPr>
          <w:rFonts w:hint="eastAsia" w:ascii="宋体" w:hAnsi="宋体" w:eastAsia="宋体" w:cs="宋体"/>
          <w:color w:val="auto"/>
          <w:sz w:val="21"/>
          <w:szCs w:val="21"/>
          <w:highlight w:val="none"/>
        </w:rPr>
        <w:t>。</w:t>
      </w:r>
    </w:p>
    <w:p w14:paraId="702E4316">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）“合同价</w:t>
      </w:r>
      <w:r>
        <w:rPr>
          <w:rFonts w:hint="eastAsia" w:ascii="宋体" w:hAnsi="宋体" w:eastAsia="宋体" w:cs="宋体"/>
          <w:color w:val="auto"/>
          <w:sz w:val="21"/>
          <w:szCs w:val="21"/>
          <w:highlight w:val="none"/>
          <w:lang w:val="en-US" w:eastAsia="zh-CN"/>
        </w:rPr>
        <w:t>款</w:t>
      </w:r>
      <w:r>
        <w:rPr>
          <w:rFonts w:hint="eastAsia" w:ascii="宋体" w:hAnsi="宋体" w:eastAsia="宋体" w:cs="宋体"/>
          <w:color w:val="auto"/>
          <w:sz w:val="21"/>
          <w:szCs w:val="21"/>
          <w:highlight w:val="none"/>
        </w:rPr>
        <w:t>”系指根据本合同规定乙方在全面履行合同义务后甲方应支付给乙方的价款。</w:t>
      </w:r>
    </w:p>
    <w:p w14:paraId="65DD166D">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技术资料和材料</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p>
    <w:p w14:paraId="759AD876">
      <w:pPr>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服务”系指根据合同规定，乙方应提供的</w:t>
      </w:r>
      <w:r>
        <w:rPr>
          <w:rFonts w:hint="eastAsia" w:ascii="宋体" w:hAnsi="宋体" w:eastAsia="宋体" w:cs="宋体"/>
          <w:color w:val="auto"/>
          <w:sz w:val="21"/>
          <w:szCs w:val="21"/>
          <w:highlight w:val="none"/>
          <w:lang w:val="en-US" w:eastAsia="zh-CN"/>
        </w:rPr>
        <w:t>与货物有关的</w:t>
      </w:r>
      <w:r>
        <w:rPr>
          <w:rFonts w:hint="eastAsia" w:ascii="宋体" w:hAnsi="宋体" w:eastAsia="宋体" w:cs="宋体"/>
          <w:color w:val="auto"/>
          <w:sz w:val="21"/>
          <w:szCs w:val="21"/>
          <w:highlight w:val="none"/>
        </w:rPr>
        <w:t>技术、管理和</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服务，包括但不限于：管理和质量保证、运输、保险、检验、现场准备、安装、集成、调试、培训、维修、</w:t>
      </w:r>
      <w:r>
        <w:rPr>
          <w:rFonts w:hint="eastAsia" w:ascii="宋体" w:hAnsi="宋体" w:eastAsia="宋体" w:cs="宋体"/>
          <w:color w:val="auto"/>
          <w:sz w:val="21"/>
          <w:szCs w:val="21"/>
          <w:highlight w:val="none"/>
          <w:lang w:eastAsia="zh-CN"/>
        </w:rPr>
        <w:t>废弃处置、</w:t>
      </w:r>
      <w:r>
        <w:rPr>
          <w:rFonts w:hint="eastAsia" w:ascii="宋体" w:hAnsi="宋体" w:eastAsia="宋体" w:cs="宋体"/>
          <w:color w:val="auto"/>
          <w:sz w:val="21"/>
          <w:szCs w:val="21"/>
          <w:highlight w:val="none"/>
        </w:rPr>
        <w:t>技术支持等以及合同中规定乙方应承担的</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义务。</w:t>
      </w:r>
    </w:p>
    <w:p w14:paraId="7441A37F">
      <w:pPr>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）“分包”系指中标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供应商按采购文件、投标（响应）文件的规定，根据分包意向协议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，将中标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项目中的部分履约内容，分给具有相应资质条件的供应商履行合同的行为。</w:t>
      </w:r>
    </w:p>
    <w:p w14:paraId="2DE83048">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）“联合体”系指</w:t>
      </w:r>
      <w:r>
        <w:rPr>
          <w:rFonts w:hint="eastAsia" w:ascii="宋体" w:hAnsi="宋体" w:eastAsia="宋体" w:cs="宋体"/>
          <w:color w:val="auto"/>
          <w:sz w:val="21"/>
          <w:szCs w:val="21"/>
          <w:highlight w:val="none"/>
          <w:lang w:eastAsia="zh-CN"/>
        </w:rPr>
        <w:t>由</w:t>
      </w:r>
      <w:r>
        <w:rPr>
          <w:rFonts w:hint="eastAsia" w:ascii="宋体" w:hAnsi="宋体" w:eastAsia="宋体" w:cs="宋体"/>
          <w:color w:val="auto"/>
          <w:sz w:val="21"/>
          <w:szCs w:val="21"/>
          <w:highlight w:val="none"/>
        </w:rPr>
        <w:t>两个以上的自然人、法人或者</w:t>
      </w:r>
      <w:r>
        <w:rPr>
          <w:rFonts w:hint="eastAsia" w:ascii="宋体" w:hAnsi="宋体" w:eastAsia="宋体" w:cs="宋体"/>
          <w:color w:val="auto"/>
          <w:sz w:val="21"/>
          <w:szCs w:val="21"/>
          <w:highlight w:val="none"/>
          <w:lang w:val="en-US" w:eastAsia="zh-CN"/>
        </w:rPr>
        <w:t>非法人</w:t>
      </w:r>
      <w:r>
        <w:rPr>
          <w:rFonts w:hint="eastAsia" w:ascii="宋体" w:hAnsi="宋体" w:eastAsia="宋体" w:cs="宋体"/>
          <w:color w:val="auto"/>
          <w:sz w:val="21"/>
          <w:szCs w:val="21"/>
          <w:highlight w:val="none"/>
        </w:rPr>
        <w:t>组织组成，</w:t>
      </w:r>
      <w:r>
        <w:rPr>
          <w:rFonts w:hint="eastAsia" w:ascii="宋体" w:hAnsi="宋体" w:eastAsia="宋体" w:cs="宋体"/>
          <w:color w:val="auto"/>
          <w:sz w:val="21"/>
          <w:szCs w:val="21"/>
          <w:highlight w:val="none"/>
          <w:lang w:eastAsia="zh-CN"/>
        </w:rPr>
        <w:t>以一个供应商的身份共同参加政府采购的主体。</w:t>
      </w:r>
      <w:r>
        <w:rPr>
          <w:rFonts w:hint="eastAsia" w:ascii="宋体" w:hAnsi="宋体" w:eastAsia="宋体" w:cs="宋体"/>
          <w:color w:val="auto"/>
          <w:sz w:val="21"/>
          <w:szCs w:val="21"/>
          <w:highlight w:val="none"/>
        </w:rPr>
        <w:t>联合体各方应在签订合同协议书前向甲方提交联合</w:t>
      </w:r>
      <w:r>
        <w:rPr>
          <w:rFonts w:hint="eastAsia" w:cs="宋体"/>
          <w:color w:val="auto"/>
          <w:sz w:val="21"/>
          <w:szCs w:val="21"/>
          <w:highlight w:val="none"/>
          <w:lang w:val="en-US" w:eastAsia="zh-CN"/>
        </w:rPr>
        <w:t>体</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，且明确牵头人及各成员单位的工作分工、权利、义务、责任，联合体各方应共同与甲方签订合同，就合同约定的事项对</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承担连带责任。联合体具体要求见【</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w:t>
      </w:r>
    </w:p>
    <w:p w14:paraId="4617D0E9">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）其他术语解释，见【</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w:t>
      </w:r>
    </w:p>
    <w:p w14:paraId="61E7E2E4">
      <w:pPr>
        <w:numPr>
          <w:ilvl w:val="0"/>
          <w:numId w:val="0"/>
        </w:num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lang w:val="en-US" w:eastAsia="zh-CN" w:bidi="ar-SA"/>
        </w:rPr>
        <w:t>2.</w:t>
      </w:r>
      <w:r>
        <w:rPr>
          <w:rFonts w:hint="eastAsia" w:ascii="宋体" w:hAnsi="宋体" w:eastAsia="宋体" w:cs="宋体"/>
          <w:b/>
          <w:color w:val="auto"/>
          <w:sz w:val="21"/>
          <w:szCs w:val="21"/>
          <w:highlight w:val="none"/>
        </w:rPr>
        <w:t>合同标的及金额</w:t>
      </w:r>
    </w:p>
    <w:p w14:paraId="0602728D">
      <w:pPr>
        <w:autoSpaceDE w:val="0"/>
        <w:autoSpaceDN w:val="0"/>
        <w:adjustRightInd w:val="0"/>
        <w:snapToGrid w:val="0"/>
        <w:spacing w:before="0" w:line="400" w:lineRule="exact"/>
        <w:ind w:firstLine="420" w:firstLineChars="200"/>
        <w:jc w:val="left"/>
        <w:rPr>
          <w:rFonts w:hint="eastAsia" w:ascii="宋体" w:hAnsi="宋体" w:eastAsia="宋体" w:cs="宋体"/>
          <w:b/>
          <w:bCs/>
          <w:i/>
          <w:iCs/>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.1 合同标的及金额应与中标（成交）结果一致。乙方为履行本合同而发生的所有费用均应包含在合同</w:t>
      </w:r>
      <w:r>
        <w:rPr>
          <w:rFonts w:hint="eastAsia" w:ascii="宋体" w:hAnsi="宋体" w:eastAsia="宋体" w:cs="宋体"/>
          <w:color w:val="auto"/>
          <w:sz w:val="21"/>
          <w:szCs w:val="21"/>
          <w:highlight w:val="none"/>
          <w:lang w:eastAsia="zh-CN"/>
        </w:rPr>
        <w:t>价款</w:t>
      </w:r>
      <w:r>
        <w:rPr>
          <w:rFonts w:hint="eastAsia" w:ascii="宋体" w:hAnsi="宋体" w:eastAsia="宋体" w:cs="宋体"/>
          <w:color w:val="auto"/>
          <w:sz w:val="21"/>
          <w:szCs w:val="21"/>
          <w:highlight w:val="none"/>
        </w:rPr>
        <w:t>中，甲方不再另行支付</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任何费用。</w:t>
      </w:r>
    </w:p>
    <w:p w14:paraId="72FAF401">
      <w:pPr>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3</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履行合同的时间、地点和方式</w:t>
      </w:r>
    </w:p>
    <w:p w14:paraId="749A025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.1 乙方应当在约定的时间、地点</w:t>
      </w:r>
      <w:r>
        <w:rPr>
          <w:rFonts w:hint="eastAsia" w:ascii="宋体" w:hAnsi="宋体" w:eastAsia="宋体" w:cs="宋体"/>
          <w:color w:val="auto"/>
          <w:sz w:val="21"/>
          <w:szCs w:val="21"/>
          <w:highlight w:val="none"/>
          <w:lang w:eastAsia="zh-CN"/>
        </w:rPr>
        <w:t>，按照约定</w:t>
      </w:r>
      <w:r>
        <w:rPr>
          <w:rFonts w:hint="eastAsia" w:ascii="宋体" w:hAnsi="宋体" w:eastAsia="宋体" w:cs="宋体"/>
          <w:color w:val="auto"/>
          <w:sz w:val="21"/>
          <w:szCs w:val="21"/>
          <w:highlight w:val="none"/>
        </w:rPr>
        <w:t>方式履行合同。</w:t>
      </w:r>
    </w:p>
    <w:p w14:paraId="4DF56375">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4</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甲方的权利和义务</w:t>
      </w:r>
    </w:p>
    <w:p w14:paraId="4A5BA7F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.1 签署合同后，甲方</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确定</w:t>
      </w:r>
      <w:r>
        <w:rPr>
          <w:rFonts w:hint="eastAsia" w:ascii="宋体" w:hAnsi="宋体" w:eastAsia="宋体" w:cs="宋体"/>
          <w:color w:val="auto"/>
          <w:sz w:val="21"/>
          <w:szCs w:val="21"/>
          <w:highlight w:val="none"/>
          <w:lang w:val="en-US" w:eastAsia="zh-CN"/>
        </w:rPr>
        <w:t>项目负责人（或项目联系人）</w:t>
      </w:r>
      <w:r>
        <w:rPr>
          <w:rFonts w:hint="eastAsia" w:ascii="宋体" w:hAnsi="宋体" w:eastAsia="宋体" w:cs="宋体"/>
          <w:color w:val="auto"/>
          <w:sz w:val="21"/>
          <w:szCs w:val="21"/>
          <w:highlight w:val="none"/>
        </w:rPr>
        <w:t>，负责与本合同有关的事务。甲方有权对乙方的履约行为进行检查，并及时确认乙方提交的事项。甲方应当配合乙方完成相关项目实施工作。</w:t>
      </w:r>
    </w:p>
    <w:p w14:paraId="57A4C72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.2 甲方有权要求乙方按时提交各阶段有关安排计划，并有权定期核对乙方提供货物数量、规格、质量等内容。甲方有权督促乙方工作并要求乙方更换不符合要求的货物。</w:t>
      </w:r>
    </w:p>
    <w:p w14:paraId="757325C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.3 甲方有权要求乙方对缺陷部分予以修复，并按合同约定享有货物保修及其他合同约定的权利。</w:t>
      </w:r>
    </w:p>
    <w:p w14:paraId="3099DE31">
      <w:pPr>
        <w:snapToGrid w:val="0"/>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4.4 甲方应当按照合同约定及时对交付的货物进行验收，</w:t>
      </w:r>
      <w:r>
        <w:rPr>
          <w:rFonts w:hint="eastAsia" w:ascii="宋体" w:hAnsi="宋体" w:eastAsia="宋体" w:cs="宋体"/>
          <w:b w:val="0"/>
          <w:bCs w:val="0"/>
          <w:color w:val="auto"/>
          <w:sz w:val="21"/>
          <w:szCs w:val="21"/>
          <w:highlight w:val="none"/>
          <w:lang w:eastAsia="zh-CN"/>
        </w:rPr>
        <w:t>未</w:t>
      </w:r>
      <w:r>
        <w:rPr>
          <w:rFonts w:hint="eastAsia" w:ascii="宋体" w:hAnsi="宋体" w:eastAsia="宋体" w:cs="宋体"/>
          <w:color w:val="auto"/>
          <w:sz w:val="21"/>
          <w:szCs w:val="21"/>
          <w:highlight w:val="none"/>
          <w:lang w:val="en-US" w:eastAsia="zh-CN"/>
        </w:rPr>
        <w:t>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b w:val="0"/>
          <w:bCs w:val="0"/>
          <w:color w:val="auto"/>
          <w:sz w:val="21"/>
          <w:szCs w:val="21"/>
          <w:highlight w:val="none"/>
          <w:lang w:eastAsia="zh-CN"/>
        </w:rPr>
        <w:t>约定的期限内对乙方履约提出任何异议或者向乙方作出任何说明的，</w:t>
      </w:r>
      <w:r>
        <w:rPr>
          <w:rFonts w:hint="eastAsia" w:ascii="宋体" w:hAnsi="宋体" w:eastAsia="宋体" w:cs="宋体"/>
          <w:color w:val="auto"/>
          <w:sz w:val="21"/>
          <w:szCs w:val="21"/>
          <w:highlight w:val="none"/>
          <w:lang w:val="en-US" w:eastAsia="zh-CN"/>
        </w:rPr>
        <w:t>视为验收通过。</w:t>
      </w:r>
    </w:p>
    <w:p w14:paraId="0D05700E">
      <w:pPr>
        <w:autoSpaceDE w:val="0"/>
        <w:autoSpaceDN w:val="0"/>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甲方应当根据合同约定</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时向乙方支付</w:t>
      </w:r>
      <w:r>
        <w:rPr>
          <w:rFonts w:hint="eastAsia" w:ascii="宋体" w:hAnsi="宋体" w:eastAsia="宋体" w:cs="宋体"/>
          <w:color w:val="auto"/>
          <w:sz w:val="21"/>
          <w:szCs w:val="21"/>
          <w:highlight w:val="none"/>
          <w:lang w:eastAsia="zh-CN"/>
        </w:rPr>
        <w:t>合同价款，不得以内部人员变更、履行内部付款流程等为由，拒绝或迟延支付。</w:t>
      </w:r>
    </w:p>
    <w:p w14:paraId="2B5BE0F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国家法律法规规定</w:t>
      </w:r>
      <w:r>
        <w:rPr>
          <w:rFonts w:hint="eastAsia" w:ascii="宋体" w:hAnsi="宋体" w:eastAsia="宋体" w:cs="宋体"/>
          <w:color w:val="auto"/>
          <w:sz w:val="21"/>
          <w:szCs w:val="21"/>
          <w:highlight w:val="none"/>
          <w:lang w:eastAsia="zh-CN"/>
        </w:rPr>
        <w:t>及</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lang w:eastAsia="zh-CN"/>
        </w:rPr>
        <w:t>约定应</w:t>
      </w:r>
      <w:r>
        <w:rPr>
          <w:rFonts w:hint="eastAsia" w:ascii="宋体" w:hAnsi="宋体" w:eastAsia="宋体" w:cs="宋体"/>
          <w:color w:val="auto"/>
          <w:sz w:val="21"/>
          <w:szCs w:val="21"/>
          <w:highlight w:val="none"/>
        </w:rPr>
        <w:t>由甲方承担的其他义务和责任。</w:t>
      </w:r>
    </w:p>
    <w:p w14:paraId="6E5FFE6E">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5</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乙方的权利和义务</w:t>
      </w:r>
    </w:p>
    <w:p w14:paraId="7FBE7CA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.1 签署合同后，乙方</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确定</w:t>
      </w:r>
      <w:r>
        <w:rPr>
          <w:rFonts w:hint="eastAsia" w:ascii="宋体" w:hAnsi="宋体" w:eastAsia="宋体" w:cs="宋体"/>
          <w:color w:val="auto"/>
          <w:sz w:val="21"/>
          <w:szCs w:val="21"/>
          <w:highlight w:val="none"/>
          <w:lang w:val="en-US" w:eastAsia="zh-CN"/>
        </w:rPr>
        <w:t>项目负责人（或项目联系人）</w:t>
      </w:r>
      <w:r>
        <w:rPr>
          <w:rFonts w:hint="eastAsia" w:ascii="宋体" w:hAnsi="宋体" w:eastAsia="宋体" w:cs="宋体"/>
          <w:color w:val="auto"/>
          <w:sz w:val="21"/>
          <w:szCs w:val="21"/>
          <w:highlight w:val="none"/>
        </w:rPr>
        <w:t>，负责与本合同有关的事务。</w:t>
      </w:r>
    </w:p>
    <w:p w14:paraId="46ACE3A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.2 乙方应按照合同要求履约，充分合理安排，确保提供的货物</w:t>
      </w:r>
      <w:r>
        <w:rPr>
          <w:rFonts w:hint="eastAsia" w:ascii="宋体" w:hAnsi="宋体" w:eastAsia="宋体" w:cs="宋体"/>
          <w:color w:val="auto"/>
          <w:sz w:val="21"/>
          <w:szCs w:val="21"/>
          <w:highlight w:val="none"/>
          <w:lang w:eastAsia="zh-CN"/>
        </w:rPr>
        <w:t>及相关</w:t>
      </w:r>
      <w:r>
        <w:rPr>
          <w:rFonts w:hint="eastAsia" w:ascii="宋体" w:hAnsi="宋体" w:eastAsia="宋体" w:cs="宋体"/>
          <w:color w:val="auto"/>
          <w:sz w:val="21"/>
          <w:szCs w:val="21"/>
          <w:highlight w:val="none"/>
        </w:rPr>
        <w:t>服务符合合同</w:t>
      </w:r>
      <w:r>
        <w:rPr>
          <w:rFonts w:hint="eastAsia" w:ascii="宋体" w:hAnsi="宋体" w:eastAsia="宋体" w:cs="宋体"/>
          <w:color w:val="auto"/>
          <w:sz w:val="21"/>
          <w:szCs w:val="21"/>
          <w:highlight w:val="none"/>
          <w:lang w:eastAsia="zh-CN"/>
        </w:rPr>
        <w:t>有关</w:t>
      </w:r>
      <w:r>
        <w:rPr>
          <w:rFonts w:hint="eastAsia" w:ascii="宋体" w:hAnsi="宋体" w:eastAsia="宋体" w:cs="宋体"/>
          <w:color w:val="auto"/>
          <w:sz w:val="21"/>
          <w:szCs w:val="21"/>
          <w:highlight w:val="none"/>
        </w:rPr>
        <w:t>要求。接受项目行业管理部门及政府有关部门的指导，配合甲方的履约检查</w:t>
      </w:r>
      <w:r>
        <w:rPr>
          <w:rFonts w:hint="eastAsia" w:ascii="宋体" w:hAnsi="宋体" w:eastAsia="宋体" w:cs="宋体"/>
          <w:color w:val="auto"/>
          <w:sz w:val="21"/>
          <w:szCs w:val="21"/>
          <w:highlight w:val="none"/>
          <w:lang w:eastAsia="zh-CN"/>
        </w:rPr>
        <w:t>及验收</w:t>
      </w:r>
      <w:r>
        <w:rPr>
          <w:rFonts w:hint="eastAsia" w:ascii="宋体" w:hAnsi="宋体" w:eastAsia="宋体" w:cs="宋体"/>
          <w:color w:val="auto"/>
          <w:sz w:val="21"/>
          <w:szCs w:val="21"/>
          <w:highlight w:val="none"/>
        </w:rPr>
        <w:t>，并负责项目实施过程中的所有协调工作。</w:t>
      </w:r>
    </w:p>
    <w:p w14:paraId="3D8D557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5.3乙方有权根据合同约定向甲方收取合同价款。</w:t>
      </w:r>
    </w:p>
    <w:p w14:paraId="645E007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5.4国家法律法规规定及</w:t>
      </w:r>
      <w:r>
        <w:rPr>
          <w:rFonts w:hint="eastAsia" w:ascii="宋体" w:hAnsi="宋体" w:eastAsia="宋体" w:cs="宋体"/>
          <w:b/>
          <w:bCs/>
          <w:color w:val="auto"/>
          <w:sz w:val="21"/>
          <w:szCs w:val="21"/>
          <w:highlight w:val="none"/>
          <w:lang w:eastAsia="zh-CN"/>
        </w:rPr>
        <w:t>【政府采购合同专用条款】</w:t>
      </w:r>
      <w:r>
        <w:rPr>
          <w:rFonts w:hint="eastAsia" w:ascii="宋体" w:hAnsi="宋体" w:eastAsia="宋体" w:cs="宋体"/>
          <w:color w:val="auto"/>
          <w:sz w:val="21"/>
          <w:szCs w:val="21"/>
          <w:highlight w:val="none"/>
          <w:lang w:eastAsia="zh-CN"/>
        </w:rPr>
        <w:t>约定应由乙方承担的其他义务和责任。</w:t>
      </w:r>
    </w:p>
    <w:p w14:paraId="3AFF6515">
      <w:pPr>
        <w:numPr>
          <w:ilvl w:val="0"/>
          <w:numId w:val="4"/>
        </w:num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合同履</w:t>
      </w:r>
      <w:r>
        <w:rPr>
          <w:rFonts w:hint="eastAsia" w:ascii="宋体" w:hAnsi="宋体" w:eastAsia="宋体" w:cs="宋体"/>
          <w:b/>
          <w:bCs/>
          <w:color w:val="auto"/>
          <w:sz w:val="21"/>
          <w:szCs w:val="21"/>
          <w:highlight w:val="none"/>
          <w:lang w:val="en-US" w:eastAsia="zh-CN"/>
        </w:rPr>
        <w:t>行</w:t>
      </w:r>
    </w:p>
    <w:p w14:paraId="18DC2B15">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.1 甲乙双方应当按照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约定顺序履行合同义务；如果没有先后顺序的，应当同时履行。</w:t>
      </w:r>
    </w:p>
    <w:p w14:paraId="79D72F7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46C7341E">
      <w:p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7</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货物包装、运输</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保险</w:t>
      </w:r>
      <w:r>
        <w:rPr>
          <w:rFonts w:hint="eastAsia" w:ascii="宋体" w:hAnsi="宋体" w:eastAsia="宋体" w:cs="宋体"/>
          <w:b/>
          <w:bCs/>
          <w:color w:val="auto"/>
          <w:sz w:val="21"/>
          <w:szCs w:val="21"/>
          <w:highlight w:val="none"/>
          <w:lang w:eastAsia="zh-CN"/>
        </w:rPr>
        <w:t>和交付</w:t>
      </w:r>
      <w:r>
        <w:rPr>
          <w:rFonts w:hint="eastAsia" w:ascii="宋体" w:hAnsi="宋体" w:eastAsia="宋体" w:cs="宋体"/>
          <w:b/>
          <w:bCs/>
          <w:color w:val="auto"/>
          <w:sz w:val="21"/>
          <w:szCs w:val="21"/>
          <w:highlight w:val="none"/>
        </w:rPr>
        <w:t>要求</w:t>
      </w:r>
    </w:p>
    <w:p w14:paraId="65CEDFF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.1 本合同</w:t>
      </w:r>
      <w:r>
        <w:rPr>
          <w:rFonts w:hint="eastAsia" w:ascii="宋体" w:hAnsi="宋体" w:eastAsia="宋体" w:cs="宋体"/>
          <w:bCs/>
          <w:color w:val="auto"/>
          <w:sz w:val="21"/>
          <w:szCs w:val="21"/>
          <w:highlight w:val="none"/>
        </w:rPr>
        <w:t>涉及商品包装</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快递包装的，</w:t>
      </w:r>
      <w:r>
        <w:rPr>
          <w:rFonts w:hint="eastAsia" w:ascii="宋体" w:hAnsi="宋体" w:eastAsia="宋体" w:cs="宋体"/>
          <w:color w:val="auto"/>
          <w:sz w:val="21"/>
          <w:szCs w:val="21"/>
          <w:highlight w:val="none"/>
        </w:rPr>
        <w:t>除</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另有</w:t>
      </w:r>
      <w:r>
        <w:rPr>
          <w:rFonts w:hint="eastAsia" w:ascii="宋体" w:hAnsi="宋体" w:eastAsia="宋体" w:cs="宋体"/>
          <w:bCs/>
          <w:color w:val="auto"/>
          <w:sz w:val="21"/>
          <w:szCs w:val="21"/>
          <w:highlight w:val="none"/>
          <w:lang w:eastAsia="zh-CN"/>
        </w:rPr>
        <w:t>约</w:t>
      </w:r>
      <w:r>
        <w:rPr>
          <w:rFonts w:hint="eastAsia" w:ascii="宋体" w:hAnsi="宋体" w:eastAsia="宋体" w:cs="宋体"/>
          <w:bCs/>
          <w:color w:val="auto"/>
          <w:sz w:val="21"/>
          <w:szCs w:val="21"/>
          <w:highlight w:val="none"/>
        </w:rPr>
        <w:t>定</w:t>
      </w:r>
      <w:r>
        <w:rPr>
          <w:rFonts w:hint="eastAsia" w:ascii="宋体" w:hAnsi="宋体" w:eastAsia="宋体" w:cs="宋体"/>
          <w:bCs/>
          <w:color w:val="auto"/>
          <w:sz w:val="21"/>
          <w:szCs w:val="21"/>
          <w:highlight w:val="none"/>
          <w:lang w:eastAsia="zh-CN"/>
        </w:rPr>
        <w:t>外</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包装应适应远距离运输、防潮、防震、防锈和防野蛮装卸等要求，确保货物安全无损地运抵</w:t>
      </w:r>
      <w:r>
        <w:rPr>
          <w:rFonts w:hint="eastAsia" w:ascii="宋体" w:hAnsi="宋体" w:eastAsia="宋体" w:cs="宋体"/>
          <w:b/>
          <w:color w:val="auto"/>
          <w:sz w:val="21"/>
          <w:szCs w:val="21"/>
          <w:highlight w:val="none"/>
        </w:rPr>
        <w:t>【政府采购合同专用条款】</w:t>
      </w:r>
      <w:r>
        <w:rPr>
          <w:rFonts w:hint="eastAsia" w:ascii="宋体" w:hAnsi="宋体" w:eastAsia="宋体" w:cs="宋体"/>
          <w:b w:val="0"/>
          <w:bCs/>
          <w:color w:val="auto"/>
          <w:sz w:val="21"/>
          <w:szCs w:val="21"/>
          <w:highlight w:val="none"/>
          <w:lang w:eastAsia="zh-CN"/>
        </w:rPr>
        <w:t>约定的</w:t>
      </w:r>
      <w:r>
        <w:rPr>
          <w:rFonts w:hint="eastAsia" w:ascii="宋体" w:hAnsi="宋体" w:eastAsia="宋体" w:cs="宋体"/>
          <w:color w:val="auto"/>
          <w:sz w:val="21"/>
          <w:szCs w:val="21"/>
          <w:highlight w:val="none"/>
        </w:rPr>
        <w:t>指定现场。</w:t>
      </w:r>
    </w:p>
    <w:p w14:paraId="18C51986">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 除</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另有</w:t>
      </w:r>
      <w:r>
        <w:rPr>
          <w:rFonts w:hint="eastAsia" w:ascii="宋体" w:hAnsi="宋体" w:eastAsia="宋体" w:cs="宋体"/>
          <w:bCs/>
          <w:color w:val="auto"/>
          <w:sz w:val="21"/>
          <w:szCs w:val="21"/>
          <w:highlight w:val="none"/>
          <w:lang w:eastAsia="zh-CN"/>
        </w:rPr>
        <w:t>约</w:t>
      </w:r>
      <w:r>
        <w:rPr>
          <w:rFonts w:hint="eastAsia" w:ascii="宋体" w:hAnsi="宋体" w:eastAsia="宋体" w:cs="宋体"/>
          <w:bCs/>
          <w:color w:val="auto"/>
          <w:sz w:val="21"/>
          <w:szCs w:val="21"/>
          <w:highlight w:val="none"/>
        </w:rPr>
        <w:t>定</w:t>
      </w:r>
      <w:r>
        <w:rPr>
          <w:rFonts w:hint="eastAsia" w:ascii="宋体" w:hAnsi="宋体" w:eastAsia="宋体" w:cs="宋体"/>
          <w:bCs/>
          <w:color w:val="auto"/>
          <w:sz w:val="21"/>
          <w:szCs w:val="21"/>
          <w:highlight w:val="none"/>
          <w:lang w:eastAsia="zh-CN"/>
        </w:rPr>
        <w:t>外</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乙方负责办理将货物运抵本合同规定的交货地点</w:t>
      </w:r>
      <w:r>
        <w:rPr>
          <w:rFonts w:hint="eastAsia" w:ascii="宋体" w:hAnsi="宋体" w:eastAsia="宋体" w:cs="宋体"/>
          <w:color w:val="auto"/>
          <w:sz w:val="21"/>
          <w:szCs w:val="21"/>
          <w:highlight w:val="none"/>
          <w:lang w:eastAsia="zh-CN"/>
        </w:rPr>
        <w:t>，并装卸、交付至甲方</w:t>
      </w:r>
      <w:r>
        <w:rPr>
          <w:rFonts w:hint="eastAsia" w:ascii="宋体" w:hAnsi="宋体" w:eastAsia="宋体" w:cs="宋体"/>
          <w:color w:val="auto"/>
          <w:sz w:val="21"/>
          <w:szCs w:val="21"/>
          <w:highlight w:val="none"/>
        </w:rPr>
        <w:t>的一切运输事项，相关费用应</w:t>
      </w:r>
      <w:r>
        <w:rPr>
          <w:rFonts w:hint="eastAsia" w:ascii="宋体" w:hAnsi="宋体" w:eastAsia="宋体" w:cs="宋体"/>
          <w:color w:val="auto"/>
          <w:sz w:val="21"/>
          <w:szCs w:val="21"/>
          <w:highlight w:val="none"/>
          <w:lang w:eastAsia="zh-CN"/>
        </w:rPr>
        <w:t>包含</w:t>
      </w:r>
      <w:r>
        <w:rPr>
          <w:rFonts w:hint="eastAsia" w:ascii="宋体" w:hAnsi="宋体" w:eastAsia="宋体" w:cs="宋体"/>
          <w:color w:val="auto"/>
          <w:sz w:val="21"/>
          <w:szCs w:val="21"/>
          <w:highlight w:val="none"/>
        </w:rPr>
        <w:t>在合同</w:t>
      </w:r>
      <w:r>
        <w:rPr>
          <w:rFonts w:hint="eastAsia" w:ascii="宋体" w:hAnsi="宋体" w:eastAsia="宋体" w:cs="宋体"/>
          <w:color w:val="auto"/>
          <w:sz w:val="21"/>
          <w:szCs w:val="21"/>
          <w:highlight w:val="none"/>
          <w:lang w:eastAsia="zh-CN"/>
        </w:rPr>
        <w:t>价款</w:t>
      </w:r>
      <w:r>
        <w:rPr>
          <w:rFonts w:hint="eastAsia" w:ascii="宋体" w:hAnsi="宋体" w:eastAsia="宋体" w:cs="宋体"/>
          <w:color w:val="auto"/>
          <w:sz w:val="21"/>
          <w:szCs w:val="21"/>
          <w:highlight w:val="none"/>
        </w:rPr>
        <w:t>中。</w:t>
      </w:r>
    </w:p>
    <w:p w14:paraId="240D5ACF">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 货物保险要求按</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规定执行</w:t>
      </w:r>
      <w:r>
        <w:rPr>
          <w:rFonts w:hint="eastAsia" w:ascii="宋体" w:hAnsi="宋体" w:eastAsia="宋体" w:cs="宋体"/>
          <w:color w:val="auto"/>
          <w:sz w:val="21"/>
          <w:szCs w:val="21"/>
          <w:highlight w:val="none"/>
        </w:rPr>
        <w:t>。</w:t>
      </w:r>
    </w:p>
    <w:p w14:paraId="7EFB068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.4 </w:t>
      </w:r>
      <w:r>
        <w:rPr>
          <w:rFonts w:hint="eastAsia" w:ascii="宋体" w:hAnsi="宋体" w:eastAsia="宋体" w:cs="宋体"/>
          <w:color w:val="auto"/>
          <w:sz w:val="21"/>
          <w:szCs w:val="21"/>
          <w:highlight w:val="none"/>
          <w:lang w:val="en-US" w:eastAsia="zh-CN"/>
        </w:rPr>
        <w:t>除采购活动</w:t>
      </w:r>
      <w:r>
        <w:rPr>
          <w:rFonts w:hint="eastAsia" w:ascii="宋体" w:hAnsi="宋体" w:eastAsia="宋体" w:cs="宋体"/>
          <w:color w:val="auto"/>
          <w:sz w:val="21"/>
          <w:szCs w:val="21"/>
          <w:highlight w:val="none"/>
        </w:rPr>
        <w:t>对商品包装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快递包装</w:t>
      </w:r>
      <w:r>
        <w:rPr>
          <w:rFonts w:hint="eastAsia" w:ascii="宋体" w:hAnsi="宋体" w:eastAsia="宋体" w:cs="宋体"/>
          <w:color w:val="auto"/>
          <w:sz w:val="21"/>
          <w:szCs w:val="21"/>
          <w:highlight w:val="none"/>
          <w:lang w:val="en-US" w:eastAsia="zh-CN"/>
        </w:rPr>
        <w:t>达成具体约定外</w:t>
      </w:r>
      <w:r>
        <w:rPr>
          <w:rFonts w:hint="eastAsia" w:ascii="宋体" w:hAnsi="宋体" w:eastAsia="宋体" w:cs="宋体"/>
          <w:color w:val="auto"/>
          <w:sz w:val="21"/>
          <w:szCs w:val="21"/>
          <w:highlight w:val="none"/>
        </w:rPr>
        <w:t>，乙方提供产品及相关快递服务</w:t>
      </w:r>
      <w:r>
        <w:rPr>
          <w:rFonts w:hint="eastAsia" w:ascii="宋体" w:hAnsi="宋体" w:eastAsia="宋体" w:cs="宋体"/>
          <w:color w:val="auto"/>
          <w:sz w:val="21"/>
          <w:szCs w:val="21"/>
          <w:highlight w:val="none"/>
          <w:lang w:val="en-US" w:eastAsia="zh-CN"/>
        </w:rPr>
        <w:t>涉及到</w:t>
      </w:r>
      <w:r>
        <w:rPr>
          <w:rFonts w:hint="eastAsia" w:ascii="宋体" w:hAnsi="宋体" w:eastAsia="宋体" w:cs="宋体"/>
          <w:color w:val="auto"/>
          <w:sz w:val="21"/>
          <w:szCs w:val="21"/>
          <w:highlight w:val="none"/>
        </w:rPr>
        <w:t>具体包装要求</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应</w:t>
      </w:r>
      <w:r>
        <w:rPr>
          <w:rFonts w:hint="eastAsia" w:ascii="宋体" w:hAnsi="宋体" w:eastAsia="宋体" w:cs="宋体"/>
          <w:color w:val="auto"/>
          <w:sz w:val="21"/>
          <w:szCs w:val="21"/>
          <w:highlight w:val="none"/>
          <w:lang w:val="en-US" w:eastAsia="zh-CN"/>
        </w:rPr>
        <w:t>不低于</w:t>
      </w:r>
      <w:r>
        <w:rPr>
          <w:rFonts w:hint="eastAsia" w:ascii="宋体" w:hAnsi="宋体" w:eastAsia="宋体" w:cs="宋体"/>
          <w:color w:val="auto"/>
          <w:sz w:val="21"/>
          <w:szCs w:val="21"/>
          <w:highlight w:val="none"/>
        </w:rPr>
        <w:t>《商品包装政府采购需求标准（试行）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快递包装政府采购需求标准（试行）》</w:t>
      </w:r>
      <w:r>
        <w:rPr>
          <w:rFonts w:hint="eastAsia" w:ascii="宋体" w:hAnsi="宋体" w:eastAsia="宋体" w:cs="宋体"/>
          <w:color w:val="auto"/>
          <w:sz w:val="21"/>
          <w:szCs w:val="21"/>
          <w:highlight w:val="none"/>
          <w:lang w:val="en-US" w:eastAsia="zh-CN"/>
        </w:rPr>
        <w:t>标准</w:t>
      </w:r>
      <w:r>
        <w:rPr>
          <w:rFonts w:hint="eastAsia" w:ascii="宋体" w:hAnsi="宋体" w:eastAsia="宋体" w:cs="宋体"/>
          <w:color w:val="auto"/>
          <w:sz w:val="21"/>
          <w:szCs w:val="21"/>
          <w:highlight w:val="none"/>
        </w:rPr>
        <w:t>，并作为履约验收的内容，必要时甲方可以要求乙方在履约验收环节出具检测报告。</w:t>
      </w:r>
    </w:p>
    <w:p w14:paraId="75C8252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7.5 </w:t>
      </w:r>
      <w:r>
        <w:rPr>
          <w:rFonts w:hint="eastAsia" w:ascii="宋体" w:hAnsi="宋体" w:eastAsia="宋体" w:cs="宋体"/>
          <w:color w:val="auto"/>
          <w:sz w:val="21"/>
          <w:szCs w:val="21"/>
          <w:highlight w:val="none"/>
        </w:rPr>
        <w:t>乙方在运输到达之前</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提前通知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，并提示货物运输装卸的注意事项</w:t>
      </w:r>
      <w:r>
        <w:rPr>
          <w:rFonts w:hint="eastAsia" w:ascii="宋体" w:hAnsi="宋体" w:eastAsia="宋体" w:cs="宋体"/>
          <w:color w:val="auto"/>
          <w:sz w:val="21"/>
          <w:szCs w:val="21"/>
          <w:highlight w:val="none"/>
          <w:lang w:eastAsia="zh-CN"/>
        </w:rPr>
        <w:t>，甲方配合乙方做好货物的接收工作。</w:t>
      </w:r>
    </w:p>
    <w:p w14:paraId="61EA2B6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7.6 如因包装、运输问题导致货物损毁、丢失或者品质下降，甲方有权要求降价、换货、拒收部分或整批货物，由此产生的费用和损失，均由乙方承担。</w:t>
      </w:r>
    </w:p>
    <w:p w14:paraId="0C3BDC71">
      <w:pPr>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8</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质量标准和保证</w:t>
      </w:r>
    </w:p>
    <w:p w14:paraId="78C974A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8.1 质量标准</w:t>
      </w:r>
    </w:p>
    <w:p w14:paraId="782CAF7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（1）本合同下</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的货物应符合</w:t>
      </w:r>
      <w:r>
        <w:rPr>
          <w:rFonts w:hint="eastAsia" w:ascii="宋体" w:hAnsi="宋体" w:eastAsia="宋体" w:cs="宋体"/>
          <w:color w:val="auto"/>
          <w:sz w:val="21"/>
          <w:szCs w:val="21"/>
          <w:highlight w:val="none"/>
          <w:lang w:eastAsia="zh-CN"/>
        </w:rPr>
        <w:t>合同约</w:t>
      </w:r>
      <w:r>
        <w:rPr>
          <w:rFonts w:hint="eastAsia" w:ascii="宋体" w:hAnsi="宋体" w:eastAsia="宋体" w:cs="宋体"/>
          <w:color w:val="auto"/>
          <w:sz w:val="21"/>
          <w:szCs w:val="21"/>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1"/>
          <w:szCs w:val="21"/>
          <w:highlight w:val="none"/>
          <w:lang w:eastAsia="zh-CN"/>
        </w:rPr>
        <w:t>。</w:t>
      </w:r>
    </w:p>
    <w:p w14:paraId="6ABE0BA0">
      <w:pPr>
        <w:pStyle w:val="15"/>
        <w:adjustRightInd w:val="0"/>
        <w:snapToGrid w:val="0"/>
        <w:spacing w:before="0" w:line="400" w:lineRule="exact"/>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（2）采用中华人民共和国法定计量单位。</w:t>
      </w:r>
    </w:p>
    <w:p w14:paraId="3ED1DED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（3）乙方所</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的货物应符合国家有关安全、环保、卫生</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规定。</w:t>
      </w:r>
    </w:p>
    <w:p w14:paraId="2A7B0FD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（4）乙方应向甲方提交所</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货物的技术文件，包括相应的中文技术文件，如：产品目录、图纸、操作手册、使用说明、维护手册或服务指南</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上述</w:t>
      </w:r>
      <w:r>
        <w:rPr>
          <w:rFonts w:hint="eastAsia" w:ascii="宋体" w:hAnsi="宋体" w:eastAsia="宋体" w:cs="宋体"/>
          <w:color w:val="auto"/>
          <w:sz w:val="21"/>
          <w:szCs w:val="21"/>
          <w:highlight w:val="none"/>
        </w:rPr>
        <w:t>文件应包装好随货物一同发运。</w:t>
      </w:r>
    </w:p>
    <w:p w14:paraId="5FC3931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8</w:t>
      </w:r>
      <w:r>
        <w:rPr>
          <w:rFonts w:hint="eastAsia" w:ascii="宋体" w:hAnsi="宋体" w:eastAsia="宋体" w:cs="宋体"/>
          <w:color w:val="auto"/>
          <w:sz w:val="21"/>
          <w:szCs w:val="21"/>
          <w:highlight w:val="none"/>
        </w:rPr>
        <w:t>.2 保证</w:t>
      </w:r>
    </w:p>
    <w:p w14:paraId="4546F63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（1）乙方应保证</w:t>
      </w:r>
      <w:r>
        <w:rPr>
          <w:rFonts w:hint="eastAsia" w:ascii="宋体" w:hAnsi="宋体" w:eastAsia="宋体" w:cs="宋体"/>
          <w:color w:val="auto"/>
          <w:sz w:val="21"/>
          <w:szCs w:val="21"/>
          <w:highlight w:val="none"/>
          <w:lang w:eastAsia="zh-CN"/>
        </w:rPr>
        <w:t>提供的货物</w:t>
      </w:r>
      <w:r>
        <w:rPr>
          <w:rFonts w:hint="eastAsia" w:ascii="宋体" w:hAnsi="宋体" w:eastAsia="宋体" w:cs="宋体"/>
          <w:color w:val="auto"/>
          <w:sz w:val="21"/>
          <w:szCs w:val="21"/>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 w:val="21"/>
          <w:szCs w:val="21"/>
          <w:highlight w:val="none"/>
          <w:lang w:eastAsia="zh-CN"/>
        </w:rPr>
        <w:t>备合同约定</w:t>
      </w:r>
      <w:r>
        <w:rPr>
          <w:rFonts w:hint="eastAsia" w:ascii="宋体" w:hAnsi="宋体" w:eastAsia="宋体" w:cs="宋体"/>
          <w:color w:val="auto"/>
          <w:sz w:val="21"/>
          <w:szCs w:val="21"/>
          <w:highlight w:val="none"/>
        </w:rPr>
        <w:t>的性能。</w:t>
      </w:r>
      <w:r>
        <w:rPr>
          <w:rFonts w:hint="eastAsia" w:ascii="宋体" w:hAnsi="宋体" w:eastAsia="宋体" w:cs="宋体"/>
          <w:color w:val="auto"/>
          <w:sz w:val="21"/>
          <w:szCs w:val="21"/>
          <w:highlight w:val="none"/>
          <w:lang w:eastAsia="zh-CN"/>
        </w:rPr>
        <w:t>存在</w:t>
      </w:r>
      <w:r>
        <w:rPr>
          <w:rFonts w:hint="eastAsia" w:ascii="宋体" w:hAnsi="宋体" w:eastAsia="宋体" w:cs="宋体"/>
          <w:color w:val="auto"/>
          <w:sz w:val="21"/>
          <w:szCs w:val="21"/>
          <w:highlight w:val="none"/>
        </w:rPr>
        <w:t>质量保证期的，货物最终交付验收</w:t>
      </w:r>
      <w:r>
        <w:rPr>
          <w:rFonts w:hint="eastAsia" w:ascii="宋体" w:hAnsi="宋体" w:eastAsia="宋体" w:cs="宋体"/>
          <w:color w:val="auto"/>
          <w:sz w:val="21"/>
          <w:szCs w:val="21"/>
          <w:highlight w:val="none"/>
          <w:lang w:eastAsia="zh-CN"/>
        </w:rPr>
        <w:t>合格</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eastAsia="zh-CN"/>
        </w:rPr>
        <w:t>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规定或乙方</w:t>
      </w:r>
      <w:r>
        <w:rPr>
          <w:rFonts w:hint="eastAsia" w:ascii="宋体" w:hAnsi="宋体" w:eastAsia="宋体" w:cs="宋体"/>
          <w:color w:val="auto"/>
          <w:sz w:val="21"/>
          <w:szCs w:val="21"/>
          <w:highlight w:val="none"/>
          <w:lang w:eastAsia="zh-CN"/>
        </w:rPr>
        <w:t>书面</w:t>
      </w:r>
      <w:r>
        <w:rPr>
          <w:rFonts w:hint="eastAsia" w:ascii="宋体" w:hAnsi="宋体" w:eastAsia="宋体" w:cs="宋体"/>
          <w:color w:val="auto"/>
          <w:sz w:val="21"/>
          <w:szCs w:val="21"/>
          <w:highlight w:val="none"/>
        </w:rPr>
        <w:t>承诺（两者以较长的为准）的质量保证期内，本保证保持有效。</w:t>
      </w:r>
    </w:p>
    <w:p w14:paraId="4BEB376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（2）在质量保证期内所发现的缺陷，甲方应尽快以书面形式通知乙方。</w:t>
      </w:r>
    </w:p>
    <w:p w14:paraId="4CF728C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（3）乙方收到通知后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规定的响应时间内以合理的速度免费维修或更换有缺陷的货物或部件。</w:t>
      </w:r>
    </w:p>
    <w:p w14:paraId="4284009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.1条规定以书面形式</w:t>
      </w:r>
      <w:r>
        <w:rPr>
          <w:rFonts w:hint="eastAsia" w:ascii="宋体" w:hAnsi="宋体" w:eastAsia="宋体" w:cs="宋体"/>
          <w:color w:val="auto"/>
          <w:sz w:val="21"/>
          <w:szCs w:val="21"/>
          <w:highlight w:val="none"/>
          <w:lang w:eastAsia="zh-CN"/>
        </w:rPr>
        <w:t>追究</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的违约责任</w:t>
      </w:r>
      <w:r>
        <w:rPr>
          <w:rFonts w:hint="eastAsia" w:ascii="宋体" w:hAnsi="宋体" w:eastAsia="宋体" w:cs="宋体"/>
          <w:color w:val="auto"/>
          <w:sz w:val="21"/>
          <w:szCs w:val="21"/>
          <w:highlight w:val="none"/>
        </w:rPr>
        <w:t>。</w:t>
      </w:r>
    </w:p>
    <w:p w14:paraId="1B4B553C">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1"/>
          <w:szCs w:val="21"/>
          <w:highlight w:val="none"/>
          <w:lang w:eastAsia="zh-CN"/>
        </w:rPr>
        <w:t>约定</w:t>
      </w:r>
      <w:r>
        <w:rPr>
          <w:rFonts w:hint="eastAsia" w:ascii="宋体" w:hAnsi="宋体" w:eastAsia="宋体" w:cs="宋体"/>
          <w:color w:val="auto"/>
          <w:sz w:val="21"/>
          <w:szCs w:val="21"/>
          <w:highlight w:val="none"/>
        </w:rPr>
        <w:t>对乙方行使的其他权利不受影响。</w:t>
      </w:r>
    </w:p>
    <w:p w14:paraId="37188F04">
      <w:p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9</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权利瑕疵担保</w:t>
      </w:r>
    </w:p>
    <w:p w14:paraId="60B5A9F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.1 乙方保证对其出售的货物享有合法的权利。</w:t>
      </w:r>
    </w:p>
    <w:p w14:paraId="4826C9A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.2 乙方保证在交付的货物上不存在抵押权等担保物权。</w:t>
      </w:r>
    </w:p>
    <w:p w14:paraId="0E9BCC9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.3 如甲方使用</w:t>
      </w:r>
      <w:r>
        <w:rPr>
          <w:rFonts w:hint="eastAsia" w:ascii="宋体" w:hAnsi="宋体" w:eastAsia="宋体" w:cs="宋体"/>
          <w:color w:val="auto"/>
          <w:sz w:val="21"/>
          <w:szCs w:val="21"/>
          <w:highlight w:val="none"/>
          <w:lang w:val="en-US" w:eastAsia="zh-CN"/>
        </w:rPr>
        <w:t>上述</w:t>
      </w:r>
      <w:r>
        <w:rPr>
          <w:rFonts w:hint="eastAsia" w:ascii="宋体" w:hAnsi="宋体" w:eastAsia="宋体" w:cs="宋体"/>
          <w:color w:val="auto"/>
          <w:sz w:val="21"/>
          <w:szCs w:val="21"/>
          <w:highlight w:val="none"/>
        </w:rPr>
        <w:t>货物构成</w:t>
      </w:r>
      <w:r>
        <w:rPr>
          <w:rFonts w:hint="eastAsia" w:ascii="宋体" w:hAnsi="宋体" w:eastAsia="宋体" w:cs="宋体"/>
          <w:color w:val="auto"/>
          <w:sz w:val="21"/>
          <w:szCs w:val="21"/>
          <w:highlight w:val="none"/>
          <w:lang w:val="en-US" w:eastAsia="zh-CN"/>
        </w:rPr>
        <w:t>对第三人</w:t>
      </w:r>
      <w:r>
        <w:rPr>
          <w:rFonts w:hint="eastAsia" w:ascii="宋体" w:hAnsi="宋体" w:eastAsia="宋体" w:cs="宋体"/>
          <w:color w:val="auto"/>
          <w:sz w:val="21"/>
          <w:szCs w:val="21"/>
          <w:highlight w:val="none"/>
        </w:rPr>
        <w:t>侵权的，则由乙方承担全部责任。</w:t>
      </w:r>
    </w:p>
    <w:p w14:paraId="4656B6A7">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0</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知识产权保护</w:t>
      </w:r>
    </w:p>
    <w:p w14:paraId="531EEA9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0</w:t>
      </w:r>
      <w:r>
        <w:rPr>
          <w:rFonts w:hint="eastAsia" w:ascii="宋体" w:hAnsi="宋体" w:eastAsia="宋体" w:cs="宋体"/>
          <w:color w:val="auto"/>
          <w:sz w:val="21"/>
          <w:szCs w:val="21"/>
          <w:highlight w:val="none"/>
        </w:rPr>
        <w:t>.1 乙方对其所销售的货物应当享有知识产权或经权利人合法授权，保证没有侵犯任何第三人的知识产权等权利。</w:t>
      </w:r>
      <w:bookmarkStart w:id="508" w:name="_Hlk163047038"/>
      <w:r>
        <w:rPr>
          <w:rFonts w:hint="eastAsia" w:ascii="宋体" w:hAnsi="宋体" w:eastAsia="宋体" w:cs="宋体"/>
          <w:color w:val="auto"/>
          <w:sz w:val="21"/>
          <w:szCs w:val="21"/>
          <w:highlight w:val="none"/>
        </w:rPr>
        <w:t>因违反前述约定对第三人构成侵权的，应当由乙方向第三人承担法律责任；甲方依法向第三人赔偿后，有权向乙方追偿。甲方有其他损失的，乙方应当赔偿</w:t>
      </w:r>
      <w:bookmarkEnd w:id="508"/>
      <w:r>
        <w:rPr>
          <w:rFonts w:hint="eastAsia" w:ascii="宋体" w:hAnsi="宋体" w:eastAsia="宋体" w:cs="宋体"/>
          <w:color w:val="auto"/>
          <w:sz w:val="21"/>
          <w:szCs w:val="21"/>
          <w:highlight w:val="none"/>
        </w:rPr>
        <w:t>。</w:t>
      </w:r>
    </w:p>
    <w:p w14:paraId="4D042765">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保密义务</w:t>
      </w:r>
    </w:p>
    <w:p w14:paraId="5C1F55B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11.1 </w:t>
      </w:r>
      <w:r>
        <w:rPr>
          <w:rFonts w:hint="eastAsia" w:ascii="宋体" w:hAnsi="宋体" w:eastAsia="宋体" w:cs="宋体"/>
          <w:color w:val="auto"/>
          <w:sz w:val="21"/>
          <w:szCs w:val="21"/>
          <w:highlight w:val="none"/>
        </w:rPr>
        <w:t>甲、乙双方</w:t>
      </w:r>
      <w:r>
        <w:rPr>
          <w:rFonts w:hint="eastAsia" w:ascii="宋体" w:hAnsi="宋体" w:eastAsia="宋体" w:cs="宋体"/>
          <w:color w:val="auto"/>
          <w:sz w:val="21"/>
          <w:szCs w:val="21"/>
          <w:highlight w:val="none"/>
          <w:lang w:eastAsia="zh-CN"/>
        </w:rPr>
        <w:t>对</w:t>
      </w:r>
      <w:r>
        <w:rPr>
          <w:rFonts w:hint="eastAsia" w:ascii="宋体" w:hAnsi="宋体" w:eastAsia="宋体" w:cs="宋体"/>
          <w:color w:val="auto"/>
          <w:sz w:val="21"/>
          <w:szCs w:val="21"/>
          <w:highlight w:val="none"/>
        </w:rPr>
        <w:t>采购和合同履行过程中所获悉的</w:t>
      </w:r>
      <w:r>
        <w:rPr>
          <w:rFonts w:hint="eastAsia" w:ascii="宋体" w:hAnsi="宋体" w:eastAsia="宋体" w:cs="宋体"/>
          <w:color w:val="auto"/>
          <w:sz w:val="21"/>
          <w:szCs w:val="21"/>
          <w:highlight w:val="none"/>
          <w:lang w:eastAsia="zh-CN"/>
        </w:rPr>
        <w:t>国家秘密、工作秘密、</w:t>
      </w:r>
      <w:r>
        <w:rPr>
          <w:rFonts w:hint="eastAsia" w:ascii="宋体" w:hAnsi="宋体" w:eastAsia="宋体" w:cs="宋体"/>
          <w:color w:val="auto"/>
          <w:sz w:val="21"/>
          <w:szCs w:val="21"/>
          <w:highlight w:val="none"/>
        </w:rPr>
        <w:t>商业秘密或者其他应当保密的信息，均有保密义务</w:t>
      </w:r>
      <w:r>
        <w:rPr>
          <w:rFonts w:hint="eastAsia" w:ascii="宋体" w:hAnsi="宋体" w:eastAsia="宋体" w:cs="宋体"/>
          <w:color w:val="auto"/>
          <w:sz w:val="21"/>
          <w:szCs w:val="21"/>
          <w:highlight w:val="none"/>
          <w:lang w:eastAsia="zh-CN"/>
        </w:rPr>
        <w:t>且不受合同有效期所限，直至该信息成为公开信息</w:t>
      </w:r>
      <w:r>
        <w:rPr>
          <w:rFonts w:hint="eastAsia" w:ascii="宋体" w:hAnsi="宋体" w:eastAsia="宋体" w:cs="宋体"/>
          <w:color w:val="auto"/>
          <w:sz w:val="21"/>
          <w:szCs w:val="21"/>
          <w:highlight w:val="none"/>
        </w:rPr>
        <w:t>。泄露、不正当地使用</w:t>
      </w:r>
      <w:r>
        <w:rPr>
          <w:rFonts w:hint="eastAsia" w:ascii="宋体" w:hAnsi="宋体" w:eastAsia="宋体" w:cs="宋体"/>
          <w:color w:val="auto"/>
          <w:sz w:val="21"/>
          <w:szCs w:val="21"/>
          <w:highlight w:val="none"/>
          <w:lang w:eastAsia="zh-CN"/>
        </w:rPr>
        <w:t>国家秘密、工作秘密、</w:t>
      </w:r>
      <w:r>
        <w:rPr>
          <w:rFonts w:hint="eastAsia" w:ascii="宋体" w:hAnsi="宋体" w:eastAsia="宋体" w:cs="宋体"/>
          <w:color w:val="auto"/>
          <w:sz w:val="21"/>
          <w:szCs w:val="21"/>
          <w:highlight w:val="none"/>
        </w:rPr>
        <w:t>商业秘密或者</w:t>
      </w:r>
      <w:r>
        <w:rPr>
          <w:rFonts w:hint="eastAsia" w:ascii="宋体" w:hAnsi="宋体" w:eastAsia="宋体" w:cs="宋体"/>
          <w:color w:val="auto"/>
          <w:sz w:val="21"/>
          <w:szCs w:val="21"/>
          <w:highlight w:val="none"/>
          <w:lang w:eastAsia="zh-CN"/>
        </w:rPr>
        <w:t>其他应当保密的</w:t>
      </w:r>
      <w:r>
        <w:rPr>
          <w:rFonts w:hint="eastAsia" w:ascii="宋体" w:hAnsi="宋体" w:eastAsia="宋体" w:cs="宋体"/>
          <w:color w:val="auto"/>
          <w:sz w:val="21"/>
          <w:szCs w:val="21"/>
          <w:highlight w:val="none"/>
        </w:rPr>
        <w:t>信息，应当承担</w:t>
      </w:r>
      <w:r>
        <w:rPr>
          <w:rFonts w:hint="eastAsia" w:ascii="宋体" w:hAnsi="宋体" w:eastAsia="宋体" w:cs="宋体"/>
          <w:color w:val="auto"/>
          <w:sz w:val="21"/>
          <w:szCs w:val="21"/>
          <w:highlight w:val="none"/>
          <w:lang w:eastAsia="zh-CN"/>
        </w:rPr>
        <w:t>相应</w:t>
      </w:r>
      <w:r>
        <w:rPr>
          <w:rFonts w:hint="eastAsia" w:ascii="宋体" w:hAnsi="宋体" w:eastAsia="宋体" w:cs="宋体"/>
          <w:color w:val="auto"/>
          <w:sz w:val="21"/>
          <w:szCs w:val="21"/>
          <w:highlight w:val="none"/>
        </w:rPr>
        <w:t>责任。其他应当保密的信息由双方在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中约定。</w:t>
      </w:r>
    </w:p>
    <w:p w14:paraId="6020AC62">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2</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合同价款支付</w:t>
      </w:r>
    </w:p>
    <w:p w14:paraId="38455F66">
      <w:pPr>
        <w:autoSpaceDE/>
        <w:autoSpaceDN/>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合同价款支付</w:t>
      </w:r>
      <w:r>
        <w:rPr>
          <w:rFonts w:hint="eastAsia" w:ascii="宋体" w:hAnsi="宋体" w:eastAsia="宋体" w:cs="宋体"/>
          <w:color w:val="auto"/>
          <w:sz w:val="21"/>
          <w:szCs w:val="21"/>
          <w:highlight w:val="none"/>
        </w:rPr>
        <w:t>按照国库集中支付</w:t>
      </w:r>
      <w:r>
        <w:rPr>
          <w:rFonts w:hint="eastAsia" w:ascii="宋体" w:hAnsi="宋体" w:eastAsia="宋体" w:cs="宋体"/>
          <w:color w:val="auto"/>
          <w:sz w:val="21"/>
          <w:szCs w:val="21"/>
          <w:highlight w:val="none"/>
          <w:lang w:eastAsia="zh-CN"/>
        </w:rPr>
        <w:t>制度及财政管理相关</w:t>
      </w:r>
      <w:r>
        <w:rPr>
          <w:rFonts w:hint="eastAsia" w:ascii="宋体" w:hAnsi="宋体" w:eastAsia="宋体" w:cs="宋体"/>
          <w:color w:val="auto"/>
          <w:sz w:val="21"/>
          <w:szCs w:val="21"/>
          <w:highlight w:val="none"/>
        </w:rPr>
        <w:t>规定执行。</w:t>
      </w:r>
    </w:p>
    <w:p w14:paraId="38074FA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12.2 对于满足合同约定支付条件的，甲方原则上应当自收到发票后10个工作日内将资</w:t>
      </w:r>
      <w:r>
        <w:rPr>
          <w:rFonts w:hint="eastAsia" w:ascii="宋体" w:hAnsi="宋体" w:eastAsia="宋体" w:cs="宋体"/>
          <w:color w:val="auto"/>
          <w:sz w:val="21"/>
          <w:szCs w:val="21"/>
          <w:highlight w:val="none"/>
        </w:rPr>
        <w:t>金支付到合同约定的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账户，不得以机构变动、人员更替、政策调整等为由迟延付款，不得将采购文件和合同中未规定的义务作为向</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付款的条件。具体合同价款支付时间在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约</w:t>
      </w:r>
      <w:r>
        <w:rPr>
          <w:rFonts w:hint="eastAsia" w:ascii="宋体" w:hAnsi="宋体" w:eastAsia="宋体" w:cs="宋体"/>
          <w:color w:val="auto"/>
          <w:sz w:val="21"/>
          <w:szCs w:val="21"/>
          <w:highlight w:val="none"/>
        </w:rPr>
        <w:t>定。</w:t>
      </w:r>
    </w:p>
    <w:p w14:paraId="45BB0325">
      <w:pPr>
        <w:pStyle w:val="11"/>
        <w:spacing w:after="0"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3</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履约保证金</w:t>
      </w:r>
    </w:p>
    <w:p w14:paraId="0313A9F7">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.1 乙方应当以支票、汇票、本票或者金融机构、担保机构出具的保函等非现金形式提交。</w:t>
      </w:r>
    </w:p>
    <w:p w14:paraId="06DF1D5E">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.2 如果乙方</w:t>
      </w:r>
      <w:r>
        <w:rPr>
          <w:rFonts w:hint="eastAsia" w:ascii="宋体" w:hAnsi="宋体" w:eastAsia="宋体" w:cs="宋体"/>
          <w:color w:val="auto"/>
          <w:sz w:val="21"/>
          <w:szCs w:val="21"/>
          <w:highlight w:val="none"/>
          <w:lang w:eastAsia="zh-CN"/>
        </w:rPr>
        <w:t>出现</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b w:val="0"/>
          <w:bCs w:val="0"/>
          <w:color w:val="auto"/>
          <w:sz w:val="21"/>
          <w:szCs w:val="21"/>
          <w:highlight w:val="none"/>
          <w:lang w:eastAsia="zh-CN"/>
        </w:rPr>
        <w:t>约定情形的</w:t>
      </w:r>
      <w:r>
        <w:rPr>
          <w:rFonts w:hint="eastAsia" w:ascii="宋体" w:hAnsi="宋体" w:eastAsia="宋体" w:cs="宋体"/>
          <w:color w:val="auto"/>
          <w:sz w:val="21"/>
          <w:szCs w:val="21"/>
          <w:highlight w:val="none"/>
        </w:rPr>
        <w:t>，履约保证金不予退还；如果乙方未能按合同约定全面履行义务，甲方有权从履约保证金中取得补偿或赔偿，</w:t>
      </w:r>
      <w:r>
        <w:rPr>
          <w:rFonts w:hint="eastAsia" w:ascii="宋体" w:hAnsi="宋体" w:eastAsia="宋体" w:cs="宋体"/>
          <w:color w:val="auto"/>
          <w:sz w:val="21"/>
          <w:szCs w:val="21"/>
          <w:highlight w:val="none"/>
          <w:lang w:eastAsia="zh-CN"/>
        </w:rPr>
        <w:t>且</w:t>
      </w:r>
      <w:r>
        <w:rPr>
          <w:rFonts w:hint="eastAsia" w:ascii="宋体" w:hAnsi="宋体" w:eastAsia="宋体" w:cs="宋体"/>
          <w:color w:val="auto"/>
          <w:sz w:val="21"/>
          <w:szCs w:val="21"/>
          <w:highlight w:val="none"/>
        </w:rPr>
        <w:t>不影响甲方要求乙方承担合同约定的超过履约保证金的违约责任的权利。</w:t>
      </w:r>
    </w:p>
    <w:p w14:paraId="16547B4D">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.3 甲方在项目通过验收后按照</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规定的时间内将履约保证金退还乙方；逾期退还的，乙方可要求甲方支付违约金，违约金按照</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规定支付。</w:t>
      </w:r>
    </w:p>
    <w:p w14:paraId="4954E92D">
      <w:p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4</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color w:val="auto"/>
          <w:sz w:val="21"/>
          <w:szCs w:val="21"/>
          <w:highlight w:val="none"/>
        </w:rPr>
        <w:t>售后服务</w:t>
      </w:r>
    </w:p>
    <w:p w14:paraId="320EC15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.1 除项目不涉及或采购活动中明确约定无须承担外，乙方还应提供下列服务：</w:t>
      </w:r>
    </w:p>
    <w:p w14:paraId="3ECD9DA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（1）货物的现场移动、安装、调试、启动监督及技术支持；</w:t>
      </w:r>
    </w:p>
    <w:p w14:paraId="6B57FC29">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（2）提供货物组装和维修所需的专用工具和辅助材料；</w:t>
      </w:r>
    </w:p>
    <w:p w14:paraId="43D665C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lang w:eastAsia="zh-CN"/>
        </w:rPr>
        <w:t>约定</w:t>
      </w:r>
      <w:r>
        <w:rPr>
          <w:rFonts w:hint="eastAsia" w:ascii="宋体" w:hAnsi="宋体" w:eastAsia="宋体" w:cs="宋体"/>
          <w:color w:val="auto"/>
          <w:sz w:val="21"/>
          <w:szCs w:val="21"/>
          <w:highlight w:val="none"/>
        </w:rPr>
        <w:t>的期限内对所有的货物实施运行监督、维修，但前提条件是该服务并不能免除乙方在质量保证期内所承担的义务；</w:t>
      </w:r>
    </w:p>
    <w:p w14:paraId="5DA4D1D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（4）在制造商</w:t>
      </w:r>
      <w:r>
        <w:rPr>
          <w:rFonts w:hint="eastAsia" w:ascii="宋体" w:hAnsi="宋体" w:eastAsia="宋体" w:cs="宋体"/>
          <w:color w:val="auto"/>
          <w:sz w:val="21"/>
          <w:szCs w:val="21"/>
          <w:highlight w:val="none"/>
          <w:lang w:eastAsia="zh-CN"/>
        </w:rPr>
        <w:t>所在地</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指定</w:t>
      </w:r>
      <w:r>
        <w:rPr>
          <w:rFonts w:hint="eastAsia" w:ascii="宋体" w:hAnsi="宋体" w:eastAsia="宋体" w:cs="宋体"/>
          <w:color w:val="auto"/>
          <w:sz w:val="21"/>
          <w:szCs w:val="21"/>
          <w:highlight w:val="none"/>
        </w:rPr>
        <w:t>现场就货物的安装、启动、运营、维护</w:t>
      </w:r>
      <w:r>
        <w:rPr>
          <w:rFonts w:hint="eastAsia" w:ascii="宋体" w:hAnsi="宋体" w:eastAsia="宋体" w:cs="宋体"/>
          <w:color w:val="auto"/>
          <w:sz w:val="21"/>
          <w:szCs w:val="21"/>
          <w:highlight w:val="none"/>
          <w:lang w:eastAsia="zh-CN"/>
        </w:rPr>
        <w:t>、废弃处置等</w:t>
      </w:r>
      <w:r>
        <w:rPr>
          <w:rFonts w:hint="eastAsia" w:ascii="宋体" w:hAnsi="宋体" w:eastAsia="宋体" w:cs="宋体"/>
          <w:color w:val="auto"/>
          <w:sz w:val="21"/>
          <w:szCs w:val="21"/>
          <w:highlight w:val="none"/>
        </w:rPr>
        <w:t>对甲方操作人员进行培训</w:t>
      </w:r>
      <w:r>
        <w:rPr>
          <w:rFonts w:hint="eastAsia" w:ascii="宋体" w:hAnsi="宋体" w:eastAsia="宋体" w:cs="宋体"/>
          <w:color w:val="auto"/>
          <w:sz w:val="21"/>
          <w:szCs w:val="21"/>
          <w:highlight w:val="none"/>
          <w:lang w:eastAsia="zh-CN"/>
        </w:rPr>
        <w:t>；</w:t>
      </w:r>
    </w:p>
    <w:p w14:paraId="7EC48CB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09D5F0B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规定由乙方提供的其他服务。</w:t>
      </w:r>
    </w:p>
    <w:p w14:paraId="2494E155">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 乙方提供的</w:t>
      </w:r>
      <w:r>
        <w:rPr>
          <w:rFonts w:hint="eastAsia" w:ascii="宋体" w:hAnsi="宋体" w:eastAsia="宋体" w:cs="宋体"/>
          <w:color w:val="auto"/>
          <w:sz w:val="21"/>
          <w:szCs w:val="21"/>
          <w:highlight w:val="none"/>
          <w:lang w:eastAsia="zh-CN"/>
        </w:rPr>
        <w:t>售后</w:t>
      </w:r>
      <w:r>
        <w:rPr>
          <w:rFonts w:hint="eastAsia" w:ascii="宋体" w:hAnsi="宋体" w:eastAsia="宋体" w:cs="宋体"/>
          <w:color w:val="auto"/>
          <w:sz w:val="21"/>
          <w:szCs w:val="21"/>
          <w:highlight w:val="none"/>
        </w:rPr>
        <w:t>服务的费用</w:t>
      </w:r>
      <w:r>
        <w:rPr>
          <w:rFonts w:hint="eastAsia" w:ascii="宋体" w:hAnsi="宋体" w:eastAsia="宋体" w:cs="宋体"/>
          <w:color w:val="auto"/>
          <w:sz w:val="21"/>
          <w:szCs w:val="21"/>
          <w:highlight w:val="none"/>
          <w:lang w:val="en-US" w:eastAsia="zh-CN"/>
        </w:rPr>
        <w:t>已</w:t>
      </w:r>
      <w:r>
        <w:rPr>
          <w:rFonts w:hint="eastAsia" w:ascii="宋体" w:hAnsi="宋体" w:eastAsia="宋体" w:cs="宋体"/>
          <w:color w:val="auto"/>
          <w:sz w:val="21"/>
          <w:szCs w:val="21"/>
          <w:highlight w:val="none"/>
        </w:rPr>
        <w:t>包含在合同价款中，甲方不再另行支付。</w:t>
      </w:r>
    </w:p>
    <w:p w14:paraId="35E4430E">
      <w:p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5</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违约责任</w:t>
      </w:r>
    </w:p>
    <w:p w14:paraId="5F3BFA37">
      <w:pPr>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.1质量瑕疵的</w:t>
      </w:r>
      <w:r>
        <w:rPr>
          <w:rFonts w:hint="eastAsia" w:ascii="宋体" w:hAnsi="宋体" w:eastAsia="宋体" w:cs="宋体"/>
          <w:bCs/>
          <w:color w:val="auto"/>
          <w:sz w:val="21"/>
          <w:szCs w:val="21"/>
          <w:highlight w:val="none"/>
          <w:lang w:eastAsia="zh-CN"/>
        </w:rPr>
        <w:t>违约责任</w:t>
      </w:r>
    </w:p>
    <w:p w14:paraId="10046DD5">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的产品不符合</w:t>
      </w:r>
      <w:r>
        <w:rPr>
          <w:rFonts w:hint="eastAsia" w:ascii="宋体" w:hAnsi="宋体" w:eastAsia="宋体" w:cs="宋体"/>
          <w:color w:val="auto"/>
          <w:sz w:val="21"/>
          <w:szCs w:val="21"/>
          <w:highlight w:val="none"/>
          <w:lang w:eastAsia="zh-CN"/>
        </w:rPr>
        <w:t>合同约定的</w:t>
      </w:r>
      <w:r>
        <w:rPr>
          <w:rFonts w:hint="eastAsia" w:ascii="宋体" w:hAnsi="宋体" w:eastAsia="宋体" w:cs="宋体"/>
          <w:color w:val="auto"/>
          <w:sz w:val="21"/>
          <w:szCs w:val="21"/>
          <w:highlight w:val="none"/>
        </w:rPr>
        <w:t>质量标准或存在产品质量缺陷，</w:t>
      </w:r>
      <w:r>
        <w:rPr>
          <w:rFonts w:hint="eastAsia" w:ascii="宋体" w:hAnsi="宋体" w:eastAsia="宋体" w:cs="宋体"/>
          <w:color w:val="auto"/>
          <w:sz w:val="21"/>
          <w:szCs w:val="21"/>
          <w:highlight w:val="none"/>
          <w:lang w:eastAsia="zh-CN"/>
        </w:rPr>
        <w:t>甲方有权要求乙方根据</w:t>
      </w:r>
      <w:r>
        <w:rPr>
          <w:rFonts w:hint="eastAsia" w:ascii="宋体" w:hAnsi="宋体" w:eastAsia="宋体" w:cs="宋体"/>
          <w:b/>
          <w:color w:val="auto"/>
          <w:sz w:val="21"/>
          <w:szCs w:val="21"/>
          <w:highlight w:val="none"/>
        </w:rPr>
        <w:t>【政府采购合同专用条款】</w:t>
      </w:r>
      <w:r>
        <w:rPr>
          <w:rFonts w:hint="eastAsia" w:ascii="宋体" w:hAnsi="宋体" w:eastAsia="宋体" w:cs="宋体"/>
          <w:b w:val="0"/>
          <w:bCs/>
          <w:color w:val="auto"/>
          <w:sz w:val="21"/>
          <w:szCs w:val="21"/>
          <w:highlight w:val="none"/>
          <w:lang w:eastAsia="zh-CN"/>
        </w:rPr>
        <w:t>要求</w:t>
      </w:r>
      <w:r>
        <w:rPr>
          <w:rFonts w:hint="eastAsia" w:ascii="宋体" w:hAnsi="宋体" w:eastAsia="宋体" w:cs="宋体"/>
          <w:color w:val="auto"/>
          <w:sz w:val="21"/>
          <w:szCs w:val="21"/>
          <w:highlight w:val="none"/>
          <w:lang w:eastAsia="zh-CN"/>
        </w:rPr>
        <w:t>及时修理、重作、更换，并承担由此给甲</w:t>
      </w:r>
      <w:r>
        <w:rPr>
          <w:rFonts w:hint="eastAsia" w:ascii="宋体" w:hAnsi="宋体" w:eastAsia="宋体" w:cs="宋体"/>
          <w:color w:val="auto"/>
          <w:sz w:val="21"/>
          <w:szCs w:val="21"/>
          <w:highlight w:val="none"/>
        </w:rPr>
        <w:t>方</w:t>
      </w:r>
      <w:r>
        <w:rPr>
          <w:rFonts w:hint="eastAsia" w:ascii="宋体" w:hAnsi="宋体" w:eastAsia="宋体" w:cs="宋体"/>
          <w:color w:val="auto"/>
          <w:sz w:val="21"/>
          <w:szCs w:val="21"/>
          <w:highlight w:val="none"/>
          <w:lang w:eastAsia="zh-CN"/>
        </w:rPr>
        <w:t>造成的损失</w:t>
      </w:r>
      <w:r>
        <w:rPr>
          <w:rFonts w:hint="eastAsia" w:ascii="宋体" w:hAnsi="宋体" w:eastAsia="宋体" w:cs="宋体"/>
          <w:color w:val="auto"/>
          <w:sz w:val="21"/>
          <w:szCs w:val="21"/>
          <w:highlight w:val="none"/>
        </w:rPr>
        <w:t>。</w:t>
      </w:r>
    </w:p>
    <w:p w14:paraId="3E66E05F">
      <w:pPr>
        <w:autoSpaceDE w:val="0"/>
        <w:autoSpaceDN w:val="0"/>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.2 迟延交货的违约责任</w:t>
      </w:r>
    </w:p>
    <w:p w14:paraId="519FF69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（1）乙方应按照本合同规定的时间、地点交货和提供</w:t>
      </w:r>
      <w:r>
        <w:rPr>
          <w:rFonts w:hint="eastAsia" w:ascii="宋体" w:hAnsi="宋体" w:eastAsia="宋体" w:cs="宋体"/>
          <w:color w:val="auto"/>
          <w:sz w:val="21"/>
          <w:szCs w:val="21"/>
          <w:highlight w:val="none"/>
          <w:lang w:eastAsia="zh-CN"/>
        </w:rPr>
        <w:t>相关</w:t>
      </w:r>
      <w:r>
        <w:rPr>
          <w:rFonts w:hint="eastAsia" w:ascii="宋体" w:hAnsi="宋体" w:eastAsia="宋体" w:cs="宋体"/>
          <w:color w:val="auto"/>
          <w:sz w:val="21"/>
          <w:szCs w:val="21"/>
          <w:highlight w:val="none"/>
        </w:rPr>
        <w:t>服务。在履行合同过程中，如果乙方遇到可能</w:t>
      </w:r>
      <w:r>
        <w:rPr>
          <w:rFonts w:hint="eastAsia" w:ascii="宋体" w:hAnsi="宋体" w:eastAsia="宋体" w:cs="宋体"/>
          <w:color w:val="auto"/>
          <w:sz w:val="21"/>
          <w:szCs w:val="21"/>
          <w:highlight w:val="none"/>
          <w:lang w:eastAsia="zh-CN"/>
        </w:rPr>
        <w:t>影响</w:t>
      </w:r>
      <w:r>
        <w:rPr>
          <w:rFonts w:hint="eastAsia" w:ascii="宋体" w:hAnsi="宋体" w:eastAsia="宋体" w:cs="宋体"/>
          <w:color w:val="auto"/>
          <w:sz w:val="21"/>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1"/>
          <w:szCs w:val="21"/>
          <w:highlight w:val="none"/>
          <w:lang w:eastAsia="zh-CN"/>
        </w:rPr>
        <w:t>长</w:t>
      </w:r>
      <w:r>
        <w:rPr>
          <w:rFonts w:hint="eastAsia" w:ascii="宋体" w:hAnsi="宋体" w:eastAsia="宋体" w:cs="宋体"/>
          <w:color w:val="auto"/>
          <w:sz w:val="21"/>
          <w:szCs w:val="21"/>
          <w:highlight w:val="none"/>
        </w:rPr>
        <w:t>交货时间或延期提供服务。</w:t>
      </w:r>
    </w:p>
    <w:p w14:paraId="574B90A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（2）如果乙方没有按照合同规定的时间交货和提供</w:t>
      </w:r>
      <w:r>
        <w:rPr>
          <w:rFonts w:hint="eastAsia" w:ascii="宋体" w:hAnsi="宋体" w:eastAsia="宋体" w:cs="宋体"/>
          <w:color w:val="auto"/>
          <w:sz w:val="21"/>
          <w:szCs w:val="21"/>
          <w:highlight w:val="none"/>
          <w:lang w:eastAsia="zh-CN"/>
        </w:rPr>
        <w:t>相关</w:t>
      </w:r>
      <w:r>
        <w:rPr>
          <w:rFonts w:hint="eastAsia" w:ascii="宋体" w:hAnsi="宋体" w:eastAsia="宋体" w:cs="宋体"/>
          <w:color w:val="auto"/>
          <w:sz w:val="21"/>
          <w:szCs w:val="21"/>
          <w:highlight w:val="none"/>
        </w:rPr>
        <w:t>服务，甲方有权从货款中扣除误期赔偿费而不影响合同项下的其他补救方法，赔偿费按</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规定执行。如果涉及公共利益，且赔偿金额无法弥补公共利益损失，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可要求继续履行或者</w:t>
      </w:r>
      <w:r>
        <w:rPr>
          <w:rFonts w:hint="eastAsia" w:ascii="宋体" w:hAnsi="宋体" w:eastAsia="宋体" w:cs="宋体"/>
          <w:color w:val="auto"/>
          <w:sz w:val="21"/>
          <w:szCs w:val="21"/>
          <w:highlight w:val="none"/>
          <w:lang w:eastAsia="zh-CN"/>
        </w:rPr>
        <w:t>采取其他补救措施</w:t>
      </w:r>
      <w:r>
        <w:rPr>
          <w:rFonts w:hint="eastAsia" w:ascii="宋体" w:hAnsi="宋体" w:eastAsia="宋体" w:cs="宋体"/>
          <w:color w:val="auto"/>
          <w:sz w:val="21"/>
          <w:szCs w:val="21"/>
          <w:highlight w:val="none"/>
        </w:rPr>
        <w:t>。</w:t>
      </w:r>
    </w:p>
    <w:p w14:paraId="126C763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.3 迟延支付的违约责任</w:t>
      </w:r>
    </w:p>
    <w:p w14:paraId="78A323C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甲方存在迟延支付乙方合同款项的，应当承担</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规定的逾期付款利息。</w:t>
      </w:r>
    </w:p>
    <w:p w14:paraId="052C89D5">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.4其他违约责任根据项目实际需要按</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规定执行。</w:t>
      </w:r>
    </w:p>
    <w:p w14:paraId="7855D81E">
      <w:pPr>
        <w:numPr>
          <w:ilvl w:val="0"/>
          <w:numId w:val="5"/>
        </w:num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合同变更</w:t>
      </w:r>
      <w:r>
        <w:rPr>
          <w:rFonts w:hint="eastAsia" w:ascii="宋体" w:hAnsi="宋体" w:eastAsia="宋体" w:cs="宋体"/>
          <w:b/>
          <w:color w:val="auto"/>
          <w:sz w:val="21"/>
          <w:szCs w:val="21"/>
          <w:highlight w:val="none"/>
          <w:lang w:eastAsia="zh-CN"/>
        </w:rPr>
        <w:t>、中止与终止</w:t>
      </w:r>
    </w:p>
    <w:p w14:paraId="5E65161B">
      <w:pPr>
        <w:autoSpaceDE/>
        <w:autoSpaceDN/>
        <w:adjustRightInd w:val="0"/>
        <w:snapToGrid w:val="0"/>
        <w:spacing w:before="0" w:line="4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.1合同的</w:t>
      </w:r>
      <w:r>
        <w:rPr>
          <w:rFonts w:hint="eastAsia" w:ascii="宋体" w:hAnsi="宋体" w:eastAsia="宋体" w:cs="宋体"/>
          <w:color w:val="auto"/>
          <w:sz w:val="21"/>
          <w:szCs w:val="21"/>
          <w:highlight w:val="none"/>
          <w:lang w:eastAsia="zh-CN"/>
        </w:rPr>
        <w:t>变更</w:t>
      </w:r>
    </w:p>
    <w:p w14:paraId="4CBD5EC5">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政府采购合同履行中，</w:t>
      </w:r>
      <w:r>
        <w:rPr>
          <w:rFonts w:hint="eastAsia" w:ascii="宋体" w:hAnsi="宋体" w:eastAsia="宋体" w:cs="宋体"/>
          <w:color w:val="auto"/>
          <w:sz w:val="21"/>
          <w:szCs w:val="21"/>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1"/>
          <w:szCs w:val="21"/>
          <w:highlight w:val="none"/>
          <w:lang w:eastAsia="zh-CN"/>
        </w:rPr>
        <w:t>一致后</w:t>
      </w:r>
      <w:r>
        <w:rPr>
          <w:rFonts w:hint="eastAsia" w:ascii="宋体" w:hAnsi="宋体" w:eastAsia="宋体" w:cs="宋体"/>
          <w:color w:val="auto"/>
          <w:sz w:val="21"/>
          <w:szCs w:val="21"/>
          <w:highlight w:val="none"/>
        </w:rPr>
        <w:t>签订补充协议。</w:t>
      </w:r>
    </w:p>
    <w:p w14:paraId="6E39273F">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合同的中止</w:t>
      </w:r>
    </w:p>
    <w:p w14:paraId="1F1AFF4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（1）合同履行过程中因供应商就采购文件、采购过程或结果提起投诉的，甲方认为有必要的，</w:t>
      </w:r>
      <w:r>
        <w:rPr>
          <w:rFonts w:hint="eastAsia" w:ascii="宋体" w:hAnsi="宋体" w:eastAsia="宋体" w:cs="宋体"/>
          <w:color w:val="auto"/>
          <w:sz w:val="21"/>
          <w:szCs w:val="21"/>
          <w:highlight w:val="none"/>
          <w:lang w:eastAsia="zh-CN"/>
        </w:rPr>
        <w:t>可以</w:t>
      </w:r>
      <w:r>
        <w:rPr>
          <w:rFonts w:hint="eastAsia" w:ascii="宋体" w:hAnsi="宋体" w:eastAsia="宋体" w:cs="宋体"/>
          <w:color w:val="auto"/>
          <w:sz w:val="21"/>
          <w:szCs w:val="21"/>
          <w:highlight w:val="none"/>
        </w:rPr>
        <w:t>中止合同的履行。</w:t>
      </w:r>
    </w:p>
    <w:p w14:paraId="2E04AE9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合同履行过程中，</w:t>
      </w:r>
      <w:r>
        <w:rPr>
          <w:rFonts w:hint="eastAsia" w:ascii="宋体" w:hAnsi="宋体" w:eastAsia="宋体" w:cs="宋体"/>
          <w:color w:val="auto"/>
          <w:sz w:val="21"/>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1"/>
          <w:szCs w:val="21"/>
          <w:highlight w:val="none"/>
          <w:lang w:eastAsia="zh-CN"/>
        </w:rPr>
        <w:t>，乙方有义务及时告知甲方</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eastAsia="zh-CN"/>
        </w:rPr>
        <w:t>有权</w:t>
      </w:r>
      <w:r>
        <w:rPr>
          <w:rFonts w:hint="eastAsia" w:ascii="宋体" w:hAnsi="宋体" w:eastAsia="宋体" w:cs="宋体"/>
          <w:color w:val="auto"/>
          <w:sz w:val="21"/>
          <w:szCs w:val="21"/>
          <w:highlight w:val="none"/>
        </w:rPr>
        <w:t>以书面形式通知乙方中止合同</w:t>
      </w:r>
      <w:r>
        <w:rPr>
          <w:rFonts w:hint="eastAsia" w:ascii="宋体" w:hAnsi="宋体" w:eastAsia="宋体" w:cs="宋体"/>
          <w:color w:val="auto"/>
          <w:sz w:val="21"/>
          <w:szCs w:val="21"/>
          <w:highlight w:val="none"/>
          <w:lang w:eastAsia="zh-CN"/>
        </w:rPr>
        <w:t>并要求乙方在合理期限内消除相关情形或者提供适当担保。</w:t>
      </w:r>
      <w:r>
        <w:rPr>
          <w:rFonts w:hint="eastAsia" w:ascii="宋体" w:hAnsi="宋体" w:eastAsia="宋体" w:cs="宋体"/>
          <w:color w:val="auto"/>
          <w:sz w:val="21"/>
          <w:szCs w:val="21"/>
          <w:highlight w:val="none"/>
        </w:rPr>
        <w:t>乙方提供适当担保的，</w:t>
      </w:r>
      <w:r>
        <w:rPr>
          <w:rFonts w:hint="eastAsia" w:ascii="宋体" w:hAnsi="宋体" w:eastAsia="宋体" w:cs="宋体"/>
          <w:color w:val="auto"/>
          <w:sz w:val="21"/>
          <w:szCs w:val="21"/>
          <w:highlight w:val="none"/>
          <w:lang w:eastAsia="zh-CN"/>
        </w:rPr>
        <w:t>合同继续</w:t>
      </w:r>
      <w:r>
        <w:rPr>
          <w:rFonts w:hint="eastAsia" w:ascii="宋体" w:hAnsi="宋体" w:eastAsia="宋体" w:cs="宋体"/>
          <w:color w:val="auto"/>
          <w:sz w:val="21"/>
          <w:szCs w:val="21"/>
          <w:highlight w:val="none"/>
        </w:rPr>
        <w:t>履行</w:t>
      </w:r>
      <w:r>
        <w:rPr>
          <w:rFonts w:hint="eastAsia" w:ascii="宋体" w:hAnsi="宋体" w:eastAsia="宋体" w:cs="宋体"/>
          <w:color w:val="auto"/>
          <w:sz w:val="21"/>
          <w:szCs w:val="21"/>
          <w:highlight w:val="none"/>
          <w:lang w:eastAsia="zh-CN"/>
        </w:rPr>
        <w:t>；乙</w:t>
      </w:r>
      <w:r>
        <w:rPr>
          <w:rFonts w:hint="eastAsia" w:ascii="宋体" w:hAnsi="宋体" w:eastAsia="宋体" w:cs="宋体"/>
          <w:color w:val="auto"/>
          <w:sz w:val="21"/>
          <w:szCs w:val="21"/>
          <w:highlight w:val="none"/>
        </w:rPr>
        <w:t>方在合理期限内未恢复履约能力且未提供适当担保的，视为拒绝</w:t>
      </w:r>
      <w:r>
        <w:rPr>
          <w:rFonts w:hint="eastAsia" w:ascii="宋体" w:hAnsi="宋体" w:eastAsia="宋体" w:cs="宋体"/>
          <w:color w:val="auto"/>
          <w:sz w:val="21"/>
          <w:szCs w:val="21"/>
          <w:highlight w:val="none"/>
          <w:lang w:eastAsia="zh-CN"/>
        </w:rPr>
        <w:t>继续</w:t>
      </w:r>
      <w:r>
        <w:rPr>
          <w:rFonts w:hint="eastAsia" w:ascii="宋体" w:hAnsi="宋体" w:eastAsia="宋体" w:cs="宋体"/>
          <w:color w:val="auto"/>
          <w:sz w:val="21"/>
          <w:szCs w:val="21"/>
          <w:highlight w:val="none"/>
        </w:rPr>
        <w:t>履约，甲方</w:t>
      </w:r>
      <w:r>
        <w:rPr>
          <w:rFonts w:hint="eastAsia" w:ascii="宋体" w:hAnsi="宋体" w:eastAsia="宋体" w:cs="宋体"/>
          <w:color w:val="auto"/>
          <w:sz w:val="21"/>
          <w:szCs w:val="21"/>
          <w:highlight w:val="none"/>
          <w:lang w:eastAsia="zh-CN"/>
        </w:rPr>
        <w:t>有权</w:t>
      </w:r>
      <w:r>
        <w:rPr>
          <w:rFonts w:hint="eastAsia" w:ascii="宋体" w:hAnsi="宋体" w:eastAsia="宋体" w:cs="宋体"/>
          <w:color w:val="auto"/>
          <w:sz w:val="21"/>
          <w:szCs w:val="21"/>
          <w:highlight w:val="none"/>
        </w:rPr>
        <w:t>解除合同并要求乙方承担</w:t>
      </w:r>
      <w:r>
        <w:rPr>
          <w:rFonts w:hint="eastAsia" w:ascii="宋体" w:hAnsi="宋体" w:eastAsia="宋体" w:cs="宋体"/>
          <w:color w:val="auto"/>
          <w:sz w:val="21"/>
          <w:szCs w:val="21"/>
          <w:highlight w:val="none"/>
          <w:lang w:eastAsia="zh-CN"/>
        </w:rPr>
        <w:t>由此给甲方造成的损失</w:t>
      </w:r>
      <w:r>
        <w:rPr>
          <w:rFonts w:hint="eastAsia" w:ascii="宋体" w:hAnsi="宋体" w:eastAsia="宋体" w:cs="宋体"/>
          <w:color w:val="auto"/>
          <w:sz w:val="21"/>
          <w:szCs w:val="21"/>
          <w:highlight w:val="none"/>
        </w:rPr>
        <w:t>。</w:t>
      </w:r>
    </w:p>
    <w:p w14:paraId="6572A06B">
      <w:pPr>
        <w:pStyle w:val="53"/>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14:paraId="2044A2DB">
      <w:pPr>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）甲方不得以行政区划调整、政府换届、机构或者职能调整以及相关责任人更替为由中止合同。</w:t>
      </w:r>
    </w:p>
    <w:p w14:paraId="03B561BB">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合同的终止</w:t>
      </w:r>
    </w:p>
    <w:p w14:paraId="65B89F6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（1）合同因有效期限届满而终止；</w:t>
      </w:r>
    </w:p>
    <w:p w14:paraId="45A3A798">
      <w:pPr>
        <w:snapToGrid w:val="0"/>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（2）乙方未</w:t>
      </w:r>
      <w:r>
        <w:rPr>
          <w:rFonts w:hint="eastAsia" w:ascii="宋体" w:hAnsi="宋体" w:eastAsia="宋体" w:cs="宋体"/>
          <w:color w:val="auto"/>
          <w:sz w:val="21"/>
          <w:szCs w:val="21"/>
          <w:highlight w:val="none"/>
          <w:lang w:eastAsia="zh-CN"/>
        </w:rPr>
        <w:t>按</w:t>
      </w:r>
      <w:r>
        <w:rPr>
          <w:rFonts w:hint="eastAsia" w:ascii="宋体" w:hAnsi="宋体" w:eastAsia="宋体" w:cs="宋体"/>
          <w:color w:val="auto"/>
          <w:sz w:val="21"/>
          <w:szCs w:val="21"/>
          <w:highlight w:val="none"/>
        </w:rPr>
        <w:t>合同约定履行，构成根本性违约的，甲方有权终止合同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并追究乙方的违约责</w:t>
      </w:r>
      <w:r>
        <w:rPr>
          <w:rFonts w:hint="eastAsia" w:ascii="宋体" w:hAnsi="宋体" w:eastAsia="宋体" w:cs="宋体"/>
          <w:color w:val="auto"/>
          <w:sz w:val="21"/>
          <w:szCs w:val="21"/>
          <w:highlight w:val="none"/>
          <w:lang w:val="en-US" w:eastAsia="zh-CN"/>
        </w:rPr>
        <w:t>任</w:t>
      </w:r>
      <w:r>
        <w:rPr>
          <w:rFonts w:hint="eastAsia" w:ascii="宋体" w:hAnsi="宋体" w:eastAsia="宋体" w:cs="宋体"/>
          <w:color w:val="auto"/>
          <w:sz w:val="21"/>
          <w:szCs w:val="21"/>
          <w:highlight w:val="none"/>
        </w:rPr>
        <w:t>。</w:t>
      </w:r>
    </w:p>
    <w:p w14:paraId="79C2D340">
      <w:pPr>
        <w:pStyle w:val="53"/>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16.4 涉及国家利益、社会公共利益的情形</w:t>
      </w:r>
    </w:p>
    <w:p w14:paraId="79D17D0C">
      <w:pPr>
        <w:pStyle w:val="53"/>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政府采购合同继续履行将损害国家利益和社会公共利益的，双方当事人应当变更、中止或者终止合同。有过错的一方应当承担赔偿责任，双方都有过错的，各自承担相应的责任。</w:t>
      </w:r>
    </w:p>
    <w:p w14:paraId="7EC7B5EB">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合同分包</w:t>
      </w:r>
    </w:p>
    <w:p w14:paraId="6D89ADB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 乙方不得</w:t>
      </w:r>
      <w:r>
        <w:rPr>
          <w:rFonts w:hint="eastAsia" w:ascii="宋体" w:hAnsi="宋体" w:eastAsia="宋体" w:cs="宋体"/>
          <w:color w:val="auto"/>
          <w:sz w:val="21"/>
          <w:szCs w:val="21"/>
          <w:highlight w:val="none"/>
          <w:lang w:eastAsia="zh-CN"/>
        </w:rPr>
        <w:t>将合同转包给其他供应商。涉及合同分包的，乙方</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lang w:eastAsia="zh-CN"/>
        </w:rPr>
        <w:t>根据采购文件和投标（响应）文件规定进行</w:t>
      </w:r>
      <w:r>
        <w:rPr>
          <w:rFonts w:hint="eastAsia" w:ascii="宋体" w:hAnsi="宋体" w:eastAsia="宋体" w:cs="宋体"/>
          <w:color w:val="auto"/>
          <w:sz w:val="21"/>
          <w:szCs w:val="21"/>
          <w:highlight w:val="none"/>
        </w:rPr>
        <w:t>合同分包。</w:t>
      </w:r>
    </w:p>
    <w:p w14:paraId="4E2456A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 乙方执行政府采购政策向中小企业依法分包的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乙方应当按采购文件</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投标（响应）文件签订分包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属于本合同组成部分。</w:t>
      </w:r>
    </w:p>
    <w:p w14:paraId="0DE4B7E3">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不可抗力</w:t>
      </w:r>
    </w:p>
    <w:p w14:paraId="79235879">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 不可抗力是指合同双方不能预见、不能避免且不能克服的客观情况。</w:t>
      </w:r>
    </w:p>
    <w:p w14:paraId="49CE309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 任何一方对由于不可抗力造成的部分或全部不能履行合同不承担违约责任。但迟延履行后发生不可抗力的，不能免除责任。</w:t>
      </w:r>
    </w:p>
    <w:p w14:paraId="4236B46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.3 遇有不可抗力的一方，应及时将事件情况以书面形式</w:t>
      </w:r>
      <w:r>
        <w:rPr>
          <w:rFonts w:hint="eastAsia" w:ascii="宋体" w:hAnsi="宋体" w:eastAsia="宋体" w:cs="宋体"/>
          <w:color w:val="auto"/>
          <w:sz w:val="21"/>
          <w:szCs w:val="21"/>
          <w:highlight w:val="none"/>
          <w:lang w:eastAsia="zh-CN"/>
        </w:rPr>
        <w:t>告</w:t>
      </w:r>
      <w:r>
        <w:rPr>
          <w:rFonts w:hint="eastAsia" w:ascii="宋体" w:hAnsi="宋体" w:eastAsia="宋体" w:cs="宋体"/>
          <w:color w:val="auto"/>
          <w:sz w:val="21"/>
          <w:szCs w:val="21"/>
          <w:highlight w:val="none"/>
        </w:rPr>
        <w:t>知另一方，并在事件发生后及时向另一方提交合同不能履行或部分不能履行或需要延期履行</w:t>
      </w:r>
      <w:r>
        <w:rPr>
          <w:rFonts w:hint="eastAsia" w:ascii="宋体" w:hAnsi="宋体" w:eastAsia="宋体" w:cs="宋体"/>
          <w:color w:val="auto"/>
          <w:sz w:val="21"/>
          <w:szCs w:val="21"/>
          <w:highlight w:val="none"/>
          <w:lang w:eastAsia="zh-CN"/>
        </w:rPr>
        <w:t>的详细</w:t>
      </w:r>
      <w:r>
        <w:rPr>
          <w:rFonts w:hint="eastAsia" w:ascii="宋体" w:hAnsi="宋体" w:eastAsia="宋体" w:cs="宋体"/>
          <w:color w:val="auto"/>
          <w:sz w:val="21"/>
          <w:szCs w:val="21"/>
          <w:highlight w:val="none"/>
        </w:rPr>
        <w:t>报告</w:t>
      </w:r>
      <w:r>
        <w:rPr>
          <w:rFonts w:hint="eastAsia" w:ascii="宋体" w:hAnsi="宋体" w:eastAsia="宋体" w:cs="宋体"/>
          <w:color w:val="auto"/>
          <w:sz w:val="21"/>
          <w:szCs w:val="21"/>
          <w:highlight w:val="none"/>
          <w:lang w:eastAsia="zh-CN"/>
        </w:rPr>
        <w:t>，以</w:t>
      </w:r>
      <w:r>
        <w:rPr>
          <w:rFonts w:hint="eastAsia" w:ascii="宋体" w:hAnsi="宋体" w:eastAsia="宋体" w:cs="宋体"/>
          <w:color w:val="auto"/>
          <w:sz w:val="21"/>
          <w:szCs w:val="21"/>
          <w:highlight w:val="none"/>
          <w:lang w:val="en-US" w:eastAsia="zh-CN"/>
        </w:rPr>
        <w:t>及证明不可抗力发生及其持续时间的证据</w:t>
      </w:r>
      <w:r>
        <w:rPr>
          <w:rFonts w:hint="eastAsia" w:ascii="宋体" w:hAnsi="宋体" w:eastAsia="宋体" w:cs="宋体"/>
          <w:color w:val="auto"/>
          <w:sz w:val="21"/>
          <w:szCs w:val="21"/>
          <w:highlight w:val="none"/>
        </w:rPr>
        <w:t>。</w:t>
      </w:r>
    </w:p>
    <w:p w14:paraId="5325BC21">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19</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解决争议的方法</w:t>
      </w:r>
    </w:p>
    <w:p w14:paraId="273A141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lang w:eastAsia="zh-CN"/>
        </w:rPr>
        <w:t>.1 因本合同及合同有关事项发生的争议，由甲乙双方友好协商解决。协商不成时，可以向有关组织申请调解。合同一方或双方不愿调解或调解不成的，可以通过仲裁或诉讼的方式解决争议。</w:t>
      </w:r>
    </w:p>
    <w:p w14:paraId="1247E86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19.2 选择仲裁的，应在</w:t>
      </w:r>
      <w:r>
        <w:rPr>
          <w:rFonts w:hint="eastAsia" w:ascii="宋体" w:hAnsi="宋体" w:eastAsia="宋体" w:cs="宋体"/>
          <w:b/>
          <w:bCs/>
          <w:color w:val="auto"/>
          <w:sz w:val="21"/>
          <w:szCs w:val="21"/>
          <w:highlight w:val="none"/>
          <w:lang w:val="en-US" w:eastAsia="zh-CN"/>
        </w:rPr>
        <w:t>【政府采购合同专用条款】</w:t>
      </w:r>
      <w:r>
        <w:rPr>
          <w:rFonts w:hint="eastAsia" w:ascii="宋体" w:hAnsi="宋体" w:eastAsia="宋体" w:cs="宋体"/>
          <w:color w:val="auto"/>
          <w:sz w:val="21"/>
          <w:szCs w:val="21"/>
          <w:highlight w:val="none"/>
          <w:lang w:val="en-US" w:eastAsia="zh-CN"/>
        </w:rPr>
        <w:t>中明确仲裁机构及仲裁地；通过诉讼方式解决的，可以在</w:t>
      </w:r>
      <w:r>
        <w:rPr>
          <w:rFonts w:hint="eastAsia" w:ascii="宋体" w:hAnsi="宋体" w:eastAsia="宋体" w:cs="宋体"/>
          <w:b/>
          <w:bCs/>
          <w:color w:val="auto"/>
          <w:sz w:val="21"/>
          <w:szCs w:val="21"/>
          <w:highlight w:val="none"/>
          <w:lang w:val="en-US" w:eastAsia="zh-CN"/>
        </w:rPr>
        <w:t>【政府采购合同专用条款】</w:t>
      </w:r>
      <w:r>
        <w:rPr>
          <w:rFonts w:hint="eastAsia" w:ascii="宋体" w:hAnsi="宋体" w:eastAsia="宋体" w:cs="宋体"/>
          <w:color w:val="auto"/>
          <w:sz w:val="21"/>
          <w:szCs w:val="21"/>
          <w:highlight w:val="none"/>
          <w:lang w:val="en-US" w:eastAsia="zh-CN"/>
        </w:rPr>
        <w:t>中进一步约定选择与争议有实际联系的地点的人民法院管辖，但管辖法院的约定不得违反级别管辖和专属管辖的规定。</w:t>
      </w:r>
    </w:p>
    <w:p w14:paraId="731E004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19.3 如甲乙双方有争议的事项不影响合同其他部分的履行，在争议解决期间，合同其他部分应当继续履行。</w:t>
      </w:r>
    </w:p>
    <w:p w14:paraId="60CA84D1">
      <w:pPr>
        <w:autoSpaceDE w:val="0"/>
        <w:autoSpaceDN w:val="0"/>
        <w:adjustRightInd w:val="0"/>
        <w:snapToGrid w:val="0"/>
        <w:spacing w:before="0" w:line="400" w:lineRule="exact"/>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20</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政府采购政策</w:t>
      </w:r>
    </w:p>
    <w:p w14:paraId="36C7711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20.1 </w:t>
      </w:r>
      <w:r>
        <w:rPr>
          <w:rFonts w:hint="eastAsia" w:ascii="宋体" w:hAnsi="宋体" w:eastAsia="宋体" w:cs="宋体"/>
          <w:color w:val="auto"/>
          <w:sz w:val="21"/>
          <w:szCs w:val="21"/>
          <w:highlight w:val="none"/>
          <w:lang w:val="en-GB"/>
        </w:rPr>
        <w:t>本合同应当按照规定执行政府采购政策。</w:t>
      </w:r>
    </w:p>
    <w:p w14:paraId="482CE31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本合同依法执行政府采购政策的方式和内容，属于合同履约验收的范围。</w:t>
      </w:r>
      <w:r>
        <w:rPr>
          <w:rFonts w:hint="eastAsia" w:ascii="宋体" w:hAnsi="宋体" w:eastAsia="宋体" w:cs="宋体"/>
          <w:color w:val="auto"/>
          <w:sz w:val="21"/>
          <w:szCs w:val="21"/>
          <w:highlight w:val="none"/>
          <w:lang w:eastAsia="zh-CN"/>
        </w:rPr>
        <w:t>甲乙双方</w:t>
      </w:r>
      <w:r>
        <w:rPr>
          <w:rFonts w:hint="eastAsia" w:ascii="宋体" w:hAnsi="宋体" w:eastAsia="宋体" w:cs="宋体"/>
          <w:color w:val="auto"/>
          <w:sz w:val="21"/>
          <w:szCs w:val="21"/>
          <w:highlight w:val="none"/>
          <w:lang w:val="en-GB"/>
        </w:rPr>
        <w:t>未按规定要求执行政府采购政策造成损失的</w:t>
      </w:r>
      <w:r>
        <w:rPr>
          <w:rFonts w:hint="eastAsia" w:ascii="宋体" w:hAnsi="宋体" w:eastAsia="宋体" w:cs="宋体"/>
          <w:color w:val="auto"/>
          <w:sz w:val="21"/>
          <w:szCs w:val="21"/>
          <w:highlight w:val="none"/>
        </w:rPr>
        <w:t>，有过错的一方应当承</w:t>
      </w:r>
      <w:r>
        <w:rPr>
          <w:rFonts w:hint="eastAsia" w:ascii="宋体" w:hAnsi="宋体" w:eastAsia="宋体" w:cs="宋体"/>
          <w:color w:val="auto"/>
          <w:sz w:val="21"/>
          <w:szCs w:val="21"/>
          <w:highlight w:val="none"/>
          <w:lang w:val="en-US" w:eastAsia="zh-CN"/>
        </w:rPr>
        <w:t>担赔偿责任，双方都有过错的，各自承担相应的责任。</w:t>
      </w:r>
    </w:p>
    <w:p w14:paraId="71D9C6B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w:t>
      </w:r>
      <w:r>
        <w:rPr>
          <w:rFonts w:hint="eastAsia" w:cs="宋体"/>
          <w:color w:val="auto"/>
          <w:sz w:val="21"/>
          <w:szCs w:val="21"/>
          <w:highlight w:val="none"/>
          <w:lang w:val="en-US" w:eastAsia="zh-CN"/>
        </w:rPr>
        <w:t>体</w:t>
      </w:r>
      <w:r>
        <w:rPr>
          <w:rFonts w:hint="eastAsia" w:ascii="宋体" w:hAnsi="宋体" w:eastAsia="宋体" w:cs="宋体"/>
          <w:color w:val="auto"/>
          <w:sz w:val="21"/>
          <w:szCs w:val="21"/>
          <w:highlight w:val="none"/>
          <w:lang w:val="en-US" w:eastAsia="zh-CN"/>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lang w:val="en-US" w:eastAsia="zh-CN"/>
        </w:rPr>
        <w:t>或者分包意向协议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lang w:val="en-US" w:eastAsia="zh-CN"/>
        </w:rPr>
        <w:t>作为采购合同的组成部分。</w:t>
      </w:r>
    </w:p>
    <w:p w14:paraId="71744EC9">
      <w:p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法律适用</w:t>
      </w:r>
    </w:p>
    <w:p w14:paraId="6D6CD66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 本合同的订立、生效、解释、履行及与本合同有关的争议解决，均适用法律、行政法规。</w:t>
      </w:r>
    </w:p>
    <w:p w14:paraId="76ACEE4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21.2 本合同条款与法律、行政法规的强制性规定不一致的，双方当事人应按照法律、行政法规的强制性规定修改本合同的相关条款。</w:t>
      </w:r>
    </w:p>
    <w:p w14:paraId="0F54506F">
      <w:pPr>
        <w:numPr>
          <w:ilvl w:val="-1"/>
          <w:numId w:val="0"/>
        </w:num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22. </w:t>
      </w:r>
      <w:r>
        <w:rPr>
          <w:rFonts w:hint="eastAsia" w:ascii="宋体" w:hAnsi="宋体" w:eastAsia="宋体" w:cs="宋体"/>
          <w:b/>
          <w:color w:val="auto"/>
          <w:sz w:val="21"/>
          <w:szCs w:val="21"/>
          <w:highlight w:val="none"/>
        </w:rPr>
        <w:t>通知</w:t>
      </w:r>
    </w:p>
    <w:p w14:paraId="511F968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 本合同任何一方向对方发出的通知、信件、数据电文等，应当发送至本合同第一部分《政府采购合同协议书》所约定的通讯地址、联系人、联系电话或电子邮箱。</w:t>
      </w:r>
    </w:p>
    <w:p w14:paraId="6C47E79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 一方当事人变更名称、住所、联系人、联系电话或电子邮箱等信息的，应当在变更后3日内及时书面通知对方，对方实际收到变更通知前的送达仍为有效送达。</w:t>
      </w:r>
    </w:p>
    <w:p w14:paraId="148F7E9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22.3本合同一方给另一方的通知均应采用书面形式，传真或快递送到本合</w:t>
      </w:r>
      <w:r>
        <w:rPr>
          <w:rFonts w:hint="eastAsia" w:ascii="宋体" w:hAnsi="宋体" w:eastAsia="宋体" w:cs="宋体"/>
          <w:color w:val="auto"/>
          <w:sz w:val="21"/>
          <w:szCs w:val="21"/>
          <w:highlight w:val="none"/>
        </w:rPr>
        <w:t>同中规定的对方的地址和办理签收手续。</w:t>
      </w:r>
    </w:p>
    <w:p w14:paraId="7FCC4F8F">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通知以送达之日或通知书中规定的生效之日起生效，两者中以较迟之日为准。</w:t>
      </w:r>
    </w:p>
    <w:p w14:paraId="64B12A61">
      <w:pPr>
        <w:numPr>
          <w:ilvl w:val="0"/>
          <w:numId w:val="6"/>
        </w:num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合同未尽事项</w:t>
      </w:r>
    </w:p>
    <w:p w14:paraId="0C4C4A66">
      <w:pPr>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.1合同未尽事项见</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w:t>
      </w:r>
    </w:p>
    <w:p w14:paraId="6FFEEE00">
      <w:pPr>
        <w:adjustRightInd w:val="0"/>
        <w:snapToGrid w:val="0"/>
        <w:spacing w:line="4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 xml:space="preserve">    23.2 合同附件与合同正文具有同等的法律效力。</w:t>
      </w:r>
      <w:bookmarkStart w:id="509" w:name="_Toc20313"/>
    </w:p>
    <w:p w14:paraId="03936042">
      <w:pPr>
        <w:adjustRightInd w:val="0"/>
        <w:snapToGrid w:val="0"/>
        <w:jc w:val="center"/>
        <w:rPr>
          <w:rFonts w:hint="eastAsia"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br w:type="page"/>
      </w:r>
    </w:p>
    <w:p w14:paraId="45D7FB51">
      <w:pPr>
        <w:pStyle w:val="3"/>
        <w:keepNext/>
        <w:keepLines/>
        <w:pageBreakBefore w:val="0"/>
        <w:widowControl w:val="0"/>
        <w:kinsoku/>
        <w:wordWrap/>
        <w:overflowPunct/>
        <w:topLinePunct w:val="0"/>
        <w:autoSpaceDE/>
        <w:autoSpaceDN/>
        <w:bidi w:val="0"/>
        <w:adjustRightInd w:val="0"/>
        <w:snapToGrid w:val="0"/>
        <w:spacing w:before="156" w:beforeLines="50" w:after="157" w:afterLines="50" w:line="240" w:lineRule="auto"/>
        <w:jc w:val="center"/>
        <w:textAlignment w:val="auto"/>
        <w:rPr>
          <w:rFonts w:hint="eastAsia" w:ascii="宋体" w:hAnsi="宋体" w:eastAsia="宋体" w:cs="宋体"/>
          <w:b/>
          <w:bCs/>
          <w:color w:val="auto"/>
          <w:sz w:val="36"/>
          <w:szCs w:val="36"/>
          <w:highlight w:val="none"/>
        </w:rPr>
      </w:pPr>
      <w:bookmarkStart w:id="510" w:name="_Toc10183"/>
      <w:bookmarkStart w:id="511" w:name="_Toc15974"/>
      <w:bookmarkStart w:id="512" w:name="_Toc27651"/>
      <w:bookmarkStart w:id="513" w:name="_Toc19155"/>
      <w:r>
        <w:rPr>
          <w:rFonts w:hint="eastAsia" w:ascii="宋体" w:hAnsi="宋体" w:eastAsia="宋体" w:cs="宋体"/>
          <w:b/>
          <w:bCs/>
          <w:color w:val="auto"/>
          <w:sz w:val="36"/>
          <w:szCs w:val="36"/>
          <w:highlight w:val="none"/>
        </w:rPr>
        <w:t>第三节 政府采购合同专用条款</w:t>
      </w:r>
      <w:bookmarkEnd w:id="509"/>
      <w:bookmarkEnd w:id="510"/>
      <w:bookmarkEnd w:id="511"/>
      <w:bookmarkEnd w:id="512"/>
      <w:bookmarkEnd w:id="513"/>
    </w:p>
    <w:tbl>
      <w:tblPr>
        <w:tblStyle w:val="28"/>
        <w:tblW w:w="8256" w:type="dxa"/>
        <w:tblInd w:w="27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7"/>
        <w:gridCol w:w="2233"/>
        <w:gridCol w:w="4316"/>
      </w:tblGrid>
      <w:tr w14:paraId="770681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3EFD14A1">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0853C7BA">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第1.2（</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2233" w:type="dxa"/>
            <w:vAlign w:val="center"/>
          </w:tcPr>
          <w:p w14:paraId="4D015E64">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lang w:eastAsia="zh-CN"/>
              </w:rPr>
              <w:t>联合体具体要求</w:t>
            </w:r>
          </w:p>
        </w:tc>
        <w:tc>
          <w:tcPr>
            <w:tcW w:w="4316" w:type="dxa"/>
            <w:vAlign w:val="center"/>
          </w:tcPr>
          <w:p w14:paraId="59C56A97">
            <w:pPr>
              <w:adjustRightInd w:val="0"/>
              <w:snapToGrid w:val="0"/>
              <w:jc w:val="left"/>
              <w:rPr>
                <w:rFonts w:hint="eastAsia" w:ascii="宋体" w:hAnsi="宋体" w:eastAsia="宋体"/>
                <w:color w:val="auto"/>
                <w:szCs w:val="21"/>
                <w:highlight w:val="none"/>
                <w:lang w:val="en-US" w:eastAsia="zh-CN"/>
              </w:rPr>
            </w:pPr>
            <w:r>
              <w:rPr>
                <w:rFonts w:hint="eastAsia"/>
                <w:color w:val="auto"/>
                <w:szCs w:val="21"/>
                <w:highlight w:val="none"/>
                <w:lang w:val="en-US" w:eastAsia="zh-CN"/>
              </w:rPr>
              <w:t>/</w:t>
            </w:r>
          </w:p>
        </w:tc>
      </w:tr>
      <w:tr w14:paraId="2D9124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707" w:type="dxa"/>
            <w:vAlign w:val="center"/>
          </w:tcPr>
          <w:p w14:paraId="61AE6864">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530BD52B">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第1.2（</w:t>
            </w:r>
            <w:r>
              <w:rPr>
                <w:rFonts w:hint="eastAsia" w:ascii="宋体" w:hAnsi="宋体"/>
                <w:color w:val="auto"/>
                <w:szCs w:val="21"/>
                <w:highlight w:val="none"/>
                <w:lang w:val="en-US" w:eastAsia="zh-CN"/>
              </w:rPr>
              <w:t>7</w:t>
            </w:r>
            <w:r>
              <w:rPr>
                <w:rFonts w:hint="eastAsia" w:ascii="宋体" w:hAnsi="宋体"/>
                <w:color w:val="auto"/>
                <w:szCs w:val="21"/>
                <w:highlight w:val="none"/>
              </w:rPr>
              <w:t>）项</w:t>
            </w:r>
          </w:p>
        </w:tc>
        <w:tc>
          <w:tcPr>
            <w:tcW w:w="2233" w:type="dxa"/>
            <w:vAlign w:val="center"/>
          </w:tcPr>
          <w:p w14:paraId="5F131AEA">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其他术语解释</w:t>
            </w:r>
          </w:p>
        </w:tc>
        <w:tc>
          <w:tcPr>
            <w:tcW w:w="4316" w:type="dxa"/>
            <w:vAlign w:val="center"/>
          </w:tcPr>
          <w:p w14:paraId="403219B4">
            <w:pPr>
              <w:adjustRightInd w:val="0"/>
              <w:snapToGrid w:val="0"/>
              <w:jc w:val="left"/>
              <w:rPr>
                <w:rFonts w:hint="default" w:ascii="宋体" w:hAnsi="宋体"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r>
      <w:tr w14:paraId="2251DC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5C511146">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3C148DDB">
            <w:pPr>
              <w:keepNext w:val="0"/>
              <w:keepLines w:val="0"/>
              <w:pageBreakBefore w:val="0"/>
              <w:kinsoku/>
              <w:wordWrap/>
              <w:overflowPunct/>
              <w:topLinePunct w:val="0"/>
              <w:bidi w:val="0"/>
              <w:adjustRightInd w:val="0"/>
              <w:snapToGrid w:val="0"/>
              <w:spacing w:line="240" w:lineRule="auto"/>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4.4款</w:t>
            </w:r>
          </w:p>
        </w:tc>
        <w:tc>
          <w:tcPr>
            <w:tcW w:w="2233" w:type="dxa"/>
            <w:vAlign w:val="center"/>
          </w:tcPr>
          <w:p w14:paraId="13C5E30A">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履约验收中甲方提出异议或作出说明的期限</w:t>
            </w:r>
          </w:p>
        </w:tc>
        <w:tc>
          <w:tcPr>
            <w:tcW w:w="4316" w:type="dxa"/>
            <w:vAlign w:val="center"/>
          </w:tcPr>
          <w:p w14:paraId="63E4DA00">
            <w:pPr>
              <w:adjustRightInd w:val="0"/>
              <w:snapToGrid w:val="0"/>
              <w:jc w:val="left"/>
              <w:rPr>
                <w:rFonts w:hint="default" w:ascii="宋体" w:hAnsi="宋体"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r>
      <w:tr w14:paraId="401F4B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4B3BC1CB">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4DE2E9D0">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4.6款</w:t>
            </w:r>
          </w:p>
        </w:tc>
        <w:tc>
          <w:tcPr>
            <w:tcW w:w="2233" w:type="dxa"/>
            <w:vAlign w:val="center"/>
          </w:tcPr>
          <w:p w14:paraId="7B565AF6">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约定甲方承担的其他义务和责任</w:t>
            </w:r>
          </w:p>
        </w:tc>
        <w:tc>
          <w:tcPr>
            <w:tcW w:w="4316" w:type="dxa"/>
            <w:vAlign w:val="center"/>
          </w:tcPr>
          <w:p w14:paraId="688E32B8">
            <w:pPr>
              <w:adjustRightInd w:val="0"/>
              <w:snapToGrid w:val="0"/>
              <w:jc w:val="left"/>
              <w:rPr>
                <w:rFonts w:hint="default" w:ascii="宋体" w:hAnsi="宋体"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r>
      <w:tr w14:paraId="460709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79BE3331">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4DFB8BF1">
            <w:pPr>
              <w:keepNext w:val="0"/>
              <w:keepLines w:val="0"/>
              <w:pageBreakBefore w:val="0"/>
              <w:kinsoku/>
              <w:wordWrap/>
              <w:overflowPunct/>
              <w:topLinePunct w:val="0"/>
              <w:bidi w:val="0"/>
              <w:snapToGrid w:val="0"/>
              <w:spacing w:line="240" w:lineRule="auto"/>
              <w:jc w:val="center"/>
              <w:textAlignment w:val="auto"/>
              <w:rPr>
                <w:rFonts w:hint="default"/>
                <w:color w:val="auto"/>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5.4款</w:t>
            </w:r>
          </w:p>
        </w:tc>
        <w:tc>
          <w:tcPr>
            <w:tcW w:w="2233" w:type="dxa"/>
            <w:vAlign w:val="center"/>
          </w:tcPr>
          <w:p w14:paraId="0F491848">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约定乙方承担的其他义务和责任</w:t>
            </w:r>
          </w:p>
        </w:tc>
        <w:tc>
          <w:tcPr>
            <w:tcW w:w="4316" w:type="dxa"/>
            <w:vAlign w:val="center"/>
          </w:tcPr>
          <w:p w14:paraId="18E31EDF">
            <w:pPr>
              <w:adjustRightInd w:val="0"/>
              <w:snapToGrid w:val="0"/>
              <w:jc w:val="left"/>
              <w:rPr>
                <w:rFonts w:hint="default" w:ascii="宋体" w:hAnsi="宋体"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r>
      <w:tr w14:paraId="1D96CF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51D612EC">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53563918">
            <w:pPr>
              <w:keepNext w:val="0"/>
              <w:keepLines w:val="0"/>
              <w:pageBreakBefore w:val="0"/>
              <w:kinsoku/>
              <w:wordWrap/>
              <w:overflowPunct/>
              <w:topLinePunct w:val="0"/>
              <w:bidi w:val="0"/>
              <w:snapToGrid w:val="0"/>
              <w:spacing w:line="240" w:lineRule="auto"/>
              <w:jc w:val="center"/>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6.1款</w:t>
            </w:r>
          </w:p>
        </w:tc>
        <w:tc>
          <w:tcPr>
            <w:tcW w:w="2233" w:type="dxa"/>
            <w:vAlign w:val="center"/>
          </w:tcPr>
          <w:p w14:paraId="6B47D3F2">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履行合同义务的顺序</w:t>
            </w:r>
          </w:p>
        </w:tc>
        <w:tc>
          <w:tcPr>
            <w:tcW w:w="4316" w:type="dxa"/>
            <w:vAlign w:val="center"/>
          </w:tcPr>
          <w:p w14:paraId="5587A376">
            <w:pPr>
              <w:adjustRightInd w:val="0"/>
              <w:snapToGrid w:val="0"/>
              <w:jc w:val="left"/>
              <w:rPr>
                <w:rFonts w:hint="default" w:ascii="宋体" w:hAnsi="宋体"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r>
      <w:tr w14:paraId="0E4C5B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Merge w:val="restart"/>
            <w:vAlign w:val="center"/>
          </w:tcPr>
          <w:p w14:paraId="6A076532">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08A81B9C">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.1</w:t>
            </w:r>
            <w:r>
              <w:rPr>
                <w:rFonts w:hint="eastAsia" w:ascii="宋体" w:hAnsi="宋体"/>
                <w:color w:val="auto"/>
                <w:szCs w:val="21"/>
                <w:highlight w:val="none"/>
                <w:lang w:val="en-US" w:eastAsia="zh-CN"/>
              </w:rPr>
              <w:t>款</w:t>
            </w:r>
          </w:p>
        </w:tc>
        <w:tc>
          <w:tcPr>
            <w:tcW w:w="2233" w:type="dxa"/>
            <w:vAlign w:val="center"/>
          </w:tcPr>
          <w:p w14:paraId="7E4D524E">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包装</w:t>
            </w:r>
            <w:r>
              <w:rPr>
                <w:rFonts w:hint="eastAsia" w:ascii="宋体" w:hAnsi="宋体"/>
                <w:color w:val="auto"/>
                <w:szCs w:val="21"/>
                <w:highlight w:val="none"/>
                <w:lang w:eastAsia="zh-CN"/>
              </w:rPr>
              <w:t>特殊要求</w:t>
            </w:r>
          </w:p>
        </w:tc>
        <w:tc>
          <w:tcPr>
            <w:tcW w:w="4316" w:type="dxa"/>
            <w:vAlign w:val="center"/>
          </w:tcPr>
          <w:p w14:paraId="4A65A36E">
            <w:pPr>
              <w:rPr>
                <w:rFonts w:hint="eastAsia" w:eastAsia="宋体"/>
                <w:color w:val="auto"/>
                <w:highlight w:val="none"/>
                <w:lang w:val="en-US" w:eastAsia="zh-CN"/>
              </w:rPr>
            </w:pPr>
            <w:r>
              <w:rPr>
                <w:rFonts w:hint="eastAsia"/>
                <w:color w:val="auto"/>
                <w:highlight w:val="none"/>
                <w:lang w:val="en-US" w:eastAsia="zh-CN"/>
              </w:rPr>
              <w:t>/</w:t>
            </w:r>
          </w:p>
        </w:tc>
      </w:tr>
      <w:tr w14:paraId="319047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Merge w:val="continue"/>
            <w:vAlign w:val="center"/>
          </w:tcPr>
          <w:p w14:paraId="266D823D">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p>
        </w:tc>
        <w:tc>
          <w:tcPr>
            <w:tcW w:w="2233" w:type="dxa"/>
            <w:vAlign w:val="center"/>
          </w:tcPr>
          <w:p w14:paraId="2E5DDE7D">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指定现场</w:t>
            </w:r>
          </w:p>
        </w:tc>
        <w:tc>
          <w:tcPr>
            <w:tcW w:w="4316" w:type="dxa"/>
            <w:vAlign w:val="center"/>
          </w:tcPr>
          <w:p w14:paraId="0C1B4D11">
            <w:pPr>
              <w:rPr>
                <w:rFonts w:hint="eastAsia" w:eastAsia="宋体"/>
                <w:color w:val="auto"/>
                <w:highlight w:val="none"/>
                <w:lang w:val="en-US" w:eastAsia="zh-CN"/>
              </w:rPr>
            </w:pPr>
            <w:r>
              <w:rPr>
                <w:rFonts w:hint="eastAsia"/>
                <w:color w:val="auto"/>
                <w:highlight w:val="none"/>
                <w:lang w:val="en-US" w:eastAsia="zh-CN"/>
              </w:rPr>
              <w:t>/</w:t>
            </w:r>
          </w:p>
        </w:tc>
      </w:tr>
      <w:tr w14:paraId="458284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707" w:type="dxa"/>
            <w:vAlign w:val="center"/>
          </w:tcPr>
          <w:p w14:paraId="04B77BA9">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15B20462">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2233" w:type="dxa"/>
            <w:vAlign w:val="center"/>
          </w:tcPr>
          <w:p w14:paraId="782B6D56">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运输特殊要求</w:t>
            </w:r>
          </w:p>
        </w:tc>
        <w:tc>
          <w:tcPr>
            <w:tcW w:w="4316" w:type="dxa"/>
            <w:vAlign w:val="center"/>
          </w:tcPr>
          <w:p w14:paraId="68DEA8E9">
            <w:pPr>
              <w:rPr>
                <w:rFonts w:hint="eastAsia" w:eastAsia="宋体"/>
                <w:color w:val="auto"/>
                <w:highlight w:val="none"/>
                <w:lang w:val="en-US" w:eastAsia="zh-CN"/>
              </w:rPr>
            </w:pPr>
            <w:r>
              <w:rPr>
                <w:rFonts w:hint="eastAsia"/>
                <w:color w:val="auto"/>
                <w:highlight w:val="none"/>
                <w:lang w:val="en-US" w:eastAsia="zh-CN"/>
              </w:rPr>
              <w:t>/</w:t>
            </w:r>
          </w:p>
        </w:tc>
      </w:tr>
      <w:tr w14:paraId="7D9471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Align w:val="center"/>
          </w:tcPr>
          <w:p w14:paraId="72197D40">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4424DE35">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.3</w:t>
            </w:r>
            <w:r>
              <w:rPr>
                <w:rFonts w:hint="eastAsia" w:ascii="宋体" w:hAnsi="宋体"/>
                <w:color w:val="auto"/>
                <w:szCs w:val="21"/>
                <w:highlight w:val="none"/>
                <w:lang w:val="en-US" w:eastAsia="zh-CN"/>
              </w:rPr>
              <w:t>款</w:t>
            </w:r>
          </w:p>
        </w:tc>
        <w:tc>
          <w:tcPr>
            <w:tcW w:w="2233" w:type="dxa"/>
            <w:vAlign w:val="center"/>
          </w:tcPr>
          <w:p w14:paraId="4D5C17F5">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保险要求</w:t>
            </w:r>
          </w:p>
        </w:tc>
        <w:tc>
          <w:tcPr>
            <w:tcW w:w="4316" w:type="dxa"/>
            <w:vAlign w:val="center"/>
          </w:tcPr>
          <w:p w14:paraId="298C9EB4">
            <w:pPr>
              <w:rPr>
                <w:rFonts w:hint="eastAsia" w:eastAsia="宋体"/>
                <w:color w:val="auto"/>
                <w:highlight w:val="none"/>
                <w:lang w:val="en-US" w:eastAsia="zh-CN"/>
              </w:rPr>
            </w:pPr>
            <w:r>
              <w:rPr>
                <w:rFonts w:hint="eastAsia"/>
                <w:color w:val="auto"/>
                <w:highlight w:val="none"/>
                <w:lang w:val="en-US" w:eastAsia="zh-CN"/>
              </w:rPr>
              <w:t>/</w:t>
            </w:r>
          </w:p>
        </w:tc>
      </w:tr>
      <w:tr w14:paraId="3C8879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0FAC3072">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42A109D6">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.2（1）项</w:t>
            </w:r>
          </w:p>
        </w:tc>
        <w:tc>
          <w:tcPr>
            <w:tcW w:w="2233" w:type="dxa"/>
            <w:vAlign w:val="center"/>
          </w:tcPr>
          <w:p w14:paraId="4F485965">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质量保证期</w:t>
            </w:r>
          </w:p>
        </w:tc>
        <w:tc>
          <w:tcPr>
            <w:tcW w:w="4316" w:type="dxa"/>
            <w:vAlign w:val="center"/>
          </w:tcPr>
          <w:p w14:paraId="7D08A0B3">
            <w:pPr>
              <w:autoSpaceDE w:val="0"/>
              <w:autoSpaceDN w:val="0"/>
              <w:adjustRightInd w:val="0"/>
              <w:snapToGrid w:val="0"/>
              <w:jc w:val="left"/>
              <w:rPr>
                <w:rFonts w:ascii="宋体" w:hAnsi="宋体"/>
                <w:color w:val="auto"/>
                <w:szCs w:val="21"/>
                <w:highlight w:val="none"/>
              </w:rPr>
            </w:pPr>
            <w:r>
              <w:rPr>
                <w:rFonts w:ascii="宋体" w:hAnsi="宋体"/>
                <w:color w:val="auto"/>
                <w:szCs w:val="21"/>
                <w:highlight w:val="none"/>
              </w:rPr>
              <w:t>整机免费质保≥3 年；</w:t>
            </w:r>
          </w:p>
          <w:p w14:paraId="143C0C79">
            <w:pPr>
              <w:autoSpaceDE w:val="0"/>
              <w:autoSpaceDN w:val="0"/>
              <w:adjustRightInd w:val="0"/>
              <w:snapToGrid w:val="0"/>
              <w:jc w:val="left"/>
              <w:rPr>
                <w:rFonts w:ascii="宋体" w:hAnsi="宋体"/>
                <w:color w:val="auto"/>
                <w:szCs w:val="21"/>
                <w:highlight w:val="none"/>
              </w:rPr>
            </w:pPr>
            <w:r>
              <w:rPr>
                <w:rFonts w:ascii="宋体" w:hAnsi="宋体"/>
                <w:color w:val="auto"/>
                <w:szCs w:val="21"/>
                <w:highlight w:val="none"/>
              </w:rPr>
              <w:t>核心光学、传感器、控制系统质保≥5 年（自验收合格之日起）。</w:t>
            </w:r>
          </w:p>
        </w:tc>
      </w:tr>
      <w:tr w14:paraId="55D5F2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33213AFF">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3D924585">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.2（3）项</w:t>
            </w:r>
          </w:p>
        </w:tc>
        <w:tc>
          <w:tcPr>
            <w:tcW w:w="2233" w:type="dxa"/>
            <w:vAlign w:val="center"/>
          </w:tcPr>
          <w:p w14:paraId="3ED97BE4">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货物质量缺陷</w:t>
            </w:r>
          </w:p>
          <w:p w14:paraId="40699229">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响应时间</w:t>
            </w:r>
          </w:p>
        </w:tc>
        <w:tc>
          <w:tcPr>
            <w:tcW w:w="4316" w:type="dxa"/>
            <w:vAlign w:val="center"/>
          </w:tcPr>
          <w:p w14:paraId="19BDD57C">
            <w:pPr>
              <w:adjustRightInd w:val="0"/>
              <w:snapToGrid w:val="0"/>
              <w:jc w:val="left"/>
              <w:rPr>
                <w:rFonts w:ascii="宋体" w:hAnsi="宋体"/>
                <w:color w:val="auto"/>
                <w:szCs w:val="21"/>
                <w:highlight w:val="none"/>
              </w:rPr>
            </w:pPr>
            <w:r>
              <w:rPr>
                <w:rFonts w:ascii="宋体" w:hAnsi="宋体"/>
                <w:color w:val="auto"/>
                <w:szCs w:val="21"/>
                <w:highlight w:val="none"/>
              </w:rPr>
              <w:t>电话 / 远程响应：≤2 小时；</w:t>
            </w:r>
          </w:p>
          <w:p w14:paraId="516BA9B2">
            <w:pPr>
              <w:adjustRightInd w:val="0"/>
              <w:snapToGrid w:val="0"/>
              <w:jc w:val="left"/>
              <w:rPr>
                <w:rFonts w:ascii="宋体" w:hAnsi="宋体"/>
                <w:color w:val="auto"/>
                <w:szCs w:val="21"/>
                <w:highlight w:val="none"/>
              </w:rPr>
            </w:pPr>
            <w:r>
              <w:rPr>
                <w:rFonts w:ascii="宋体" w:hAnsi="宋体"/>
                <w:color w:val="auto"/>
                <w:szCs w:val="21"/>
                <w:highlight w:val="none"/>
              </w:rPr>
              <w:t>现场服务：省内≤24 小时、省外≤48 小时。</w:t>
            </w:r>
          </w:p>
        </w:tc>
      </w:tr>
      <w:tr w14:paraId="34D42E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2D7C5E9F">
            <w:pPr>
              <w:keepNext w:val="0"/>
              <w:keepLines w:val="0"/>
              <w:pageBreakBefore w:val="0"/>
              <w:kinsoku/>
              <w:wordWrap/>
              <w:overflowPunct/>
              <w:topLinePunct w:val="0"/>
              <w:bidi w:val="0"/>
              <w:snapToGrid w:val="0"/>
              <w:spacing w:line="240" w:lineRule="auto"/>
              <w:jc w:val="center"/>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第二节</w:t>
            </w:r>
          </w:p>
          <w:p w14:paraId="071B5EA3">
            <w:pPr>
              <w:pStyle w:val="53"/>
              <w:keepNext w:val="0"/>
              <w:keepLines w:val="0"/>
              <w:pageBreakBefore w:val="0"/>
              <w:kinsoku/>
              <w:wordWrap/>
              <w:overflowPunct/>
              <w:topLinePunct w:val="0"/>
              <w:bidi w:val="0"/>
              <w:spacing w:line="240" w:lineRule="auto"/>
              <w:ind w:firstLine="0" w:firstLineChars="0"/>
              <w:jc w:val="center"/>
              <w:textAlignment w:val="auto"/>
              <w:rPr>
                <w:rFonts w:hint="default"/>
                <w:color w:val="auto"/>
                <w:highlight w:val="none"/>
                <w:lang w:val="en-US" w:eastAsia="zh-CN"/>
              </w:rPr>
            </w:pPr>
            <w:r>
              <w:rPr>
                <w:rFonts w:hint="eastAsia" w:ascii="宋体" w:hAnsi="宋体" w:eastAsia="宋体" w:cs="宋体"/>
                <w:color w:val="auto"/>
                <w:szCs w:val="21"/>
                <w:highlight w:val="none"/>
                <w:lang w:val="en-US" w:eastAsia="zh-CN"/>
              </w:rPr>
              <w:t>第11.1款</w:t>
            </w:r>
          </w:p>
        </w:tc>
        <w:tc>
          <w:tcPr>
            <w:tcW w:w="2233" w:type="dxa"/>
            <w:vAlign w:val="center"/>
          </w:tcPr>
          <w:p w14:paraId="0B5D2FCD">
            <w:pPr>
              <w:keepNext w:val="0"/>
              <w:keepLines w:val="0"/>
              <w:pageBreakBefore w:val="0"/>
              <w:kinsoku/>
              <w:wordWrap/>
              <w:overflowPunct/>
              <w:topLinePunct w:val="0"/>
              <w:bidi w:val="0"/>
              <w:adjustRightInd w:val="0"/>
              <w:snapToGrid w:val="0"/>
              <w:spacing w:line="240" w:lineRule="auto"/>
              <w:jc w:val="both"/>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其他应当保密的信息</w:t>
            </w:r>
          </w:p>
        </w:tc>
        <w:tc>
          <w:tcPr>
            <w:tcW w:w="4316" w:type="dxa"/>
            <w:vAlign w:val="center"/>
          </w:tcPr>
          <w:p w14:paraId="5EF0DA95">
            <w:pPr>
              <w:adjustRightInd w:val="0"/>
              <w:snapToGrid w:val="0"/>
              <w:jc w:val="left"/>
              <w:rPr>
                <w:rFonts w:hint="eastAsia" w:ascii="宋体" w:hAnsi="宋体" w:eastAsia="宋体"/>
                <w:color w:val="auto"/>
                <w:szCs w:val="21"/>
                <w:highlight w:val="none"/>
                <w:lang w:val="en-US" w:eastAsia="zh-CN"/>
              </w:rPr>
            </w:pPr>
            <w:r>
              <w:rPr>
                <w:rFonts w:hint="eastAsia"/>
                <w:color w:val="auto"/>
                <w:szCs w:val="21"/>
                <w:highlight w:val="none"/>
                <w:lang w:val="en-US" w:eastAsia="zh-CN"/>
              </w:rPr>
              <w:t>/</w:t>
            </w:r>
          </w:p>
        </w:tc>
      </w:tr>
      <w:tr w14:paraId="374587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707" w:type="dxa"/>
            <w:vAlign w:val="center"/>
          </w:tcPr>
          <w:p w14:paraId="07A6D4CF">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1285C60D">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2</w:t>
            </w:r>
            <w:r>
              <w:rPr>
                <w:rFonts w:hint="eastAsia" w:ascii="宋体" w:hAnsi="宋体"/>
                <w:color w:val="auto"/>
                <w:szCs w:val="21"/>
                <w:highlight w:val="none"/>
              </w:rPr>
              <w:t>.2款</w:t>
            </w:r>
          </w:p>
        </w:tc>
        <w:tc>
          <w:tcPr>
            <w:tcW w:w="2233" w:type="dxa"/>
            <w:vAlign w:val="center"/>
          </w:tcPr>
          <w:p w14:paraId="4BB85811">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合同价款支付</w:t>
            </w:r>
            <w:r>
              <w:rPr>
                <w:rFonts w:hint="eastAsia" w:ascii="宋体" w:hAnsi="宋体"/>
                <w:color w:val="auto"/>
                <w:szCs w:val="21"/>
                <w:highlight w:val="none"/>
                <w:lang w:eastAsia="zh-CN"/>
              </w:rPr>
              <w:t>时间</w:t>
            </w:r>
          </w:p>
        </w:tc>
        <w:tc>
          <w:tcPr>
            <w:tcW w:w="4316" w:type="dxa"/>
            <w:vAlign w:val="center"/>
          </w:tcPr>
          <w:p w14:paraId="39F897D9">
            <w:pPr>
              <w:adjustRightInd w:val="0"/>
              <w:snapToGrid w:val="0"/>
              <w:jc w:val="left"/>
              <w:rPr>
                <w:rFonts w:ascii="宋体" w:hAnsi="宋体"/>
                <w:color w:val="auto"/>
                <w:szCs w:val="21"/>
                <w:highlight w:val="none"/>
              </w:rPr>
            </w:pPr>
            <w:r>
              <w:rPr>
                <w:rFonts w:ascii="宋体" w:hAnsi="宋体"/>
                <w:color w:val="auto"/>
                <w:szCs w:val="21"/>
                <w:highlight w:val="none"/>
              </w:rPr>
              <w:t>到货验收后支付</w:t>
            </w:r>
            <w:r>
              <w:rPr>
                <w:rFonts w:hint="eastAsia"/>
                <w:color w:val="auto"/>
                <w:szCs w:val="21"/>
                <w:highlight w:val="none"/>
                <w:lang w:val="en-US" w:eastAsia="zh-CN"/>
              </w:rPr>
              <w:t>全款</w:t>
            </w:r>
            <w:r>
              <w:rPr>
                <w:rFonts w:ascii="宋体" w:hAnsi="宋体"/>
                <w:color w:val="auto"/>
                <w:szCs w:val="21"/>
                <w:highlight w:val="none"/>
              </w:rPr>
              <w:t>。</w:t>
            </w:r>
          </w:p>
        </w:tc>
      </w:tr>
      <w:tr w14:paraId="6D7441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707" w:type="dxa"/>
            <w:vAlign w:val="center"/>
          </w:tcPr>
          <w:p w14:paraId="50BC05B0">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第二节</w:t>
            </w:r>
          </w:p>
          <w:p w14:paraId="20FB19AC">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13.2</w:t>
            </w:r>
            <w:r>
              <w:rPr>
                <w:rFonts w:hint="eastAsia" w:ascii="宋体" w:hAnsi="宋体"/>
                <w:color w:val="auto"/>
                <w:szCs w:val="21"/>
                <w:highlight w:val="none"/>
              </w:rPr>
              <w:t>款</w:t>
            </w:r>
          </w:p>
        </w:tc>
        <w:tc>
          <w:tcPr>
            <w:tcW w:w="2233" w:type="dxa"/>
            <w:vAlign w:val="center"/>
          </w:tcPr>
          <w:p w14:paraId="544E1583">
            <w:pPr>
              <w:keepNext w:val="0"/>
              <w:keepLines w:val="0"/>
              <w:pageBreakBefore w:val="0"/>
              <w:kinsoku/>
              <w:wordWrap/>
              <w:overflowPunct/>
              <w:topLinePunct w:val="0"/>
              <w:bidi w:val="0"/>
              <w:adjustRightInd w:val="0"/>
              <w:snapToGrid w:val="0"/>
              <w:spacing w:line="240" w:lineRule="auto"/>
              <w:jc w:val="left"/>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履约保证金不予退还的情形</w:t>
            </w:r>
          </w:p>
        </w:tc>
        <w:tc>
          <w:tcPr>
            <w:tcW w:w="4316" w:type="dxa"/>
            <w:vAlign w:val="center"/>
          </w:tcPr>
          <w:p w14:paraId="0949B33D">
            <w:pPr>
              <w:adjustRightInd w:val="0"/>
              <w:snapToGrid w:val="0"/>
              <w:jc w:val="left"/>
              <w:rPr>
                <w:rFonts w:hint="eastAsia" w:ascii="宋体" w:hAnsi="宋体" w:eastAsia="宋体"/>
                <w:color w:val="auto"/>
                <w:szCs w:val="21"/>
                <w:highlight w:val="none"/>
                <w:lang w:val="en-US" w:eastAsia="zh-CN"/>
              </w:rPr>
            </w:pPr>
            <w:r>
              <w:rPr>
                <w:rFonts w:hint="eastAsia"/>
                <w:color w:val="auto"/>
                <w:szCs w:val="21"/>
                <w:highlight w:val="none"/>
                <w:lang w:val="en-US" w:eastAsia="zh-CN"/>
              </w:rPr>
              <w:t>/</w:t>
            </w:r>
          </w:p>
        </w:tc>
      </w:tr>
      <w:tr w14:paraId="1079D8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0EE237E8">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第二节</w:t>
            </w:r>
          </w:p>
          <w:p w14:paraId="78636F5F">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13.3</w:t>
            </w:r>
            <w:r>
              <w:rPr>
                <w:rFonts w:hint="eastAsia" w:ascii="宋体" w:hAnsi="宋体"/>
                <w:color w:val="auto"/>
                <w:szCs w:val="21"/>
                <w:highlight w:val="none"/>
              </w:rPr>
              <w:t>款</w:t>
            </w:r>
          </w:p>
        </w:tc>
        <w:tc>
          <w:tcPr>
            <w:tcW w:w="2233" w:type="dxa"/>
            <w:vAlign w:val="center"/>
          </w:tcPr>
          <w:p w14:paraId="42782913">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履约保证金退还时间及</w:t>
            </w:r>
            <w:r>
              <w:rPr>
                <w:rFonts w:hint="eastAsia" w:ascii="宋体" w:hAnsi="宋体"/>
                <w:color w:val="auto"/>
                <w:szCs w:val="21"/>
                <w:highlight w:val="none"/>
                <w:lang w:eastAsia="zh-CN"/>
              </w:rPr>
              <w:t>逾期退还的</w:t>
            </w:r>
            <w:r>
              <w:rPr>
                <w:rFonts w:hint="eastAsia" w:ascii="宋体" w:hAnsi="宋体"/>
                <w:color w:val="auto"/>
                <w:szCs w:val="21"/>
                <w:highlight w:val="none"/>
              </w:rPr>
              <w:t>违约金</w:t>
            </w:r>
          </w:p>
        </w:tc>
        <w:tc>
          <w:tcPr>
            <w:tcW w:w="4316" w:type="dxa"/>
            <w:vAlign w:val="center"/>
          </w:tcPr>
          <w:p w14:paraId="41DA198B">
            <w:pPr>
              <w:adjustRightInd w:val="0"/>
              <w:snapToGrid w:val="0"/>
              <w:jc w:val="left"/>
              <w:rPr>
                <w:rFonts w:hint="eastAsia" w:ascii="宋体" w:hAnsi="宋体" w:eastAsia="宋体"/>
                <w:color w:val="auto"/>
                <w:szCs w:val="21"/>
                <w:highlight w:val="none"/>
                <w:lang w:eastAsia="zh-CN"/>
              </w:rPr>
            </w:pPr>
            <w:r>
              <w:rPr>
                <w:rFonts w:hint="eastAsia"/>
                <w:color w:val="auto"/>
                <w:szCs w:val="21"/>
                <w:highlight w:val="none"/>
                <w:lang w:val="en-US" w:eastAsia="zh-CN"/>
              </w:rPr>
              <w:t>/</w:t>
            </w:r>
          </w:p>
        </w:tc>
      </w:tr>
      <w:tr w14:paraId="40D466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707" w:type="dxa"/>
            <w:vAlign w:val="center"/>
          </w:tcPr>
          <w:p w14:paraId="7B544F39">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2341C93D">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）项</w:t>
            </w:r>
          </w:p>
        </w:tc>
        <w:tc>
          <w:tcPr>
            <w:tcW w:w="2233" w:type="dxa"/>
            <w:vAlign w:val="center"/>
          </w:tcPr>
          <w:p w14:paraId="11161E0F">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运行监督、维修期限</w:t>
            </w:r>
          </w:p>
        </w:tc>
        <w:tc>
          <w:tcPr>
            <w:tcW w:w="4316" w:type="dxa"/>
            <w:vAlign w:val="center"/>
          </w:tcPr>
          <w:p w14:paraId="404E78EE">
            <w:pPr>
              <w:adjustRightInd w:val="0"/>
              <w:snapToGrid w:val="0"/>
              <w:jc w:val="left"/>
              <w:rPr>
                <w:rFonts w:hint="eastAsia" w:ascii="宋体" w:hAnsi="宋体" w:eastAsia="宋体"/>
                <w:color w:val="auto"/>
                <w:szCs w:val="21"/>
                <w:highlight w:val="none"/>
                <w:lang w:val="en-US" w:eastAsia="zh-CN"/>
              </w:rPr>
            </w:pPr>
            <w:r>
              <w:rPr>
                <w:rFonts w:hint="eastAsia"/>
                <w:color w:val="auto"/>
                <w:szCs w:val="21"/>
                <w:highlight w:val="none"/>
                <w:lang w:val="en-US" w:eastAsia="zh-CN"/>
              </w:rPr>
              <w:t>/</w:t>
            </w:r>
          </w:p>
        </w:tc>
      </w:tr>
      <w:tr w14:paraId="35EFEE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707" w:type="dxa"/>
            <w:vAlign w:val="center"/>
          </w:tcPr>
          <w:p w14:paraId="034C74C1">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4924B2D4">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）项</w:t>
            </w:r>
          </w:p>
        </w:tc>
        <w:tc>
          <w:tcPr>
            <w:tcW w:w="2233" w:type="dxa"/>
            <w:vAlign w:val="center"/>
          </w:tcPr>
          <w:p w14:paraId="44E3B9D0">
            <w:pPr>
              <w:keepNext w:val="0"/>
              <w:keepLines w:val="0"/>
              <w:pageBreakBefore w:val="0"/>
              <w:kinsoku/>
              <w:wordWrap/>
              <w:overflowPunct/>
              <w:topLinePunct w:val="0"/>
              <w:bidi w:val="0"/>
              <w:adjustRightInd w:val="0"/>
              <w:snapToGrid w:val="0"/>
              <w:spacing w:line="240" w:lineRule="auto"/>
              <w:jc w:val="left"/>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货物回收的约定</w:t>
            </w:r>
          </w:p>
        </w:tc>
        <w:tc>
          <w:tcPr>
            <w:tcW w:w="4316" w:type="dxa"/>
            <w:vAlign w:val="center"/>
          </w:tcPr>
          <w:p w14:paraId="7C376801">
            <w:pPr>
              <w:adjustRightInd w:val="0"/>
              <w:snapToGrid w:val="0"/>
              <w:jc w:val="left"/>
              <w:rPr>
                <w:rFonts w:hint="eastAsia" w:ascii="宋体" w:hAnsi="宋体" w:eastAsia="宋体"/>
                <w:color w:val="auto"/>
                <w:szCs w:val="21"/>
                <w:highlight w:val="none"/>
                <w:lang w:val="en-US" w:eastAsia="zh-CN"/>
              </w:rPr>
            </w:pPr>
            <w:r>
              <w:rPr>
                <w:rFonts w:hint="eastAsia"/>
                <w:color w:val="auto"/>
                <w:szCs w:val="21"/>
                <w:highlight w:val="none"/>
                <w:lang w:val="en-US" w:eastAsia="zh-CN"/>
              </w:rPr>
              <w:t>/</w:t>
            </w:r>
          </w:p>
        </w:tc>
      </w:tr>
      <w:tr w14:paraId="42D334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03AC0BF3">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052632E2">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2233" w:type="dxa"/>
            <w:vAlign w:val="center"/>
          </w:tcPr>
          <w:p w14:paraId="2C1C222B">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乙方提供的其他服务</w:t>
            </w:r>
          </w:p>
        </w:tc>
        <w:tc>
          <w:tcPr>
            <w:tcW w:w="4316" w:type="dxa"/>
            <w:vAlign w:val="center"/>
          </w:tcPr>
          <w:p w14:paraId="22BF3A99">
            <w:pPr>
              <w:adjustRightInd w:val="0"/>
              <w:snapToGrid w:val="0"/>
              <w:jc w:val="left"/>
              <w:rPr>
                <w:rFonts w:hint="eastAsia" w:ascii="宋体" w:hAnsi="宋体" w:eastAsia="宋体"/>
                <w:color w:val="auto"/>
                <w:szCs w:val="21"/>
                <w:highlight w:val="none"/>
                <w:lang w:val="en-US" w:eastAsia="zh-CN"/>
              </w:rPr>
            </w:pPr>
            <w:r>
              <w:rPr>
                <w:rFonts w:hint="eastAsia"/>
                <w:color w:val="auto"/>
                <w:szCs w:val="21"/>
                <w:highlight w:val="none"/>
                <w:lang w:val="en-US" w:eastAsia="zh-CN"/>
              </w:rPr>
              <w:t>/</w:t>
            </w:r>
          </w:p>
        </w:tc>
      </w:tr>
      <w:tr w14:paraId="0198B8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24D8239D">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2DC04450">
            <w:pPr>
              <w:keepNext w:val="0"/>
              <w:keepLines w:val="0"/>
              <w:pageBreakBefore w:val="0"/>
              <w:kinsoku/>
              <w:wordWrap/>
              <w:overflowPunct/>
              <w:topLinePunct w:val="0"/>
              <w:bidi w:val="0"/>
              <w:adjustRightInd w:val="0"/>
              <w:snapToGrid w:val="0"/>
              <w:spacing w:line="240" w:lineRule="auto"/>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1款</w:t>
            </w:r>
          </w:p>
        </w:tc>
        <w:tc>
          <w:tcPr>
            <w:tcW w:w="2233" w:type="dxa"/>
            <w:vAlign w:val="center"/>
          </w:tcPr>
          <w:p w14:paraId="6FA7596D">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rPr>
            </w:pPr>
            <w:r>
              <w:rPr>
                <w:rFonts w:hint="eastAsia" w:ascii="宋体" w:hAnsi="宋体"/>
                <w:color w:val="auto"/>
                <w:szCs w:val="21"/>
                <w:highlight w:val="none"/>
                <w:lang w:eastAsia="zh-CN"/>
              </w:rPr>
              <w:t>修理、重</w:t>
            </w:r>
            <w:r>
              <w:rPr>
                <w:rFonts w:hint="eastAsia"/>
                <w:color w:val="auto"/>
                <w:szCs w:val="21"/>
                <w:highlight w:val="none"/>
                <w:lang w:eastAsia="zh-CN"/>
              </w:rPr>
              <w:t>做</w:t>
            </w:r>
            <w:r>
              <w:rPr>
                <w:rFonts w:hint="eastAsia" w:ascii="宋体" w:hAnsi="宋体"/>
                <w:color w:val="auto"/>
                <w:szCs w:val="21"/>
                <w:highlight w:val="none"/>
                <w:lang w:eastAsia="zh-CN"/>
              </w:rPr>
              <w:t>、更换相关具体规定</w:t>
            </w:r>
          </w:p>
        </w:tc>
        <w:tc>
          <w:tcPr>
            <w:tcW w:w="4316" w:type="dxa"/>
            <w:vAlign w:val="center"/>
          </w:tcPr>
          <w:p w14:paraId="1A1F3B0C">
            <w:pPr>
              <w:adjustRightInd w:val="0"/>
              <w:snapToGrid w:val="0"/>
              <w:jc w:val="left"/>
              <w:rPr>
                <w:rFonts w:hint="eastAsia" w:ascii="宋体" w:hAnsi="宋体" w:eastAsia="宋体"/>
                <w:color w:val="auto"/>
                <w:szCs w:val="21"/>
                <w:highlight w:val="none"/>
                <w:lang w:val="en-US" w:eastAsia="zh-CN"/>
              </w:rPr>
            </w:pPr>
            <w:r>
              <w:rPr>
                <w:rFonts w:hint="eastAsia"/>
                <w:color w:val="auto"/>
                <w:szCs w:val="21"/>
                <w:highlight w:val="none"/>
                <w:lang w:val="en-US" w:eastAsia="zh-CN"/>
              </w:rPr>
              <w:t>/</w:t>
            </w:r>
          </w:p>
        </w:tc>
      </w:tr>
      <w:tr w14:paraId="525465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2970351C">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21A6DE8E">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.2（2）项</w:t>
            </w:r>
          </w:p>
        </w:tc>
        <w:tc>
          <w:tcPr>
            <w:tcW w:w="2233" w:type="dxa"/>
            <w:vAlign w:val="center"/>
          </w:tcPr>
          <w:p w14:paraId="289846E5">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迟延交货赔偿费</w:t>
            </w:r>
          </w:p>
        </w:tc>
        <w:tc>
          <w:tcPr>
            <w:tcW w:w="4316" w:type="dxa"/>
            <w:vAlign w:val="center"/>
          </w:tcPr>
          <w:p w14:paraId="037AA553">
            <w:pPr>
              <w:adjustRightInd w:val="0"/>
              <w:snapToGrid w:val="0"/>
              <w:jc w:val="left"/>
              <w:rPr>
                <w:rFonts w:hint="eastAsia" w:ascii="宋体" w:hAnsi="宋体" w:eastAsia="宋体"/>
                <w:color w:val="auto"/>
                <w:szCs w:val="21"/>
                <w:highlight w:val="none"/>
                <w:u w:val="single"/>
                <w:lang w:val="en-US" w:eastAsia="zh-CN"/>
              </w:rPr>
            </w:pPr>
            <w:r>
              <w:rPr>
                <w:rFonts w:hint="eastAsia"/>
                <w:color w:val="auto"/>
                <w:szCs w:val="21"/>
                <w:highlight w:val="none"/>
                <w:u w:val="single"/>
                <w:lang w:val="en-US" w:eastAsia="zh-CN"/>
              </w:rPr>
              <w:t>/</w:t>
            </w:r>
          </w:p>
        </w:tc>
      </w:tr>
      <w:tr w14:paraId="2A4247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1DA30926">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0E422CDF">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3款</w:t>
            </w:r>
          </w:p>
        </w:tc>
        <w:tc>
          <w:tcPr>
            <w:tcW w:w="2233" w:type="dxa"/>
            <w:vAlign w:val="center"/>
          </w:tcPr>
          <w:p w14:paraId="5F9C12F1">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rPr>
            </w:pPr>
            <w:r>
              <w:rPr>
                <w:rFonts w:hint="eastAsia" w:ascii="宋体" w:hAnsi="宋体"/>
                <w:color w:val="auto"/>
                <w:szCs w:val="21"/>
                <w:highlight w:val="none"/>
              </w:rPr>
              <w:t>逾期付款利息</w:t>
            </w:r>
          </w:p>
        </w:tc>
        <w:tc>
          <w:tcPr>
            <w:tcW w:w="4316" w:type="dxa"/>
            <w:vAlign w:val="center"/>
          </w:tcPr>
          <w:p w14:paraId="4340BE5A">
            <w:pPr>
              <w:adjustRightInd w:val="0"/>
              <w:snapToGrid w:val="0"/>
              <w:jc w:val="left"/>
              <w:rPr>
                <w:rFonts w:hint="eastAsia" w:ascii="宋体" w:hAnsi="宋体" w:eastAsia="宋体"/>
                <w:color w:val="auto"/>
                <w:szCs w:val="21"/>
                <w:highlight w:val="none"/>
                <w:u w:val="single"/>
                <w:lang w:val="en-US" w:eastAsia="zh-CN"/>
              </w:rPr>
            </w:pPr>
            <w:r>
              <w:rPr>
                <w:rFonts w:hint="eastAsia"/>
                <w:color w:val="auto"/>
                <w:szCs w:val="21"/>
                <w:highlight w:val="none"/>
                <w:u w:val="single"/>
                <w:lang w:val="en-US" w:eastAsia="zh-CN"/>
              </w:rPr>
              <w:t>/</w:t>
            </w:r>
          </w:p>
        </w:tc>
      </w:tr>
      <w:tr w14:paraId="359CBE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707" w:type="dxa"/>
            <w:tcBorders>
              <w:bottom w:val="single" w:color="auto" w:sz="2" w:space="0"/>
              <w:right w:val="single" w:color="auto" w:sz="2" w:space="0"/>
            </w:tcBorders>
            <w:vAlign w:val="center"/>
          </w:tcPr>
          <w:p w14:paraId="19AA7E0D">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46DEBE22">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.4</w:t>
            </w:r>
            <w:r>
              <w:rPr>
                <w:rFonts w:hint="eastAsia" w:ascii="宋体" w:hAnsi="宋体"/>
                <w:color w:val="auto"/>
                <w:szCs w:val="21"/>
                <w:highlight w:val="none"/>
                <w:lang w:val="en-US" w:eastAsia="zh-CN"/>
              </w:rPr>
              <w:t>款</w:t>
            </w:r>
          </w:p>
        </w:tc>
        <w:tc>
          <w:tcPr>
            <w:tcW w:w="2233" w:type="dxa"/>
            <w:tcBorders>
              <w:left w:val="single" w:color="auto" w:sz="2" w:space="0"/>
              <w:bottom w:val="single" w:color="auto" w:sz="2" w:space="0"/>
              <w:right w:val="single" w:color="auto" w:sz="2" w:space="0"/>
            </w:tcBorders>
            <w:vAlign w:val="center"/>
          </w:tcPr>
          <w:p w14:paraId="5DC91BA9">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其他违约责任</w:t>
            </w:r>
          </w:p>
        </w:tc>
        <w:tc>
          <w:tcPr>
            <w:tcW w:w="4316" w:type="dxa"/>
            <w:tcBorders>
              <w:left w:val="single" w:color="auto" w:sz="2" w:space="0"/>
              <w:bottom w:val="single" w:color="auto" w:sz="2" w:space="0"/>
            </w:tcBorders>
            <w:vAlign w:val="center"/>
          </w:tcPr>
          <w:p w14:paraId="49A08F35">
            <w:pPr>
              <w:adjustRightInd w:val="0"/>
              <w:snapToGrid w:val="0"/>
              <w:jc w:val="left"/>
              <w:rPr>
                <w:rFonts w:hint="eastAsia" w:ascii="宋体" w:hAnsi="宋体" w:eastAsia="宋体"/>
                <w:color w:val="auto"/>
                <w:szCs w:val="21"/>
                <w:highlight w:val="none"/>
                <w:u w:val="single"/>
                <w:lang w:val="en-US" w:eastAsia="zh-CN"/>
              </w:rPr>
            </w:pPr>
            <w:r>
              <w:rPr>
                <w:rFonts w:hint="eastAsia"/>
                <w:color w:val="auto"/>
                <w:szCs w:val="21"/>
                <w:highlight w:val="none"/>
                <w:u w:val="single"/>
                <w:lang w:val="en-US" w:eastAsia="zh-CN"/>
              </w:rPr>
              <w:t>/</w:t>
            </w:r>
          </w:p>
        </w:tc>
      </w:tr>
      <w:tr w14:paraId="64CD71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707" w:type="dxa"/>
            <w:tcBorders>
              <w:top w:val="single" w:color="auto" w:sz="2" w:space="0"/>
              <w:right w:val="single" w:color="auto" w:sz="2" w:space="0"/>
            </w:tcBorders>
            <w:vAlign w:val="center"/>
          </w:tcPr>
          <w:p w14:paraId="0AFB1007">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5089B044">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19</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2233" w:type="dxa"/>
            <w:tcBorders>
              <w:top w:val="single" w:color="auto" w:sz="2" w:space="0"/>
              <w:left w:val="single" w:color="auto" w:sz="2" w:space="0"/>
              <w:right w:val="single" w:color="auto" w:sz="2" w:space="0"/>
            </w:tcBorders>
            <w:vAlign w:val="center"/>
          </w:tcPr>
          <w:p w14:paraId="13B712CB">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lang w:val="en-US" w:eastAsia="zh-CN"/>
              </w:rPr>
              <w:t>解决争议的方法</w:t>
            </w:r>
          </w:p>
        </w:tc>
        <w:tc>
          <w:tcPr>
            <w:tcW w:w="4316" w:type="dxa"/>
            <w:tcBorders>
              <w:top w:val="single" w:color="auto" w:sz="2" w:space="0"/>
              <w:left w:val="single" w:color="auto" w:sz="2" w:space="0"/>
            </w:tcBorders>
            <w:vAlign w:val="center"/>
          </w:tcPr>
          <w:p w14:paraId="5B8E47E3">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因本合同及合同有关事项发生的争议，按下列第</w:t>
            </w:r>
            <w:r>
              <w:rPr>
                <w:rFonts w:hint="eastAsia" w:ascii="宋体" w:hAnsi="宋体" w:eastAsia="宋体" w:cs="宋体"/>
                <w:b w:val="0"/>
                <w:bCs w:val="0"/>
                <w:iCs/>
                <w:color w:val="auto"/>
                <w:szCs w:val="21"/>
                <w:highlight w:val="none"/>
                <w:u w:val="single"/>
              </w:rPr>
              <w:t xml:space="preserve"> </w:t>
            </w:r>
            <w:r>
              <w:rPr>
                <w:rFonts w:hint="eastAsia" w:cs="宋体"/>
                <w:b w:val="0"/>
                <w:bCs w:val="0"/>
                <w:iCs/>
                <w:color w:val="auto"/>
                <w:szCs w:val="21"/>
                <w:highlight w:val="none"/>
                <w:u w:val="single"/>
                <w:lang w:val="en-US" w:eastAsia="zh-CN"/>
              </w:rPr>
              <w:t>/</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种方式解决：</w:t>
            </w:r>
          </w:p>
          <w:p w14:paraId="74502E4F">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（1）向</w:t>
            </w:r>
            <w:r>
              <w:rPr>
                <w:rFonts w:hint="eastAsia" w:ascii="宋体" w:hAnsi="宋体" w:eastAsia="宋体" w:cs="宋体"/>
                <w:b w:val="0"/>
                <w:bCs w:val="0"/>
                <w:iCs/>
                <w:color w:val="auto"/>
                <w:szCs w:val="21"/>
                <w:highlight w:val="none"/>
                <w:u w:val="single"/>
              </w:rPr>
              <w:t xml:space="preserve">  </w:t>
            </w:r>
            <w:r>
              <w:rPr>
                <w:rFonts w:hint="eastAsia" w:cs="宋体"/>
                <w:b w:val="0"/>
                <w:bCs w:val="0"/>
                <w:iCs/>
                <w:color w:val="auto"/>
                <w:szCs w:val="21"/>
                <w:highlight w:val="none"/>
                <w:u w:val="single"/>
                <w:lang w:val="en-US" w:eastAsia="zh-CN"/>
              </w:rPr>
              <w:t>/</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仲裁委员会申请仲裁，仲裁地点为</w:t>
            </w:r>
            <w:r>
              <w:rPr>
                <w:rFonts w:hint="eastAsia" w:ascii="宋体" w:hAnsi="宋体" w:eastAsia="宋体" w:cs="宋体"/>
                <w:b w:val="0"/>
                <w:bCs w:val="0"/>
                <w:iCs/>
                <w:color w:val="auto"/>
                <w:szCs w:val="21"/>
                <w:highlight w:val="none"/>
                <w:u w:val="single"/>
              </w:rPr>
              <w:t xml:space="preserve">     </w:t>
            </w:r>
            <w:r>
              <w:rPr>
                <w:rFonts w:hint="eastAsia" w:cs="宋体"/>
                <w:b w:val="0"/>
                <w:bCs w:val="0"/>
                <w:iCs/>
                <w:color w:val="auto"/>
                <w:szCs w:val="21"/>
                <w:highlight w:val="none"/>
                <w:u w:val="single"/>
                <w:lang w:val="en-US" w:eastAsia="zh-CN"/>
              </w:rPr>
              <w:t>/</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w:t>
            </w:r>
          </w:p>
          <w:p w14:paraId="00A62A11">
            <w:pPr>
              <w:adjustRightInd w:val="0"/>
              <w:snapToGrid w:val="0"/>
              <w:ind w:firstLine="0" w:firstLineChars="0"/>
              <w:jc w:val="left"/>
              <w:rPr>
                <w:rFonts w:ascii="宋体" w:hAnsi="宋体"/>
                <w:color w:val="auto"/>
                <w:szCs w:val="21"/>
                <w:highlight w:val="none"/>
                <w:u w:val="single"/>
              </w:rPr>
            </w:pPr>
            <w:r>
              <w:rPr>
                <w:rFonts w:hint="eastAsia" w:ascii="宋体" w:hAnsi="宋体" w:eastAsia="宋体" w:cs="宋体"/>
                <w:b w:val="0"/>
                <w:bCs w:val="0"/>
                <w:iCs/>
                <w:color w:val="auto"/>
                <w:szCs w:val="21"/>
                <w:highlight w:val="none"/>
              </w:rPr>
              <w:t>（2）向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color w:val="auto"/>
                <w:sz w:val="24"/>
                <w:szCs w:val="24"/>
                <w:u w:val="single"/>
                <w:lang w:val="en-US" w:eastAsia="zh-CN"/>
              </w:rPr>
              <w:t>项目所在地</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人民法院起诉。</w:t>
            </w:r>
          </w:p>
        </w:tc>
      </w:tr>
      <w:tr w14:paraId="1057C2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707" w:type="dxa"/>
            <w:vAlign w:val="center"/>
          </w:tcPr>
          <w:p w14:paraId="5959F468">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55668699">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第2</w:t>
            </w:r>
            <w:r>
              <w:rPr>
                <w:rFonts w:hint="eastAsia" w:ascii="宋体" w:hAnsi="宋体"/>
                <w:color w:val="auto"/>
                <w:szCs w:val="21"/>
                <w:highlight w:val="none"/>
                <w:lang w:val="en-US" w:eastAsia="zh-CN"/>
              </w:rPr>
              <w:t>3.1</w:t>
            </w:r>
            <w:r>
              <w:rPr>
                <w:rFonts w:hint="eastAsia" w:ascii="宋体" w:hAnsi="宋体"/>
                <w:color w:val="auto"/>
                <w:szCs w:val="21"/>
                <w:highlight w:val="none"/>
                <w:lang w:eastAsia="zh-CN"/>
              </w:rPr>
              <w:t>款</w:t>
            </w:r>
          </w:p>
        </w:tc>
        <w:tc>
          <w:tcPr>
            <w:tcW w:w="2233" w:type="dxa"/>
            <w:vAlign w:val="center"/>
          </w:tcPr>
          <w:p w14:paraId="2F1B0F57">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bCs/>
                <w:color w:val="auto"/>
                <w:szCs w:val="21"/>
                <w:highlight w:val="none"/>
                <w:lang w:eastAsia="zh-CN"/>
              </w:rPr>
              <w:t>其他专用条款</w:t>
            </w:r>
          </w:p>
        </w:tc>
        <w:tc>
          <w:tcPr>
            <w:tcW w:w="4316" w:type="dxa"/>
            <w:vAlign w:val="center"/>
          </w:tcPr>
          <w:p w14:paraId="7A878083">
            <w:pPr>
              <w:adjustRightInd w:val="0"/>
              <w:snapToGrid w:val="0"/>
              <w:jc w:val="left"/>
              <w:rPr>
                <w:rFonts w:hint="default" w:ascii="宋体" w:hAnsi="宋体" w:eastAsia="宋体"/>
                <w:color w:val="auto"/>
                <w:szCs w:val="21"/>
                <w:highlight w:val="none"/>
                <w:lang w:val="en-US" w:eastAsia="zh-CN"/>
              </w:rPr>
            </w:pPr>
            <w:r>
              <w:rPr>
                <w:rFonts w:hint="eastAsia"/>
                <w:color w:val="auto"/>
                <w:szCs w:val="21"/>
                <w:highlight w:val="none"/>
                <w:lang w:val="en-US" w:eastAsia="zh-CN"/>
              </w:rPr>
              <w:t>1.</w:t>
            </w:r>
            <w:r>
              <w:rPr>
                <w:rFonts w:hint="default" w:ascii="宋体" w:hAnsi="宋体" w:eastAsia="宋体"/>
                <w:color w:val="auto"/>
                <w:szCs w:val="21"/>
                <w:highlight w:val="none"/>
                <w:lang w:val="en-US" w:eastAsia="zh-CN"/>
              </w:rPr>
              <w:t>售后服务</w:t>
            </w:r>
          </w:p>
          <w:p w14:paraId="0E62A88F">
            <w:pPr>
              <w:adjustRightInd w:val="0"/>
              <w:snapToGrid w:val="0"/>
              <w:jc w:val="left"/>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质保期内：</w:t>
            </w:r>
          </w:p>
          <w:p w14:paraId="0A350CC6">
            <w:pPr>
              <w:adjustRightInd w:val="0"/>
              <w:snapToGrid w:val="0"/>
              <w:jc w:val="left"/>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免费维修、免费更换故障部件、免费上门、免费软件升级；</w:t>
            </w:r>
          </w:p>
          <w:p w14:paraId="42F46A97">
            <w:pPr>
              <w:adjustRightInd w:val="0"/>
              <w:snapToGrid w:val="0"/>
              <w:jc w:val="left"/>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提供 ≥5 年原厂备件供应承诺，附易损件清单及报价；</w:t>
            </w:r>
          </w:p>
          <w:p w14:paraId="60AB6454">
            <w:pPr>
              <w:adjustRightInd w:val="0"/>
              <w:snapToGrid w:val="0"/>
              <w:jc w:val="left"/>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质保期后：终身技术支持、优惠维修、优惠备件、免费软件更新。</w:t>
            </w:r>
          </w:p>
          <w:p w14:paraId="004F3B14">
            <w:pPr>
              <w:numPr>
                <w:ilvl w:val="0"/>
                <w:numId w:val="0"/>
              </w:numPr>
              <w:adjustRightInd w:val="0"/>
              <w:snapToGrid w:val="0"/>
              <w:ind w:left="0" w:leftChars="0" w:firstLine="0" w:firstLineChars="0"/>
              <w:jc w:val="left"/>
              <w:rPr>
                <w:rFonts w:hint="default" w:ascii="宋体" w:hAnsi="宋体" w:eastAsia="宋体"/>
                <w:color w:val="auto"/>
                <w:szCs w:val="21"/>
                <w:highlight w:val="none"/>
                <w:lang w:val="en-US" w:eastAsia="zh-CN"/>
              </w:rPr>
            </w:pPr>
            <w:r>
              <w:rPr>
                <w:rFonts w:hint="eastAsia" w:cstheme="minorBidi"/>
                <w:color w:val="auto"/>
                <w:kern w:val="2"/>
                <w:sz w:val="24"/>
                <w:szCs w:val="21"/>
                <w:lang w:val="en-US" w:eastAsia="zh-CN" w:bidi="ar-SA"/>
              </w:rPr>
              <w:t>2</w:t>
            </w:r>
            <w:r>
              <w:rPr>
                <w:rFonts w:hint="default" w:ascii="宋体" w:hAnsi="宋体" w:eastAsia="宋体" w:cstheme="minorBidi"/>
                <w:color w:val="auto"/>
                <w:kern w:val="2"/>
                <w:sz w:val="24"/>
                <w:szCs w:val="21"/>
                <w:lang w:val="en-US" w:eastAsia="zh-CN" w:bidi="ar-SA"/>
              </w:rPr>
              <w:t>.</w:t>
            </w:r>
            <w:r>
              <w:rPr>
                <w:rFonts w:hint="default" w:ascii="宋体" w:hAnsi="宋体" w:eastAsia="宋体"/>
                <w:color w:val="auto"/>
                <w:szCs w:val="21"/>
                <w:highlight w:val="none"/>
                <w:lang w:val="en-US" w:eastAsia="zh-CN"/>
              </w:rPr>
              <w:t>培训服务</w:t>
            </w:r>
          </w:p>
          <w:p w14:paraId="7EC76416">
            <w:pPr>
              <w:numPr>
                <w:ilvl w:val="0"/>
                <w:numId w:val="0"/>
              </w:numPr>
              <w:adjustRightInd w:val="0"/>
              <w:snapToGrid w:val="0"/>
              <w:ind w:left="0" w:leftChars="0" w:firstLine="0" w:firstLineChars="0"/>
              <w:jc w:val="left"/>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现场实操培训不少于 2 次、每次不少于 2 天；</w:t>
            </w:r>
          </w:p>
          <w:p w14:paraId="28207541">
            <w:pPr>
              <w:adjustRightInd w:val="0"/>
              <w:snapToGrid w:val="0"/>
              <w:jc w:val="left"/>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覆盖：仪器原理、样品制备、标准操作、校准、检测、结果判读、数据管理、行为分析系统、维护、故障排查；</w:t>
            </w:r>
          </w:p>
          <w:p w14:paraId="1AD9DBD5">
            <w:pPr>
              <w:adjustRightInd w:val="0"/>
              <w:snapToGrid w:val="0"/>
              <w:jc w:val="left"/>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提供：完整教材、PPT、视频教程、考核题库；</w:t>
            </w:r>
          </w:p>
          <w:p w14:paraId="4A8A64DC">
            <w:pPr>
              <w:adjustRightInd w:val="0"/>
              <w:snapToGrid w:val="0"/>
              <w:jc w:val="left"/>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培训结束进行理论 + 实操考核，合格者颁发培训合格证书。</w:t>
            </w:r>
          </w:p>
          <w:p w14:paraId="5A427512">
            <w:pPr>
              <w:adjustRightInd w:val="0"/>
              <w:snapToGrid w:val="0"/>
              <w:jc w:val="left"/>
              <w:rPr>
                <w:rFonts w:hint="default" w:ascii="宋体" w:hAnsi="宋体" w:eastAsia="宋体"/>
                <w:color w:val="auto"/>
                <w:szCs w:val="21"/>
                <w:highlight w:val="none"/>
                <w:lang w:val="en-US" w:eastAsia="zh-CN"/>
              </w:rPr>
            </w:pPr>
            <w:r>
              <w:rPr>
                <w:rFonts w:hint="eastAsia"/>
                <w:color w:val="auto"/>
                <w:szCs w:val="21"/>
                <w:highlight w:val="none"/>
                <w:lang w:val="en-US" w:eastAsia="zh-CN"/>
              </w:rPr>
              <w:t>3.</w:t>
            </w:r>
            <w:r>
              <w:rPr>
                <w:rFonts w:hint="default" w:ascii="宋体" w:hAnsi="宋体" w:eastAsia="宋体"/>
                <w:color w:val="auto"/>
                <w:szCs w:val="21"/>
                <w:highlight w:val="none"/>
                <w:lang w:val="en-US" w:eastAsia="zh-CN"/>
              </w:rPr>
              <w:t>验收标准</w:t>
            </w:r>
          </w:p>
          <w:p w14:paraId="51077FE5">
            <w:pPr>
              <w:adjustRightInd w:val="0"/>
              <w:snapToGrid w:val="0"/>
              <w:jc w:val="left"/>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1）外观完好、配置 / 配件 / 资料齐全，与技术文件一致；</w:t>
            </w:r>
          </w:p>
          <w:p w14:paraId="35EFE270">
            <w:pPr>
              <w:adjustRightInd w:val="0"/>
              <w:snapToGrid w:val="0"/>
              <w:jc w:val="left"/>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2）供方负责安装调试，整机运行稳定、无报错、功能正常；</w:t>
            </w:r>
          </w:p>
          <w:p w14:paraId="3C96171A">
            <w:pPr>
              <w:adjustRightInd w:val="0"/>
              <w:snapToGrid w:val="0"/>
              <w:jc w:val="left"/>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3）所有★项技术参数必须达标，标准样品测试误差满足要求；</w:t>
            </w:r>
          </w:p>
          <w:p w14:paraId="3B5C1C6C">
            <w:pPr>
              <w:adjustRightInd w:val="0"/>
              <w:snapToGrid w:val="0"/>
              <w:jc w:val="left"/>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4）行为识别准确率≥98%；视觉系统：4K、30fps、10 倍放大、72 小时录制正常；</w:t>
            </w:r>
          </w:p>
          <w:p w14:paraId="6B6A9248">
            <w:pPr>
              <w:adjustRightInd w:val="0"/>
              <w:snapToGrid w:val="0"/>
              <w:jc w:val="left"/>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5）数据记录、查询、导出、打印、日志追溯正常；</w:t>
            </w:r>
          </w:p>
          <w:p w14:paraId="7C055F30">
            <w:pPr>
              <w:adjustRightInd w:val="0"/>
              <w:snapToGrid w:val="0"/>
              <w:jc w:val="left"/>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6）提供合格证、说明书、校准证书、维护手册、电气原理图、培训资料；</w:t>
            </w:r>
          </w:p>
          <w:p w14:paraId="4E006B22">
            <w:pPr>
              <w:adjustRightInd w:val="0"/>
              <w:snapToGrid w:val="0"/>
              <w:jc w:val="left"/>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7）所有项目一次性合格方为验收通过；不合格限期整改，直至合格。</w:t>
            </w:r>
          </w:p>
        </w:tc>
      </w:tr>
    </w:tbl>
    <w:p w14:paraId="1AB5A88C">
      <w:pPr>
        <w:rPr>
          <w:color w:val="auto"/>
          <w:highlight w:val="none"/>
        </w:rPr>
      </w:pPr>
    </w:p>
    <w:p w14:paraId="7360A251">
      <w:pPr>
        <w:rPr>
          <w:color w:val="auto"/>
          <w:highlight w:val="none"/>
        </w:rPr>
      </w:pPr>
    </w:p>
    <w:p w14:paraId="59C8CB5D">
      <w:pPr>
        <w:rPr>
          <w:color w:val="auto"/>
          <w:highlight w:val="none"/>
          <w:lang w:val="zh-CN"/>
        </w:rPr>
      </w:pPr>
    </w:p>
    <w:p w14:paraId="086D45F7">
      <w:pPr>
        <w:rPr>
          <w:rFonts w:hint="eastAsia"/>
          <w:color w:val="auto"/>
          <w:highlight w:val="none"/>
        </w:rPr>
      </w:pPr>
    </w:p>
    <w:p w14:paraId="428C386B">
      <w:pPr>
        <w:rPr>
          <w:rFonts w:hint="eastAsia"/>
          <w:color w:val="auto"/>
          <w:highlight w:val="none"/>
        </w:rPr>
      </w:pPr>
    </w:p>
    <w:p w14:paraId="12E53718">
      <w:pPr>
        <w:ind w:left="550" w:firstLine="420" w:firstLineChars="175"/>
        <w:rPr>
          <w:color w:val="auto"/>
          <w:highlight w:val="none"/>
        </w:rPr>
      </w:pPr>
    </w:p>
    <w:p w14:paraId="0C5CAFE0">
      <w:pPr>
        <w:rPr>
          <w:color w:val="auto"/>
          <w:highlight w:val="none"/>
        </w:rPr>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pPr>
    </w:p>
    <w:p w14:paraId="1EBBB031">
      <w:pPr>
        <w:pStyle w:val="2"/>
        <w:numPr>
          <w:ilvl w:val="0"/>
          <w:numId w:val="0"/>
        </w:numPr>
        <w:ind w:left="420" w:leftChars="0" w:hanging="420" w:firstLineChars="0"/>
        <w:rPr>
          <w:rFonts w:hint="eastAsia" w:ascii="宋体" w:hAnsi="宋体" w:eastAsia="宋体" w:cs="宋体"/>
          <w:color w:val="auto"/>
          <w:sz w:val="36"/>
          <w:szCs w:val="36"/>
          <w:highlight w:val="none"/>
        </w:rPr>
      </w:pPr>
      <w:bookmarkStart w:id="514" w:name="_Toc1381"/>
      <w:bookmarkStart w:id="515" w:name="_Toc12356"/>
      <w:r>
        <w:rPr>
          <w:rFonts w:hint="eastAsia" w:ascii="宋体" w:hAnsi="宋体" w:eastAsia="宋体" w:cs="宋体"/>
          <w:b/>
          <w:bCs/>
          <w:color w:val="auto"/>
          <w:kern w:val="44"/>
          <w:sz w:val="36"/>
          <w:szCs w:val="36"/>
          <w:highlight w:val="none"/>
          <w:lang w:val="en-US" w:eastAsia="zh-CN" w:bidi="ar-SA"/>
        </w:rPr>
        <w:t xml:space="preserve">第六章 </w:t>
      </w:r>
      <w:r>
        <w:rPr>
          <w:rFonts w:hint="eastAsia" w:ascii="宋体" w:hAnsi="宋体" w:eastAsia="宋体" w:cs="宋体"/>
          <w:color w:val="auto"/>
          <w:sz w:val="36"/>
          <w:szCs w:val="36"/>
          <w:highlight w:val="none"/>
        </w:rPr>
        <w:t>响应文件的格式</w:t>
      </w:r>
      <w:bookmarkEnd w:id="514"/>
      <w:bookmarkEnd w:id="515"/>
    </w:p>
    <w:p w14:paraId="7053976A">
      <w:pPr>
        <w:pStyle w:val="3"/>
        <w:bidi w:val="0"/>
        <w:jc w:val="center"/>
        <w:outlineLvl w:val="1"/>
        <w:rPr>
          <w:rFonts w:hint="eastAsia" w:ascii="宋体" w:hAnsi="宋体" w:eastAsia="宋体" w:cs="宋体"/>
          <w:color w:val="auto"/>
          <w:sz w:val="72"/>
          <w:szCs w:val="72"/>
          <w:highlight w:val="none"/>
        </w:rPr>
      </w:pPr>
      <w:bookmarkStart w:id="516" w:name="_Toc15436"/>
      <w:r>
        <w:rPr>
          <w:rFonts w:hint="eastAsia" w:ascii="宋体" w:hAnsi="宋体" w:eastAsia="宋体" w:cs="宋体"/>
          <w:color w:val="auto"/>
          <w:sz w:val="72"/>
          <w:szCs w:val="72"/>
          <w:highlight w:val="none"/>
        </w:rPr>
        <w:t>资格证明文件</w:t>
      </w:r>
      <w:bookmarkEnd w:id="516"/>
    </w:p>
    <w:p w14:paraId="11B2218D">
      <w:pPr>
        <w:autoSpaceDE w:val="0"/>
        <w:autoSpaceDN w:val="0"/>
        <w:adjustRightInd w:val="0"/>
        <w:rPr>
          <w:b/>
          <w:bCs/>
          <w:color w:val="auto"/>
          <w:sz w:val="22"/>
          <w:highlight w:val="none"/>
        </w:rPr>
      </w:pPr>
    </w:p>
    <w:p w14:paraId="06BBF80E">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7EDE7CD9">
      <w:pPr>
        <w:autoSpaceDE w:val="0"/>
        <w:autoSpaceDN w:val="0"/>
        <w:adjustRightInd w:val="0"/>
        <w:rPr>
          <w:color w:val="auto"/>
          <w:sz w:val="21"/>
          <w:szCs w:val="21"/>
          <w:highlight w:val="none"/>
        </w:rPr>
      </w:pPr>
    </w:p>
    <w:p w14:paraId="42DB1859"/>
    <w:p w14:paraId="30EB22E6">
      <w:pPr>
        <w:autoSpaceDE w:val="0"/>
        <w:autoSpaceDN w:val="0"/>
        <w:adjustRightInd w:val="0"/>
        <w:rPr>
          <w:color w:val="auto"/>
          <w:sz w:val="21"/>
          <w:szCs w:val="21"/>
          <w:highlight w:val="none"/>
        </w:rPr>
      </w:pPr>
    </w:p>
    <w:p w14:paraId="0D158554">
      <w:pPr>
        <w:autoSpaceDE w:val="0"/>
        <w:autoSpaceDN w:val="0"/>
        <w:adjustRightInd w:val="0"/>
        <w:rPr>
          <w:color w:val="auto"/>
          <w:sz w:val="21"/>
          <w:szCs w:val="21"/>
          <w:highlight w:val="none"/>
        </w:rPr>
      </w:pPr>
    </w:p>
    <w:p w14:paraId="01B855BF">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E0530D8">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4281C2EA">
      <w:pPr>
        <w:ind w:left="420" w:leftChars="175"/>
        <w:rPr>
          <w:rFonts w:hint="eastAsia" w:ascii="宋体" w:hAnsi="宋体" w:eastAsia="宋体" w:cs="宋体"/>
          <w:color w:val="auto"/>
          <w:sz w:val="36"/>
          <w:szCs w:val="36"/>
          <w:highlight w:val="none"/>
        </w:rPr>
      </w:pPr>
      <w:r>
        <w:rPr>
          <w:rFonts w:hint="eastAsia" w:cs="宋体"/>
          <w:color w:val="auto"/>
          <w:sz w:val="36"/>
          <w:szCs w:val="36"/>
          <w:highlight w:val="none"/>
          <w:lang w:val="en-US" w:eastAsia="zh-CN"/>
        </w:rPr>
        <w:t>供 应 商</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7DB2DE4">
      <w:pPr>
        <w:ind w:left="840" w:firstLine="420"/>
        <w:rPr>
          <w:b/>
          <w:bCs/>
          <w:color w:val="auto"/>
          <w:sz w:val="28"/>
          <w:szCs w:val="28"/>
          <w:highlight w:val="none"/>
        </w:rPr>
      </w:pPr>
    </w:p>
    <w:p w14:paraId="1D6D546F">
      <w:pPr>
        <w:ind w:left="840" w:firstLine="420"/>
        <w:rPr>
          <w:b/>
          <w:bCs/>
          <w:color w:val="auto"/>
          <w:sz w:val="28"/>
          <w:szCs w:val="28"/>
          <w:highlight w:val="none"/>
        </w:rPr>
      </w:pPr>
    </w:p>
    <w:p w14:paraId="167EF277">
      <w:pPr>
        <w:ind w:left="840" w:firstLine="420"/>
        <w:rPr>
          <w:b/>
          <w:bCs/>
          <w:color w:val="auto"/>
          <w:sz w:val="28"/>
          <w:szCs w:val="28"/>
          <w:highlight w:val="none"/>
        </w:rPr>
      </w:pPr>
    </w:p>
    <w:p w14:paraId="44B4D6D4">
      <w:pPr>
        <w:jc w:val="center"/>
        <w:rPr>
          <w:rFonts w:ascii="黑体" w:hAnsi="黑体" w:eastAsia="黑体"/>
          <w:color w:val="auto"/>
          <w:sz w:val="32"/>
          <w:szCs w:val="32"/>
          <w:highlight w:val="none"/>
        </w:rPr>
      </w:pPr>
      <w:r>
        <w:rPr>
          <w:rFonts w:hint="eastAsia" w:ascii="宋体" w:hAnsi="宋体" w:eastAsia="宋体" w:cs="宋体"/>
          <w:color w:val="auto"/>
          <w:sz w:val="32"/>
          <w:szCs w:val="32"/>
          <w:highlight w:val="none"/>
        </w:rPr>
        <w:t>年   月    日</w:t>
      </w:r>
    </w:p>
    <w:p w14:paraId="39BD53E8">
      <w:pPr>
        <w:jc w:val="center"/>
        <w:rPr>
          <w:b/>
          <w:bCs/>
          <w:color w:val="auto"/>
          <w:sz w:val="28"/>
          <w:szCs w:val="28"/>
          <w:highlight w:val="none"/>
        </w:rPr>
      </w:pPr>
      <w:r>
        <w:rPr>
          <w:b/>
          <w:bCs/>
          <w:color w:val="auto"/>
          <w:sz w:val="28"/>
          <w:szCs w:val="28"/>
          <w:highlight w:val="none"/>
        </w:rPr>
        <w:br w:type="page"/>
      </w:r>
    </w:p>
    <w:p w14:paraId="79F805F4">
      <w:pPr>
        <w:pStyle w:val="4"/>
        <w:numPr>
          <w:ilvl w:val="2"/>
          <w:numId w:val="0"/>
        </w:numPr>
        <w:spacing w:before="145" w:beforeLines="50" w:after="145" w:afterLines="50" w:line="300" w:lineRule="auto"/>
        <w:ind w:leftChars="0"/>
        <w:jc w:val="both"/>
        <w:rPr>
          <w:rFonts w:hint="eastAsia" w:ascii="宋体" w:hAnsi="宋体" w:eastAsia="宋体" w:cs="宋体"/>
          <w:b/>
          <w:bCs/>
          <w:color w:val="auto"/>
          <w:sz w:val="24"/>
          <w:szCs w:val="24"/>
          <w:highlight w:val="none"/>
          <w:lang w:val="zh-CN" w:eastAsia="zh-CN"/>
        </w:rPr>
      </w:pPr>
      <w:bookmarkStart w:id="517" w:name="_Toc163493643"/>
      <w:r>
        <w:rPr>
          <w:rFonts w:hint="eastAsia" w:ascii="宋体" w:hAnsi="宋体" w:eastAsia="宋体" w:cs="宋体"/>
          <w:b/>
          <w:bCs/>
          <w:color w:val="auto"/>
          <w:sz w:val="24"/>
          <w:szCs w:val="24"/>
          <w:highlight w:val="none"/>
          <w:lang w:val="en-US" w:eastAsia="zh-CN"/>
        </w:rPr>
        <w:t>一、满足《中华人民共和国政府采购法》第二十二条规定的资格要求</w:t>
      </w:r>
    </w:p>
    <w:p w14:paraId="6A8E5EFD">
      <w:pPr>
        <w:pStyle w:val="27"/>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2" w:firstLineChars="200"/>
        <w:textAlignment w:val="auto"/>
        <w:rPr>
          <w:rFonts w:hint="eastAsia" w:ascii="宋体" w:hAnsi="宋体" w:eastAsia="宋体" w:cs="宋体"/>
          <w:b/>
          <w:bCs/>
          <w:color w:val="auto"/>
          <w:kern w:val="2"/>
          <w:sz w:val="24"/>
          <w:szCs w:val="22"/>
          <w:u w:val="none"/>
          <w:lang w:val="en-US" w:eastAsia="zh-CN" w:bidi="ar-SA"/>
        </w:rPr>
      </w:pPr>
      <w:r>
        <w:rPr>
          <w:rFonts w:hint="eastAsia" w:ascii="宋体" w:hAnsi="宋体" w:eastAsia="宋体" w:cs="宋体"/>
          <w:b/>
          <w:bCs/>
          <w:color w:val="auto"/>
          <w:spacing w:val="0"/>
          <w:kern w:val="2"/>
          <w:sz w:val="24"/>
          <w:szCs w:val="22"/>
          <w:lang w:val="en-US" w:eastAsia="zh-CN" w:bidi="ar-SA"/>
        </w:rPr>
        <w:t>1、</w:t>
      </w:r>
      <w:r>
        <w:rPr>
          <w:rFonts w:hint="eastAsia" w:ascii="宋体" w:hAnsi="宋体" w:eastAsia="宋体" w:cs="宋体"/>
          <w:b/>
          <w:bCs/>
          <w:color w:val="auto"/>
          <w:kern w:val="2"/>
          <w:sz w:val="24"/>
          <w:szCs w:val="22"/>
          <w:u w:val="none"/>
          <w:lang w:val="en-US" w:eastAsia="zh-CN" w:bidi="ar-SA"/>
        </w:rPr>
        <w:t>具有独立承担民事责任的能力</w:t>
      </w:r>
    </w:p>
    <w:p w14:paraId="5F070836">
      <w:pPr>
        <w:pStyle w:val="2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投标人为企业（包括合伙企业）的，应提供有效的“营业执照”；投标人为事业单位的，应提供有效的“事业单位法人证书”；投标人为非企业机构的，应提供有效的“执业许可证”、“登记证书”等证明文件；投标人是个体工商户的，应提供有效的“个体工商户营业执照”；投标人是自然人的，应提供有效的自然人身份证明。</w:t>
      </w:r>
    </w:p>
    <w:p w14:paraId="4718FB3F">
      <w:pPr>
        <w:pStyle w:val="2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注：提供材料为原件复印件或扫描件需内容清晰可见并加盖公章。</w:t>
      </w:r>
    </w:p>
    <w:p w14:paraId="3A5C9568">
      <w:pPr>
        <w:pStyle w:val="2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2" w:firstLineChars="200"/>
        <w:textAlignment w:val="auto"/>
        <w:rPr>
          <w:rFonts w:hint="eastAsia" w:ascii="宋体" w:hAnsi="宋体" w:eastAsia="宋体" w:cs="宋体"/>
          <w:b/>
          <w:bCs/>
          <w:color w:val="auto"/>
          <w:kern w:val="2"/>
          <w:sz w:val="24"/>
          <w:szCs w:val="22"/>
          <w:u w:val="none"/>
          <w:lang w:val="en-US" w:eastAsia="zh-CN" w:bidi="ar-SA"/>
        </w:rPr>
      </w:pPr>
      <w:r>
        <w:rPr>
          <w:rFonts w:hint="eastAsia" w:ascii="宋体" w:hAnsi="宋体" w:eastAsia="宋体" w:cs="宋体"/>
          <w:b/>
          <w:bCs/>
          <w:color w:val="auto"/>
          <w:spacing w:val="0"/>
          <w:kern w:val="2"/>
          <w:sz w:val="24"/>
          <w:szCs w:val="22"/>
          <w:lang w:val="en-US" w:eastAsia="zh-CN" w:bidi="ar-SA"/>
        </w:rPr>
        <w:t>2、</w:t>
      </w:r>
      <w:r>
        <w:rPr>
          <w:rFonts w:hint="eastAsia" w:ascii="宋体" w:hAnsi="宋体" w:eastAsia="宋体" w:cs="宋体"/>
          <w:b/>
          <w:bCs/>
          <w:color w:val="auto"/>
          <w:kern w:val="2"/>
          <w:sz w:val="24"/>
          <w:szCs w:val="22"/>
          <w:u w:val="none"/>
          <w:lang w:val="en-US" w:eastAsia="zh-CN" w:bidi="ar-SA"/>
        </w:rPr>
        <w:t>具有良好的商业信誉和健全的财务会计制度</w:t>
      </w:r>
    </w:p>
    <w:p w14:paraId="6463EB6C">
      <w:pPr>
        <w:pStyle w:val="2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提供</w:t>
      </w:r>
      <w:r>
        <w:rPr>
          <w:rFonts w:hint="eastAsia" w:ascii="宋体" w:cs="宋体"/>
          <w:color w:val="auto"/>
          <w:kern w:val="0"/>
          <w:sz w:val="24"/>
          <w:lang w:val="en-US" w:eastAsia="zh-CN"/>
        </w:rPr>
        <w:t>2026年</w:t>
      </w:r>
      <w:r>
        <w:rPr>
          <w:rFonts w:hint="eastAsia" w:ascii="宋体" w:hAnsi="宋体" w:eastAsia="宋体" w:cs="宋体"/>
          <w:color w:val="auto"/>
          <w:kern w:val="0"/>
          <w:sz w:val="24"/>
          <w:lang w:val="en-US" w:eastAsia="zh-CN"/>
        </w:rPr>
        <w:t>度经审计财务报告或财务报表（包括资产负债表、利润表、现金流量表）或投标截止日前三个月内开户银行出具的资信证明；供应商成立时间少于该规定时限的，提供成立至今的材料；</w:t>
      </w:r>
    </w:p>
    <w:p w14:paraId="48394D8F">
      <w:pPr>
        <w:pStyle w:val="2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注：提供材料为原件复印件或扫描件需内容清晰可见并加盖公章。</w:t>
      </w:r>
    </w:p>
    <w:p w14:paraId="7282E40A">
      <w:pPr>
        <w:pStyle w:val="2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kern w:val="2"/>
          <w:sz w:val="24"/>
          <w:szCs w:val="22"/>
          <w:u w:val="none"/>
          <w:lang w:val="en-US" w:eastAsia="zh-CN" w:bidi="ar-SA"/>
        </w:rPr>
      </w:pPr>
      <w:r>
        <w:rPr>
          <w:rFonts w:hint="eastAsia" w:ascii="宋体" w:hAnsi="宋体" w:eastAsia="宋体" w:cs="宋体"/>
          <w:b/>
          <w:bCs/>
          <w:color w:val="auto"/>
          <w:kern w:val="2"/>
          <w:sz w:val="24"/>
          <w:szCs w:val="22"/>
          <w:u w:val="none"/>
          <w:lang w:val="en-US" w:eastAsia="zh-CN" w:bidi="ar-SA"/>
        </w:rPr>
        <w:t>3、有依法缴纳税收和社会保障资金的良好记录</w:t>
      </w:r>
    </w:p>
    <w:p w14:paraId="4E181251">
      <w:pPr>
        <w:pStyle w:val="2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提供近6个月任一个月缴纳税收的凭据以及缴纳社会保险的凭据（专用收据或社会保险缴纳清单）；依法免税或不需要缴纳社会保障资金的供应商，提供相应文件证明。供应商成立时间少于该规定时限的，提供成立至今的材料；</w:t>
      </w:r>
    </w:p>
    <w:p w14:paraId="629C4597">
      <w:pPr>
        <w:pStyle w:val="2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注：提供材料为原件复印件或扫描件需内容清晰可见并加盖公章。</w:t>
      </w:r>
    </w:p>
    <w:p w14:paraId="02DA8E2E">
      <w:pPr>
        <w:pStyle w:val="2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kern w:val="2"/>
          <w:sz w:val="24"/>
          <w:szCs w:val="22"/>
          <w:u w:val="none"/>
          <w:lang w:val="en-US" w:eastAsia="zh-CN" w:bidi="ar-SA"/>
        </w:rPr>
      </w:pPr>
      <w:r>
        <w:rPr>
          <w:rFonts w:hint="eastAsia" w:ascii="宋体" w:hAnsi="宋体" w:eastAsia="宋体" w:cs="宋体"/>
          <w:b/>
          <w:bCs/>
          <w:color w:val="auto"/>
          <w:kern w:val="2"/>
          <w:sz w:val="24"/>
          <w:szCs w:val="22"/>
          <w:u w:val="none"/>
          <w:lang w:val="en-US" w:eastAsia="zh-CN" w:bidi="ar-SA"/>
        </w:rPr>
        <w:t>4、具备履行合同所必需专业能力的书面声明（格式见附件一）</w:t>
      </w:r>
    </w:p>
    <w:p w14:paraId="75658E7D">
      <w:pPr>
        <w:pStyle w:val="2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kern w:val="2"/>
          <w:sz w:val="24"/>
          <w:szCs w:val="22"/>
          <w:u w:val="none"/>
          <w:lang w:val="en-US" w:eastAsia="zh-CN" w:bidi="ar-SA"/>
        </w:rPr>
      </w:pPr>
      <w:r>
        <w:rPr>
          <w:rFonts w:hint="eastAsia" w:ascii="宋体" w:hAnsi="宋体" w:eastAsia="宋体" w:cs="宋体"/>
          <w:b/>
          <w:bCs/>
          <w:color w:val="auto"/>
          <w:kern w:val="2"/>
          <w:sz w:val="24"/>
          <w:szCs w:val="22"/>
          <w:u w:val="none"/>
          <w:lang w:val="en-US" w:eastAsia="zh-CN" w:bidi="ar-SA"/>
        </w:rPr>
        <w:t>5、参加政府采购活动前 3 年内在经营活动中没有重大违法记录的书面声明（格式见附件二）</w:t>
      </w:r>
    </w:p>
    <w:p w14:paraId="161229B2">
      <w:pPr>
        <w:pStyle w:val="4"/>
        <w:numPr>
          <w:ilvl w:val="2"/>
          <w:numId w:val="0"/>
        </w:numPr>
        <w:spacing w:before="145" w:beforeLines="50" w:after="145" w:afterLines="50" w:line="300" w:lineRule="auto"/>
        <w:ind w:leftChars="0"/>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二、落实政府采购政策需满足的资格要求</w:t>
      </w:r>
    </w:p>
    <w:p w14:paraId="6531A043">
      <w:pPr>
        <w:ind w:firstLine="480" w:firstLineChars="200"/>
        <w:rPr>
          <w:rFonts w:hint="default"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提供《中小企业声明函》并加盖公章</w:t>
      </w:r>
      <w:r>
        <w:rPr>
          <w:rFonts w:hint="eastAsia" w:ascii="宋体" w:hAnsi="宋体" w:eastAsia="宋体" w:cs="宋体"/>
          <w:b/>
          <w:bCs/>
          <w:color w:val="auto"/>
          <w:kern w:val="2"/>
          <w:sz w:val="24"/>
          <w:szCs w:val="22"/>
          <w:u w:val="none"/>
          <w:lang w:val="en-US" w:eastAsia="zh-CN" w:bidi="ar-SA"/>
        </w:rPr>
        <w:t>（格式见附件三）</w:t>
      </w:r>
      <w:r>
        <w:rPr>
          <w:rFonts w:hint="eastAsia" w:ascii="宋体" w:hAnsi="宋体" w:eastAsia="宋体" w:cs="宋体"/>
          <w:color w:val="auto"/>
          <w:kern w:val="2"/>
          <w:sz w:val="24"/>
          <w:szCs w:val="22"/>
          <w:u w:val="none"/>
          <w:lang w:val="en-US" w:eastAsia="zh-CN" w:bidi="ar-SA"/>
        </w:rPr>
        <w:t>。</w:t>
      </w:r>
    </w:p>
    <w:p w14:paraId="54D24DBC">
      <w:pPr>
        <w:pStyle w:val="4"/>
        <w:numPr>
          <w:ilvl w:val="2"/>
          <w:numId w:val="0"/>
        </w:numPr>
        <w:spacing w:before="145" w:beforeLines="50" w:after="145" w:afterLines="50" w:line="300" w:lineRule="auto"/>
        <w:ind w:leftChars="0"/>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三、本项目的特定资格要求</w:t>
      </w:r>
    </w:p>
    <w:p w14:paraId="5872775A">
      <w:pPr>
        <w:ind w:firstLine="480" w:firstLineChars="200"/>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无</w:t>
      </w:r>
    </w:p>
    <w:p w14:paraId="59F294ED">
      <w:pPr>
        <w:pStyle w:val="4"/>
        <w:numPr>
          <w:ilvl w:val="2"/>
          <w:numId w:val="0"/>
        </w:numPr>
        <w:spacing w:before="145" w:beforeLines="50" w:after="145" w:afterLines="50" w:line="300" w:lineRule="auto"/>
        <w:ind w:leftChars="0"/>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四、其他资格要求</w:t>
      </w:r>
    </w:p>
    <w:p w14:paraId="2B544E87">
      <w:pPr>
        <w:pStyle w:val="2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kern w:val="2"/>
          <w:sz w:val="24"/>
          <w:szCs w:val="22"/>
          <w:u w:val="none"/>
          <w:lang w:val="en-US" w:eastAsia="zh-CN" w:bidi="ar-SA"/>
        </w:rPr>
      </w:pPr>
      <w:r>
        <w:rPr>
          <w:rFonts w:hint="eastAsia" w:ascii="宋体" w:hAnsi="宋体" w:eastAsia="宋体" w:cs="宋体"/>
          <w:b w:val="0"/>
          <w:bCs w:val="0"/>
          <w:color w:val="auto"/>
          <w:kern w:val="2"/>
          <w:sz w:val="24"/>
          <w:szCs w:val="22"/>
          <w:u w:val="none"/>
          <w:lang w:val="en-US" w:eastAsia="zh-CN" w:bidi="ar-SA"/>
        </w:rPr>
        <w:t>1、联合体协议书（如果有，</w:t>
      </w:r>
      <w:r>
        <w:rPr>
          <w:rFonts w:hint="eastAsia" w:ascii="宋体" w:hAnsi="宋体" w:eastAsia="宋体" w:cs="宋体"/>
          <w:b/>
          <w:bCs/>
          <w:color w:val="auto"/>
          <w:kern w:val="2"/>
          <w:sz w:val="24"/>
          <w:szCs w:val="22"/>
          <w:u w:val="none"/>
          <w:lang w:val="en-US" w:eastAsia="zh-CN" w:bidi="ar-SA"/>
        </w:rPr>
        <w:t>格式见附件四</w:t>
      </w:r>
      <w:r>
        <w:rPr>
          <w:rFonts w:hint="eastAsia" w:ascii="宋体" w:hAnsi="宋体" w:eastAsia="宋体" w:cs="宋体"/>
          <w:b w:val="0"/>
          <w:bCs w:val="0"/>
          <w:color w:val="auto"/>
          <w:kern w:val="2"/>
          <w:sz w:val="24"/>
          <w:szCs w:val="22"/>
          <w:u w:val="none"/>
          <w:lang w:val="en-US" w:eastAsia="zh-CN" w:bidi="ar-SA"/>
        </w:rPr>
        <w:t>）</w:t>
      </w:r>
    </w:p>
    <w:p w14:paraId="5DED21B6">
      <w:pPr>
        <w:pStyle w:val="2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b w:val="0"/>
          <w:bCs w:val="0"/>
          <w:color w:val="auto"/>
          <w:kern w:val="2"/>
          <w:sz w:val="24"/>
          <w:szCs w:val="22"/>
          <w:u w:val="none"/>
          <w:lang w:val="en-US" w:eastAsia="zh-CN" w:bidi="ar-SA"/>
        </w:rPr>
        <w:t>2、</w:t>
      </w:r>
      <w:r>
        <w:rPr>
          <w:rFonts w:hint="eastAsia" w:ascii="宋体" w:hAnsi="宋体" w:eastAsia="宋体" w:cs="宋体"/>
          <w:color w:val="auto"/>
          <w:kern w:val="2"/>
          <w:sz w:val="24"/>
          <w:szCs w:val="22"/>
          <w:u w:val="none"/>
          <w:lang w:val="en-US" w:eastAsia="zh-CN" w:bidi="ar-SA"/>
        </w:rPr>
        <w:t>书面声明（</w:t>
      </w:r>
      <w:r>
        <w:rPr>
          <w:rFonts w:hint="eastAsia" w:ascii="宋体" w:hAnsi="宋体" w:eastAsia="宋体" w:cs="宋体"/>
          <w:b/>
          <w:bCs/>
          <w:color w:val="auto"/>
          <w:kern w:val="2"/>
          <w:sz w:val="24"/>
          <w:szCs w:val="22"/>
          <w:u w:val="none"/>
          <w:lang w:val="en-US" w:eastAsia="zh-CN" w:bidi="ar-SA"/>
        </w:rPr>
        <w:t>格式自拟</w:t>
      </w:r>
      <w:r>
        <w:rPr>
          <w:rFonts w:hint="eastAsia" w:ascii="宋体" w:hAnsi="宋体" w:eastAsia="宋体" w:cs="宋体"/>
          <w:color w:val="auto"/>
          <w:kern w:val="2"/>
          <w:sz w:val="24"/>
          <w:szCs w:val="22"/>
          <w:u w:val="none"/>
          <w:lang w:val="en-US" w:eastAsia="zh-CN" w:bidi="ar-SA"/>
        </w:rPr>
        <w:t>）包括如下内容：供应商法定代表人（单位负责人）在其单位外的其他单位担任法定代表人（单位负责人）的信息；供应商直接控股、存在管理关系的其他单位信息。</w:t>
      </w:r>
    </w:p>
    <w:p w14:paraId="16607874">
      <w:pPr>
        <w:pStyle w:val="2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3、供应商认为需要提供的其他材料。</w:t>
      </w:r>
    </w:p>
    <w:p w14:paraId="4DBEED38">
      <w:pPr>
        <w:pStyle w:val="2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04091634">
      <w:pPr>
        <w:pStyle w:val="27"/>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2"/>
          <w:u w:val="none"/>
          <w:lang w:val="en-US" w:eastAsia="zh-CN" w:bidi="ar-SA"/>
        </w:rPr>
      </w:pPr>
    </w:p>
    <w:p w14:paraId="4E723132">
      <w:pPr>
        <w:pStyle w:val="27"/>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2"/>
          <w:u w:val="none"/>
          <w:lang w:val="en-US" w:eastAsia="zh-CN" w:bidi="ar-SA"/>
        </w:rPr>
      </w:pPr>
    </w:p>
    <w:p w14:paraId="7453DF7B">
      <w:pPr>
        <w:pStyle w:val="27"/>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2"/>
          <w:u w:val="none"/>
          <w:lang w:val="en-US" w:eastAsia="zh-CN" w:bidi="ar-SA"/>
        </w:rPr>
      </w:pPr>
    </w:p>
    <w:p w14:paraId="5B49A0E7">
      <w:pPr>
        <w:pStyle w:val="27"/>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2"/>
          <w:u w:val="none"/>
          <w:lang w:val="en-US" w:eastAsia="zh-CN" w:bidi="ar-SA"/>
        </w:rPr>
      </w:pPr>
    </w:p>
    <w:p w14:paraId="45B5CB9A">
      <w:pPr>
        <w:pStyle w:val="27"/>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2"/>
          <w:u w:val="none"/>
          <w:lang w:val="en-US" w:eastAsia="zh-CN" w:bidi="ar-SA"/>
        </w:rPr>
      </w:pPr>
    </w:p>
    <w:p w14:paraId="4A3D08E2">
      <w:pPr>
        <w:pStyle w:val="27"/>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2"/>
          <w:u w:val="none"/>
          <w:lang w:val="en-US" w:eastAsia="zh-CN" w:bidi="ar-SA"/>
        </w:rPr>
      </w:pPr>
    </w:p>
    <w:p w14:paraId="65C4D708">
      <w:pPr>
        <w:pStyle w:val="27"/>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2"/>
          <w:u w:val="none"/>
          <w:lang w:val="en-US" w:eastAsia="zh-CN" w:bidi="ar-SA"/>
        </w:rPr>
      </w:pPr>
    </w:p>
    <w:p w14:paraId="596F37D6">
      <w:pPr>
        <w:pStyle w:val="27"/>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2"/>
          <w:u w:val="none"/>
          <w:lang w:val="en-US" w:eastAsia="zh-CN" w:bidi="ar-SA"/>
        </w:rPr>
      </w:pPr>
    </w:p>
    <w:p w14:paraId="474621BA">
      <w:pPr>
        <w:pStyle w:val="27"/>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2"/>
          <w:u w:val="none"/>
          <w:lang w:val="en-US" w:eastAsia="zh-CN" w:bidi="ar-SA"/>
        </w:rPr>
      </w:pPr>
    </w:p>
    <w:p w14:paraId="058C8B17">
      <w:pPr>
        <w:pStyle w:val="27"/>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2"/>
          <w:u w:val="none"/>
          <w:lang w:val="en-US" w:eastAsia="zh-CN" w:bidi="ar-SA"/>
        </w:rPr>
      </w:pPr>
    </w:p>
    <w:p w14:paraId="211E4E5D">
      <w:pPr>
        <w:pStyle w:val="27"/>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2"/>
          <w:u w:val="none"/>
          <w:lang w:val="en-US" w:eastAsia="zh-CN" w:bidi="ar-SA"/>
        </w:rPr>
      </w:pPr>
    </w:p>
    <w:p w14:paraId="15BF0ADD">
      <w:pPr>
        <w:pStyle w:val="27"/>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2"/>
          <w:u w:val="none"/>
          <w:lang w:val="en-US" w:eastAsia="zh-CN" w:bidi="ar-SA"/>
        </w:rPr>
      </w:pPr>
    </w:p>
    <w:p w14:paraId="7FBA1C08">
      <w:pPr>
        <w:pStyle w:val="27"/>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2"/>
          <w:u w:val="none"/>
          <w:lang w:val="en-US" w:eastAsia="zh-CN" w:bidi="ar-SA"/>
        </w:rPr>
      </w:pPr>
    </w:p>
    <w:p w14:paraId="17E27BBE">
      <w:pPr>
        <w:pStyle w:val="27"/>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2"/>
          <w:u w:val="none"/>
          <w:lang w:val="en-US" w:eastAsia="zh-CN" w:bidi="ar-SA"/>
        </w:rPr>
      </w:pPr>
    </w:p>
    <w:p w14:paraId="6EE065CD">
      <w:pPr>
        <w:pStyle w:val="27"/>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2"/>
          <w:u w:val="none"/>
          <w:lang w:val="en-US" w:eastAsia="zh-CN" w:bidi="ar-SA"/>
        </w:rPr>
      </w:pPr>
    </w:p>
    <w:p w14:paraId="113342B5">
      <w:pPr>
        <w:pStyle w:val="27"/>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2"/>
          <w:u w:val="none"/>
          <w:lang w:val="en-US" w:eastAsia="zh-CN" w:bidi="ar-SA"/>
        </w:rPr>
      </w:pPr>
    </w:p>
    <w:p w14:paraId="117D1205">
      <w:pPr>
        <w:pStyle w:val="27"/>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2"/>
          <w:u w:val="none"/>
          <w:lang w:val="en-US" w:eastAsia="zh-CN" w:bidi="ar-SA"/>
        </w:rPr>
      </w:pPr>
    </w:p>
    <w:p w14:paraId="4D704DA8">
      <w:pPr>
        <w:pStyle w:val="27"/>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2"/>
          <w:u w:val="none"/>
          <w:lang w:val="en-US" w:eastAsia="zh-CN" w:bidi="ar-SA"/>
        </w:rPr>
      </w:pPr>
    </w:p>
    <w:p w14:paraId="769969CC">
      <w:pPr>
        <w:pStyle w:val="27"/>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2"/>
          <w:u w:val="none"/>
          <w:lang w:val="en-US" w:eastAsia="zh-CN" w:bidi="ar-SA"/>
        </w:rPr>
      </w:pPr>
    </w:p>
    <w:p w14:paraId="0963E112">
      <w:pPr>
        <w:pStyle w:val="27"/>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2"/>
          <w:u w:val="none"/>
          <w:lang w:val="en-US" w:eastAsia="zh-CN" w:bidi="ar-SA"/>
        </w:rPr>
      </w:pPr>
    </w:p>
    <w:p w14:paraId="225A3846">
      <w:pPr>
        <w:pStyle w:val="27"/>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2"/>
          <w:u w:val="none"/>
          <w:lang w:val="en-US" w:eastAsia="zh-CN" w:bidi="ar-SA"/>
        </w:rPr>
      </w:pPr>
    </w:p>
    <w:p w14:paraId="331C553B">
      <w:pPr>
        <w:pStyle w:val="27"/>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2"/>
          <w:u w:val="none"/>
          <w:lang w:val="en-US" w:eastAsia="zh-CN" w:bidi="ar-SA"/>
        </w:rPr>
      </w:pPr>
    </w:p>
    <w:p w14:paraId="2E3DEAD6">
      <w:pPr>
        <w:pStyle w:val="27"/>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2"/>
          <w:u w:val="none"/>
          <w:lang w:val="en-US" w:eastAsia="zh-CN" w:bidi="ar-SA"/>
        </w:rPr>
      </w:pPr>
    </w:p>
    <w:p w14:paraId="5C36D279">
      <w:pPr>
        <w:spacing w:before="145" w:beforeLines="50" w:after="145" w:afterLines="50" w:line="300" w:lineRule="auto"/>
        <w:outlineLvl w:val="3"/>
        <w:rPr>
          <w:rFonts w:hint="eastAsia" w:ascii="宋体" w:hAnsi="宋体" w:eastAsia="宋体" w:cs="宋体"/>
          <w:b/>
          <w:bCs w:val="0"/>
          <w:color w:val="auto"/>
          <w:sz w:val="24"/>
          <w:lang w:eastAsia="zh-CN"/>
        </w:rPr>
      </w:pPr>
      <w:bookmarkStart w:id="518" w:name="_Toc5322"/>
      <w:r>
        <w:rPr>
          <w:rFonts w:hint="eastAsia" w:ascii="宋体" w:hAnsi="宋体" w:eastAsia="宋体" w:cs="宋体"/>
          <w:b/>
          <w:bCs w:val="0"/>
          <w:color w:val="auto"/>
          <w:sz w:val="24"/>
          <w:lang w:eastAsia="zh-CN"/>
        </w:rPr>
        <w:t>附件一：具备履行合同所必需的设备和专业技术能力的书面声明</w:t>
      </w:r>
    </w:p>
    <w:p w14:paraId="6DA88BEE">
      <w:pPr>
        <w:spacing w:before="145" w:beforeLines="50" w:after="145" w:afterLines="50" w:line="300" w:lineRule="auto"/>
        <w:jc w:val="center"/>
        <w:rPr>
          <w:rFonts w:hint="eastAsia" w:ascii="宋体" w:hAnsi="宋体" w:eastAsia="宋体" w:cs="宋体"/>
          <w:b/>
          <w:bCs w:val="0"/>
          <w:color w:val="auto"/>
          <w:sz w:val="24"/>
        </w:rPr>
      </w:pPr>
    </w:p>
    <w:p w14:paraId="2D17ED96">
      <w:pPr>
        <w:spacing w:before="145" w:beforeLines="50" w:after="145" w:afterLines="50" w:line="300" w:lineRule="auto"/>
        <w:jc w:val="center"/>
        <w:rPr>
          <w:rFonts w:hint="eastAsia" w:ascii="宋体" w:hAnsi="宋体" w:eastAsia="宋体" w:cs="宋体"/>
          <w:color w:val="auto"/>
        </w:rPr>
      </w:pPr>
      <w:r>
        <w:rPr>
          <w:rFonts w:hint="eastAsia" w:ascii="宋体" w:hAnsi="宋体" w:eastAsia="宋体" w:cs="宋体"/>
          <w:b/>
          <w:bCs w:val="0"/>
          <w:color w:val="auto"/>
          <w:sz w:val="24"/>
        </w:rPr>
        <w:t>具备履行合同所必需的设备和专业技术能力的书面声明</w:t>
      </w:r>
      <w:bookmarkEnd w:id="518"/>
    </w:p>
    <w:p w14:paraId="6436CDAE">
      <w:pPr>
        <w:keepNext w:val="0"/>
        <w:keepLines w:val="0"/>
        <w:pageBreakBefore w:val="0"/>
        <w:widowControl w:val="0"/>
        <w:kinsoku/>
        <w:wordWrap/>
        <w:overflowPunct/>
        <w:topLinePunct w:val="0"/>
        <w:autoSpaceDE/>
        <w:autoSpaceDN/>
        <w:bidi w:val="0"/>
        <w:adjustRightInd/>
        <w:snapToGrid/>
        <w:spacing w:before="145" w:beforeLines="50" w:after="145" w:afterLines="50" w:line="440" w:lineRule="exact"/>
        <w:ind w:firstLine="492"/>
        <w:textAlignment w:val="auto"/>
        <w:rPr>
          <w:rFonts w:hint="eastAsia" w:ascii="宋体" w:hAnsi="宋体" w:eastAsia="宋体" w:cs="宋体"/>
          <w:bCs/>
          <w:color w:val="auto"/>
          <w:sz w:val="24"/>
        </w:rPr>
      </w:pPr>
      <w:r>
        <w:rPr>
          <w:rFonts w:hint="eastAsia" w:ascii="宋体" w:hAnsi="宋体" w:eastAsia="宋体" w:cs="宋体"/>
          <w:bCs/>
          <w:color w:val="auto"/>
          <w:sz w:val="24"/>
        </w:rPr>
        <w:t>我单位郑重声明：我单位具备履行本项采购合同所必需的设备和专业技术能力，为履行本项采购合同我公司具备如下主要设备和主要专业技术能力：</w:t>
      </w:r>
    </w:p>
    <w:p w14:paraId="167DB57E">
      <w:pPr>
        <w:keepNext w:val="0"/>
        <w:keepLines w:val="0"/>
        <w:pageBreakBefore w:val="0"/>
        <w:widowControl w:val="0"/>
        <w:kinsoku/>
        <w:wordWrap/>
        <w:overflowPunct/>
        <w:topLinePunct w:val="0"/>
        <w:autoSpaceDE/>
        <w:autoSpaceDN/>
        <w:bidi w:val="0"/>
        <w:adjustRightInd/>
        <w:snapToGrid/>
        <w:spacing w:before="145" w:beforeLines="50" w:after="145" w:afterLines="50" w:line="440" w:lineRule="exact"/>
        <w:ind w:firstLine="492"/>
        <w:textAlignment w:val="auto"/>
        <w:rPr>
          <w:rFonts w:hint="eastAsia" w:ascii="宋体" w:hAnsi="宋体" w:eastAsia="宋体" w:cs="宋体"/>
          <w:bCs/>
          <w:color w:val="auto"/>
          <w:sz w:val="24"/>
        </w:rPr>
      </w:pPr>
      <w:r>
        <w:rPr>
          <w:rFonts w:hint="eastAsia" w:ascii="宋体" w:hAnsi="宋体" w:eastAsia="宋体" w:cs="宋体"/>
          <w:bCs/>
          <w:color w:val="auto"/>
          <w:sz w:val="24"/>
        </w:rPr>
        <w:t>主要设备有：</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w:t>
      </w:r>
    </w:p>
    <w:p w14:paraId="6C6BD69F">
      <w:pPr>
        <w:keepNext w:val="0"/>
        <w:keepLines w:val="0"/>
        <w:pageBreakBefore w:val="0"/>
        <w:widowControl w:val="0"/>
        <w:kinsoku/>
        <w:wordWrap/>
        <w:overflowPunct/>
        <w:topLinePunct w:val="0"/>
        <w:autoSpaceDE/>
        <w:autoSpaceDN/>
        <w:bidi w:val="0"/>
        <w:adjustRightInd/>
        <w:snapToGrid/>
        <w:spacing w:before="145" w:beforeLines="50" w:after="145" w:afterLines="50" w:line="440" w:lineRule="exact"/>
        <w:ind w:firstLine="492"/>
        <w:textAlignment w:val="auto"/>
        <w:rPr>
          <w:rFonts w:hint="eastAsia" w:ascii="宋体" w:hAnsi="宋体" w:eastAsia="宋体" w:cs="宋体"/>
          <w:bCs/>
          <w:color w:val="auto"/>
          <w:sz w:val="24"/>
        </w:rPr>
      </w:pPr>
      <w:r>
        <w:rPr>
          <w:rFonts w:hint="eastAsia" w:ascii="宋体" w:hAnsi="宋体" w:eastAsia="宋体" w:cs="宋体"/>
          <w:bCs/>
          <w:color w:val="auto"/>
          <w:sz w:val="24"/>
        </w:rPr>
        <w:t>主要专业技术能力有：</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w:t>
      </w:r>
    </w:p>
    <w:p w14:paraId="7DCA94B0">
      <w:pPr>
        <w:pStyle w:val="4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rPr>
      </w:pPr>
    </w:p>
    <w:p w14:paraId="73E86129">
      <w:pPr>
        <w:keepNext w:val="0"/>
        <w:keepLines w:val="0"/>
        <w:pageBreakBefore w:val="0"/>
        <w:widowControl w:val="0"/>
        <w:kinsoku/>
        <w:wordWrap/>
        <w:overflowPunct/>
        <w:topLinePunct w:val="0"/>
        <w:autoSpaceDE/>
        <w:autoSpaceDN/>
        <w:bidi w:val="0"/>
        <w:adjustRightInd/>
        <w:snapToGrid/>
        <w:spacing w:line="440" w:lineRule="exact"/>
        <w:ind w:firstLine="3600" w:firstLineChars="1500"/>
        <w:textAlignment w:val="auto"/>
        <w:rPr>
          <w:rFonts w:hint="eastAsia" w:ascii="宋体" w:hAnsi="宋体" w:eastAsia="宋体" w:cs="宋体"/>
          <w:color w:val="auto"/>
          <w:sz w:val="24"/>
        </w:rPr>
      </w:pPr>
      <w:r>
        <w:rPr>
          <w:rFonts w:hint="eastAsia" w:ascii="宋体" w:hAnsi="宋体" w:eastAsia="宋体" w:cs="宋体"/>
          <w:bCs/>
          <w:color w:val="auto"/>
        </w:rPr>
        <w:t xml:space="preserve">           </w:t>
      </w:r>
      <w:r>
        <w:rPr>
          <w:rFonts w:hint="eastAsia" w:ascii="宋体" w:hAnsi="宋体" w:eastAsia="宋体" w:cs="宋体"/>
          <w:color w:val="auto"/>
          <w:sz w:val="24"/>
        </w:rPr>
        <w:t>投标人名称（</w:t>
      </w:r>
      <w:r>
        <w:rPr>
          <w:rFonts w:hint="eastAsia" w:ascii="宋体" w:hAnsi="宋体" w:eastAsia="宋体" w:cs="宋体"/>
          <w:color w:val="auto"/>
          <w:sz w:val="24"/>
          <w:lang w:val="en-US" w:eastAsia="zh-CN"/>
        </w:rPr>
        <w:t>公章</w:t>
      </w:r>
      <w:r>
        <w:rPr>
          <w:rFonts w:hint="eastAsia" w:ascii="宋体" w:hAnsi="宋体" w:eastAsia="宋体" w:cs="宋体"/>
          <w:color w:val="auto"/>
          <w:sz w:val="24"/>
        </w:rPr>
        <w:t xml:space="preserve">）： </w:t>
      </w:r>
    </w:p>
    <w:p w14:paraId="5E3CDD0B">
      <w:pPr>
        <w:keepNext w:val="0"/>
        <w:keepLines w:val="0"/>
        <w:pageBreakBefore w:val="0"/>
        <w:widowControl w:val="0"/>
        <w:kinsoku/>
        <w:wordWrap/>
        <w:overflowPunct/>
        <w:topLinePunct w:val="0"/>
        <w:autoSpaceDE/>
        <w:autoSpaceDN/>
        <w:bidi w:val="0"/>
        <w:adjustRightInd/>
        <w:snapToGrid/>
        <w:spacing w:line="440" w:lineRule="exact"/>
        <w:ind w:firstLine="3600" w:firstLineChars="1500"/>
        <w:jc w:val="right"/>
        <w:textAlignment w:val="auto"/>
        <w:rPr>
          <w:rFonts w:hint="eastAsia" w:ascii="宋体" w:hAnsi="宋体" w:eastAsia="宋体" w:cs="宋体"/>
          <w:color w:val="auto"/>
          <w:sz w:val="24"/>
        </w:rPr>
      </w:pPr>
      <w:r>
        <w:rPr>
          <w:rFonts w:hint="eastAsia" w:ascii="宋体" w:hAnsi="宋体" w:eastAsia="宋体" w:cs="宋体"/>
          <w:color w:val="auto"/>
          <w:sz w:val="24"/>
        </w:rPr>
        <w:t xml:space="preserve">     日期：  年   月   日</w:t>
      </w:r>
    </w:p>
    <w:p w14:paraId="707C4A02">
      <w:pPr>
        <w:pStyle w:val="64"/>
        <w:tabs>
          <w:tab w:val="left" w:pos="750"/>
        </w:tabs>
        <w:adjustRightInd w:val="0"/>
        <w:snapToGrid w:val="0"/>
        <w:spacing w:line="500" w:lineRule="exact"/>
        <w:ind w:firstLine="720" w:firstLineChars="300"/>
        <w:jc w:val="right"/>
        <w:rPr>
          <w:rFonts w:hint="eastAsia" w:ascii="宋体" w:hAnsi="宋体" w:eastAsia="宋体" w:cs="宋体"/>
          <w:color w:val="auto"/>
          <w:sz w:val="24"/>
          <w:szCs w:val="24"/>
        </w:rPr>
      </w:pPr>
    </w:p>
    <w:p w14:paraId="3A84366E">
      <w:pPr>
        <w:rPr>
          <w:rFonts w:hint="eastAsia" w:ascii="宋体" w:hAnsi="宋体" w:eastAsia="宋体" w:cs="宋体"/>
          <w:color w:val="auto"/>
        </w:rPr>
      </w:pPr>
    </w:p>
    <w:p w14:paraId="5A63F8DE">
      <w:pPr>
        <w:rPr>
          <w:rFonts w:hint="eastAsia" w:ascii="宋体" w:hAnsi="宋体" w:eastAsia="宋体" w:cs="宋体"/>
          <w:color w:val="auto"/>
        </w:rPr>
      </w:pPr>
    </w:p>
    <w:p w14:paraId="61B62459">
      <w:pPr>
        <w:rPr>
          <w:rFonts w:hint="eastAsia" w:ascii="宋体" w:hAnsi="宋体" w:eastAsia="宋体" w:cs="宋体"/>
          <w:color w:val="auto"/>
        </w:rPr>
      </w:pPr>
    </w:p>
    <w:p w14:paraId="56ED0824">
      <w:pPr>
        <w:rPr>
          <w:rFonts w:hint="eastAsia" w:ascii="宋体" w:hAnsi="宋体" w:eastAsia="宋体" w:cs="宋体"/>
          <w:color w:val="auto"/>
        </w:rPr>
      </w:pPr>
    </w:p>
    <w:p w14:paraId="7C807FF4">
      <w:pPr>
        <w:rPr>
          <w:rFonts w:hint="eastAsia" w:ascii="宋体" w:hAnsi="宋体" w:eastAsia="宋体" w:cs="宋体"/>
          <w:color w:val="auto"/>
        </w:rPr>
      </w:pPr>
    </w:p>
    <w:p w14:paraId="4277D903">
      <w:pPr>
        <w:pStyle w:val="46"/>
        <w:rPr>
          <w:rFonts w:hint="eastAsia" w:ascii="宋体" w:hAnsi="宋体" w:eastAsia="宋体" w:cs="宋体"/>
          <w:color w:val="auto"/>
        </w:rPr>
      </w:pPr>
    </w:p>
    <w:p w14:paraId="1103082A">
      <w:pPr>
        <w:pStyle w:val="46"/>
        <w:rPr>
          <w:rFonts w:hint="eastAsia" w:ascii="宋体" w:hAnsi="宋体" w:eastAsia="宋体" w:cs="宋体"/>
          <w:color w:val="auto"/>
        </w:rPr>
      </w:pPr>
    </w:p>
    <w:p w14:paraId="2C048D71">
      <w:pPr>
        <w:pStyle w:val="46"/>
        <w:rPr>
          <w:rFonts w:hint="eastAsia" w:ascii="宋体" w:hAnsi="宋体" w:eastAsia="宋体" w:cs="宋体"/>
          <w:color w:val="auto"/>
        </w:rPr>
      </w:pPr>
    </w:p>
    <w:p w14:paraId="6EBDC788">
      <w:pPr>
        <w:pStyle w:val="46"/>
        <w:rPr>
          <w:rFonts w:hint="eastAsia" w:ascii="宋体" w:hAnsi="宋体" w:eastAsia="宋体" w:cs="宋体"/>
          <w:color w:val="auto"/>
        </w:rPr>
      </w:pPr>
    </w:p>
    <w:p w14:paraId="043196B5">
      <w:pPr>
        <w:pStyle w:val="46"/>
        <w:rPr>
          <w:rFonts w:hint="eastAsia" w:ascii="宋体" w:hAnsi="宋体" w:eastAsia="宋体" w:cs="宋体"/>
          <w:color w:val="auto"/>
        </w:rPr>
      </w:pPr>
    </w:p>
    <w:p w14:paraId="221CF4B3">
      <w:pPr>
        <w:pStyle w:val="46"/>
        <w:rPr>
          <w:rFonts w:hint="eastAsia" w:ascii="宋体" w:hAnsi="宋体" w:eastAsia="宋体" w:cs="宋体"/>
          <w:color w:val="auto"/>
        </w:rPr>
      </w:pPr>
    </w:p>
    <w:p w14:paraId="2A8DF4E3">
      <w:pPr>
        <w:pStyle w:val="46"/>
        <w:rPr>
          <w:rFonts w:hint="eastAsia" w:ascii="宋体" w:hAnsi="宋体" w:eastAsia="宋体" w:cs="宋体"/>
          <w:color w:val="auto"/>
        </w:rPr>
      </w:pPr>
    </w:p>
    <w:p w14:paraId="520F16E7">
      <w:pPr>
        <w:pStyle w:val="46"/>
        <w:rPr>
          <w:rFonts w:hint="eastAsia" w:ascii="宋体" w:hAnsi="宋体" w:eastAsia="宋体" w:cs="宋体"/>
          <w:color w:val="auto"/>
        </w:rPr>
      </w:pPr>
    </w:p>
    <w:p w14:paraId="215E8D94">
      <w:pPr>
        <w:pStyle w:val="46"/>
        <w:rPr>
          <w:rFonts w:hint="eastAsia" w:ascii="宋体" w:hAnsi="宋体" w:eastAsia="宋体" w:cs="宋体"/>
          <w:color w:val="auto"/>
        </w:rPr>
      </w:pPr>
    </w:p>
    <w:p w14:paraId="1641898B">
      <w:pPr>
        <w:pStyle w:val="46"/>
        <w:rPr>
          <w:rFonts w:hint="eastAsia" w:ascii="宋体" w:hAnsi="宋体" w:eastAsia="宋体" w:cs="宋体"/>
          <w:color w:val="auto"/>
        </w:rPr>
      </w:pPr>
    </w:p>
    <w:p w14:paraId="0E3018E3">
      <w:pPr>
        <w:pStyle w:val="46"/>
        <w:rPr>
          <w:rFonts w:hint="eastAsia" w:ascii="宋体" w:hAnsi="宋体" w:eastAsia="宋体" w:cs="宋体"/>
          <w:color w:val="auto"/>
        </w:rPr>
      </w:pPr>
    </w:p>
    <w:p w14:paraId="257FDBE4">
      <w:pPr>
        <w:pStyle w:val="46"/>
        <w:rPr>
          <w:rFonts w:hint="eastAsia" w:ascii="宋体" w:hAnsi="宋体" w:eastAsia="宋体" w:cs="宋体"/>
          <w:color w:val="auto"/>
        </w:rPr>
      </w:pPr>
    </w:p>
    <w:p w14:paraId="252E6C9F">
      <w:pPr>
        <w:spacing w:before="145" w:beforeLines="50" w:after="145" w:afterLines="50" w:line="300" w:lineRule="auto"/>
        <w:outlineLvl w:val="3"/>
        <w:rPr>
          <w:rFonts w:hint="eastAsia" w:ascii="宋体" w:hAnsi="宋体" w:eastAsia="宋体" w:cs="宋体"/>
          <w:b/>
          <w:bCs w:val="0"/>
          <w:color w:val="auto"/>
          <w:sz w:val="24"/>
          <w:lang w:val="en-US" w:eastAsia="zh-CN"/>
        </w:rPr>
      </w:pPr>
      <w:bookmarkStart w:id="519" w:name="_Toc4105"/>
      <w:bookmarkStart w:id="520" w:name="_Toc534725615"/>
      <w:bookmarkStart w:id="521" w:name="_Toc534816644"/>
      <w:r>
        <w:rPr>
          <w:rFonts w:hint="eastAsia" w:ascii="宋体" w:hAnsi="宋体" w:eastAsia="宋体" w:cs="宋体"/>
          <w:b/>
          <w:bCs w:val="0"/>
          <w:color w:val="auto"/>
          <w:sz w:val="24"/>
          <w:lang w:val="en-US" w:eastAsia="zh-CN"/>
        </w:rPr>
        <w:t>附件二：参加政府采购活动前 3 年内在经营活动中没有重大违法记录的书面声明</w:t>
      </w:r>
      <w:bookmarkEnd w:id="519"/>
      <w:bookmarkEnd w:id="520"/>
      <w:bookmarkEnd w:id="521"/>
    </w:p>
    <w:p w14:paraId="646344F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lang w:val="en-US" w:eastAsia="zh-CN"/>
        </w:rPr>
      </w:pPr>
      <w:r>
        <w:rPr>
          <w:rFonts w:hint="eastAsia" w:ascii="宋体" w:hAnsi="宋体" w:eastAsia="宋体" w:cs="宋体"/>
          <w:b/>
          <w:bCs w:val="0"/>
          <w:color w:val="auto"/>
          <w:sz w:val="24"/>
          <w:lang w:val="en-US" w:eastAsia="zh-CN"/>
        </w:rPr>
        <w:t>书面声明</w:t>
      </w:r>
    </w:p>
    <w:p w14:paraId="438A9950">
      <w:pPr>
        <w:keepNext w:val="0"/>
        <w:keepLines w:val="0"/>
        <w:pageBreakBefore w:val="0"/>
        <w:widowControl w:val="0"/>
        <w:kinsoku/>
        <w:wordWrap/>
        <w:overflowPunct/>
        <w:topLinePunct w:val="0"/>
        <w:autoSpaceDE/>
        <w:autoSpaceDN/>
        <w:bidi w:val="0"/>
        <w:adjustRightInd/>
        <w:snapToGrid/>
        <w:spacing w:before="145" w:beforeLines="50" w:after="145" w:afterLines="50" w:line="440" w:lineRule="exact"/>
        <w:textAlignment w:val="auto"/>
        <w:rPr>
          <w:rFonts w:hint="eastAsia" w:ascii="宋体" w:hAnsi="宋体" w:eastAsia="宋体" w:cs="宋体"/>
          <w:bCs/>
          <w:color w:val="auto"/>
          <w:sz w:val="24"/>
        </w:rPr>
      </w:pPr>
      <w:r>
        <w:rPr>
          <w:rFonts w:hint="eastAsia" w:ascii="宋体" w:hAnsi="宋体" w:eastAsia="宋体" w:cs="宋体"/>
          <w:b/>
          <w:bCs/>
          <w:color w:val="auto"/>
          <w:sz w:val="24"/>
        </w:rPr>
        <w:t xml:space="preserve">    </w:t>
      </w:r>
      <w:r>
        <w:rPr>
          <w:rFonts w:hint="eastAsia" w:ascii="宋体" w:hAnsi="宋体" w:eastAsia="宋体" w:cs="宋体"/>
          <w:bCs/>
          <w:color w:val="auto"/>
          <w:sz w:val="24"/>
        </w:rPr>
        <w:t>我单位郑重声明：参加本次政府采购活动前 3 年内，我单位在经营活动中没有因违法经营受到刑事处罚或者责令停产停业、吊销许可证或者执照、较大数额罚款等行政处罚。</w:t>
      </w:r>
    </w:p>
    <w:p w14:paraId="3923D57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rPr>
      </w:pPr>
    </w:p>
    <w:p w14:paraId="4B2187EA">
      <w:pPr>
        <w:keepNext w:val="0"/>
        <w:keepLines w:val="0"/>
        <w:pageBreakBefore w:val="0"/>
        <w:widowControl w:val="0"/>
        <w:kinsoku/>
        <w:wordWrap/>
        <w:overflowPunct/>
        <w:topLinePunct w:val="0"/>
        <w:autoSpaceDE/>
        <w:autoSpaceDN/>
        <w:bidi w:val="0"/>
        <w:adjustRightInd/>
        <w:snapToGrid/>
        <w:spacing w:line="440" w:lineRule="exact"/>
        <w:ind w:firstLine="3600" w:firstLineChars="1500"/>
        <w:textAlignment w:val="auto"/>
        <w:rPr>
          <w:rFonts w:hint="eastAsia" w:ascii="宋体" w:hAnsi="宋体" w:eastAsia="宋体" w:cs="宋体"/>
          <w:color w:val="auto"/>
          <w:sz w:val="24"/>
        </w:rPr>
      </w:pPr>
      <w:r>
        <w:rPr>
          <w:rFonts w:hint="eastAsia" w:ascii="宋体" w:hAnsi="宋体" w:eastAsia="宋体" w:cs="宋体"/>
          <w:bCs/>
          <w:color w:val="auto"/>
        </w:rPr>
        <w:t xml:space="preserve">   </w:t>
      </w:r>
      <w:r>
        <w:rPr>
          <w:rFonts w:hint="eastAsia" w:ascii="宋体" w:hAnsi="宋体" w:eastAsia="宋体" w:cs="宋体"/>
          <w:bCs/>
          <w:color w:val="auto"/>
          <w:lang w:val="en-US" w:eastAsia="zh-CN"/>
        </w:rPr>
        <w:t xml:space="preserve">        </w:t>
      </w:r>
      <w:r>
        <w:rPr>
          <w:rFonts w:hint="eastAsia" w:ascii="宋体" w:hAnsi="宋体" w:eastAsia="宋体" w:cs="宋体"/>
          <w:color w:val="auto"/>
          <w:sz w:val="24"/>
        </w:rPr>
        <w:t>投标人名称（</w:t>
      </w:r>
      <w:r>
        <w:rPr>
          <w:rFonts w:hint="eastAsia" w:ascii="宋体" w:hAnsi="宋体" w:eastAsia="宋体" w:cs="宋体"/>
          <w:color w:val="auto"/>
          <w:sz w:val="24"/>
          <w:lang w:val="en-US" w:eastAsia="zh-CN"/>
        </w:rPr>
        <w:t>公章</w:t>
      </w:r>
      <w:r>
        <w:rPr>
          <w:rFonts w:hint="eastAsia" w:ascii="宋体" w:hAnsi="宋体" w:eastAsia="宋体" w:cs="宋体"/>
          <w:color w:val="auto"/>
          <w:sz w:val="24"/>
        </w:rPr>
        <w:t xml:space="preserve">）： </w:t>
      </w:r>
    </w:p>
    <w:p w14:paraId="5A7DFA7C">
      <w:pPr>
        <w:keepNext w:val="0"/>
        <w:keepLines w:val="0"/>
        <w:pageBreakBefore w:val="0"/>
        <w:widowControl w:val="0"/>
        <w:kinsoku/>
        <w:wordWrap/>
        <w:overflowPunct/>
        <w:topLinePunct w:val="0"/>
        <w:autoSpaceDE/>
        <w:autoSpaceDN/>
        <w:bidi w:val="0"/>
        <w:adjustRightInd/>
        <w:snapToGrid/>
        <w:spacing w:line="440" w:lineRule="exact"/>
        <w:ind w:firstLine="3600" w:firstLineChars="1500"/>
        <w:jc w:val="right"/>
        <w:textAlignment w:val="auto"/>
        <w:rPr>
          <w:rFonts w:hint="eastAsia" w:ascii="宋体" w:hAnsi="宋体" w:eastAsia="宋体" w:cs="宋体"/>
          <w:color w:val="auto"/>
          <w:sz w:val="24"/>
        </w:rPr>
      </w:pPr>
      <w:r>
        <w:rPr>
          <w:rFonts w:hint="eastAsia" w:ascii="宋体" w:hAnsi="宋体" w:eastAsia="宋体" w:cs="宋体"/>
          <w:color w:val="auto"/>
          <w:sz w:val="24"/>
        </w:rPr>
        <w:t xml:space="preserve">     日期：  年   月   日</w:t>
      </w:r>
    </w:p>
    <w:p w14:paraId="71AFC931">
      <w:pPr>
        <w:rPr>
          <w:color w:val="auto"/>
          <w:highlight w:val="none"/>
          <w:lang w:val="zh-CN"/>
        </w:rPr>
      </w:pPr>
    </w:p>
    <w:p w14:paraId="6BA39E20">
      <w:pPr>
        <w:rPr>
          <w:color w:val="auto"/>
          <w:highlight w:val="none"/>
          <w:lang w:val="zh-CN"/>
        </w:rPr>
      </w:pPr>
    </w:p>
    <w:p w14:paraId="572E84B9">
      <w:pPr>
        <w:rPr>
          <w:color w:val="auto"/>
          <w:highlight w:val="none"/>
          <w:lang w:val="zh-CN"/>
        </w:rPr>
      </w:pPr>
    </w:p>
    <w:p w14:paraId="2D76AABD">
      <w:pPr>
        <w:rPr>
          <w:color w:val="auto"/>
          <w:highlight w:val="none"/>
          <w:lang w:val="zh-CN"/>
        </w:rPr>
      </w:pPr>
    </w:p>
    <w:p w14:paraId="57809FEE">
      <w:pPr>
        <w:rPr>
          <w:color w:val="auto"/>
          <w:highlight w:val="none"/>
          <w:lang w:val="zh-CN"/>
        </w:rPr>
      </w:pPr>
    </w:p>
    <w:p w14:paraId="7FC4F99E">
      <w:pPr>
        <w:rPr>
          <w:color w:val="auto"/>
          <w:highlight w:val="none"/>
          <w:lang w:val="zh-CN"/>
        </w:rPr>
      </w:pPr>
    </w:p>
    <w:p w14:paraId="7EC4684F">
      <w:pPr>
        <w:rPr>
          <w:color w:val="auto"/>
          <w:highlight w:val="none"/>
          <w:lang w:val="zh-CN"/>
        </w:rPr>
      </w:pPr>
    </w:p>
    <w:p w14:paraId="0F369F2A">
      <w:pPr>
        <w:rPr>
          <w:color w:val="auto"/>
          <w:highlight w:val="none"/>
          <w:lang w:val="zh-CN"/>
        </w:rPr>
      </w:pPr>
    </w:p>
    <w:p w14:paraId="5BCC9C85">
      <w:pPr>
        <w:rPr>
          <w:color w:val="auto"/>
          <w:highlight w:val="none"/>
          <w:lang w:val="zh-CN"/>
        </w:rPr>
      </w:pPr>
    </w:p>
    <w:p w14:paraId="6832A27A">
      <w:pPr>
        <w:rPr>
          <w:color w:val="auto"/>
          <w:highlight w:val="none"/>
          <w:lang w:val="zh-CN"/>
        </w:rPr>
      </w:pPr>
    </w:p>
    <w:p w14:paraId="6B6260E0">
      <w:pPr>
        <w:rPr>
          <w:color w:val="auto"/>
          <w:highlight w:val="none"/>
          <w:lang w:val="zh-CN"/>
        </w:rPr>
      </w:pPr>
    </w:p>
    <w:p w14:paraId="5A9876BF">
      <w:pPr>
        <w:rPr>
          <w:color w:val="auto"/>
          <w:highlight w:val="none"/>
          <w:lang w:val="zh-CN"/>
        </w:rPr>
      </w:pPr>
    </w:p>
    <w:p w14:paraId="379AEB11">
      <w:pPr>
        <w:rPr>
          <w:color w:val="auto"/>
          <w:highlight w:val="none"/>
          <w:lang w:val="zh-CN"/>
        </w:rPr>
      </w:pPr>
    </w:p>
    <w:p w14:paraId="39A92C3B">
      <w:pPr>
        <w:rPr>
          <w:color w:val="auto"/>
          <w:highlight w:val="none"/>
          <w:lang w:val="zh-CN"/>
        </w:rPr>
      </w:pPr>
    </w:p>
    <w:p w14:paraId="6F498255">
      <w:pPr>
        <w:rPr>
          <w:color w:val="auto"/>
          <w:highlight w:val="none"/>
          <w:lang w:val="zh-CN"/>
        </w:rPr>
      </w:pPr>
    </w:p>
    <w:p w14:paraId="65057CE8">
      <w:pPr>
        <w:rPr>
          <w:color w:val="auto"/>
          <w:highlight w:val="none"/>
          <w:lang w:val="zh-CN"/>
        </w:rPr>
      </w:pPr>
    </w:p>
    <w:p w14:paraId="46A3274F">
      <w:pPr>
        <w:rPr>
          <w:color w:val="auto"/>
          <w:highlight w:val="none"/>
          <w:lang w:val="zh-CN"/>
        </w:rPr>
      </w:pPr>
    </w:p>
    <w:p w14:paraId="58B30871">
      <w:pPr>
        <w:rPr>
          <w:color w:val="auto"/>
          <w:highlight w:val="none"/>
          <w:lang w:val="zh-CN"/>
        </w:rPr>
      </w:pPr>
    </w:p>
    <w:p w14:paraId="24CFDBE3">
      <w:pPr>
        <w:rPr>
          <w:color w:val="auto"/>
          <w:highlight w:val="none"/>
          <w:lang w:val="zh-CN"/>
        </w:rPr>
      </w:pPr>
    </w:p>
    <w:p w14:paraId="57DF40F9">
      <w:pPr>
        <w:rPr>
          <w:color w:val="auto"/>
          <w:highlight w:val="none"/>
          <w:lang w:val="zh-CN"/>
        </w:rPr>
      </w:pPr>
    </w:p>
    <w:p w14:paraId="6DEC6675">
      <w:pPr>
        <w:outlineLvl w:val="3"/>
        <w:rPr>
          <w:rFonts w:hint="eastAsia"/>
          <w:b/>
          <w:bCs w:val="0"/>
          <w:color w:val="auto"/>
          <w:sz w:val="24"/>
          <w:szCs w:val="24"/>
          <w:highlight w:val="none"/>
          <w:lang w:val="en-US" w:eastAsia="zh-CN"/>
        </w:rPr>
      </w:pPr>
      <w:r>
        <w:rPr>
          <w:rFonts w:hint="eastAsia" w:ascii="宋体" w:hAnsi="宋体" w:eastAsia="宋体" w:cs="宋体"/>
          <w:b/>
          <w:bCs w:val="0"/>
          <w:color w:val="auto"/>
          <w:sz w:val="24"/>
          <w:lang w:val="en-US" w:eastAsia="zh-CN"/>
        </w:rPr>
        <w:t>附件三：</w:t>
      </w:r>
      <w:r>
        <w:rPr>
          <w:rFonts w:hint="eastAsia"/>
          <w:b/>
          <w:bCs w:val="0"/>
          <w:color w:val="auto"/>
          <w:sz w:val="24"/>
          <w:szCs w:val="24"/>
          <w:highlight w:val="none"/>
          <w:lang w:val="en-US" w:eastAsia="zh-CN"/>
        </w:rPr>
        <w:t>中小企业声明函</w:t>
      </w:r>
    </w:p>
    <w:p w14:paraId="72D27746">
      <w:pPr>
        <w:rPr>
          <w:rFonts w:hint="eastAsia"/>
          <w:color w:val="auto"/>
          <w:sz w:val="24"/>
          <w:szCs w:val="24"/>
          <w:highlight w:val="none"/>
          <w:lang w:val="en-US" w:eastAsia="zh-CN"/>
        </w:rPr>
      </w:pPr>
      <w:r>
        <w:rPr>
          <w:rFonts w:hint="eastAsia"/>
          <w:color w:val="auto"/>
          <w:sz w:val="24"/>
          <w:szCs w:val="24"/>
          <w:highlight w:val="none"/>
          <w:lang w:val="en-US" w:eastAsia="zh-CN"/>
        </w:rPr>
        <w:t>【如专门面向中小企业采购的项目，此函可放于此处，否则，应后置于“其他资格要求证明文件”】</w:t>
      </w:r>
    </w:p>
    <w:p w14:paraId="2BC13CED">
      <w:pPr>
        <w:pStyle w:val="39"/>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0D971069">
      <w:pPr>
        <w:pStyle w:val="39"/>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6E4EEDD3">
      <w:pPr>
        <w:ind w:firstLine="504" w:firstLineChars="200"/>
        <w:rPr>
          <w:rFonts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（阿克苏地区检验检测中心）</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w:t>
      </w:r>
      <w:r>
        <w:rPr>
          <w:rFonts w:hint="eastAsia" w:cs="宋体"/>
          <w:color w:val="auto"/>
          <w:spacing w:val="6"/>
          <w:szCs w:val="24"/>
          <w:highlight w:val="none"/>
          <w:u w:val="single"/>
          <w:lang w:eastAsia="zh-CN"/>
        </w:rPr>
        <w:t>阿克苏地区检验检测中心采购束纤维快速测试仪（智能纤维检测训练系统）设备项目</w:t>
      </w:r>
      <w:r>
        <w:rPr>
          <w:rFonts w:hint="eastAsia" w:cs="宋体"/>
          <w:color w:val="auto"/>
          <w:spacing w:val="6"/>
          <w:szCs w:val="24"/>
          <w:highlight w:val="none"/>
          <w:u w:val="single"/>
        </w:rPr>
        <w:t xml:space="preserve">） </w:t>
      </w:r>
      <w:r>
        <w:rPr>
          <w:rFonts w:hint="eastAsia" w:cs="宋体"/>
          <w:color w:val="auto"/>
          <w:spacing w:val="6"/>
          <w:szCs w:val="24"/>
          <w:highlight w:val="none"/>
        </w:rPr>
        <w:t>采购活动，提供的货物全部由符合政策要求的中小企业制造。相关企业（含联合体中的中小企业、签订分包意向协议的中小企业）的具体情况如下：</w:t>
      </w:r>
    </w:p>
    <w:p w14:paraId="03EE017E">
      <w:pPr>
        <w:ind w:firstLine="504" w:firstLineChars="200"/>
        <w:rPr>
          <w:rFonts w:cs="宋体"/>
          <w:color w:val="auto"/>
          <w:spacing w:val="6"/>
          <w:szCs w:val="24"/>
          <w:highlight w:val="none"/>
        </w:rPr>
      </w:pPr>
      <w:r>
        <w:rPr>
          <w:rFonts w:hint="eastAsia" w:cs="宋体"/>
          <w:color w:val="auto"/>
          <w:spacing w:val="6"/>
          <w:szCs w:val="24"/>
          <w:highlight w:val="none"/>
        </w:rPr>
        <w:t>1.</w:t>
      </w:r>
      <w:r>
        <w:rPr>
          <w:rFonts w:hint="eastAsia" w:cs="宋体"/>
          <w:color w:val="auto"/>
          <w:spacing w:val="6"/>
          <w:szCs w:val="24"/>
          <w:highlight w:val="none"/>
          <w:u w:val="single"/>
        </w:rPr>
        <w:t xml:space="preserve"> （束纤维快速测试仪） </w:t>
      </w:r>
      <w:r>
        <w:rPr>
          <w:rFonts w:hint="eastAsia" w:cs="宋体"/>
          <w:color w:val="auto"/>
          <w:spacing w:val="6"/>
          <w:szCs w:val="24"/>
          <w:highlight w:val="none"/>
        </w:rPr>
        <w:t>，属于</w:t>
      </w:r>
      <w:r>
        <w:rPr>
          <w:rFonts w:hint="eastAsia" w:cs="宋体"/>
          <w:color w:val="auto"/>
          <w:spacing w:val="6"/>
          <w:szCs w:val="24"/>
          <w:highlight w:val="none"/>
          <w:u w:val="single"/>
        </w:rPr>
        <w:t xml:space="preserve"> （</w:t>
      </w:r>
      <w:r>
        <w:rPr>
          <w:rFonts w:hint="eastAsia" w:cs="宋体"/>
          <w:color w:val="auto"/>
          <w:spacing w:val="6"/>
          <w:szCs w:val="24"/>
          <w:highlight w:val="none"/>
          <w:u w:val="single"/>
          <w:lang w:val="en-US" w:eastAsia="zh-CN"/>
        </w:rPr>
        <w:t>工业</w:t>
      </w:r>
      <w:r>
        <w:rPr>
          <w:rFonts w:hint="eastAsia" w:cs="宋体"/>
          <w:color w:val="auto"/>
          <w:spacing w:val="6"/>
          <w:szCs w:val="24"/>
          <w:highlight w:val="none"/>
          <w:u w:val="single"/>
        </w:rPr>
        <w:t>）</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5B134551">
      <w:pPr>
        <w:ind w:firstLine="504" w:firstLineChars="200"/>
        <w:rPr>
          <w:rFonts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0C713878">
      <w:pPr>
        <w:ind w:firstLine="504" w:firstLineChars="200"/>
        <w:rPr>
          <w:rFonts w:cs="宋体"/>
          <w:color w:val="auto"/>
          <w:spacing w:val="6"/>
          <w:szCs w:val="24"/>
          <w:highlight w:val="none"/>
        </w:rPr>
      </w:pPr>
      <w:r>
        <w:rPr>
          <w:rFonts w:hint="eastAsia" w:cs="宋体"/>
          <w:color w:val="auto"/>
          <w:spacing w:val="6"/>
          <w:szCs w:val="24"/>
          <w:highlight w:val="none"/>
        </w:rPr>
        <w:t>……</w:t>
      </w:r>
    </w:p>
    <w:p w14:paraId="1CAD8FFD">
      <w:pPr>
        <w:ind w:firstLine="504" w:firstLineChars="200"/>
        <w:rPr>
          <w:rFonts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568F1B36">
      <w:pPr>
        <w:ind w:firstLine="504" w:firstLineChars="200"/>
        <w:rPr>
          <w:rFonts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010E27C5">
      <w:pPr>
        <w:ind w:right="1008" w:firstLine="4788" w:firstLineChars="1900"/>
        <w:rPr>
          <w:rFonts w:cs="宋体"/>
          <w:color w:val="auto"/>
          <w:spacing w:val="6"/>
          <w:szCs w:val="24"/>
          <w:highlight w:val="none"/>
        </w:rPr>
      </w:pPr>
    </w:p>
    <w:p w14:paraId="7C121C9F">
      <w:pP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宋体"/>
          <w:color w:val="auto"/>
          <w:spacing w:val="6"/>
          <w:szCs w:val="24"/>
          <w:highlight w:val="none"/>
        </w:rPr>
        <w:t>：</w:t>
      </w:r>
    </w:p>
    <w:p w14:paraId="50862B1F">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40E2C1EA">
      <w:pPr>
        <w:ind w:firstLine="504" w:firstLineChars="200"/>
        <w:rPr>
          <w:rFonts w:cs="宋体"/>
          <w:color w:val="auto"/>
          <w:spacing w:val="6"/>
          <w:szCs w:val="24"/>
          <w:highlight w:val="none"/>
        </w:rPr>
      </w:pPr>
    </w:p>
    <w:p w14:paraId="32FC2558">
      <w:pPr>
        <w:rPr>
          <w:rFonts w:hint="default" w:cs="宋体"/>
          <w:b w:val="0"/>
          <w:bCs w:val="0"/>
          <w:color w:val="auto"/>
          <w:spacing w:val="6"/>
          <w:sz w:val="21"/>
          <w:szCs w:val="21"/>
          <w:highlight w:val="none"/>
          <w:lang w:val="en-US" w:eastAsia="zh-CN"/>
        </w:rPr>
      </w:pPr>
      <w:r>
        <w:rPr>
          <w:rFonts w:hint="eastAsia" w:cs="宋体"/>
          <w:b w:val="0"/>
          <w:bCs w:val="0"/>
          <w:color w:val="auto"/>
          <w:spacing w:val="6"/>
          <w:sz w:val="21"/>
          <w:szCs w:val="21"/>
          <w:highlight w:val="none"/>
        </w:rPr>
        <w:t>说明：</w:t>
      </w:r>
      <w:r>
        <w:rPr>
          <w:rFonts w:hint="eastAsia" w:cs="宋体"/>
          <w:b w:val="0"/>
          <w:bCs w:val="0"/>
          <w:color w:val="auto"/>
          <w:spacing w:val="6"/>
          <w:sz w:val="21"/>
          <w:szCs w:val="21"/>
          <w:highlight w:val="none"/>
          <w:lang w:val="en-US" w:eastAsia="zh-CN"/>
        </w:rPr>
        <w:t>1.重要提示：供应商应仔细阅读本函附件1关于</w:t>
      </w:r>
      <w:r>
        <w:rPr>
          <w:rFonts w:hint="eastAsia" w:cs="宋体"/>
          <w:b w:val="0"/>
          <w:bCs w:val="0"/>
          <w:color w:val="auto"/>
          <w:spacing w:val="-6"/>
          <w:kern w:val="0"/>
          <w:sz w:val="21"/>
          <w:szCs w:val="21"/>
          <w:highlight w:val="none"/>
          <w:lang w:val="en-US" w:eastAsia="zh-CN" w:bidi="ar"/>
        </w:rPr>
        <w:t>“</w:t>
      </w:r>
      <w:r>
        <w:rPr>
          <w:rFonts w:hint="eastAsia" w:cs="宋体"/>
          <w:b w:val="0"/>
          <w:bCs w:val="0"/>
          <w:color w:val="auto"/>
          <w:spacing w:val="6"/>
          <w:sz w:val="21"/>
          <w:szCs w:val="21"/>
          <w:highlight w:val="none"/>
          <w:lang w:val="en-US" w:eastAsia="zh-CN"/>
        </w:rPr>
        <w:t>中小企业声明函”的填写要求及提交要求，否则，因填写或提交等产生的一切不利后果，须自行承担。</w:t>
      </w:r>
    </w:p>
    <w:p w14:paraId="28B8550D">
      <w:pPr>
        <w:ind w:firstLine="666" w:firstLineChars="300"/>
        <w:rPr>
          <w:rFonts w:cs="宋体"/>
          <w:b w:val="0"/>
          <w:bCs w:val="0"/>
          <w:color w:val="auto"/>
          <w:spacing w:val="6"/>
          <w:sz w:val="21"/>
          <w:szCs w:val="21"/>
          <w:highlight w:val="none"/>
        </w:rPr>
      </w:pPr>
      <w:r>
        <w:rPr>
          <w:rFonts w:hint="eastAsia" w:cs="宋体"/>
          <w:b w:val="0"/>
          <w:bCs w:val="0"/>
          <w:color w:val="auto"/>
          <w:spacing w:val="6"/>
          <w:sz w:val="21"/>
          <w:szCs w:val="21"/>
          <w:highlight w:val="none"/>
          <w:lang w:val="en-US" w:eastAsia="zh-CN"/>
        </w:rPr>
        <w:t>2.</w:t>
      </w:r>
      <w:r>
        <w:rPr>
          <w:rFonts w:hint="eastAsia" w:cs="宋体"/>
          <w:b w:val="0"/>
          <w:bCs w:val="0"/>
          <w:color w:val="auto"/>
          <w:spacing w:val="6"/>
          <w:sz w:val="21"/>
          <w:szCs w:val="21"/>
          <w:highlight w:val="none"/>
        </w:rPr>
        <w:t>从业人员、营业收入、资产总额填报上一年度数据，无上一年度数据的新成立企业可不填报。</w:t>
      </w:r>
    </w:p>
    <w:p w14:paraId="3DF5B66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6FB8D21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6ADC4706">
      <w:pPr>
        <w:keepNext w:val="0"/>
        <w:keepLines w:val="0"/>
        <w:widowControl/>
        <w:suppressLineNumbers w:val="0"/>
        <w:ind w:firstLine="482" w:firstLineChars="200"/>
        <w:jc w:val="left"/>
        <w:rPr>
          <w:rStyle w:val="31"/>
          <w:rFonts w:hint="eastAsia" w:ascii="宋体" w:hAnsi="宋体" w:eastAsia="宋体" w:cs="宋体"/>
          <w:color w:val="auto"/>
          <w:kern w:val="0"/>
          <w:sz w:val="24"/>
          <w:szCs w:val="24"/>
          <w:highlight w:val="none"/>
          <w:lang w:val="en-US" w:eastAsia="zh-CN" w:bidi="ar"/>
        </w:rPr>
      </w:pPr>
      <w:r>
        <w:rPr>
          <w:rStyle w:val="31"/>
          <w:rFonts w:hint="eastAsia" w:ascii="宋体" w:hAnsi="宋体" w:eastAsia="宋体" w:cs="宋体"/>
          <w:color w:val="auto"/>
          <w:kern w:val="0"/>
          <w:sz w:val="24"/>
          <w:szCs w:val="24"/>
          <w:highlight w:val="none"/>
          <w:lang w:val="en-US" w:eastAsia="zh-CN" w:bidi="ar"/>
        </w:rPr>
        <w:t>（一）关于</w:t>
      </w:r>
      <w:r>
        <w:rPr>
          <w:rStyle w:val="31"/>
          <w:rFonts w:hint="eastAsia" w:cs="宋体"/>
          <w:color w:val="auto"/>
          <w:kern w:val="0"/>
          <w:sz w:val="24"/>
          <w:szCs w:val="24"/>
          <w:highlight w:val="none"/>
          <w:lang w:val="en-US" w:eastAsia="zh-CN" w:bidi="ar"/>
        </w:rPr>
        <w:t>“</w:t>
      </w:r>
      <w:r>
        <w:rPr>
          <w:rStyle w:val="31"/>
          <w:rFonts w:hint="eastAsia" w:ascii="宋体" w:hAnsi="宋体" w:eastAsia="宋体" w:cs="宋体"/>
          <w:color w:val="auto"/>
          <w:kern w:val="0"/>
          <w:sz w:val="24"/>
          <w:szCs w:val="24"/>
          <w:highlight w:val="none"/>
          <w:lang w:val="en-US" w:eastAsia="zh-CN" w:bidi="ar"/>
        </w:rPr>
        <w:t>中小企业声明函</w:t>
      </w:r>
      <w:r>
        <w:rPr>
          <w:rStyle w:val="31"/>
          <w:rFonts w:hint="eastAsia" w:cs="宋体"/>
          <w:color w:val="auto"/>
          <w:kern w:val="0"/>
          <w:sz w:val="24"/>
          <w:szCs w:val="24"/>
          <w:highlight w:val="none"/>
          <w:lang w:val="en-US" w:eastAsia="zh-CN" w:bidi="ar"/>
        </w:rPr>
        <w:t>”</w:t>
      </w:r>
      <w:r>
        <w:rPr>
          <w:rStyle w:val="31"/>
          <w:rFonts w:hint="eastAsia" w:ascii="宋体" w:hAnsi="宋体" w:eastAsia="宋体" w:cs="宋体"/>
          <w:color w:val="auto"/>
          <w:kern w:val="0"/>
          <w:sz w:val="24"/>
          <w:szCs w:val="24"/>
          <w:highlight w:val="none"/>
          <w:lang w:val="en-US" w:eastAsia="zh-CN" w:bidi="ar"/>
        </w:rPr>
        <w:t>的填写要求</w:t>
      </w:r>
    </w:p>
    <w:p w14:paraId="602CCED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具体填写要求如下：</w:t>
      </w:r>
    </w:p>
    <w:p w14:paraId="030F8AC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1.“单位名称”应填写采购人名称。</w:t>
      </w:r>
    </w:p>
    <w:p w14:paraId="4E3AD9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62D9554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7FA44BF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4A3F0C6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4B8D1C6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2CF6E05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5.“企业名称”应填写投标（响应）的货物制造商/服务承接商/工程承建商（根据项目属性确定）。</w:t>
      </w:r>
    </w:p>
    <w:p w14:paraId="3F39489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对于分包方式面向中小企业采购的项目，“企业名称”应填写分包部分采购标的对应的货物制造商/服务承接商/工程承建商（根据项目属性确定）。</w:t>
      </w:r>
    </w:p>
    <w:p w14:paraId="5327E3F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12C4432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6.从业人员、资产总额指标以上年度末数据为依据，营业收入指标以上年度累计数据为依据。无上年度数据的新成立企业可不填报。</w:t>
      </w:r>
    </w:p>
    <w:p w14:paraId="540AAD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载明的货物制造商/服务承接商/工程承建商（根据项目属性确定）是否属于采购文件所属行业的中型企业/小型企业/微型企业。</w:t>
      </w:r>
    </w:p>
    <w:p w14:paraId="4737206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53057B2C">
      <w:pPr>
        <w:keepNext w:val="0"/>
        <w:keepLines w:val="0"/>
        <w:widowControl/>
        <w:suppressLineNumbers w:val="0"/>
        <w:ind w:firstLine="482" w:firstLineChars="200"/>
        <w:jc w:val="left"/>
        <w:rPr>
          <w:rStyle w:val="31"/>
          <w:rFonts w:hint="eastAsia" w:ascii="宋体" w:hAnsi="宋体" w:eastAsia="宋体" w:cs="宋体"/>
          <w:color w:val="auto"/>
          <w:kern w:val="0"/>
          <w:sz w:val="24"/>
          <w:szCs w:val="24"/>
          <w:highlight w:val="none"/>
          <w:lang w:val="en-US" w:eastAsia="zh-CN" w:bidi="ar"/>
        </w:rPr>
      </w:pPr>
      <w:r>
        <w:rPr>
          <w:rStyle w:val="31"/>
          <w:rFonts w:hint="eastAsia" w:ascii="宋体" w:hAnsi="宋体" w:eastAsia="宋体" w:cs="宋体"/>
          <w:color w:val="auto"/>
          <w:kern w:val="0"/>
          <w:sz w:val="24"/>
          <w:szCs w:val="24"/>
          <w:highlight w:val="none"/>
          <w:lang w:val="en-US" w:eastAsia="zh-CN" w:bidi="ar"/>
        </w:rPr>
        <w:t>（二）关于</w:t>
      </w:r>
      <w:r>
        <w:rPr>
          <w:rStyle w:val="31"/>
          <w:rFonts w:hint="eastAsia" w:cs="宋体"/>
          <w:color w:val="auto"/>
          <w:kern w:val="0"/>
          <w:sz w:val="24"/>
          <w:szCs w:val="24"/>
          <w:highlight w:val="none"/>
          <w:lang w:val="en-US" w:eastAsia="zh-CN" w:bidi="ar"/>
        </w:rPr>
        <w:t>“</w:t>
      </w:r>
      <w:r>
        <w:rPr>
          <w:rStyle w:val="31"/>
          <w:rFonts w:hint="eastAsia" w:ascii="宋体" w:hAnsi="宋体" w:eastAsia="宋体" w:cs="宋体"/>
          <w:color w:val="auto"/>
          <w:kern w:val="0"/>
          <w:sz w:val="24"/>
          <w:szCs w:val="24"/>
          <w:highlight w:val="none"/>
          <w:lang w:val="en-US" w:eastAsia="zh-CN" w:bidi="ar"/>
        </w:rPr>
        <w:t>中小企业声明函</w:t>
      </w:r>
      <w:r>
        <w:rPr>
          <w:rStyle w:val="31"/>
          <w:rFonts w:hint="eastAsia" w:cs="宋体"/>
          <w:color w:val="auto"/>
          <w:kern w:val="0"/>
          <w:sz w:val="24"/>
          <w:szCs w:val="24"/>
          <w:highlight w:val="none"/>
          <w:lang w:val="en-US" w:eastAsia="zh-CN" w:bidi="ar"/>
        </w:rPr>
        <w:t>”</w:t>
      </w:r>
      <w:r>
        <w:rPr>
          <w:rStyle w:val="31"/>
          <w:rFonts w:hint="eastAsia" w:ascii="宋体" w:hAnsi="宋体" w:eastAsia="宋体" w:cs="宋体"/>
          <w:color w:val="auto"/>
          <w:kern w:val="0"/>
          <w:sz w:val="24"/>
          <w:szCs w:val="24"/>
          <w:highlight w:val="none"/>
          <w:lang w:val="en-US" w:eastAsia="zh-CN" w:bidi="ar"/>
        </w:rPr>
        <w:t>的提交要求</w:t>
      </w:r>
    </w:p>
    <w:p w14:paraId="5C41059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1.投标（响应）供应商对</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2E5A6E7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2.鼓励供应商在投标（响应）时一并提供对货物制造商、服务承接商、工程承建商相关信息的核实核验情况以及其他佐证材料。</w:t>
      </w:r>
    </w:p>
    <w:p w14:paraId="0BB714F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3.如供应商提供的</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E12E74A">
      <w:pPr>
        <w:rPr>
          <w:rFonts w:hint="eastAsia"/>
          <w:b/>
          <w:bCs/>
          <w:color w:val="auto"/>
          <w:highlight w:val="none"/>
          <w:lang w:val="en-US" w:eastAsia="zh-CN"/>
        </w:rPr>
      </w:pPr>
      <w:r>
        <w:rPr>
          <w:rFonts w:hint="eastAsia"/>
          <w:b/>
          <w:bCs/>
          <w:color w:val="auto"/>
          <w:highlight w:val="none"/>
          <w:lang w:val="en-US" w:eastAsia="zh-CN"/>
        </w:rPr>
        <w:br w:type="page"/>
      </w:r>
    </w:p>
    <w:p w14:paraId="2A3BE5E6">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7107FB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1"/>
          <w:rFonts w:hint="eastAsia" w:ascii="宋体" w:hAnsi="宋体" w:eastAsia="宋体" w:cs="宋体"/>
          <w:b w:val="0"/>
          <w:color w:val="auto"/>
          <w:sz w:val="24"/>
          <w:szCs w:val="24"/>
          <w:highlight w:val="none"/>
        </w:rPr>
      </w:pPr>
      <w:r>
        <w:rPr>
          <w:rStyle w:val="31"/>
          <w:rFonts w:hint="eastAsia" w:ascii="宋体" w:hAnsi="宋体" w:eastAsia="宋体" w:cs="宋体"/>
          <w:b w:val="0"/>
          <w:color w:val="auto"/>
          <w:sz w:val="24"/>
          <w:szCs w:val="24"/>
          <w:highlight w:val="none"/>
        </w:rPr>
        <w:t>工信部联企业〔2011〕300号</w:t>
      </w:r>
    </w:p>
    <w:p w14:paraId="70B076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1"/>
          <w:rFonts w:hint="eastAsia" w:ascii="宋体" w:hAnsi="宋体" w:eastAsia="宋体" w:cs="宋体"/>
          <w:b w:val="0"/>
          <w:color w:val="auto"/>
          <w:sz w:val="24"/>
          <w:szCs w:val="24"/>
          <w:highlight w:val="none"/>
        </w:rPr>
      </w:pPr>
    </w:p>
    <w:p w14:paraId="5D87F764">
      <w:pPr>
        <w:keepNext w:val="0"/>
        <w:keepLines w:val="0"/>
        <w:pageBreakBefore w:val="0"/>
        <w:widowControl w:val="0"/>
        <w:kinsoku/>
        <w:wordWrap/>
        <w:overflowPunct/>
        <w:topLinePunct w:val="0"/>
        <w:autoSpaceDE/>
        <w:autoSpaceDN/>
        <w:bidi w:val="0"/>
        <w:adjustRightInd/>
        <w:snapToGrid/>
        <w:spacing w:line="360" w:lineRule="exact"/>
        <w:textAlignment w:val="auto"/>
        <w:rPr>
          <w:rStyle w:val="31"/>
          <w:rFonts w:hint="eastAsia" w:ascii="宋体" w:hAnsi="宋体" w:eastAsia="宋体" w:cs="宋体"/>
          <w:b w:val="0"/>
          <w:color w:val="auto"/>
          <w:sz w:val="24"/>
          <w:szCs w:val="24"/>
          <w:highlight w:val="none"/>
        </w:rPr>
      </w:pPr>
      <w:r>
        <w:rPr>
          <w:rStyle w:val="31"/>
          <w:rFonts w:hint="eastAsia" w:ascii="宋体" w:hAnsi="宋体" w:eastAsia="宋体" w:cs="宋体"/>
          <w:b w:val="0"/>
          <w:color w:val="auto"/>
          <w:sz w:val="24"/>
          <w:szCs w:val="24"/>
          <w:highlight w:val="none"/>
        </w:rPr>
        <w:t>各省、自治区、直辖市人民政府，国务院各部委、各直属机构及有关单位：</w:t>
      </w:r>
    </w:p>
    <w:p w14:paraId="4225BF81">
      <w:pPr>
        <w:keepNext w:val="0"/>
        <w:keepLines w:val="0"/>
        <w:pageBreakBefore w:val="0"/>
        <w:widowControl w:val="0"/>
        <w:kinsoku/>
        <w:wordWrap/>
        <w:overflowPunct/>
        <w:topLinePunct w:val="0"/>
        <w:autoSpaceDE/>
        <w:autoSpaceDN/>
        <w:bidi w:val="0"/>
        <w:adjustRightInd/>
        <w:snapToGrid/>
        <w:spacing w:line="36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D492998">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工业和信息化部　国家统计局</w:t>
      </w:r>
    </w:p>
    <w:p w14:paraId="5D1935D5">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国家发展和改革委员会　财政部</w:t>
      </w:r>
    </w:p>
    <w:p w14:paraId="0B357B4E">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二○一一年六月十八日</w:t>
      </w:r>
    </w:p>
    <w:p w14:paraId="6EA9AC11">
      <w:pPr>
        <w:keepNext w:val="0"/>
        <w:keepLines w:val="0"/>
        <w:pageBreakBefore w:val="0"/>
        <w:widowControl w:val="0"/>
        <w:kinsoku/>
        <w:wordWrap/>
        <w:overflowPunct/>
        <w:topLinePunct w:val="0"/>
        <w:autoSpaceDE/>
        <w:autoSpaceDN/>
        <w:bidi w:val="0"/>
        <w:adjustRightInd/>
        <w:snapToGrid/>
        <w:spacing w:line="36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xml:space="preserve"> </w:t>
      </w:r>
    </w:p>
    <w:p w14:paraId="4D348E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1"/>
          <w:rFonts w:hint="eastAsia" w:ascii="宋体" w:hAnsi="宋体" w:eastAsia="宋体" w:cs="宋体"/>
          <w:b/>
          <w:bCs w:val="0"/>
          <w:color w:val="auto"/>
          <w:sz w:val="28"/>
          <w:szCs w:val="28"/>
          <w:highlight w:val="none"/>
        </w:rPr>
      </w:pPr>
      <w:r>
        <w:rPr>
          <w:rStyle w:val="31"/>
          <w:rFonts w:hint="eastAsia" w:ascii="宋体" w:hAnsi="宋体" w:eastAsia="宋体" w:cs="宋体"/>
          <w:b/>
          <w:bCs w:val="0"/>
          <w:color w:val="auto"/>
          <w:sz w:val="28"/>
          <w:szCs w:val="28"/>
          <w:highlight w:val="none"/>
        </w:rPr>
        <w:t>中小企业划型标准规定</w:t>
      </w:r>
    </w:p>
    <w:p w14:paraId="27696F48">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04C15BAA">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009A5B5B">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43006C6">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四、各行业划型标准为：</w:t>
      </w:r>
    </w:p>
    <w:p w14:paraId="74C464CD">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06D4288B">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1233075">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8CEF0AD">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99E2390">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7EE804C">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404E922">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71F9990">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A674192">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C8027B3">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77E1BB5">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F35D153">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2B83CBD">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B951569">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DA2C830">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DAC80B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F8DEB32">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五、企业类型的划分以统计部门的统计数据为依据。</w:t>
      </w:r>
    </w:p>
    <w:p w14:paraId="3F922644">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12048DE6">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3B86FFA0">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60E4241A">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九、本规定由工业和信息化部、国家统计局会同有关部门负责解释。</w:t>
      </w:r>
    </w:p>
    <w:p w14:paraId="07339224">
      <w:pPr>
        <w:keepNext w:val="0"/>
        <w:keepLines w:val="0"/>
        <w:pageBreakBefore w:val="0"/>
        <w:widowControl w:val="0"/>
        <w:kinsoku/>
        <w:wordWrap/>
        <w:overflowPunct/>
        <w:topLinePunct w:val="0"/>
        <w:autoSpaceDE/>
        <w:autoSpaceDN/>
        <w:bidi w:val="0"/>
        <w:adjustRightInd/>
        <w:snapToGrid/>
        <w:spacing w:line="400" w:lineRule="exact"/>
        <w:textAlignment w:val="auto"/>
        <w:rPr>
          <w:rFonts w:cs="宋体"/>
          <w:color w:val="auto"/>
          <w:spacing w:val="6"/>
          <w:sz w:val="21"/>
          <w:szCs w:val="21"/>
          <w:highlight w:val="none"/>
        </w:rPr>
      </w:pPr>
      <w:r>
        <w:rPr>
          <w:rStyle w:val="31"/>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004EB851">
      <w:pPr>
        <w:rPr>
          <w:rFonts w:cs="宋体"/>
          <w:color w:val="auto"/>
          <w:spacing w:val="6"/>
          <w:sz w:val="21"/>
          <w:szCs w:val="21"/>
          <w:highlight w:val="none"/>
        </w:rPr>
      </w:pPr>
    </w:p>
    <w:p w14:paraId="541AFB45">
      <w:pPr>
        <w:rPr>
          <w:rFonts w:cs="宋体"/>
          <w:color w:val="auto"/>
          <w:spacing w:val="6"/>
          <w:sz w:val="21"/>
          <w:szCs w:val="21"/>
          <w:highlight w:val="none"/>
        </w:rPr>
      </w:pPr>
    </w:p>
    <w:p w14:paraId="2ACAF2B7">
      <w:pPr>
        <w:rPr>
          <w:rFonts w:cs="宋体"/>
          <w:color w:val="auto"/>
          <w:spacing w:val="6"/>
          <w:sz w:val="21"/>
          <w:szCs w:val="21"/>
          <w:highlight w:val="none"/>
        </w:rPr>
      </w:pPr>
    </w:p>
    <w:p w14:paraId="15D7F9D1">
      <w:pPr>
        <w:rPr>
          <w:rFonts w:hint="eastAsia" w:cs="宋体"/>
          <w:color w:val="auto"/>
          <w:spacing w:val="6"/>
          <w:sz w:val="21"/>
          <w:szCs w:val="21"/>
          <w:highlight w:val="none"/>
        </w:rPr>
      </w:pPr>
    </w:p>
    <w:p w14:paraId="4A7F772D">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0E8AA7BF">
      <w:pPr>
        <w:jc w:val="center"/>
        <w:rPr>
          <w:rStyle w:val="31"/>
          <w:rFonts w:hint="eastAsia" w:ascii="宋体" w:hAnsi="宋体" w:eastAsia="宋体" w:cs="宋体"/>
          <w:b w:val="0"/>
          <w:color w:val="auto"/>
          <w:sz w:val="24"/>
          <w:szCs w:val="24"/>
          <w:highlight w:val="none"/>
        </w:rPr>
      </w:pPr>
      <w:r>
        <w:rPr>
          <w:rStyle w:val="31"/>
          <w:rFonts w:hint="eastAsia" w:ascii="宋体" w:hAnsi="宋体" w:eastAsia="宋体" w:cs="宋体"/>
          <w:b w:val="0"/>
          <w:color w:val="auto"/>
          <w:sz w:val="24"/>
          <w:szCs w:val="24"/>
          <w:highlight w:val="none"/>
        </w:rPr>
        <w:t>银发〔2015〕309号</w:t>
      </w:r>
    </w:p>
    <w:p w14:paraId="6E4A6FF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6743C26E">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173CAF5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1"/>
          <w:rFonts w:hint="eastAsia" w:ascii="宋体" w:hAnsi="宋体" w:eastAsia="宋体" w:cs="宋体"/>
          <w:b w:val="0"/>
          <w:bCs w:val="0"/>
          <w:color w:val="auto"/>
          <w:sz w:val="24"/>
          <w:szCs w:val="24"/>
          <w:highlight w:val="none"/>
        </w:rPr>
      </w:pPr>
    </w:p>
    <w:p w14:paraId="0F127727">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附件：金融业企业划型标准规定</w:t>
      </w:r>
    </w:p>
    <w:p w14:paraId="29E4BFD2">
      <w:pPr>
        <w:keepNext w:val="0"/>
        <w:keepLines w:val="0"/>
        <w:pageBreakBefore w:val="0"/>
        <w:widowControl w:val="0"/>
        <w:kinsoku/>
        <w:wordWrap/>
        <w:overflowPunct/>
        <w:topLinePunct w:val="0"/>
        <w:autoSpaceDE/>
        <w:autoSpaceDN/>
        <w:bidi w:val="0"/>
        <w:adjustRightInd/>
        <w:snapToGrid/>
        <w:spacing w:line="460" w:lineRule="exact"/>
        <w:textAlignment w:val="auto"/>
        <w:rPr>
          <w:rStyle w:val="31"/>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31"/>
          <w:rFonts w:hint="eastAsia" w:ascii="宋体" w:hAnsi="宋体" w:eastAsia="宋体" w:cs="宋体"/>
          <w:b w:val="0"/>
          <w:bCs w:val="0"/>
          <w:color w:val="auto"/>
          <w:sz w:val="24"/>
          <w:szCs w:val="24"/>
          <w:highlight w:val="none"/>
        </w:rPr>
        <w:t>       </w:t>
      </w:r>
      <w:r>
        <w:rPr>
          <w:rStyle w:val="31"/>
          <w:rFonts w:hint="eastAsia" w:cs="宋体"/>
          <w:b w:val="0"/>
          <w:bCs w:val="0"/>
          <w:color w:val="auto"/>
          <w:sz w:val="24"/>
          <w:szCs w:val="24"/>
          <w:highlight w:val="none"/>
          <w:lang w:val="en-US" w:eastAsia="zh-CN"/>
        </w:rPr>
        <w:t xml:space="preserve">                            </w:t>
      </w:r>
      <w:r>
        <w:rPr>
          <w:rStyle w:val="31"/>
          <w:rFonts w:hint="eastAsia" w:ascii="宋体" w:hAnsi="宋体" w:eastAsia="宋体" w:cs="宋体"/>
          <w:b w:val="0"/>
          <w:bCs w:val="0"/>
          <w:color w:val="auto"/>
          <w:sz w:val="24"/>
          <w:szCs w:val="24"/>
          <w:highlight w:val="none"/>
        </w:rPr>
        <w:t>中国人民银行</w:t>
      </w:r>
    </w:p>
    <w:p w14:paraId="72464204">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中国银行业监督管理委员会</w:t>
      </w:r>
    </w:p>
    <w:p w14:paraId="100565C1">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中国证券监督管理委员会</w:t>
      </w:r>
    </w:p>
    <w:p w14:paraId="2456B417">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中国保险监督管理委员会</w:t>
      </w:r>
    </w:p>
    <w:p w14:paraId="0117B9D3">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中华人民共和国国家统计局</w:t>
      </w:r>
    </w:p>
    <w:p w14:paraId="1F281AC7">
      <w:pPr>
        <w:keepNext w:val="0"/>
        <w:keepLines w:val="0"/>
        <w:pageBreakBefore w:val="0"/>
        <w:widowControl w:val="0"/>
        <w:kinsoku/>
        <w:wordWrap/>
        <w:overflowPunct/>
        <w:topLinePunct w:val="0"/>
        <w:autoSpaceDE/>
        <w:autoSpaceDN/>
        <w:bidi w:val="0"/>
        <w:adjustRightInd/>
        <w:snapToGrid/>
        <w:spacing w:line="46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w:t>
      </w:r>
      <w:r>
        <w:rPr>
          <w:rStyle w:val="31"/>
          <w:rFonts w:hint="eastAsia" w:cs="宋体"/>
          <w:b w:val="0"/>
          <w:bCs w:val="0"/>
          <w:color w:val="auto"/>
          <w:sz w:val="24"/>
          <w:szCs w:val="24"/>
          <w:highlight w:val="none"/>
          <w:lang w:val="en-US" w:eastAsia="zh-CN"/>
        </w:rPr>
        <w:t xml:space="preserve">     </w:t>
      </w:r>
      <w:r>
        <w:rPr>
          <w:rStyle w:val="31"/>
          <w:rFonts w:hint="eastAsia" w:ascii="宋体" w:hAnsi="宋体" w:eastAsia="宋体" w:cs="宋体"/>
          <w:b w:val="0"/>
          <w:bCs w:val="0"/>
          <w:color w:val="auto"/>
          <w:sz w:val="24"/>
          <w:szCs w:val="24"/>
          <w:highlight w:val="none"/>
        </w:rPr>
        <w:t> 2015年9月28日</w:t>
      </w:r>
    </w:p>
    <w:p w14:paraId="2067997E">
      <w:pPr>
        <w:rPr>
          <w:rFonts w:hint="eastAsia" w:cs="宋体"/>
          <w:color w:val="auto"/>
          <w:spacing w:val="6"/>
          <w:sz w:val="21"/>
          <w:szCs w:val="21"/>
          <w:highlight w:val="none"/>
        </w:rPr>
      </w:pPr>
    </w:p>
    <w:p w14:paraId="4C6E34AB">
      <w:pPr>
        <w:rPr>
          <w:rFonts w:hint="eastAsia" w:cs="宋体"/>
          <w:color w:val="auto"/>
          <w:spacing w:val="6"/>
          <w:sz w:val="21"/>
          <w:szCs w:val="21"/>
          <w:highlight w:val="none"/>
          <w:lang w:val="en-US" w:eastAsia="zh-CN"/>
        </w:rPr>
      </w:pPr>
    </w:p>
    <w:p w14:paraId="639E2ADC">
      <w:pPr>
        <w:rPr>
          <w:rFonts w:hint="eastAsia" w:cs="宋体"/>
          <w:color w:val="auto"/>
          <w:spacing w:val="6"/>
          <w:sz w:val="21"/>
          <w:szCs w:val="21"/>
          <w:highlight w:val="none"/>
          <w:lang w:val="en-US" w:eastAsia="zh-CN"/>
        </w:rPr>
      </w:pPr>
    </w:p>
    <w:p w14:paraId="097441E9">
      <w:pPr>
        <w:rPr>
          <w:rFonts w:hint="eastAsia" w:cs="宋体"/>
          <w:color w:val="auto"/>
          <w:spacing w:val="6"/>
          <w:sz w:val="21"/>
          <w:szCs w:val="21"/>
          <w:highlight w:val="none"/>
          <w:lang w:val="en-US" w:eastAsia="zh-CN"/>
        </w:rPr>
      </w:pPr>
    </w:p>
    <w:p w14:paraId="2099CA2B">
      <w:pPr>
        <w:rPr>
          <w:rFonts w:hint="eastAsia" w:cs="宋体"/>
          <w:color w:val="auto"/>
          <w:spacing w:val="6"/>
          <w:sz w:val="21"/>
          <w:szCs w:val="21"/>
          <w:highlight w:val="none"/>
          <w:lang w:val="en-US" w:eastAsia="zh-CN"/>
        </w:rPr>
      </w:pPr>
    </w:p>
    <w:p w14:paraId="5C808541">
      <w:pPr>
        <w:rPr>
          <w:rFonts w:hint="eastAsia" w:cs="宋体"/>
          <w:color w:val="auto"/>
          <w:spacing w:val="6"/>
          <w:sz w:val="21"/>
          <w:szCs w:val="21"/>
          <w:highlight w:val="none"/>
          <w:lang w:val="en-US" w:eastAsia="zh-CN"/>
        </w:rPr>
      </w:pPr>
    </w:p>
    <w:p w14:paraId="09383A99">
      <w:pPr>
        <w:rPr>
          <w:rFonts w:hint="eastAsia" w:cs="宋体"/>
          <w:color w:val="auto"/>
          <w:spacing w:val="6"/>
          <w:sz w:val="21"/>
          <w:szCs w:val="21"/>
          <w:highlight w:val="none"/>
          <w:lang w:val="en-US" w:eastAsia="zh-CN"/>
        </w:rPr>
      </w:pPr>
      <w:r>
        <w:rPr>
          <w:rFonts w:hint="eastAsia" w:cs="宋体"/>
          <w:color w:val="auto"/>
          <w:spacing w:val="6"/>
          <w:sz w:val="21"/>
          <w:szCs w:val="21"/>
          <w:highlight w:val="none"/>
          <w:lang w:val="en-US" w:eastAsia="zh-CN"/>
        </w:rPr>
        <w:br w:type="page"/>
      </w:r>
    </w:p>
    <w:p w14:paraId="218ADD75">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08716246">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066E10C2">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683568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678825E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54CABDE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7F7B8F2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6AFE33AD">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0291801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2EB2A71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1EBCAE4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3F8C39D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32C7AEF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7EA4D72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65705C5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lang w:eastAsia="zh-CN"/>
        </w:rPr>
      </w:pPr>
      <w:r>
        <w:rPr>
          <w:rStyle w:val="31"/>
          <w:rFonts w:hint="eastAsia" w:cs="宋体"/>
          <w:b w:val="0"/>
          <w:bCs w:val="0"/>
          <w:color w:val="auto"/>
          <w:sz w:val="24"/>
          <w:szCs w:val="24"/>
          <w:highlight w:val="none"/>
          <w:lang w:eastAsia="zh-CN"/>
        </w:rPr>
        <w:t>（八）</w:t>
      </w:r>
      <w:r>
        <w:rPr>
          <w:rStyle w:val="31"/>
          <w:rFonts w:hint="eastAsia" w:ascii="宋体" w:hAnsi="宋体" w:eastAsia="宋体" w:cs="宋体"/>
          <w:b w:val="0"/>
          <w:bCs w:val="0"/>
          <w:color w:val="auto"/>
          <w:sz w:val="24"/>
          <w:szCs w:val="24"/>
          <w:highlight w:val="none"/>
        </w:rPr>
        <w:t>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1"/>
          <w:rFonts w:hint="eastAsia" w:cs="宋体"/>
          <w:b w:val="0"/>
          <w:bCs w:val="0"/>
          <w:color w:val="auto"/>
          <w:sz w:val="24"/>
          <w:szCs w:val="24"/>
          <w:highlight w:val="none"/>
          <w:lang w:eastAsia="zh-CN"/>
        </w:rPr>
        <w:t>。</w:t>
      </w:r>
    </w:p>
    <w:p w14:paraId="06BE3DF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1"/>
          <w:rFonts w:hint="eastAsia" w:cs="宋体"/>
          <w:b w:val="0"/>
          <w:bCs w:val="0"/>
          <w:color w:val="auto"/>
          <w:sz w:val="24"/>
          <w:szCs w:val="24"/>
          <w:highlight w:val="none"/>
          <w:lang w:eastAsia="zh-CN"/>
        </w:rPr>
        <w:t>，</w:t>
      </w:r>
      <w:r>
        <w:rPr>
          <w:rStyle w:val="31"/>
          <w:rFonts w:hint="eastAsia" w:ascii="宋体" w:hAnsi="宋体" w:eastAsia="宋体" w:cs="宋体"/>
          <w:b w:val="0"/>
          <w:bCs w:val="0"/>
          <w:color w:val="auto"/>
          <w:sz w:val="24"/>
          <w:szCs w:val="24"/>
          <w:highlight w:val="none"/>
        </w:rPr>
        <w:t>方便政府部门和社会各界查询使用。</w:t>
      </w:r>
    </w:p>
    <w:p w14:paraId="4CED1BC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48DF658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lang w:eastAsia="zh-CN"/>
        </w:rPr>
      </w:pPr>
      <w:r>
        <w:rPr>
          <w:rStyle w:val="31"/>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1"/>
          <w:rFonts w:hint="eastAsia" w:cs="宋体"/>
          <w:b w:val="0"/>
          <w:bCs w:val="0"/>
          <w:color w:val="auto"/>
          <w:sz w:val="24"/>
          <w:szCs w:val="24"/>
          <w:highlight w:val="none"/>
          <w:lang w:eastAsia="zh-CN"/>
        </w:rPr>
        <w:t>。</w:t>
      </w:r>
    </w:p>
    <w:p w14:paraId="0C6B14CD">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lang w:eastAsia="zh-CN"/>
        </w:rPr>
      </w:pPr>
      <w:r>
        <w:rPr>
          <w:rStyle w:val="31"/>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1"/>
          <w:rFonts w:hint="eastAsia" w:cs="宋体"/>
          <w:b w:val="0"/>
          <w:bCs w:val="0"/>
          <w:color w:val="auto"/>
          <w:sz w:val="24"/>
          <w:szCs w:val="24"/>
          <w:highlight w:val="none"/>
          <w:lang w:eastAsia="zh-CN"/>
        </w:rPr>
        <w:t>。</w:t>
      </w:r>
    </w:p>
    <w:p w14:paraId="577569C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十、本规定由人民银行会同银监会、证监会、保监会和统计局负责解释。</w:t>
      </w:r>
    </w:p>
    <w:p w14:paraId="34660EE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lang w:eastAsia="zh-CN"/>
        </w:rPr>
      </w:pPr>
      <w:r>
        <w:rPr>
          <w:rStyle w:val="31"/>
          <w:rFonts w:hint="eastAsia" w:ascii="宋体" w:hAnsi="宋体" w:eastAsia="宋体" w:cs="宋体"/>
          <w:b w:val="0"/>
          <w:bCs w:val="0"/>
          <w:color w:val="auto"/>
          <w:sz w:val="24"/>
          <w:szCs w:val="24"/>
          <w:highlight w:val="none"/>
        </w:rPr>
        <w:t>十一、本规定自发布之日起实施</w:t>
      </w:r>
      <w:r>
        <w:rPr>
          <w:rStyle w:val="31"/>
          <w:rFonts w:hint="eastAsia" w:cs="宋体"/>
          <w:b w:val="0"/>
          <w:bCs w:val="0"/>
          <w:color w:val="auto"/>
          <w:sz w:val="24"/>
          <w:szCs w:val="24"/>
          <w:highlight w:val="none"/>
          <w:lang w:eastAsia="zh-CN"/>
        </w:rPr>
        <w:t>。</w:t>
      </w:r>
    </w:p>
    <w:p w14:paraId="10C0199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p>
    <w:p w14:paraId="5AE1E3E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附</w:t>
      </w:r>
      <w:r>
        <w:rPr>
          <w:rStyle w:val="31"/>
          <w:rFonts w:hint="eastAsia" w:cs="宋体"/>
          <w:b w:val="0"/>
          <w:bCs w:val="0"/>
          <w:color w:val="auto"/>
          <w:sz w:val="24"/>
          <w:szCs w:val="24"/>
          <w:highlight w:val="none"/>
          <w:lang w:eastAsia="zh-CN"/>
        </w:rPr>
        <w:t>：</w:t>
      </w:r>
      <w:r>
        <w:rPr>
          <w:rStyle w:val="31"/>
          <w:rFonts w:hint="eastAsia" w:ascii="宋体" w:hAnsi="宋体" w:eastAsia="宋体" w:cs="宋体"/>
          <w:b w:val="0"/>
          <w:bCs w:val="0"/>
          <w:color w:val="auto"/>
          <w:sz w:val="24"/>
          <w:szCs w:val="24"/>
          <w:highlight w:val="none"/>
        </w:rPr>
        <w:t>金融业企业划型标准</w:t>
      </w:r>
    </w:p>
    <w:p w14:paraId="17B7215D">
      <w:pPr>
        <w:rPr>
          <w:rFonts w:cs="宋体"/>
          <w:color w:val="auto"/>
          <w:spacing w:val="6"/>
          <w:sz w:val="21"/>
          <w:szCs w:val="21"/>
          <w:highlight w:val="none"/>
        </w:rPr>
      </w:pPr>
    </w:p>
    <w:p w14:paraId="33338D33">
      <w:pPr>
        <w:rPr>
          <w:rFonts w:hint="eastAsia" w:cs="宋体"/>
          <w:color w:val="auto"/>
          <w:spacing w:val="6"/>
          <w:sz w:val="24"/>
          <w:szCs w:val="24"/>
          <w:highlight w:val="none"/>
          <w:lang w:val="en-US" w:eastAsia="zh-CN"/>
        </w:rPr>
      </w:pPr>
    </w:p>
    <w:p w14:paraId="2A816085">
      <w:pPr>
        <w:rPr>
          <w:rFonts w:hint="eastAsia" w:cs="宋体"/>
          <w:color w:val="auto"/>
          <w:spacing w:val="6"/>
          <w:sz w:val="24"/>
          <w:szCs w:val="24"/>
          <w:highlight w:val="none"/>
          <w:lang w:val="en-US" w:eastAsia="zh-CN"/>
        </w:rPr>
      </w:pPr>
    </w:p>
    <w:p w14:paraId="36E0935B">
      <w:pPr>
        <w:rPr>
          <w:rFonts w:hint="eastAsia" w:cs="宋体"/>
          <w:color w:val="auto"/>
          <w:spacing w:val="6"/>
          <w:sz w:val="24"/>
          <w:szCs w:val="24"/>
          <w:highlight w:val="none"/>
          <w:lang w:val="en-US" w:eastAsia="zh-CN"/>
        </w:rPr>
      </w:pPr>
    </w:p>
    <w:p w14:paraId="290A2B59">
      <w:pPr>
        <w:rPr>
          <w:rFonts w:hint="eastAsia" w:cs="宋体"/>
          <w:color w:val="auto"/>
          <w:spacing w:val="6"/>
          <w:sz w:val="24"/>
          <w:szCs w:val="24"/>
          <w:highlight w:val="none"/>
          <w:lang w:val="en-US" w:eastAsia="zh-CN"/>
        </w:rPr>
      </w:pPr>
    </w:p>
    <w:p w14:paraId="20496863">
      <w:pPr>
        <w:rPr>
          <w:rFonts w:hint="eastAsia" w:cs="宋体"/>
          <w:color w:val="auto"/>
          <w:spacing w:val="6"/>
          <w:sz w:val="24"/>
          <w:szCs w:val="24"/>
          <w:highlight w:val="none"/>
          <w:lang w:val="en-US" w:eastAsia="zh-CN"/>
        </w:rPr>
      </w:pPr>
    </w:p>
    <w:p w14:paraId="4350C58B">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6B26CDDA">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29"/>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08EB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vAlign w:val="center"/>
          </w:tcPr>
          <w:p w14:paraId="7069A1F1">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7EC468A2">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59FAFF3B">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7C9B390B">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7E01C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5DBEC4B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142070E3">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368050B0">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3BAA339F">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17902FE4">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435C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B24C7E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60A21F3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AF3EFA1">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29C5FCEB">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0B8E98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1971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7CC1CB5">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1B3D5E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265CE99">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399006BE">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0B8B4175">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0C595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2F5BB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79B727FB">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7A26DD90">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19AB48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250D6B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15210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DE7FE75">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3CF671D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17EC11C">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E38836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E23538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15120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6C1A26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E188D9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A0A058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8E6DA3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48F2ED1C">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6A927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7D0B5">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4593CFD">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0B5E0577">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148B0F4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38147CA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6B82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9A70B72">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210002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47225DC7">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91DE7D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329814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4E4F3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ACE3B5F">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68B70D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40EAC9B7">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7BE64FC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64AFB55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28C3D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17604D6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61823727">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582D5C2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3090F9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1C3FF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C07535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2D81161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CB59C3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1B3243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20F38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7B09BC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2FD08AC5">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78EA4A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C1D7F8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6C45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6D42BC3">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4DBA1A9E">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51391DC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67A369C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4B44A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282BB42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3D8414D">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1F1AB0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6DEE8C8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3CA4E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5DDD79D">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D75F9F1">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299B25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08B44B2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2DE6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5AD6381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72104A4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7ADA4AE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0548226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5E61F24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72E47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5FAAD8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6448A110">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4C68D85">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7EFF9BD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6D7CC4A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1384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7C9C870">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37055AD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79F192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736AFD3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2E377EC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5C47D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DA501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192D983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1623F4E4">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06A69CB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30B067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0DD31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961331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36E0C26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2AE81E3">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9B2E6F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EC2567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366C2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31BC1F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62AB580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CEF252F">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DDD381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55219C2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6821E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845D9D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2B395ED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2DCDD09F">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7486868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61D110D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476D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7DA6722F">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1C6B2090">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12C682BD">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6FAABC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A8ACFF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0143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9D2115B">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39504AEE">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3F7632F5">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612F9E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58BEDDD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49D4C950">
      <w:pPr>
        <w:rPr>
          <w:rFonts w:hint="eastAsia" w:ascii="方正小标宋_GBK" w:hAnsi="方正小标宋_GBK" w:eastAsia="方正小标宋_GBK" w:cs="方正小标宋_GBK"/>
          <w:bCs/>
          <w:color w:val="auto"/>
          <w:sz w:val="36"/>
          <w:szCs w:val="36"/>
          <w:highlight w:val="none"/>
          <w:lang w:val="en-US" w:eastAsia="zh-CN"/>
        </w:rPr>
      </w:pPr>
      <w:r>
        <w:rPr>
          <w:rFonts w:cs="宋体"/>
          <w:color w:val="auto"/>
          <w:spacing w:val="6"/>
          <w:sz w:val="21"/>
          <w:szCs w:val="21"/>
          <w:highlight w:val="none"/>
        </w:rPr>
        <w:br w:type="page"/>
      </w:r>
    </w:p>
    <w:p w14:paraId="0E549CE9">
      <w:pPr>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outlineLvl w:val="9"/>
        <w:rPr>
          <w:rFonts w:hint="eastAsia" w:ascii="宋体" w:hAnsi="宋体" w:eastAsia="宋体" w:cstheme="minorBidi"/>
          <w:b/>
          <w:bCs/>
          <w:color w:val="auto"/>
          <w:kern w:val="2"/>
          <w:sz w:val="24"/>
          <w:szCs w:val="24"/>
          <w:highlight w:val="none"/>
          <w:lang w:val="en-US" w:eastAsia="zh-CN" w:bidi="ar-SA"/>
        </w:rPr>
      </w:pPr>
      <w:r>
        <w:rPr>
          <w:rFonts w:hint="eastAsia" w:eastAsia="宋体" w:asciiTheme="majorHAnsi" w:hAnsiTheme="majorHAnsi" w:cstheme="majorBidi"/>
          <w:b/>
          <w:bCs/>
          <w:color w:val="auto"/>
          <w:kern w:val="2"/>
          <w:sz w:val="28"/>
          <w:szCs w:val="28"/>
          <w:highlight w:val="none"/>
          <w:lang w:val="en-US" w:eastAsia="zh-CN" w:bidi="ar-SA"/>
        </w:rPr>
        <w:t>监狱企业证明文件</w:t>
      </w:r>
      <w:r>
        <w:rPr>
          <w:rFonts w:hint="eastAsia" w:ascii="宋体" w:hAnsi="宋体" w:eastAsia="宋体" w:cstheme="minorBidi"/>
          <w:b w:val="0"/>
          <w:bCs w:val="0"/>
          <w:color w:val="auto"/>
          <w:kern w:val="2"/>
          <w:sz w:val="24"/>
          <w:szCs w:val="24"/>
          <w:highlight w:val="none"/>
          <w:lang w:val="en-US" w:eastAsia="zh-CN" w:bidi="ar-SA"/>
        </w:rPr>
        <w:t>【如适用】</w:t>
      </w:r>
    </w:p>
    <w:p w14:paraId="1F3402D6">
      <w:pPr>
        <w:rPr>
          <w:rFonts w:cs="仿宋_GB2312"/>
          <w:b/>
          <w:color w:val="auto"/>
          <w:sz w:val="28"/>
          <w:szCs w:val="28"/>
          <w:highlight w:val="none"/>
        </w:rPr>
      </w:pPr>
    </w:p>
    <w:p w14:paraId="3A81492B">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6EADA166">
      <w:pPr>
        <w:pStyle w:val="15"/>
        <w:spacing w:line="360" w:lineRule="auto"/>
        <w:jc w:val="center"/>
        <w:rPr>
          <w:rFonts w:hint="eastAsia" w:ascii="宋体" w:hAnsi="宋体" w:eastAsia="宋体" w:cs="宋体"/>
          <w:b/>
          <w:bCs w:val="0"/>
          <w:color w:val="auto"/>
          <w:sz w:val="32"/>
          <w:szCs w:val="32"/>
          <w:highlight w:val="none"/>
        </w:rPr>
      </w:pPr>
    </w:p>
    <w:p w14:paraId="39567E98">
      <w:pPr>
        <w:pStyle w:val="15"/>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6149199B">
      <w:pPr>
        <w:spacing w:line="360" w:lineRule="auto"/>
        <w:rPr>
          <w:rFonts w:hint="eastAsia" w:ascii="仿宋_GB2312" w:hAnsi="仿宋_GB2312" w:eastAsia="仿宋_GB2312" w:cs="仿宋_GB2312"/>
          <w:color w:val="auto"/>
          <w:sz w:val="32"/>
          <w:szCs w:val="32"/>
          <w:highlight w:val="none"/>
        </w:rPr>
      </w:pPr>
    </w:p>
    <w:p w14:paraId="76A326D1">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本公司郑重声明，根据财政部、司法部《关于政府采购支持监狱企业发展有关问题的通知》（财库</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2014</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68号）的规定，本公司为监狱企业。</w:t>
      </w:r>
    </w:p>
    <w:p w14:paraId="42B05F64">
      <w:pPr>
        <w:spacing w:line="360" w:lineRule="auto"/>
        <w:rPr>
          <w:rFonts w:hint="eastAsia" w:ascii="宋体" w:hAnsi="宋体" w:eastAsia="宋体" w:cs="宋体"/>
          <w:color w:val="auto"/>
          <w:sz w:val="24"/>
          <w:szCs w:val="24"/>
          <w:highlight w:val="none"/>
        </w:rPr>
      </w:pPr>
    </w:p>
    <w:p w14:paraId="00B15AA1">
      <w:pPr>
        <w:ind w:firstLine="4440" w:firstLineChars="1850"/>
        <w:rPr>
          <w:rFonts w:hint="eastAsia" w:ascii="宋体" w:hAnsi="宋体" w:eastAsia="宋体" w:cs="宋体"/>
          <w:color w:val="auto"/>
          <w:sz w:val="24"/>
          <w:szCs w:val="24"/>
          <w:highlight w:val="none"/>
        </w:rPr>
      </w:pPr>
    </w:p>
    <w:p w14:paraId="4A9141E1">
      <w:pPr>
        <w:ind w:firstLine="4440" w:firstLineChars="1850"/>
        <w:rPr>
          <w:rFonts w:hint="eastAsia" w:ascii="宋体" w:hAnsi="宋体" w:eastAsia="宋体" w:cs="宋体"/>
          <w:color w:val="auto"/>
          <w:sz w:val="24"/>
          <w:szCs w:val="24"/>
          <w:highlight w:val="none"/>
        </w:rPr>
      </w:pPr>
    </w:p>
    <w:p w14:paraId="7E108E8D">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spacing w:val="6"/>
          <w:sz w:val="24"/>
          <w:szCs w:val="24"/>
          <w:highlight w:val="none"/>
        </w:rPr>
        <w:t>：</w:t>
      </w:r>
    </w:p>
    <w:p w14:paraId="3BE49612">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23BDBEA7">
      <w:pPr>
        <w:spacing w:line="360" w:lineRule="auto"/>
        <w:ind w:firstLine="240" w:firstLineChars="100"/>
        <w:rPr>
          <w:rFonts w:hint="eastAsia" w:ascii="宋体" w:hAnsi="宋体" w:eastAsia="宋体" w:cs="宋体"/>
          <w:color w:val="auto"/>
          <w:sz w:val="24"/>
          <w:szCs w:val="24"/>
          <w:highlight w:val="none"/>
        </w:rPr>
      </w:pPr>
    </w:p>
    <w:p w14:paraId="46874354">
      <w:pPr>
        <w:spacing w:line="360" w:lineRule="auto"/>
        <w:ind w:firstLine="240" w:firstLineChars="100"/>
        <w:rPr>
          <w:rFonts w:hint="eastAsia" w:ascii="宋体" w:hAnsi="宋体" w:eastAsia="宋体" w:cs="宋体"/>
          <w:color w:val="auto"/>
          <w:sz w:val="24"/>
          <w:szCs w:val="24"/>
          <w:highlight w:val="none"/>
        </w:rPr>
      </w:pPr>
    </w:p>
    <w:p w14:paraId="7EF1C983">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2C12266B">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（含新疆生产建设兵团）</w:t>
      </w:r>
      <w:r>
        <w:rPr>
          <w:rFonts w:hint="eastAsia" w:cs="宋体"/>
          <w:color w:val="auto"/>
          <w:sz w:val="24"/>
          <w:szCs w:val="24"/>
          <w:highlight w:val="none"/>
          <w:lang w:eastAsia="zh-CN"/>
        </w:rPr>
        <w:t>（</w:t>
      </w:r>
      <w:r>
        <w:rPr>
          <w:rFonts w:hint="eastAsia" w:ascii="宋体" w:hAnsi="宋体" w:eastAsia="宋体" w:cs="宋体"/>
          <w:color w:val="auto"/>
          <w:kern w:val="0"/>
          <w:sz w:val="24"/>
          <w:szCs w:val="24"/>
          <w:highlight w:val="none"/>
          <w:lang w:eastAsia="zh-CN"/>
        </w:rPr>
        <w:t>盖章</w:t>
      </w:r>
      <w:r>
        <w:rPr>
          <w:rFonts w:hint="eastAsia" w:cs="宋体"/>
          <w:color w:val="auto"/>
          <w:kern w:val="0"/>
          <w:sz w:val="24"/>
          <w:szCs w:val="24"/>
          <w:highlight w:val="none"/>
          <w:lang w:eastAsia="zh-CN"/>
        </w:rPr>
        <w:t>）</w:t>
      </w:r>
      <w:r>
        <w:rPr>
          <w:rFonts w:hint="eastAsia" w:ascii="宋体" w:hAnsi="宋体" w:eastAsia="宋体" w:cs="宋体"/>
          <w:color w:val="auto"/>
          <w:sz w:val="24"/>
          <w:szCs w:val="24"/>
          <w:highlight w:val="none"/>
        </w:rPr>
        <w:t xml:space="preserve">：  </w:t>
      </w:r>
    </w:p>
    <w:p w14:paraId="6AA6C85C">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7F14F048">
      <w:pPr>
        <w:spacing w:line="360" w:lineRule="auto"/>
        <w:ind w:firstLine="240" w:firstLineChars="100"/>
        <w:rPr>
          <w:rFonts w:hint="eastAsia" w:ascii="宋体" w:hAnsi="宋体" w:eastAsia="宋体" w:cs="宋体"/>
          <w:color w:val="auto"/>
          <w:sz w:val="24"/>
          <w:szCs w:val="24"/>
          <w:highlight w:val="none"/>
        </w:rPr>
      </w:pPr>
    </w:p>
    <w:p w14:paraId="3680A6E6">
      <w:pPr>
        <w:spacing w:line="360" w:lineRule="auto"/>
        <w:ind w:firstLine="4000" w:firstLineChars="1250"/>
        <w:rPr>
          <w:rFonts w:hint="eastAsia" w:ascii="仿宋_GB2312" w:hAnsi="仿宋_GB2312" w:eastAsia="仿宋_GB2312" w:cs="仿宋_GB2312"/>
          <w:color w:val="auto"/>
          <w:sz w:val="32"/>
          <w:szCs w:val="32"/>
          <w:highlight w:val="none"/>
        </w:rPr>
      </w:pPr>
    </w:p>
    <w:p w14:paraId="08B7CE2E">
      <w:pPr>
        <w:spacing w:line="360" w:lineRule="auto"/>
        <w:rPr>
          <w:rFonts w:hint="eastAsia" w:ascii="仿宋_GB2312" w:hAnsi="仿宋_GB2312" w:eastAsia="仿宋_GB2312" w:cs="仿宋_GB2312"/>
          <w:color w:val="auto"/>
          <w:sz w:val="32"/>
          <w:szCs w:val="32"/>
          <w:highlight w:val="none"/>
        </w:rPr>
      </w:pPr>
    </w:p>
    <w:p w14:paraId="2C1BCC89">
      <w:pPr>
        <w:widowControl/>
        <w:spacing w:before="100" w:beforeAutospacing="1" w:after="100" w:afterAutospacing="1"/>
        <w:rPr>
          <w:rFonts w:ascii="Arial" w:hAnsi="Arial" w:cs="Arial"/>
          <w:color w:val="auto"/>
          <w:sz w:val="21"/>
          <w:szCs w:val="21"/>
          <w:highlight w:val="none"/>
        </w:rPr>
      </w:pPr>
    </w:p>
    <w:p w14:paraId="175D300F">
      <w:pPr>
        <w:widowControl/>
        <w:spacing w:before="100" w:beforeAutospacing="1" w:after="100" w:afterAutospacing="1"/>
        <w:rPr>
          <w:rFonts w:ascii="Arial" w:hAnsi="Arial" w:cs="Arial"/>
          <w:color w:val="auto"/>
          <w:sz w:val="21"/>
          <w:szCs w:val="21"/>
          <w:highlight w:val="none"/>
        </w:rPr>
      </w:pPr>
    </w:p>
    <w:p w14:paraId="5B48B1DF">
      <w:pPr>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outlineLvl w:val="9"/>
        <w:rPr>
          <w:rFonts w:hint="eastAsia" w:eastAsia="宋体" w:asciiTheme="majorHAnsi" w:hAnsiTheme="majorHAnsi" w:cstheme="majorBidi"/>
          <w:b/>
          <w:bCs/>
          <w:color w:val="auto"/>
          <w:kern w:val="2"/>
          <w:sz w:val="28"/>
          <w:szCs w:val="28"/>
          <w:highlight w:val="none"/>
          <w:lang w:val="en-US" w:eastAsia="zh-CN" w:bidi="ar-SA"/>
        </w:rPr>
      </w:pPr>
      <w:r>
        <w:rPr>
          <w:rFonts w:hint="eastAsia" w:eastAsia="宋体" w:asciiTheme="majorHAnsi" w:hAnsiTheme="majorHAnsi" w:cstheme="majorBidi"/>
          <w:b/>
          <w:bCs/>
          <w:color w:val="auto"/>
          <w:kern w:val="2"/>
          <w:sz w:val="28"/>
          <w:szCs w:val="28"/>
          <w:highlight w:val="none"/>
          <w:lang w:val="en-US" w:eastAsia="zh-CN" w:bidi="ar-SA"/>
        </w:rPr>
        <w:t>残疾人福利性单位声明函</w:t>
      </w:r>
      <w:r>
        <w:rPr>
          <w:rFonts w:hint="eastAsia" w:ascii="宋体" w:hAnsi="宋体" w:eastAsia="宋体" w:cstheme="minorBidi"/>
          <w:b w:val="0"/>
          <w:bCs w:val="0"/>
          <w:color w:val="auto"/>
          <w:kern w:val="2"/>
          <w:sz w:val="24"/>
          <w:szCs w:val="24"/>
          <w:highlight w:val="none"/>
          <w:lang w:val="en-US" w:eastAsia="zh-CN" w:bidi="ar-SA"/>
        </w:rPr>
        <w:t>【如适用】</w:t>
      </w:r>
    </w:p>
    <w:p w14:paraId="32C79C32">
      <w:pPr>
        <w:pStyle w:val="39"/>
        <w:numPr>
          <w:ilvl w:val="0"/>
          <w:numId w:val="0"/>
        </w:numPr>
        <w:ind w:left="420" w:leftChars="0" w:hanging="420" w:firstLineChars="0"/>
        <w:jc w:val="center"/>
        <w:rPr>
          <w:rFonts w:hint="eastAsia"/>
          <w:b/>
          <w:bCs/>
          <w:color w:val="auto"/>
          <w:sz w:val="32"/>
          <w:szCs w:val="32"/>
          <w:highlight w:val="none"/>
        </w:rPr>
      </w:pPr>
    </w:p>
    <w:p w14:paraId="19672DBD">
      <w:pPr>
        <w:pStyle w:val="39"/>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6ED353FB">
      <w:pPr>
        <w:wordWrap w:val="0"/>
        <w:ind w:firstLine="480" w:firstLineChars="200"/>
        <w:rPr>
          <w:rFonts w:hint="eastAsia"/>
          <w:color w:val="auto"/>
          <w:szCs w:val="24"/>
          <w:highlight w:val="none"/>
        </w:rPr>
      </w:pPr>
    </w:p>
    <w:p w14:paraId="7082653D">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2E6144E3">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664BDD0F">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542C783A">
      <w:pPr>
        <w:wordWrap w:val="0"/>
        <w:ind w:firstLine="480" w:firstLineChars="200"/>
        <w:rPr>
          <w:i w:val="0"/>
          <w:iCs w:val="0"/>
          <w:color w:val="auto"/>
          <w:szCs w:val="24"/>
          <w:highlight w:val="none"/>
        </w:rPr>
      </w:pPr>
      <w:r>
        <w:rPr>
          <w:rFonts w:hint="eastAsia"/>
          <w:i w:val="0"/>
          <w:iCs w:val="0"/>
          <w:color w:val="auto"/>
          <w:szCs w:val="24"/>
          <w:highlight w:val="none"/>
        </w:rPr>
        <w:t>……</w:t>
      </w:r>
    </w:p>
    <w:p w14:paraId="7ECDACBD">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79661EF0">
      <w:pPr>
        <w:wordWrap w:val="0"/>
        <w:ind w:left="1087" w:leftChars="200" w:hanging="607" w:hangingChars="253"/>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2B5AE200">
      <w:pPr>
        <w:wordWrap w:val="0"/>
        <w:ind w:left="1091" w:hanging="1091" w:hangingChars="453"/>
        <w:rPr>
          <w:b/>
          <w:bCs/>
          <w:i w:val="0"/>
          <w:iCs w:val="0"/>
          <w:color w:val="auto"/>
          <w:szCs w:val="24"/>
          <w:highlight w:val="none"/>
        </w:rPr>
      </w:pPr>
    </w:p>
    <w:p w14:paraId="59BA04CF">
      <w:pPr>
        <w:wordWrap w:val="0"/>
        <w:ind w:left="1091" w:hanging="1091" w:hangingChars="453"/>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5D0077A8">
      <w:pPr>
        <w:wordWrap w:val="0"/>
        <w:ind w:left="1087" w:hanging="1087" w:hangingChars="453"/>
        <w:rPr>
          <w:rFonts w:cs="Courier New"/>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1A9557FD">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23213F72">
      <w:pPr>
        <w:wordWrap w:val="0"/>
        <w:spacing w:before="100" w:beforeAutospacing="1" w:after="100" w:afterAutospacing="1"/>
        <w:ind w:firstLine="3316" w:firstLineChars="1382"/>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5B8F1B71">
      <w:pPr>
        <w:rPr>
          <w:color w:val="auto"/>
          <w:highlight w:val="none"/>
          <w:lang w:val="zh-CN"/>
        </w:rPr>
      </w:pPr>
    </w:p>
    <w:p w14:paraId="3DD5B011">
      <w:pPr>
        <w:rPr>
          <w:color w:val="auto"/>
          <w:highlight w:val="none"/>
          <w:lang w:val="zh-CN"/>
        </w:rPr>
      </w:pPr>
    </w:p>
    <w:p w14:paraId="62E4AED0">
      <w:pPr>
        <w:rPr>
          <w:color w:val="auto"/>
          <w:highlight w:val="none"/>
          <w:lang w:val="zh-CN"/>
        </w:rPr>
      </w:pPr>
    </w:p>
    <w:p w14:paraId="1FCA2D1F">
      <w:pPr>
        <w:rPr>
          <w:color w:val="auto"/>
          <w:highlight w:val="none"/>
          <w:lang w:val="zh-CN"/>
        </w:rPr>
      </w:pPr>
    </w:p>
    <w:p w14:paraId="7478D641">
      <w:pPr>
        <w:outlineLvl w:val="3"/>
        <w:rPr>
          <w:rFonts w:hint="eastAsia" w:ascii="宋体" w:hAnsi="宋体" w:eastAsia="宋体" w:cs="宋体"/>
          <w:b/>
          <w:bCs w:val="0"/>
          <w:color w:val="auto"/>
          <w:sz w:val="24"/>
          <w:lang w:val="zh-CN" w:eastAsia="zh-CN"/>
        </w:rPr>
      </w:pPr>
      <w:r>
        <w:rPr>
          <w:rFonts w:hint="eastAsia" w:ascii="宋体" w:hAnsi="宋体" w:eastAsia="宋体" w:cs="宋体"/>
          <w:b/>
          <w:bCs w:val="0"/>
          <w:color w:val="auto"/>
          <w:sz w:val="24"/>
          <w:lang w:val="en-US" w:eastAsia="zh-CN"/>
        </w:rPr>
        <w:t>附件四：</w:t>
      </w:r>
      <w:bookmarkStart w:id="522" w:name="_Toc163492924"/>
      <w:bookmarkStart w:id="523" w:name="_Toc17641"/>
      <w:bookmarkStart w:id="524" w:name="_Toc155185931"/>
      <w:r>
        <w:rPr>
          <w:rFonts w:hint="eastAsia" w:ascii="宋体" w:hAnsi="宋体" w:eastAsia="宋体" w:cs="宋体"/>
          <w:b/>
          <w:bCs w:val="0"/>
          <w:color w:val="auto"/>
          <w:sz w:val="24"/>
          <w:lang w:val="zh-CN" w:eastAsia="zh-CN"/>
        </w:rPr>
        <w:t>联合体协议书</w:t>
      </w:r>
      <w:bookmarkEnd w:id="522"/>
      <w:bookmarkEnd w:id="523"/>
      <w:bookmarkEnd w:id="524"/>
    </w:p>
    <w:p w14:paraId="7BBF9D1F">
      <w:pPr>
        <w:snapToGrid w:val="0"/>
        <w:spacing w:line="360" w:lineRule="auto"/>
        <w:jc w:val="center"/>
        <w:outlineLvl w:val="9"/>
        <w:rPr>
          <w:rFonts w:hint="eastAsia" w:ascii="宋体" w:hAnsi="宋体" w:cs="宋体"/>
          <w:b/>
          <w:color w:val="auto"/>
          <w:kern w:val="0"/>
          <w:sz w:val="32"/>
          <w:szCs w:val="32"/>
          <w:highlight w:val="none"/>
        </w:rPr>
      </w:pPr>
      <w:bookmarkStart w:id="525" w:name="_Toc17246"/>
      <w:bookmarkStart w:id="526" w:name="_Toc27833"/>
      <w:r>
        <w:rPr>
          <w:rFonts w:hint="eastAsia" w:ascii="宋体" w:hAnsi="宋体" w:cs="宋体"/>
          <w:b/>
          <w:color w:val="auto"/>
          <w:kern w:val="0"/>
          <w:sz w:val="24"/>
          <w:szCs w:val="24"/>
          <w:highlight w:val="none"/>
        </w:rPr>
        <w:t>联合体协议书</w:t>
      </w:r>
      <w:bookmarkEnd w:id="525"/>
      <w:bookmarkEnd w:id="526"/>
      <w:r>
        <w:rPr>
          <w:rFonts w:hint="eastAsia" w:ascii="宋体" w:hAnsi="宋体" w:eastAsia="宋体" w:cs="宋体"/>
          <w:b/>
          <w:bCs w:val="0"/>
          <w:color w:val="auto"/>
          <w:sz w:val="24"/>
          <w:lang w:val="zh-CN" w:eastAsia="zh-CN"/>
        </w:rPr>
        <w:t>【如适用】</w:t>
      </w:r>
    </w:p>
    <w:p w14:paraId="2E9C8DFB">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；本项目不接受联合体投标或者投标人不以联合体形式投标的，则不需要提供）</w:t>
      </w:r>
    </w:p>
    <w:p w14:paraId="14187E6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34FA70E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161459D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w:t>
      </w:r>
      <w:r>
        <w:rPr>
          <w:rFonts w:hint="eastAsia" w:cs="宋体"/>
          <w:color w:val="auto"/>
          <w:kern w:val="0"/>
          <w:sz w:val="24"/>
          <w:highlight w:val="none"/>
          <w:lang w:val="zh-CN"/>
        </w:rPr>
        <w:t>采购文件</w:t>
      </w:r>
      <w:r>
        <w:rPr>
          <w:rFonts w:hint="eastAsia" w:ascii="宋体" w:hAnsi="宋体" w:cs="宋体"/>
          <w:color w:val="auto"/>
          <w:kern w:val="0"/>
          <w:sz w:val="24"/>
          <w:highlight w:val="none"/>
          <w:lang w:val="zh-CN"/>
        </w:rPr>
        <w:t>规定及投标内容而对采购人、采购代理机构所作的任何合法承诺，包括书面澄清及相应等均对联合投标各方产生约束力。</w:t>
      </w:r>
    </w:p>
    <w:p w14:paraId="5C1E372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79B914F4">
      <w:pPr>
        <w:snapToGrid w:val="0"/>
        <w:spacing w:line="360" w:lineRule="auto"/>
        <w:ind w:firstLine="576"/>
        <w:rPr>
          <w:rFonts w:ascii="宋体" w:hAnsi="宋体" w:cs="宋体"/>
          <w:color w:val="auto"/>
          <w:kern w:val="0"/>
          <w:sz w:val="24"/>
          <w:highlight w:val="none"/>
          <w:lang w:val="zh-CN"/>
        </w:rPr>
      </w:pPr>
      <w:bookmarkStart w:id="527"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7B8E10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3A6EA6E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527"/>
    <w:p w14:paraId="0FC7BE2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717C46F2">
      <w:pPr>
        <w:snapToGrid w:val="0"/>
        <w:spacing w:line="360" w:lineRule="auto"/>
        <w:ind w:firstLine="576"/>
        <w:rPr>
          <w:rFonts w:ascii="宋体" w:hAnsi="宋体" w:cs="宋体"/>
          <w:b/>
          <w:color w:val="auto"/>
          <w:kern w:val="0"/>
          <w:sz w:val="24"/>
          <w:highlight w:val="none"/>
          <w:lang w:val="zh-CN"/>
        </w:rPr>
      </w:pPr>
      <w:r>
        <w:rPr>
          <w:rFonts w:hint="eastAsia"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404D0123">
      <w:pPr>
        <w:snapToGrid w:val="0"/>
        <w:spacing w:line="360" w:lineRule="auto"/>
        <w:ind w:firstLine="576"/>
        <w:rPr>
          <w:rFonts w:ascii="宋体" w:hAnsi="宋体" w:cs="宋体"/>
          <w:color w:val="auto"/>
          <w:kern w:val="0"/>
          <w:sz w:val="24"/>
          <w:highlight w:val="none"/>
          <w:lang w:val="zh-CN"/>
        </w:rPr>
      </w:pPr>
      <w:r>
        <w:rPr>
          <w:rFonts w:hint="eastAsia" w:cs="宋体"/>
          <w:color w:val="auto"/>
          <w:sz w:val="24"/>
          <w:highlight w:val="none"/>
          <w:lang w:eastAsia="zh-CN"/>
        </w:rPr>
        <w:t>2.</w:t>
      </w: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w:t>
      </w:r>
      <w:r>
        <w:rPr>
          <w:rFonts w:hint="eastAsia" w:cs="宋体"/>
          <w:b/>
          <w:bCs/>
          <w:color w:val="auto"/>
          <w:sz w:val="24"/>
          <w:highlight w:val="none"/>
          <w:lang w:eastAsia="zh-CN"/>
        </w:rPr>
        <w:t>采购文件</w:t>
      </w:r>
      <w:r>
        <w:rPr>
          <w:rFonts w:hint="eastAsia" w:ascii="宋体" w:hAnsi="宋体" w:cs="宋体"/>
          <w:b/>
          <w:bCs/>
          <w:color w:val="auto"/>
          <w:sz w:val="24"/>
          <w:highlight w:val="none"/>
        </w:rPr>
        <w:t>第一部分招标公告申请人的资格要求中规定的联合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58DE650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6F9146E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2B3F03A6">
      <w:pPr>
        <w:snapToGrid w:val="0"/>
        <w:spacing w:line="360" w:lineRule="auto"/>
        <w:ind w:firstLine="576"/>
        <w:rPr>
          <w:rFonts w:ascii="宋体" w:hAnsi="宋体" w:cs="宋体"/>
          <w:color w:val="auto"/>
          <w:kern w:val="0"/>
          <w:sz w:val="24"/>
          <w:highlight w:val="none"/>
          <w:lang w:val="zh-CN"/>
        </w:rPr>
      </w:pPr>
      <w:r>
        <w:rPr>
          <w:rFonts w:hint="eastAsia" w:cs="宋体"/>
          <w:color w:val="auto"/>
          <w:kern w:val="0"/>
          <w:sz w:val="24"/>
          <w:highlight w:val="none"/>
          <w:lang w:val="zh-CN"/>
        </w:rPr>
        <w:t>1.</w:t>
      </w:r>
      <w:r>
        <w:rPr>
          <w:rFonts w:hint="eastAsia" w:ascii="宋体" w:hAnsi="宋体" w:cs="宋体"/>
          <w:color w:val="auto"/>
          <w:kern w:val="0"/>
          <w:sz w:val="24"/>
          <w:highlight w:val="none"/>
          <w:lang w:val="zh-CN"/>
        </w:rPr>
        <w:t>联合体各方不再单独参加或者与其他供应商另外组成联合体参加同一合同项下的政府采购活动。</w:t>
      </w:r>
    </w:p>
    <w:p w14:paraId="43A390B7">
      <w:pPr>
        <w:snapToGrid w:val="0"/>
        <w:spacing w:line="360" w:lineRule="auto"/>
        <w:ind w:firstLine="576"/>
        <w:rPr>
          <w:rFonts w:ascii="宋体" w:hAnsi="宋体" w:cs="宋体"/>
          <w:color w:val="auto"/>
          <w:kern w:val="0"/>
          <w:sz w:val="24"/>
          <w:highlight w:val="none"/>
          <w:lang w:val="zh-CN"/>
        </w:rPr>
      </w:pPr>
      <w:r>
        <w:rPr>
          <w:rFonts w:hint="eastAsia" w:cs="宋体"/>
          <w:color w:val="auto"/>
          <w:kern w:val="0"/>
          <w:sz w:val="24"/>
          <w:highlight w:val="none"/>
          <w:lang w:val="zh-CN"/>
        </w:rPr>
        <w:t>2.</w:t>
      </w:r>
      <w:r>
        <w:rPr>
          <w:rFonts w:hint="eastAsia" w:ascii="宋体" w:hAnsi="宋体" w:cs="宋体"/>
          <w:color w:val="auto"/>
          <w:kern w:val="0"/>
          <w:sz w:val="24"/>
          <w:highlight w:val="none"/>
          <w:lang w:val="zh-CN"/>
        </w:rPr>
        <w:t>联合体中有同类资质的各方按照联合体分工承担相同工作的，按照资质等级较低的供应商确定资质等级。</w:t>
      </w:r>
    </w:p>
    <w:p w14:paraId="2DA5D6F6">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zh-CN"/>
        </w:rPr>
        <w:t>3.</w:t>
      </w:r>
      <w:r>
        <w:rPr>
          <w:rFonts w:hint="eastAsia" w:ascii="宋体" w:hAnsi="宋体" w:cs="宋体"/>
          <w:color w:val="auto"/>
          <w:kern w:val="0"/>
          <w:sz w:val="24"/>
          <w:highlight w:val="none"/>
          <w:lang w:val="zh-CN"/>
        </w:rPr>
        <w:t>本协议提交采购人、采购代理机构后，联合体各方不得以任何形式对上述内容进行修改或撤销。</w:t>
      </w:r>
    </w:p>
    <w:p w14:paraId="53FF0C1F">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4E2CB345">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本协议书自签署之日起生效，若未中标，自本次投标有效期结束后自行失效；若中标，自合同书规定的期限之后自行失效。</w:t>
      </w:r>
    </w:p>
    <w:p w14:paraId="3DCF1A17">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435D23C6">
      <w:pPr>
        <w:rPr>
          <w:lang w:val="zh-CN"/>
        </w:rPr>
      </w:pPr>
    </w:p>
    <w:p w14:paraId="31A415F4">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13372045">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5994BF05">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424E5C79">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9088068">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52251E56">
      <w:pPr>
        <w:keepNext w:val="0"/>
        <w:keepLines w:val="0"/>
        <w:pageBreakBefore w:val="0"/>
        <w:kinsoku/>
        <w:overflowPunct/>
        <w:topLinePunct w:val="0"/>
        <w:autoSpaceDE/>
        <w:autoSpaceDN/>
        <w:bidi w:val="0"/>
        <w:spacing w:before="157" w:beforeLines="50" w:after="157" w:afterLines="50"/>
        <w:textAlignment w:val="auto"/>
        <w:rPr>
          <w:rFonts w:cs="Tahoma"/>
          <w:color w:val="auto"/>
          <w:highlight w:val="none"/>
          <w:u w:val="single"/>
        </w:rPr>
      </w:pPr>
    </w:p>
    <w:p w14:paraId="10D323D0">
      <w:pPr>
        <w:keepNext w:val="0"/>
        <w:keepLines w:val="0"/>
        <w:pageBreakBefore w:val="0"/>
        <w:kinsoku/>
        <w:overflowPunct/>
        <w:topLinePunct w:val="0"/>
        <w:autoSpaceDE/>
        <w:autoSpaceDN/>
        <w:bidi w:val="0"/>
        <w:spacing w:before="157" w:beforeLines="50" w:after="157" w:afterLines="50"/>
        <w:textAlignment w:val="auto"/>
        <w:rPr>
          <w:rFonts w:cs="Tahoma"/>
          <w:color w:val="auto"/>
          <w:highlight w:val="none"/>
          <w:u w:val="single"/>
        </w:rPr>
      </w:pPr>
    </w:p>
    <w:p w14:paraId="4DB2CD29">
      <w:pPr>
        <w:keepNext w:val="0"/>
        <w:keepLines w:val="0"/>
        <w:pageBreakBefore w:val="0"/>
        <w:kinsoku/>
        <w:overflowPunct/>
        <w:topLinePunct w:val="0"/>
        <w:autoSpaceDE/>
        <w:autoSpaceDN/>
        <w:bidi w:val="0"/>
        <w:spacing w:before="157" w:beforeLines="50" w:after="157" w:afterLines="50"/>
        <w:textAlignment w:val="auto"/>
        <w:rPr>
          <w:rFonts w:cs="Tahoma"/>
          <w:color w:val="auto"/>
          <w:highlight w:val="none"/>
          <w:u w:val="single"/>
        </w:rPr>
      </w:pPr>
    </w:p>
    <w:p w14:paraId="26D9E333">
      <w:pPr>
        <w:keepNext w:val="0"/>
        <w:keepLines w:val="0"/>
        <w:pageBreakBefore w:val="0"/>
        <w:kinsoku/>
        <w:overflowPunct/>
        <w:topLinePunct w:val="0"/>
        <w:autoSpaceDE/>
        <w:autoSpaceDN/>
        <w:bidi w:val="0"/>
        <w:spacing w:before="157" w:beforeLines="50" w:after="157" w:afterLines="50"/>
        <w:textAlignment w:val="auto"/>
        <w:rPr>
          <w:rFonts w:cs="Tahoma"/>
          <w:color w:val="auto"/>
          <w:highlight w:val="none"/>
          <w:u w:val="single"/>
        </w:rPr>
      </w:pPr>
    </w:p>
    <w:p w14:paraId="362A9EF7">
      <w:pPr>
        <w:keepNext w:val="0"/>
        <w:keepLines w:val="0"/>
        <w:pageBreakBefore w:val="0"/>
        <w:kinsoku/>
        <w:overflowPunct/>
        <w:topLinePunct w:val="0"/>
        <w:autoSpaceDE/>
        <w:autoSpaceDN/>
        <w:bidi w:val="0"/>
        <w:spacing w:before="157" w:beforeLines="50" w:after="157" w:afterLines="50"/>
        <w:textAlignment w:val="auto"/>
        <w:rPr>
          <w:rFonts w:cs="Tahoma"/>
          <w:color w:val="auto"/>
          <w:highlight w:val="none"/>
          <w:u w:val="single"/>
        </w:rPr>
      </w:pPr>
    </w:p>
    <w:p w14:paraId="4BB91B13">
      <w:pPr>
        <w:keepNext w:val="0"/>
        <w:keepLines w:val="0"/>
        <w:pageBreakBefore w:val="0"/>
        <w:kinsoku/>
        <w:overflowPunct/>
        <w:topLinePunct w:val="0"/>
        <w:autoSpaceDE/>
        <w:autoSpaceDN/>
        <w:bidi w:val="0"/>
        <w:spacing w:before="157" w:beforeLines="50" w:after="157" w:afterLines="50"/>
        <w:textAlignment w:val="auto"/>
        <w:rPr>
          <w:rFonts w:cs="Tahoma"/>
          <w:color w:val="auto"/>
          <w:highlight w:val="none"/>
          <w:u w:val="single"/>
        </w:rPr>
      </w:pPr>
    </w:p>
    <w:p w14:paraId="09BA23E8">
      <w:pPr>
        <w:keepNext w:val="0"/>
        <w:keepLines w:val="0"/>
        <w:pageBreakBefore w:val="0"/>
        <w:kinsoku/>
        <w:overflowPunct/>
        <w:topLinePunct w:val="0"/>
        <w:autoSpaceDE/>
        <w:autoSpaceDN/>
        <w:bidi w:val="0"/>
        <w:spacing w:before="157" w:beforeLines="50" w:after="157" w:afterLines="50"/>
        <w:textAlignment w:val="auto"/>
        <w:rPr>
          <w:rFonts w:cs="Tahoma"/>
          <w:color w:val="auto"/>
          <w:highlight w:val="none"/>
          <w:u w:val="single"/>
        </w:rPr>
      </w:pPr>
    </w:p>
    <w:p w14:paraId="1148F111">
      <w:pPr>
        <w:keepNext w:val="0"/>
        <w:keepLines w:val="0"/>
        <w:pageBreakBefore w:val="0"/>
        <w:kinsoku/>
        <w:overflowPunct/>
        <w:topLinePunct w:val="0"/>
        <w:autoSpaceDE/>
        <w:autoSpaceDN/>
        <w:bidi w:val="0"/>
        <w:spacing w:before="157" w:beforeLines="50" w:after="157" w:afterLines="50"/>
        <w:textAlignment w:val="auto"/>
        <w:rPr>
          <w:rFonts w:cs="Tahoma"/>
          <w:color w:val="auto"/>
          <w:highlight w:val="none"/>
          <w:u w:val="single"/>
        </w:rPr>
      </w:pPr>
    </w:p>
    <w:p w14:paraId="08CBDB7F">
      <w:pPr>
        <w:keepNext w:val="0"/>
        <w:keepLines w:val="0"/>
        <w:pageBreakBefore w:val="0"/>
        <w:kinsoku/>
        <w:overflowPunct/>
        <w:topLinePunct w:val="0"/>
        <w:autoSpaceDE/>
        <w:autoSpaceDN/>
        <w:bidi w:val="0"/>
        <w:spacing w:before="157" w:beforeLines="50" w:after="157" w:afterLines="50"/>
        <w:textAlignment w:val="auto"/>
        <w:rPr>
          <w:rFonts w:cs="Tahoma"/>
          <w:color w:val="auto"/>
          <w:highlight w:val="none"/>
          <w:u w:val="single"/>
        </w:rPr>
      </w:pPr>
    </w:p>
    <w:p w14:paraId="0AEF5264">
      <w:pPr>
        <w:keepNext w:val="0"/>
        <w:keepLines w:val="0"/>
        <w:pageBreakBefore w:val="0"/>
        <w:kinsoku/>
        <w:overflowPunct/>
        <w:topLinePunct w:val="0"/>
        <w:autoSpaceDE/>
        <w:autoSpaceDN/>
        <w:bidi w:val="0"/>
        <w:spacing w:before="157" w:beforeLines="50" w:after="157" w:afterLines="50"/>
        <w:textAlignment w:val="auto"/>
        <w:rPr>
          <w:rFonts w:cs="Tahoma"/>
          <w:color w:val="auto"/>
          <w:highlight w:val="none"/>
          <w:u w:val="single"/>
        </w:rPr>
      </w:pPr>
      <w:r>
        <w:rPr>
          <w:rFonts w:cs="Tahoma"/>
          <w:color w:val="auto"/>
          <w:highlight w:val="none"/>
          <w:u w:val="single"/>
        </w:rPr>
        <w:br w:type="page"/>
      </w:r>
    </w:p>
    <w:p w14:paraId="01005797">
      <w:pPr>
        <w:outlineLvl w:val="3"/>
        <w:rPr>
          <w:rFonts w:hint="eastAsia"/>
          <w:color w:val="auto"/>
          <w:sz w:val="28"/>
          <w:szCs w:val="28"/>
          <w:highlight w:val="none"/>
          <w:lang w:val="zh-CN" w:eastAsia="zh-CN"/>
        </w:rPr>
      </w:pPr>
      <w:bookmarkStart w:id="528" w:name="_Toc156490356"/>
      <w:bookmarkStart w:id="529" w:name="_Toc162299566"/>
      <w:bookmarkStart w:id="530" w:name="_Toc16891"/>
      <w:bookmarkStart w:id="531" w:name="_Toc163492925"/>
      <w:r>
        <w:rPr>
          <w:rFonts w:hint="eastAsia" w:ascii="宋体" w:hAnsi="宋体" w:eastAsia="宋体" w:cs="宋体"/>
          <w:b/>
          <w:bCs w:val="0"/>
          <w:color w:val="auto"/>
          <w:sz w:val="24"/>
          <w:lang w:val="en-US" w:eastAsia="zh-CN"/>
        </w:rPr>
        <w:t>附件五：</w:t>
      </w:r>
      <w:r>
        <w:rPr>
          <w:rFonts w:hint="eastAsia" w:ascii="宋体" w:hAnsi="宋体" w:eastAsia="宋体" w:cs="宋体"/>
          <w:b/>
          <w:bCs w:val="0"/>
          <w:color w:val="auto"/>
          <w:sz w:val="24"/>
          <w:lang w:val="zh-CN" w:eastAsia="zh-CN"/>
        </w:rPr>
        <w:t>分包意向协议书</w:t>
      </w:r>
      <w:bookmarkEnd w:id="528"/>
      <w:bookmarkEnd w:id="529"/>
      <w:bookmarkEnd w:id="530"/>
      <w:bookmarkEnd w:id="531"/>
    </w:p>
    <w:p w14:paraId="3FDEAFA2">
      <w:pPr>
        <w:snapToGrid w:val="0"/>
        <w:spacing w:line="360" w:lineRule="auto"/>
        <w:jc w:val="center"/>
        <w:outlineLvl w:val="9"/>
        <w:rPr>
          <w:rFonts w:hint="eastAsia" w:ascii="宋体" w:hAnsi="宋体" w:eastAsia="宋体" w:cs="宋体"/>
          <w:b/>
          <w:color w:val="auto"/>
          <w:kern w:val="0"/>
          <w:sz w:val="24"/>
          <w:szCs w:val="24"/>
          <w:highlight w:val="none"/>
          <w:lang w:val="en-US" w:eastAsia="zh-CN"/>
        </w:rPr>
      </w:pPr>
      <w:bookmarkStart w:id="532" w:name="_Toc22611"/>
      <w:bookmarkStart w:id="533" w:name="_Toc1771"/>
      <w:bookmarkStart w:id="534" w:name="_Hlk101169080"/>
      <w:r>
        <w:rPr>
          <w:rFonts w:hint="eastAsia" w:ascii="宋体" w:hAnsi="宋体" w:cs="宋体"/>
          <w:b/>
          <w:color w:val="auto"/>
          <w:kern w:val="0"/>
          <w:sz w:val="24"/>
          <w:szCs w:val="24"/>
          <w:highlight w:val="none"/>
        </w:rPr>
        <w:t>分包意向协议</w:t>
      </w:r>
      <w:r>
        <w:rPr>
          <w:rFonts w:hint="eastAsia" w:ascii="宋体" w:hAnsi="宋体" w:cs="宋体"/>
          <w:b/>
          <w:color w:val="auto"/>
          <w:kern w:val="0"/>
          <w:sz w:val="24"/>
          <w:szCs w:val="24"/>
          <w:highlight w:val="none"/>
          <w:lang w:val="en-US" w:eastAsia="zh-CN"/>
        </w:rPr>
        <w:t>书</w:t>
      </w:r>
      <w:bookmarkEnd w:id="532"/>
      <w:bookmarkEnd w:id="533"/>
      <w:r>
        <w:rPr>
          <w:rFonts w:hint="eastAsia" w:ascii="宋体" w:hAnsi="宋体" w:eastAsia="宋体" w:cs="宋体"/>
          <w:b/>
          <w:bCs w:val="0"/>
          <w:color w:val="auto"/>
          <w:sz w:val="24"/>
          <w:lang w:val="zh-CN" w:eastAsia="zh-CN"/>
        </w:rPr>
        <w:t>【如适用】</w:t>
      </w:r>
    </w:p>
    <w:p w14:paraId="5FAA19E5">
      <w:pPr>
        <w:widowControl/>
        <w:spacing w:line="360" w:lineRule="auto"/>
        <w:ind w:firstLine="120" w:firstLineChars="50"/>
        <w:jc w:val="left"/>
        <w:rPr>
          <w:rFonts w:hint="eastAsia" w:ascii="宋体" w:hAnsi="宋体" w:eastAsia="宋体" w:cs="宋体"/>
          <w:color w:val="auto"/>
          <w:sz w:val="24"/>
          <w:highlight w:val="none"/>
          <w:lang w:eastAsia="zh-CN"/>
        </w:rPr>
      </w:pPr>
      <w:r>
        <w:rPr>
          <w:rFonts w:hint="eastAsia" w:cs="宋体"/>
          <w:color w:val="auto"/>
          <w:sz w:val="24"/>
          <w:highlight w:val="none"/>
          <w:lang w:eastAsia="zh-CN"/>
        </w:rPr>
        <w:t>【</w:t>
      </w:r>
      <w:r>
        <w:rPr>
          <w:rFonts w:hint="eastAsia" w:ascii="宋体" w:hAnsi="宋体" w:cs="宋体"/>
          <w:b/>
          <w:color w:val="auto"/>
          <w:sz w:val="24"/>
          <w:highlight w:val="none"/>
        </w:rPr>
        <w:t>中标后以分包方式履行合同的，提供分包意向协议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；采购人不同意分包或者投标人中标后不以分包方式履行合同的，则不需要提供。</w:t>
      </w:r>
      <w:r>
        <w:rPr>
          <w:rFonts w:hint="eastAsia" w:cs="宋体"/>
          <w:color w:val="auto"/>
          <w:sz w:val="24"/>
          <w:highlight w:val="none"/>
          <w:lang w:eastAsia="zh-CN"/>
        </w:rPr>
        <w:t>】</w:t>
      </w:r>
    </w:p>
    <w:p w14:paraId="68FB461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7BF9004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5B5F194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47A9675C">
      <w:pPr>
        <w:tabs>
          <w:tab w:val="left" w:pos="432"/>
        </w:tabs>
        <w:ind w:left="758" w:leftChars="316" w:firstLine="228" w:firstLineChars="95"/>
        <w:outlineLvl w:val="9"/>
        <w:rPr>
          <w:rFonts w:ascii="宋体" w:hAnsi="宋体" w:eastAsia="宋体" w:cs="宋体"/>
          <w:color w:val="auto"/>
          <w:kern w:val="0"/>
          <w:sz w:val="24"/>
          <w:szCs w:val="24"/>
          <w:highlight w:val="none"/>
        </w:rPr>
      </w:pPr>
      <w:bookmarkStart w:id="535" w:name="_Toc29506"/>
      <w:bookmarkStart w:id="536" w:name="_Toc7782"/>
      <w:bookmarkStart w:id="537" w:name="_Toc8522"/>
      <w:bookmarkStart w:id="538" w:name="_Toc23351"/>
      <w:bookmarkStart w:id="539" w:name="_Toc22084"/>
      <w:r>
        <w:rPr>
          <w:rFonts w:hint="eastAsia" w:ascii="宋体" w:hAnsi="宋体" w:eastAsia="宋体" w:cs="宋体"/>
          <w:color w:val="auto"/>
          <w:kern w:val="0"/>
          <w:sz w:val="24"/>
          <w:szCs w:val="24"/>
          <w:highlight w:val="none"/>
        </w:rPr>
        <w:t>……</w:t>
      </w:r>
      <w:bookmarkEnd w:id="535"/>
      <w:bookmarkEnd w:id="536"/>
      <w:bookmarkEnd w:id="537"/>
      <w:bookmarkEnd w:id="538"/>
      <w:bookmarkEnd w:id="539"/>
    </w:p>
    <w:p w14:paraId="4F0D8C7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3BE932DB">
      <w:pPr>
        <w:snapToGrid w:val="0"/>
        <w:spacing w:line="360" w:lineRule="auto"/>
        <w:ind w:firstLine="576"/>
        <w:rPr>
          <w:rFonts w:ascii="宋体" w:hAnsi="宋体" w:cs="宋体"/>
          <w:b/>
          <w:color w:val="auto"/>
          <w:kern w:val="0"/>
          <w:sz w:val="24"/>
          <w:highlight w:val="none"/>
          <w:lang w:val="zh-CN"/>
        </w:rPr>
      </w:pPr>
      <w:r>
        <w:rPr>
          <w:rFonts w:hint="eastAsia" w:cs="宋体"/>
          <w:color w:val="auto"/>
          <w:kern w:val="0"/>
          <w:sz w:val="24"/>
          <w:highlight w:val="none"/>
          <w:lang w:eastAsia="zh-CN"/>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60BFF1AC">
      <w:pPr>
        <w:spacing w:line="360" w:lineRule="auto"/>
        <w:ind w:firstLine="480" w:firstLineChars="200"/>
        <w:rPr>
          <w:rFonts w:ascii="宋体" w:hAnsi="宋体" w:cs="宋体"/>
          <w:b/>
          <w:bCs/>
          <w:color w:val="auto"/>
          <w:kern w:val="0"/>
          <w:sz w:val="24"/>
          <w:highlight w:val="none"/>
          <w:lang w:val="zh-CN"/>
        </w:rPr>
      </w:pPr>
      <w:r>
        <w:rPr>
          <w:rFonts w:hint="eastAsia" w:cs="宋体"/>
          <w:color w:val="auto"/>
          <w:sz w:val="24"/>
          <w:highlight w:val="none"/>
          <w:lang w:eastAsia="zh-CN"/>
        </w:rPr>
        <w:t>2.</w:t>
      </w:r>
      <w:bookmarkStart w:id="540"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w:t>
      </w:r>
      <w:r>
        <w:rPr>
          <w:rFonts w:hint="eastAsia" w:cs="宋体"/>
          <w:b/>
          <w:bCs/>
          <w:color w:val="auto"/>
          <w:sz w:val="24"/>
          <w:highlight w:val="none"/>
          <w:lang w:eastAsia="zh-CN"/>
        </w:rPr>
        <w:t>采购文件</w:t>
      </w:r>
      <w:r>
        <w:rPr>
          <w:rFonts w:hint="eastAsia" w:ascii="宋体" w:hAnsi="宋体" w:cs="宋体"/>
          <w:b/>
          <w:bCs/>
          <w:color w:val="auto"/>
          <w:sz w:val="24"/>
          <w:highlight w:val="none"/>
        </w:rPr>
        <w:t>第一部分招标公告申请人的资格要求中规定的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540"/>
    </w:p>
    <w:p w14:paraId="3D7A734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766B445E">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6BF945F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78C9FFD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23782F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5EB7C2BA">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3756664">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7B2DC01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F517C5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47D9292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15E4352">
      <w:pP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75F535B6">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65730640">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6EF0B9EF">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3E1341B1">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66495EFD">
      <w:pPr>
        <w:topLinePunct/>
        <w:ind w:firstLine="480" w:firstLineChars="200"/>
        <w:rPr>
          <w:rFonts w:hint="eastAsia"/>
          <w:color w:val="auto"/>
          <w:szCs w:val="32"/>
          <w:highlight w:val="none"/>
        </w:rPr>
      </w:pPr>
    </w:p>
    <w:p w14:paraId="625935A4">
      <w:pPr>
        <w:topLinePunct/>
        <w:ind w:firstLine="480" w:firstLineChars="200"/>
        <w:rPr>
          <w:rFonts w:hint="eastAsia"/>
          <w:color w:val="auto"/>
          <w:szCs w:val="32"/>
          <w:highlight w:val="none"/>
        </w:rPr>
      </w:pPr>
    </w:p>
    <w:p w14:paraId="3AA2F4CB">
      <w:pPr>
        <w:topLinePunct/>
        <w:ind w:firstLine="480" w:firstLineChars="200"/>
        <w:rPr>
          <w:rFonts w:hint="eastAsia"/>
          <w:color w:val="auto"/>
          <w:szCs w:val="32"/>
          <w:highlight w:val="none"/>
        </w:rPr>
      </w:pPr>
    </w:p>
    <w:p w14:paraId="65A4F6C4">
      <w:pPr>
        <w:topLinePunct/>
        <w:ind w:firstLine="480" w:firstLineChars="200"/>
        <w:rPr>
          <w:rFonts w:hint="eastAsia"/>
          <w:color w:val="auto"/>
          <w:szCs w:val="32"/>
          <w:highlight w:val="none"/>
        </w:rPr>
      </w:pPr>
    </w:p>
    <w:bookmarkEnd w:id="534"/>
    <w:p w14:paraId="6D21201C">
      <w:pPr>
        <w:ind w:left="2520" w:leftChars="1050"/>
        <w:rPr>
          <w:color w:val="auto"/>
          <w:highlight w:val="none"/>
        </w:rPr>
      </w:pPr>
      <w:r>
        <w:rPr>
          <w:rFonts w:cs="Courier New"/>
          <w:color w:val="auto"/>
          <w:szCs w:val="24"/>
          <w:highlight w:val="none"/>
        </w:rPr>
        <w:br w:type="page"/>
      </w:r>
    </w:p>
    <w:p w14:paraId="674386CF">
      <w:pPr>
        <w:outlineLvl w:val="3"/>
        <w:rPr>
          <w:rFonts w:hint="eastAsia" w:ascii="宋体" w:hAnsi="宋体" w:eastAsia="宋体" w:cs="宋体"/>
          <w:b/>
          <w:bCs w:val="0"/>
          <w:color w:val="auto"/>
          <w:sz w:val="24"/>
          <w:lang w:val="en-US" w:eastAsia="zh-CN"/>
        </w:rPr>
      </w:pPr>
      <w:bookmarkStart w:id="541" w:name="_Toc3723"/>
      <w:r>
        <w:rPr>
          <w:rFonts w:hint="eastAsia" w:ascii="宋体" w:hAnsi="宋体" w:eastAsia="宋体" w:cs="宋体"/>
          <w:b/>
          <w:bCs w:val="0"/>
          <w:color w:val="auto"/>
          <w:sz w:val="24"/>
          <w:lang w:val="en-US" w:eastAsia="zh-CN"/>
        </w:rPr>
        <w:t>附件六：落实政府采购政策相关证明文件</w:t>
      </w:r>
      <w:bookmarkEnd w:id="541"/>
    </w:p>
    <w:p w14:paraId="41716825">
      <w:pPr>
        <w:bidi w:val="0"/>
        <w:outlineLvl w:val="9"/>
        <w:rPr>
          <w:rFonts w:hint="eastAsia"/>
          <w:color w:val="auto"/>
          <w:sz w:val="24"/>
          <w:szCs w:val="24"/>
          <w:highlight w:val="none"/>
          <w:lang w:val="en-US" w:eastAsia="zh-CN"/>
        </w:rPr>
      </w:pPr>
      <w:bookmarkStart w:id="542" w:name="_Toc163492938"/>
      <w:r>
        <w:rPr>
          <w:rFonts w:hint="eastAsia"/>
          <w:color w:val="auto"/>
          <w:sz w:val="24"/>
          <w:szCs w:val="24"/>
          <w:highlight w:val="none"/>
          <w:lang w:val="en-US" w:eastAsia="zh-CN"/>
        </w:rPr>
        <w:t>（一）节能环保产品清单及证明材料【如适用】</w:t>
      </w:r>
      <w:bookmarkEnd w:id="542"/>
    </w:p>
    <w:p w14:paraId="641C9B9A">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47803A74">
      <w:pPr>
        <w:spacing w:line="300" w:lineRule="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1.</w:t>
      </w:r>
      <w:r>
        <w:rPr>
          <w:rFonts w:hint="eastAsia" w:ascii="宋体" w:hAnsi="宋体" w:eastAsia="宋体" w:cs="宋体"/>
          <w:color w:val="auto"/>
          <w:sz w:val="24"/>
          <w:szCs w:val="24"/>
          <w:highlight w:val="none"/>
        </w:rPr>
        <w:t>节能产品</w:t>
      </w:r>
    </w:p>
    <w:tbl>
      <w:tblPr>
        <w:tblStyle w:val="28"/>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3291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72F949B">
            <w:pPr>
              <w:pStyle w:val="46"/>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0FC7763">
            <w:pPr>
              <w:pStyle w:val="46"/>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3633BCC6">
            <w:pPr>
              <w:pStyle w:val="46"/>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7E976350">
            <w:pPr>
              <w:pStyle w:val="46"/>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17DFEC52">
            <w:pPr>
              <w:pStyle w:val="46"/>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53A14857">
            <w:pPr>
              <w:pStyle w:val="46"/>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3D34C27C">
            <w:pPr>
              <w:pStyle w:val="46"/>
              <w:jc w:val="center"/>
              <w:rPr>
                <w:color w:val="auto"/>
                <w:sz w:val="21"/>
                <w:szCs w:val="21"/>
                <w:highlight w:val="none"/>
              </w:rPr>
            </w:pPr>
            <w:r>
              <w:rPr>
                <w:rFonts w:hint="eastAsia"/>
                <w:color w:val="auto"/>
                <w:sz w:val="21"/>
                <w:szCs w:val="21"/>
                <w:highlight w:val="none"/>
              </w:rPr>
              <w:t>单价</w:t>
            </w:r>
          </w:p>
          <w:p w14:paraId="13DCA98A">
            <w:pPr>
              <w:pStyle w:val="46"/>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7B58FD30">
            <w:pPr>
              <w:pStyle w:val="46"/>
              <w:jc w:val="center"/>
              <w:rPr>
                <w:color w:val="auto"/>
                <w:sz w:val="21"/>
                <w:szCs w:val="21"/>
                <w:highlight w:val="none"/>
              </w:rPr>
            </w:pPr>
            <w:r>
              <w:rPr>
                <w:rFonts w:hint="eastAsia"/>
                <w:color w:val="auto"/>
                <w:sz w:val="21"/>
                <w:szCs w:val="21"/>
                <w:highlight w:val="none"/>
              </w:rPr>
              <w:t>总价</w:t>
            </w:r>
          </w:p>
          <w:p w14:paraId="2B8D01D4">
            <w:pPr>
              <w:pStyle w:val="46"/>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04FBA906">
            <w:pPr>
              <w:pStyle w:val="46"/>
              <w:jc w:val="center"/>
              <w:rPr>
                <w:color w:val="auto"/>
                <w:sz w:val="21"/>
                <w:szCs w:val="21"/>
                <w:highlight w:val="none"/>
              </w:rPr>
            </w:pPr>
            <w:r>
              <w:rPr>
                <w:rFonts w:hint="eastAsia"/>
                <w:color w:val="auto"/>
                <w:sz w:val="21"/>
                <w:szCs w:val="21"/>
                <w:highlight w:val="none"/>
              </w:rPr>
              <w:t>属强制采购或优先采购</w:t>
            </w:r>
          </w:p>
        </w:tc>
      </w:tr>
      <w:tr w14:paraId="0B7A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062F6E4">
            <w:pPr>
              <w:pStyle w:val="46"/>
              <w:numPr>
                <w:ilvl w:val="0"/>
                <w:numId w:val="7"/>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40150CC3">
            <w:pPr>
              <w:pStyle w:val="46"/>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13B14BA8">
            <w:pPr>
              <w:pStyle w:val="46"/>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08F47C0">
            <w:pPr>
              <w:pStyle w:val="46"/>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4405E13">
            <w:pPr>
              <w:pStyle w:val="46"/>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3F13E44">
            <w:pPr>
              <w:pStyle w:val="46"/>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8B5DB96">
            <w:pPr>
              <w:pStyle w:val="46"/>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6B625590">
            <w:pPr>
              <w:pStyle w:val="46"/>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E92B067">
            <w:pPr>
              <w:pStyle w:val="46"/>
              <w:jc w:val="center"/>
              <w:rPr>
                <w:color w:val="auto"/>
                <w:sz w:val="21"/>
                <w:szCs w:val="21"/>
                <w:highlight w:val="none"/>
              </w:rPr>
            </w:pPr>
          </w:p>
        </w:tc>
      </w:tr>
      <w:tr w14:paraId="0E72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3194D91">
            <w:pPr>
              <w:pStyle w:val="46"/>
              <w:numPr>
                <w:ilvl w:val="0"/>
                <w:numId w:val="7"/>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9339E9C">
            <w:pPr>
              <w:pStyle w:val="46"/>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6588A5D6">
            <w:pPr>
              <w:pStyle w:val="46"/>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487ED51">
            <w:pPr>
              <w:pStyle w:val="46"/>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BED723B">
            <w:pPr>
              <w:pStyle w:val="46"/>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9FD1D1D">
            <w:pPr>
              <w:pStyle w:val="46"/>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7077735">
            <w:pPr>
              <w:pStyle w:val="46"/>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509E830">
            <w:pPr>
              <w:pStyle w:val="46"/>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23F870C5">
            <w:pPr>
              <w:pStyle w:val="46"/>
              <w:jc w:val="center"/>
              <w:rPr>
                <w:color w:val="auto"/>
                <w:sz w:val="21"/>
                <w:szCs w:val="21"/>
                <w:highlight w:val="none"/>
              </w:rPr>
            </w:pPr>
          </w:p>
        </w:tc>
      </w:tr>
      <w:tr w14:paraId="34C0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D699565">
            <w:pPr>
              <w:pStyle w:val="46"/>
              <w:numPr>
                <w:ilvl w:val="0"/>
                <w:numId w:val="7"/>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597DB33">
            <w:pPr>
              <w:pStyle w:val="46"/>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05F43678">
            <w:pPr>
              <w:pStyle w:val="46"/>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6995ABF">
            <w:pPr>
              <w:pStyle w:val="46"/>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FADCDC4">
            <w:pPr>
              <w:pStyle w:val="46"/>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076DB47F">
            <w:pPr>
              <w:pStyle w:val="46"/>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1B52845">
            <w:pPr>
              <w:pStyle w:val="46"/>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5544B80">
            <w:pPr>
              <w:pStyle w:val="46"/>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71E6D10A">
            <w:pPr>
              <w:pStyle w:val="46"/>
              <w:jc w:val="center"/>
              <w:rPr>
                <w:color w:val="auto"/>
                <w:sz w:val="21"/>
                <w:szCs w:val="21"/>
                <w:highlight w:val="none"/>
              </w:rPr>
            </w:pPr>
          </w:p>
        </w:tc>
      </w:tr>
    </w:tbl>
    <w:p w14:paraId="69FC8255">
      <w:pPr>
        <w:spacing w:line="300" w:lineRule="auto"/>
        <w:rPr>
          <w:rFonts w:ascii="Arial" w:hAnsi="Arial" w:cs="Arial"/>
          <w:color w:val="auto"/>
          <w:szCs w:val="21"/>
          <w:highlight w:val="none"/>
        </w:rPr>
      </w:pPr>
    </w:p>
    <w:p w14:paraId="690A0756">
      <w:pPr>
        <w:spacing w:line="300" w:lineRule="auto"/>
        <w:rPr>
          <w:rFonts w:hint="eastAsia" w:ascii="宋体" w:hAnsi="宋体" w:eastAsia="宋体" w:cs="宋体"/>
          <w:color w:val="auto"/>
          <w:szCs w:val="21"/>
          <w:highlight w:val="none"/>
        </w:rPr>
      </w:pPr>
      <w:r>
        <w:rPr>
          <w:rFonts w:hint="eastAsia" w:cs="宋体"/>
          <w:color w:val="auto"/>
          <w:szCs w:val="21"/>
          <w:highlight w:val="none"/>
          <w:lang w:eastAsia="zh-CN"/>
        </w:rPr>
        <w:t>2.</w:t>
      </w:r>
      <w:r>
        <w:rPr>
          <w:rFonts w:hint="eastAsia" w:ascii="宋体" w:hAnsi="宋体" w:eastAsia="宋体" w:cs="宋体"/>
          <w:color w:val="auto"/>
          <w:szCs w:val="21"/>
          <w:highlight w:val="none"/>
        </w:rPr>
        <w:t>环保产品</w:t>
      </w:r>
    </w:p>
    <w:tbl>
      <w:tblPr>
        <w:tblStyle w:val="28"/>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2A8D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7E4A95E">
            <w:pPr>
              <w:pStyle w:val="46"/>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AA91FB1">
            <w:pPr>
              <w:pStyle w:val="46"/>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67EAA52F">
            <w:pPr>
              <w:pStyle w:val="46"/>
              <w:jc w:val="center"/>
              <w:rPr>
                <w:color w:val="auto"/>
                <w:sz w:val="21"/>
                <w:szCs w:val="21"/>
                <w:highlight w:val="none"/>
              </w:rPr>
            </w:pPr>
            <w:r>
              <w:rPr>
                <w:rFonts w:hint="eastAsia"/>
                <w:color w:val="auto"/>
                <w:sz w:val="21"/>
                <w:szCs w:val="21"/>
                <w:highlight w:val="none"/>
              </w:rPr>
              <w:t>制造商</w:t>
            </w:r>
          </w:p>
          <w:p w14:paraId="5B3863C9">
            <w:pPr>
              <w:pStyle w:val="46"/>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2D914167">
            <w:pPr>
              <w:pStyle w:val="46"/>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17525B5A">
            <w:pPr>
              <w:pStyle w:val="46"/>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14090041">
            <w:pPr>
              <w:pStyle w:val="46"/>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2B9678EA">
            <w:pPr>
              <w:pStyle w:val="46"/>
              <w:jc w:val="center"/>
              <w:rPr>
                <w:color w:val="auto"/>
                <w:sz w:val="21"/>
                <w:szCs w:val="21"/>
                <w:highlight w:val="none"/>
              </w:rPr>
            </w:pPr>
            <w:r>
              <w:rPr>
                <w:rFonts w:hint="eastAsia"/>
                <w:color w:val="auto"/>
                <w:sz w:val="21"/>
                <w:szCs w:val="21"/>
                <w:highlight w:val="none"/>
              </w:rPr>
              <w:t>单价</w:t>
            </w:r>
          </w:p>
          <w:p w14:paraId="6E63CBD3">
            <w:pPr>
              <w:pStyle w:val="46"/>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26EF66A1">
            <w:pPr>
              <w:pStyle w:val="46"/>
              <w:jc w:val="center"/>
              <w:rPr>
                <w:color w:val="auto"/>
                <w:sz w:val="21"/>
                <w:szCs w:val="21"/>
                <w:highlight w:val="none"/>
              </w:rPr>
            </w:pPr>
            <w:r>
              <w:rPr>
                <w:rFonts w:hint="eastAsia"/>
                <w:color w:val="auto"/>
                <w:sz w:val="21"/>
                <w:szCs w:val="21"/>
                <w:highlight w:val="none"/>
              </w:rPr>
              <w:t>总价</w:t>
            </w:r>
          </w:p>
          <w:p w14:paraId="1881B9EC">
            <w:pPr>
              <w:pStyle w:val="46"/>
              <w:jc w:val="center"/>
              <w:rPr>
                <w:color w:val="auto"/>
                <w:sz w:val="21"/>
                <w:szCs w:val="21"/>
                <w:highlight w:val="none"/>
              </w:rPr>
            </w:pPr>
            <w:r>
              <w:rPr>
                <w:rFonts w:hint="eastAsia"/>
                <w:color w:val="auto"/>
                <w:sz w:val="21"/>
                <w:szCs w:val="21"/>
                <w:highlight w:val="none"/>
              </w:rPr>
              <w:t>（万元）</w:t>
            </w:r>
          </w:p>
        </w:tc>
      </w:tr>
      <w:tr w14:paraId="5F47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8E36FE7">
            <w:pPr>
              <w:pStyle w:val="46"/>
              <w:numPr>
                <w:ilvl w:val="0"/>
                <w:numId w:val="8"/>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A20E62A">
            <w:pPr>
              <w:pStyle w:val="46"/>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22CDEC64">
            <w:pPr>
              <w:pStyle w:val="46"/>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38AE6B2">
            <w:pPr>
              <w:pStyle w:val="46"/>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0C76BF9">
            <w:pPr>
              <w:pStyle w:val="46"/>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4B09EBD6">
            <w:pPr>
              <w:pStyle w:val="46"/>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251BCE0">
            <w:pPr>
              <w:pStyle w:val="46"/>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05694893">
            <w:pPr>
              <w:pStyle w:val="46"/>
              <w:jc w:val="center"/>
              <w:rPr>
                <w:color w:val="auto"/>
                <w:sz w:val="21"/>
                <w:szCs w:val="21"/>
                <w:highlight w:val="none"/>
              </w:rPr>
            </w:pPr>
          </w:p>
        </w:tc>
      </w:tr>
      <w:tr w14:paraId="6A99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8EBBE11">
            <w:pPr>
              <w:pStyle w:val="46"/>
              <w:numPr>
                <w:ilvl w:val="0"/>
                <w:numId w:val="8"/>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A771DE4">
            <w:pPr>
              <w:pStyle w:val="46"/>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0F663DA6">
            <w:pPr>
              <w:pStyle w:val="46"/>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FCE4627">
            <w:pPr>
              <w:pStyle w:val="46"/>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E80F2A5">
            <w:pPr>
              <w:pStyle w:val="46"/>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493FC86">
            <w:pPr>
              <w:pStyle w:val="46"/>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C2160F0">
            <w:pPr>
              <w:pStyle w:val="46"/>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7238DDC0">
            <w:pPr>
              <w:pStyle w:val="46"/>
              <w:jc w:val="center"/>
              <w:rPr>
                <w:color w:val="auto"/>
                <w:sz w:val="21"/>
                <w:szCs w:val="21"/>
                <w:highlight w:val="none"/>
              </w:rPr>
            </w:pPr>
          </w:p>
        </w:tc>
      </w:tr>
      <w:tr w14:paraId="24B6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C90CD05">
            <w:pPr>
              <w:pStyle w:val="46"/>
              <w:numPr>
                <w:ilvl w:val="0"/>
                <w:numId w:val="8"/>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28A1074">
            <w:pPr>
              <w:pStyle w:val="46"/>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47CBFD42">
            <w:pPr>
              <w:pStyle w:val="46"/>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2A3673E">
            <w:pPr>
              <w:pStyle w:val="46"/>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3112494">
            <w:pPr>
              <w:pStyle w:val="46"/>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FF974A1">
            <w:pPr>
              <w:pStyle w:val="46"/>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7425C45">
            <w:pPr>
              <w:pStyle w:val="46"/>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1F5DC44">
            <w:pPr>
              <w:pStyle w:val="46"/>
              <w:jc w:val="center"/>
              <w:rPr>
                <w:color w:val="auto"/>
                <w:sz w:val="21"/>
                <w:szCs w:val="21"/>
                <w:highlight w:val="none"/>
              </w:rPr>
            </w:pPr>
          </w:p>
        </w:tc>
      </w:tr>
    </w:tbl>
    <w:p w14:paraId="7D386FE8">
      <w:pPr>
        <w:spacing w:line="300" w:lineRule="auto"/>
        <w:rPr>
          <w:rFonts w:ascii="Arial" w:hAnsi="Arial" w:cs="Arial"/>
          <w:color w:val="auto"/>
          <w:szCs w:val="21"/>
          <w:highlight w:val="none"/>
        </w:rPr>
      </w:pPr>
    </w:p>
    <w:p w14:paraId="75FF9B03">
      <w:pPr>
        <w:rPr>
          <w:rFonts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w:t>
      </w:r>
      <w:r>
        <w:rPr>
          <w:rFonts w:hint="eastAsia" w:ascii="Arial" w:hAnsi="Arial" w:cs="Arial"/>
          <w:b/>
          <w:color w:val="auto"/>
          <w:sz w:val="21"/>
          <w:szCs w:val="21"/>
          <w:highlight w:val="none"/>
          <w:lang w:eastAsia="zh-CN"/>
        </w:rPr>
        <w:t>采购文件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投标人须知”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hint="eastAsia" w:ascii="Arial" w:hAnsi="Arial" w:cs="Arial"/>
          <w:b/>
          <w:color w:val="auto"/>
          <w:sz w:val="21"/>
          <w:szCs w:val="21"/>
          <w:highlight w:val="none"/>
          <w:lang w:val="en-US" w:eastAsia="zh-CN"/>
        </w:rPr>
        <w:t>评审优惠</w:t>
      </w:r>
      <w:r>
        <w:rPr>
          <w:rFonts w:hint="eastAsia" w:ascii="Arial" w:hAnsi="Arial" w:cs="Arial"/>
          <w:b/>
          <w:color w:val="auto"/>
          <w:sz w:val="21"/>
          <w:szCs w:val="21"/>
          <w:highlight w:val="none"/>
        </w:rPr>
        <w:t>。</w:t>
      </w:r>
    </w:p>
    <w:p w14:paraId="59AB322B">
      <w:pPr>
        <w:spacing w:line="300" w:lineRule="auto"/>
        <w:rPr>
          <w:rFonts w:ascii="Arial" w:hAnsi="Arial" w:cs="Arial"/>
          <w:color w:val="auto"/>
          <w:szCs w:val="21"/>
          <w:highlight w:val="none"/>
        </w:rPr>
      </w:pPr>
    </w:p>
    <w:p w14:paraId="402F965E">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14027570">
      <w:pPr>
        <w:rPr>
          <w:rFonts w:ascii="Arial" w:hAnsi="Arial" w:cs="Arial"/>
          <w:color w:val="auto"/>
          <w:szCs w:val="21"/>
          <w:highlight w:val="none"/>
        </w:rPr>
      </w:pPr>
      <w:r>
        <w:rPr>
          <w:rFonts w:ascii="Arial" w:hAnsi="Arial" w:cs="Arial"/>
          <w:color w:val="auto"/>
          <w:szCs w:val="21"/>
          <w:highlight w:val="none"/>
        </w:rPr>
        <w:t>日期：</w:t>
      </w:r>
    </w:p>
    <w:p w14:paraId="54736AC1">
      <w:pPr>
        <w:rPr>
          <w:rFonts w:ascii="Arial" w:hAnsi="Arial" w:cs="Arial"/>
          <w:color w:val="auto"/>
          <w:szCs w:val="21"/>
          <w:highlight w:val="none"/>
        </w:rPr>
      </w:pPr>
      <w:r>
        <w:rPr>
          <w:rFonts w:ascii="Arial" w:hAnsi="Arial" w:cs="Arial"/>
          <w:color w:val="auto"/>
          <w:szCs w:val="21"/>
          <w:highlight w:val="none"/>
        </w:rPr>
        <w:br w:type="page"/>
      </w:r>
    </w:p>
    <w:p w14:paraId="4B9EE2D8">
      <w:pPr>
        <w:outlineLvl w:val="3"/>
        <w:rPr>
          <w:rFonts w:hint="eastAsia" w:ascii="宋体" w:hAnsi="宋体" w:eastAsia="宋体" w:cs="宋体"/>
          <w:b/>
          <w:bCs w:val="0"/>
          <w:color w:val="auto"/>
          <w:sz w:val="24"/>
          <w:lang w:val="en-US" w:eastAsia="zh-CN"/>
        </w:rPr>
      </w:pPr>
      <w:bookmarkStart w:id="543" w:name="_Toc7668"/>
      <w:bookmarkStart w:id="544" w:name="_Toc163492942"/>
      <w:r>
        <w:rPr>
          <w:rFonts w:hint="eastAsia" w:ascii="宋体" w:hAnsi="宋体" w:eastAsia="宋体" w:cs="宋体"/>
          <w:b/>
          <w:bCs w:val="0"/>
          <w:color w:val="auto"/>
          <w:sz w:val="24"/>
          <w:lang w:val="en-US" w:eastAsia="zh-CN"/>
        </w:rPr>
        <w:t>附件七：不参与围标串标承诺书</w:t>
      </w:r>
      <w:bookmarkEnd w:id="543"/>
    </w:p>
    <w:p w14:paraId="70D7F20B">
      <w:pPr>
        <w:rPr>
          <w:rFonts w:hint="eastAsia"/>
          <w:lang w:val="en-US" w:eastAsia="zh-CN"/>
        </w:rPr>
      </w:pPr>
    </w:p>
    <w:p w14:paraId="75FF23AC">
      <w:pPr>
        <w:jc w:val="center"/>
        <w:rPr>
          <w:rFonts w:hint="eastAsia"/>
          <w:color w:val="auto"/>
          <w:highlight w:val="none"/>
          <w:lang w:val="en-US" w:eastAsia="zh-CN"/>
        </w:rPr>
      </w:pPr>
      <w:r>
        <w:rPr>
          <w:rFonts w:hint="eastAsia" w:cstheme="majorBidi"/>
          <w:b/>
          <w:bCs/>
          <w:color w:val="auto"/>
          <w:kern w:val="2"/>
          <w:sz w:val="24"/>
          <w:szCs w:val="24"/>
          <w:highlight w:val="none"/>
          <w:lang w:val="en-US" w:eastAsia="zh-CN" w:bidi="ar-SA"/>
        </w:rPr>
        <w:t>不参与围标串标承诺书</w:t>
      </w:r>
    </w:p>
    <w:p w14:paraId="6B233C07">
      <w:pPr>
        <w:rPr>
          <w:rFonts w:hint="eastAsia"/>
          <w:color w:val="auto"/>
          <w:highlight w:val="none"/>
          <w:lang w:val="en-US" w:eastAsia="zh-CN"/>
        </w:rPr>
      </w:pPr>
      <w:r>
        <w:rPr>
          <w:rFonts w:hint="eastAsia"/>
          <w:color w:val="auto"/>
          <w:highlight w:val="none"/>
          <w:lang w:val="en-US" w:eastAsia="zh-CN"/>
        </w:rPr>
        <w:t>  </w:t>
      </w:r>
    </w:p>
    <w:p w14:paraId="38A086C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本人作为经授权的投标人代表,清楚知晓我单位本项目投标活动,对以下事项作出承诺：</w:t>
      </w:r>
    </w:p>
    <w:p w14:paraId="1D06685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一、我单位和我本人遵循公开透明、公平竞争、公正和诚实信用的原则,依法依规参与本项目竞标。</w:t>
      </w:r>
    </w:p>
    <w:p w14:paraId="518397A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二、我单位和我本人在本项目政府采购投标活动中,未参与围标串标。</w:t>
      </w:r>
    </w:p>
    <w:p w14:paraId="29E38C5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0396F07E">
      <w:pPr>
        <w:pStyle w:val="11"/>
        <w:rPr>
          <w:rFonts w:hint="eastAsia"/>
          <w:color w:val="auto"/>
          <w:highlight w:val="none"/>
          <w:lang w:val="en-US" w:eastAsia="zh-CN"/>
        </w:rPr>
      </w:pPr>
    </w:p>
    <w:p w14:paraId="52098A54">
      <w:pPr>
        <w:spacing w:line="560" w:lineRule="exact"/>
        <w:rPr>
          <w:rFonts w:hint="eastAsia" w:ascii="宋体" w:hAnsi="宋体" w:eastAsia="宋体" w:cs="宋体"/>
          <w:color w:val="auto"/>
          <w:kern w:val="0"/>
          <w:sz w:val="24"/>
          <w:szCs w:val="24"/>
          <w:highlight w:val="none"/>
        </w:rPr>
      </w:pPr>
    </w:p>
    <w:p w14:paraId="16022C15">
      <w:pPr>
        <w:spacing w:line="560" w:lineRule="exact"/>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rPr>
        <w:t>：</w:t>
      </w:r>
    </w:p>
    <w:p w14:paraId="3BD553DD">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08089E8D">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6F92DC45">
      <w:pPr>
        <w:widowControl/>
        <w:spacing w:line="560" w:lineRule="exact"/>
        <w:ind w:firstLine="630"/>
        <w:jc w:val="left"/>
        <w:rPr>
          <w:rFonts w:hint="eastAsia" w:ascii="宋体" w:hAnsi="宋体" w:eastAsia="宋体" w:cs="宋体"/>
          <w:color w:val="auto"/>
          <w:kern w:val="0"/>
          <w:sz w:val="24"/>
          <w:szCs w:val="24"/>
          <w:highlight w:val="none"/>
        </w:rPr>
      </w:pPr>
    </w:p>
    <w:p w14:paraId="24EF2849">
      <w:pPr>
        <w:pStyle w:val="11"/>
        <w:rPr>
          <w:rFonts w:hint="eastAsia"/>
          <w:color w:val="auto"/>
          <w:highlight w:val="none"/>
          <w:lang w:val="en-US" w:eastAsia="zh-CN"/>
        </w:rPr>
      </w:pPr>
    </w:p>
    <w:p w14:paraId="1763BC68">
      <w:pPr>
        <w:pStyle w:val="11"/>
        <w:rPr>
          <w:rFonts w:hint="eastAsia"/>
          <w:color w:val="auto"/>
          <w:highlight w:val="none"/>
          <w:lang w:val="en-US" w:eastAsia="zh-CN"/>
        </w:rPr>
      </w:pPr>
    </w:p>
    <w:p w14:paraId="35597C64">
      <w:pPr>
        <w:pStyle w:val="11"/>
        <w:rPr>
          <w:rFonts w:hint="eastAsia"/>
          <w:color w:val="auto"/>
          <w:highlight w:val="none"/>
          <w:lang w:val="en-US" w:eastAsia="zh-CN"/>
        </w:rPr>
      </w:pPr>
    </w:p>
    <w:p w14:paraId="611E8BF4">
      <w:pPr>
        <w:pStyle w:val="11"/>
        <w:rPr>
          <w:rFonts w:hint="eastAsia"/>
          <w:color w:val="auto"/>
          <w:highlight w:val="none"/>
          <w:lang w:val="en-US" w:eastAsia="zh-CN"/>
        </w:rPr>
      </w:pPr>
    </w:p>
    <w:p w14:paraId="6D5CA062">
      <w:pPr>
        <w:pStyle w:val="11"/>
        <w:rPr>
          <w:rFonts w:hint="eastAsia"/>
          <w:color w:val="auto"/>
          <w:highlight w:val="none"/>
          <w:lang w:val="en-US" w:eastAsia="zh-CN"/>
        </w:rPr>
      </w:pPr>
    </w:p>
    <w:p w14:paraId="5AED9DF3">
      <w:pPr>
        <w:pStyle w:val="11"/>
        <w:rPr>
          <w:rFonts w:hint="eastAsia"/>
          <w:color w:val="auto"/>
          <w:highlight w:val="none"/>
          <w:lang w:val="en-US" w:eastAsia="zh-CN"/>
        </w:rPr>
      </w:pPr>
    </w:p>
    <w:p w14:paraId="4902D95F">
      <w:pPr>
        <w:rPr>
          <w:rFonts w:hint="eastAsia"/>
          <w:lang w:val="en-US" w:eastAsia="zh-CN"/>
        </w:rPr>
      </w:pPr>
    </w:p>
    <w:p w14:paraId="2737DB76">
      <w:pPr>
        <w:pStyle w:val="11"/>
        <w:rPr>
          <w:rFonts w:hint="eastAsia"/>
          <w:lang w:val="en-US" w:eastAsia="zh-CN"/>
        </w:rPr>
      </w:pPr>
    </w:p>
    <w:p w14:paraId="65D97F39">
      <w:pPr>
        <w:rPr>
          <w:rFonts w:hint="eastAsia"/>
          <w:lang w:val="en-US" w:eastAsia="zh-CN"/>
        </w:rPr>
      </w:pPr>
    </w:p>
    <w:p w14:paraId="42E9EE37">
      <w:pPr>
        <w:rPr>
          <w:rFonts w:hint="eastAsia"/>
          <w:lang w:val="en-US" w:eastAsia="zh-CN"/>
        </w:rPr>
      </w:pPr>
    </w:p>
    <w:p w14:paraId="798CC3BC">
      <w:pPr>
        <w:pStyle w:val="11"/>
        <w:rPr>
          <w:rFonts w:hint="eastAsia"/>
          <w:lang w:val="en-US" w:eastAsia="zh-CN"/>
        </w:rPr>
      </w:pPr>
    </w:p>
    <w:p w14:paraId="6AECAC62">
      <w:pPr>
        <w:outlineLvl w:val="3"/>
        <w:rPr>
          <w:rFonts w:hint="eastAsia" w:ascii="宋体" w:hAnsi="宋体" w:eastAsia="宋体" w:cs="宋体"/>
          <w:b/>
          <w:bCs w:val="0"/>
          <w:color w:val="auto"/>
          <w:sz w:val="24"/>
          <w:lang w:val="en-US" w:eastAsia="zh-CN"/>
        </w:rPr>
      </w:pPr>
      <w:r>
        <w:rPr>
          <w:rFonts w:hint="eastAsia" w:cs="宋体"/>
          <w:b/>
          <w:bCs w:val="0"/>
          <w:color w:val="auto"/>
          <w:sz w:val="24"/>
          <w:lang w:val="en-US" w:eastAsia="zh-CN"/>
        </w:rPr>
        <w:t>附件八：</w:t>
      </w:r>
      <w:r>
        <w:rPr>
          <w:rFonts w:hint="eastAsia" w:ascii="宋体" w:hAnsi="宋体" w:eastAsia="宋体" w:cs="宋体"/>
          <w:b/>
          <w:bCs w:val="0"/>
          <w:color w:val="auto"/>
          <w:sz w:val="24"/>
          <w:lang w:val="en-US" w:eastAsia="zh-CN"/>
        </w:rPr>
        <w:t>投标文件中资料真实性的承诺</w:t>
      </w:r>
    </w:p>
    <w:p w14:paraId="1652C5D2">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default"/>
          <w:color w:val="auto"/>
          <w:highlight w:val="none"/>
          <w:lang w:val="en-US" w:eastAsia="zh-CN"/>
        </w:rPr>
      </w:pPr>
      <w:r>
        <w:rPr>
          <w:rFonts w:hint="eastAsia"/>
          <w:color w:val="auto"/>
          <w:highlight w:val="none"/>
          <w:lang w:val="en-US" w:eastAsia="zh-CN"/>
        </w:rPr>
        <w:t>承诺书</w:t>
      </w:r>
    </w:p>
    <w:p w14:paraId="671DCBDE">
      <w:pPr>
        <w:keepNext w:val="0"/>
        <w:keepLines w:val="0"/>
        <w:pageBreakBefore w:val="0"/>
        <w:widowControl w:val="0"/>
        <w:kinsoku/>
        <w:wordWrap/>
        <w:overflowPunct/>
        <w:topLinePunct w:val="0"/>
        <w:autoSpaceDE/>
        <w:autoSpaceDN/>
        <w:bidi w:val="0"/>
        <w:adjustRightInd/>
        <w:snapToGrid/>
        <w:textAlignment w:val="auto"/>
        <w:rPr>
          <w:rFonts w:hint="eastAsia"/>
          <w:color w:val="auto"/>
          <w:highlight w:val="none"/>
          <w:lang w:val="en-US" w:eastAsia="zh-CN"/>
        </w:rPr>
      </w:pPr>
      <w:r>
        <w:rPr>
          <w:rFonts w:hint="eastAsia"/>
          <w:color w:val="auto"/>
          <w:highlight w:val="none"/>
          <w:lang w:val="en-US" w:eastAsia="zh-CN"/>
        </w:rPr>
        <w:t>致:采购人</w:t>
      </w:r>
    </w:p>
    <w:p w14:paraId="1849734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根据《中华人民共和国政府采购法》、《中华人民共和国政府采购法实施条例》等有关法律、法规的规定和</w:t>
      </w:r>
      <w:r>
        <w:rPr>
          <w:rFonts w:hint="eastAsia"/>
          <w:color w:val="auto"/>
          <w:highlight w:val="none"/>
          <w:u w:val="single"/>
          <w:lang w:val="en-US" w:eastAsia="zh-CN"/>
        </w:rPr>
        <w:t>(项目名称)</w:t>
      </w:r>
      <w:r>
        <w:rPr>
          <w:rFonts w:hint="eastAsia"/>
          <w:color w:val="auto"/>
          <w:highlight w:val="none"/>
          <w:lang w:val="en-US" w:eastAsia="zh-CN"/>
        </w:rPr>
        <w:t>的采购文件的要求，我公司在</w:t>
      </w:r>
      <w:r>
        <w:rPr>
          <w:rFonts w:hint="eastAsia"/>
          <w:color w:val="auto"/>
          <w:highlight w:val="none"/>
          <w:u w:val="single"/>
          <w:lang w:val="en-US" w:eastAsia="zh-CN"/>
        </w:rPr>
        <w:t>(项目名称)</w:t>
      </w:r>
      <w:r>
        <w:rPr>
          <w:rFonts w:hint="eastAsia"/>
          <w:color w:val="auto"/>
          <w:highlight w:val="none"/>
          <w:lang w:val="en-US" w:eastAsia="zh-CN"/>
        </w:rPr>
        <w:t>投标文件中所提供资料真实性作如下承诺：</w:t>
      </w:r>
    </w:p>
    <w:p w14:paraId="71C2C12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我公司将严格按采购文件要求，在编制本投标文件时，对投标文件中所提供的资料全部真实和正确，并对提供的所有资料(资格、业绩、其他材料等)的真实性负责!</w:t>
      </w:r>
    </w:p>
    <w:p w14:paraId="3A89F0B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对提供的全部资料中有存在不真实(伪造或租借等虚假资料)情形，将无条件接受任何处罚，自行承担由此引起的一切责任!</w:t>
      </w:r>
    </w:p>
    <w:p w14:paraId="515FE1E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特此承诺。</w:t>
      </w:r>
    </w:p>
    <w:p w14:paraId="224BFE14">
      <w:pPr>
        <w:pStyle w:val="11"/>
        <w:rPr>
          <w:rFonts w:hint="eastAsia"/>
          <w:color w:val="auto"/>
          <w:highlight w:val="none"/>
          <w:lang w:val="en-US" w:eastAsia="zh-CN"/>
        </w:rPr>
      </w:pPr>
    </w:p>
    <w:p w14:paraId="61736966">
      <w:pPr>
        <w:rPr>
          <w:rFonts w:hint="eastAsia"/>
          <w:lang w:val="en-US" w:eastAsia="zh-CN"/>
        </w:rPr>
      </w:pPr>
    </w:p>
    <w:p w14:paraId="6E038CF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投标单位名称:(公章)</w:t>
      </w:r>
    </w:p>
    <w:p w14:paraId="65BE094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法定代表人:(签字或盖章)</w:t>
      </w:r>
    </w:p>
    <w:p w14:paraId="621CF72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有效的联系方式:</w:t>
      </w:r>
    </w:p>
    <w:p w14:paraId="1E26A75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auto"/>
          <w:highlight w:val="none"/>
          <w:lang w:val="en-US" w:eastAsia="zh-CN"/>
        </w:rPr>
      </w:pPr>
      <w:r>
        <w:rPr>
          <w:rFonts w:hint="eastAsia"/>
          <w:color w:val="auto"/>
          <w:highlight w:val="none"/>
          <w:lang w:val="en-US" w:eastAsia="zh-CN"/>
        </w:rPr>
        <w:t>年  月  日</w:t>
      </w:r>
    </w:p>
    <w:p w14:paraId="6E030DD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说明:投标人提供此承诺的，内容应填写完整，否则其投标将被拒绝。</w:t>
      </w:r>
    </w:p>
    <w:p w14:paraId="4C540FE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p>
    <w:p w14:paraId="253EF0B6">
      <w:pPr>
        <w:pStyle w:val="11"/>
        <w:rPr>
          <w:rFonts w:hint="eastAsia"/>
          <w:lang w:val="en-US" w:eastAsia="zh-CN"/>
        </w:rPr>
      </w:pPr>
    </w:p>
    <w:p w14:paraId="116DEEC8">
      <w:pPr>
        <w:rPr>
          <w:rFonts w:hint="eastAsia"/>
          <w:lang w:val="en-US" w:eastAsia="zh-CN"/>
        </w:rPr>
      </w:pPr>
    </w:p>
    <w:p w14:paraId="29967E50">
      <w:pPr>
        <w:pStyle w:val="11"/>
        <w:rPr>
          <w:rFonts w:hint="eastAsia"/>
          <w:lang w:val="en-US" w:eastAsia="zh-CN"/>
        </w:rPr>
      </w:pPr>
    </w:p>
    <w:p w14:paraId="404B6685">
      <w:pPr>
        <w:rPr>
          <w:rFonts w:hint="eastAsia"/>
          <w:lang w:val="en-US" w:eastAsia="zh-CN"/>
        </w:rPr>
      </w:pPr>
    </w:p>
    <w:p w14:paraId="0AF5C5E0">
      <w:pPr>
        <w:pStyle w:val="11"/>
        <w:rPr>
          <w:rFonts w:hint="eastAsia"/>
          <w:lang w:val="en-US" w:eastAsia="zh-CN"/>
        </w:rPr>
      </w:pPr>
    </w:p>
    <w:p w14:paraId="59040CCB">
      <w:pPr>
        <w:rPr>
          <w:rFonts w:hint="eastAsia"/>
          <w:lang w:val="en-US" w:eastAsia="zh-CN"/>
        </w:rPr>
      </w:pPr>
    </w:p>
    <w:p w14:paraId="19262C18">
      <w:pPr>
        <w:pStyle w:val="11"/>
        <w:rPr>
          <w:rFonts w:hint="eastAsia"/>
          <w:lang w:val="en-US" w:eastAsia="zh-CN"/>
        </w:rPr>
      </w:pPr>
    </w:p>
    <w:p w14:paraId="4C02894D">
      <w:pPr>
        <w:rPr>
          <w:rFonts w:hint="eastAsia"/>
          <w:lang w:val="en-US" w:eastAsia="zh-CN"/>
        </w:rPr>
      </w:pPr>
    </w:p>
    <w:p w14:paraId="2503788B">
      <w:pPr>
        <w:pStyle w:val="11"/>
        <w:rPr>
          <w:rFonts w:hint="eastAsia"/>
          <w:lang w:val="en-US" w:eastAsia="zh-CN"/>
        </w:rPr>
      </w:pPr>
    </w:p>
    <w:bookmarkEnd w:id="544"/>
    <w:p w14:paraId="30C8D33E">
      <w:pPr>
        <w:pStyle w:val="5"/>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outlineLvl w:val="3"/>
        <w:rPr>
          <w:rFonts w:hint="eastAsia" w:eastAsia="宋体" w:asciiTheme="majorHAnsi" w:hAnsiTheme="majorHAnsi" w:cstheme="majorBidi"/>
          <w:b/>
          <w:bCs/>
          <w:color w:val="auto"/>
          <w:kern w:val="2"/>
          <w:sz w:val="24"/>
          <w:szCs w:val="24"/>
          <w:highlight w:val="none"/>
          <w:lang w:val="zh-CN" w:eastAsia="zh-CN" w:bidi="ar-SA"/>
        </w:rPr>
      </w:pPr>
      <w:bookmarkStart w:id="545" w:name="_Toc7005"/>
      <w:r>
        <w:rPr>
          <w:rFonts w:hint="eastAsia" w:cstheme="majorBidi"/>
          <w:b/>
          <w:bCs/>
          <w:color w:val="auto"/>
          <w:kern w:val="2"/>
          <w:sz w:val="24"/>
          <w:szCs w:val="24"/>
          <w:highlight w:val="none"/>
          <w:lang w:val="en-US" w:eastAsia="zh-CN" w:bidi="ar-SA"/>
        </w:rPr>
        <w:t>附件八：</w:t>
      </w:r>
      <w:r>
        <w:rPr>
          <w:rFonts w:hint="eastAsia" w:eastAsia="宋体" w:asciiTheme="majorHAnsi" w:hAnsiTheme="majorHAnsi" w:cstheme="majorBidi"/>
          <w:b/>
          <w:bCs/>
          <w:color w:val="auto"/>
          <w:kern w:val="2"/>
          <w:sz w:val="24"/>
          <w:szCs w:val="24"/>
          <w:highlight w:val="none"/>
          <w:lang w:val="zh-CN" w:eastAsia="zh-CN" w:bidi="ar-SA"/>
        </w:rPr>
        <w:t>其他资格证明文件</w:t>
      </w:r>
      <w:bookmarkEnd w:id="545"/>
    </w:p>
    <w:p w14:paraId="4870FCE5">
      <w:pPr>
        <w:pStyle w:val="35"/>
        <w:rPr>
          <w:rFonts w:hint="eastAsia"/>
          <w:color w:val="auto"/>
          <w:highlight w:val="none"/>
        </w:rPr>
      </w:pPr>
      <w:r>
        <w:rPr>
          <w:rFonts w:hint="eastAsia" w:cs="Courier New"/>
          <w:color w:val="auto"/>
          <w:szCs w:val="24"/>
          <w:highlight w:val="none"/>
        </w:rPr>
        <w:t>投标人认为需提供的其它相关资格证明材料</w:t>
      </w:r>
    </w:p>
    <w:p w14:paraId="562941BA">
      <w:pPr>
        <w:pStyle w:val="35"/>
        <w:rPr>
          <w:rFonts w:hint="eastAsia"/>
          <w:color w:val="auto"/>
          <w:highlight w:val="none"/>
        </w:rPr>
      </w:pPr>
    </w:p>
    <w:p w14:paraId="78B39DF0">
      <w:pPr>
        <w:pStyle w:val="35"/>
        <w:rPr>
          <w:rFonts w:hint="eastAsia"/>
          <w:color w:val="auto"/>
          <w:highlight w:val="none"/>
        </w:rPr>
      </w:pPr>
    </w:p>
    <w:p w14:paraId="2E2432E1">
      <w:pPr>
        <w:pStyle w:val="35"/>
        <w:rPr>
          <w:rFonts w:hint="eastAsia"/>
          <w:color w:val="auto"/>
          <w:highlight w:val="none"/>
        </w:rPr>
      </w:pPr>
    </w:p>
    <w:p w14:paraId="3241E5FD">
      <w:pPr>
        <w:pStyle w:val="35"/>
        <w:rPr>
          <w:rFonts w:hint="eastAsia"/>
          <w:color w:val="auto"/>
          <w:highlight w:val="none"/>
        </w:rPr>
      </w:pPr>
    </w:p>
    <w:p w14:paraId="562C7D27">
      <w:pPr>
        <w:pStyle w:val="35"/>
        <w:rPr>
          <w:rFonts w:hint="eastAsia"/>
          <w:color w:val="auto"/>
          <w:highlight w:val="none"/>
        </w:rPr>
      </w:pPr>
    </w:p>
    <w:p w14:paraId="0BD75A41">
      <w:pPr>
        <w:pStyle w:val="35"/>
        <w:rPr>
          <w:rFonts w:hint="eastAsia"/>
          <w:color w:val="auto"/>
          <w:highlight w:val="none"/>
        </w:rPr>
      </w:pPr>
    </w:p>
    <w:p w14:paraId="3062D18F">
      <w:pPr>
        <w:pStyle w:val="35"/>
        <w:rPr>
          <w:rFonts w:hint="eastAsia"/>
          <w:color w:val="auto"/>
          <w:highlight w:val="none"/>
        </w:rPr>
      </w:pPr>
    </w:p>
    <w:p w14:paraId="0CC00924">
      <w:pPr>
        <w:pStyle w:val="35"/>
        <w:rPr>
          <w:rFonts w:hint="eastAsia"/>
          <w:color w:val="auto"/>
          <w:highlight w:val="none"/>
        </w:rPr>
      </w:pPr>
    </w:p>
    <w:p w14:paraId="319AD040">
      <w:pPr>
        <w:pStyle w:val="35"/>
        <w:rPr>
          <w:rFonts w:hint="eastAsia"/>
          <w:color w:val="auto"/>
          <w:highlight w:val="none"/>
        </w:rPr>
      </w:pPr>
    </w:p>
    <w:p w14:paraId="1F6B3EE8">
      <w:pPr>
        <w:pStyle w:val="35"/>
        <w:rPr>
          <w:rFonts w:hint="eastAsia"/>
          <w:color w:val="auto"/>
          <w:highlight w:val="none"/>
        </w:rPr>
      </w:pPr>
    </w:p>
    <w:p w14:paraId="7E9485F3">
      <w:pPr>
        <w:pStyle w:val="35"/>
        <w:rPr>
          <w:rFonts w:hint="eastAsia"/>
          <w:color w:val="auto"/>
          <w:highlight w:val="none"/>
        </w:rPr>
      </w:pPr>
    </w:p>
    <w:p w14:paraId="5B87A9E9">
      <w:pPr>
        <w:pStyle w:val="35"/>
        <w:rPr>
          <w:rFonts w:hint="eastAsia"/>
          <w:color w:val="auto"/>
          <w:highlight w:val="none"/>
        </w:rPr>
      </w:pPr>
    </w:p>
    <w:p w14:paraId="4B9CB2C6">
      <w:pPr>
        <w:pStyle w:val="35"/>
        <w:rPr>
          <w:rFonts w:hint="eastAsia"/>
          <w:color w:val="auto"/>
          <w:highlight w:val="none"/>
        </w:rPr>
      </w:pPr>
    </w:p>
    <w:p w14:paraId="3B26FF28">
      <w:pPr>
        <w:pStyle w:val="35"/>
        <w:rPr>
          <w:rFonts w:hint="eastAsia"/>
          <w:color w:val="auto"/>
          <w:highlight w:val="none"/>
        </w:rPr>
      </w:pPr>
    </w:p>
    <w:p w14:paraId="66EEB4A9">
      <w:pPr>
        <w:pStyle w:val="35"/>
        <w:rPr>
          <w:rFonts w:hint="eastAsia"/>
          <w:color w:val="auto"/>
          <w:highlight w:val="none"/>
        </w:rPr>
      </w:pPr>
    </w:p>
    <w:p w14:paraId="516DCB64">
      <w:pPr>
        <w:pStyle w:val="35"/>
        <w:rPr>
          <w:rFonts w:hint="eastAsia"/>
          <w:color w:val="auto"/>
          <w:highlight w:val="none"/>
        </w:rPr>
      </w:pPr>
    </w:p>
    <w:p w14:paraId="4DC0129F">
      <w:pPr>
        <w:pStyle w:val="35"/>
        <w:rPr>
          <w:rFonts w:hint="eastAsia"/>
          <w:color w:val="auto"/>
          <w:highlight w:val="none"/>
        </w:rPr>
      </w:pPr>
    </w:p>
    <w:p w14:paraId="4B98E4B6">
      <w:pPr>
        <w:pStyle w:val="35"/>
        <w:rPr>
          <w:rFonts w:hint="eastAsia"/>
          <w:color w:val="auto"/>
          <w:highlight w:val="none"/>
        </w:rPr>
      </w:pPr>
    </w:p>
    <w:p w14:paraId="737FEDD3">
      <w:pPr>
        <w:pStyle w:val="35"/>
        <w:rPr>
          <w:rFonts w:hint="eastAsia"/>
          <w:color w:val="auto"/>
          <w:highlight w:val="none"/>
        </w:rPr>
      </w:pPr>
    </w:p>
    <w:p w14:paraId="1C876135">
      <w:pPr>
        <w:pStyle w:val="35"/>
        <w:rPr>
          <w:rFonts w:hint="eastAsia"/>
          <w:color w:val="auto"/>
          <w:highlight w:val="none"/>
        </w:rPr>
      </w:pPr>
    </w:p>
    <w:p w14:paraId="7E85C842">
      <w:pPr>
        <w:pStyle w:val="35"/>
        <w:rPr>
          <w:rFonts w:hint="eastAsia"/>
          <w:color w:val="auto"/>
          <w:highlight w:val="none"/>
        </w:rPr>
      </w:pPr>
    </w:p>
    <w:p w14:paraId="4CBE3B0D">
      <w:pPr>
        <w:pStyle w:val="35"/>
        <w:rPr>
          <w:rFonts w:hint="eastAsia"/>
          <w:color w:val="auto"/>
          <w:highlight w:val="none"/>
        </w:rPr>
      </w:pPr>
    </w:p>
    <w:p w14:paraId="2E6E451F">
      <w:pPr>
        <w:pStyle w:val="35"/>
        <w:rPr>
          <w:rFonts w:hint="eastAsia"/>
          <w:color w:val="auto"/>
          <w:highlight w:val="none"/>
        </w:rPr>
      </w:pPr>
    </w:p>
    <w:p w14:paraId="38DC2C55">
      <w:pPr>
        <w:pStyle w:val="35"/>
        <w:rPr>
          <w:rFonts w:hint="eastAsia"/>
          <w:color w:val="auto"/>
          <w:highlight w:val="none"/>
        </w:rPr>
      </w:pPr>
    </w:p>
    <w:p w14:paraId="04DAFD3C">
      <w:pPr>
        <w:pStyle w:val="35"/>
        <w:rPr>
          <w:rFonts w:hint="eastAsia"/>
          <w:color w:val="auto"/>
          <w:highlight w:val="none"/>
        </w:rPr>
      </w:pPr>
    </w:p>
    <w:p w14:paraId="51E24CDC">
      <w:pPr>
        <w:pStyle w:val="35"/>
        <w:rPr>
          <w:rFonts w:hint="eastAsia"/>
          <w:color w:val="auto"/>
          <w:highlight w:val="none"/>
        </w:rPr>
      </w:pPr>
    </w:p>
    <w:p w14:paraId="1AC1942E">
      <w:pPr>
        <w:pStyle w:val="35"/>
        <w:rPr>
          <w:rFonts w:hint="eastAsia"/>
          <w:color w:val="auto"/>
          <w:highlight w:val="none"/>
        </w:rPr>
      </w:pPr>
    </w:p>
    <w:p w14:paraId="383861DE">
      <w:pPr>
        <w:pStyle w:val="3"/>
        <w:bidi w:val="0"/>
        <w:jc w:val="center"/>
        <w:outlineLvl w:val="1"/>
        <w:rPr>
          <w:rFonts w:hint="eastAsia" w:ascii="宋体" w:hAnsi="宋体" w:eastAsia="宋体" w:cs="宋体"/>
          <w:color w:val="auto"/>
          <w:sz w:val="72"/>
          <w:szCs w:val="72"/>
          <w:highlight w:val="none"/>
          <w:lang w:val="en-US" w:eastAsia="zh-CN"/>
        </w:rPr>
      </w:pPr>
      <w:bookmarkStart w:id="546" w:name="_Toc1023"/>
      <w:r>
        <w:rPr>
          <w:rFonts w:hint="eastAsia" w:ascii="宋体" w:hAnsi="宋体" w:eastAsia="宋体" w:cs="宋体"/>
          <w:color w:val="auto"/>
          <w:sz w:val="72"/>
          <w:szCs w:val="72"/>
          <w:highlight w:val="none"/>
          <w:lang w:val="en-US" w:eastAsia="zh-CN"/>
        </w:rPr>
        <w:t>报价文件</w:t>
      </w:r>
      <w:bookmarkEnd w:id="546"/>
    </w:p>
    <w:p w14:paraId="213DD66C">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798A956E"/>
    <w:p w14:paraId="24B6A268">
      <w:pPr>
        <w:rPr>
          <w:color w:val="auto"/>
          <w:sz w:val="21"/>
          <w:szCs w:val="21"/>
          <w:highlight w:val="none"/>
        </w:rPr>
      </w:pPr>
    </w:p>
    <w:p w14:paraId="3DC104B3">
      <w:pPr>
        <w:rPr>
          <w:color w:val="auto"/>
          <w:highlight w:val="none"/>
        </w:rPr>
      </w:pPr>
    </w:p>
    <w:p w14:paraId="74A7A117">
      <w:pPr>
        <w:autoSpaceDE w:val="0"/>
        <w:autoSpaceDN w:val="0"/>
        <w:adjustRightInd w:val="0"/>
        <w:rPr>
          <w:color w:val="auto"/>
          <w:sz w:val="21"/>
          <w:szCs w:val="21"/>
          <w:highlight w:val="none"/>
        </w:rPr>
      </w:pPr>
    </w:p>
    <w:p w14:paraId="6EE89269">
      <w:pPr>
        <w:autoSpaceDE w:val="0"/>
        <w:autoSpaceDN w:val="0"/>
        <w:adjustRightInd w:val="0"/>
        <w:rPr>
          <w:color w:val="auto"/>
          <w:sz w:val="21"/>
          <w:szCs w:val="21"/>
          <w:highlight w:val="none"/>
        </w:rPr>
      </w:pPr>
    </w:p>
    <w:p w14:paraId="6F47513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173F70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01680F9">
      <w:pPr>
        <w:ind w:left="420" w:leftChars="175"/>
        <w:rPr>
          <w:rFonts w:hint="eastAsia" w:ascii="宋体" w:hAnsi="宋体" w:eastAsia="宋体" w:cs="宋体"/>
          <w:color w:val="auto"/>
          <w:sz w:val="36"/>
          <w:szCs w:val="36"/>
          <w:highlight w:val="none"/>
        </w:rPr>
      </w:pPr>
      <w:r>
        <w:rPr>
          <w:rFonts w:hint="eastAsia" w:cs="宋体"/>
          <w:color w:val="auto"/>
          <w:sz w:val="36"/>
          <w:szCs w:val="36"/>
          <w:highlight w:val="none"/>
          <w:lang w:val="en-US" w:eastAsia="zh-CN"/>
        </w:rPr>
        <w:t>供 应 商</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3B6644C">
      <w:pPr>
        <w:ind w:left="840" w:firstLine="420"/>
        <w:rPr>
          <w:b/>
          <w:bCs/>
          <w:color w:val="auto"/>
          <w:sz w:val="28"/>
          <w:szCs w:val="28"/>
          <w:highlight w:val="none"/>
        </w:rPr>
      </w:pPr>
    </w:p>
    <w:p w14:paraId="17D47AB2">
      <w:pPr>
        <w:ind w:left="840" w:firstLine="420"/>
        <w:rPr>
          <w:b/>
          <w:bCs/>
          <w:color w:val="auto"/>
          <w:sz w:val="28"/>
          <w:szCs w:val="28"/>
          <w:highlight w:val="none"/>
        </w:rPr>
      </w:pPr>
    </w:p>
    <w:p w14:paraId="6C0FD82C">
      <w:pPr>
        <w:jc w:val="center"/>
        <w:rPr>
          <w:rFonts w:ascii="黑体" w:hAnsi="黑体" w:eastAsia="黑体"/>
          <w:color w:val="auto"/>
          <w:sz w:val="32"/>
          <w:szCs w:val="32"/>
          <w:highlight w:val="none"/>
        </w:rPr>
      </w:pPr>
      <w:r>
        <w:rPr>
          <w:rFonts w:hint="eastAsia" w:ascii="宋体" w:hAnsi="宋体" w:eastAsia="宋体" w:cs="宋体"/>
          <w:color w:val="auto"/>
          <w:sz w:val="32"/>
          <w:szCs w:val="32"/>
          <w:highlight w:val="none"/>
        </w:rPr>
        <w:t>年   月    日</w:t>
      </w:r>
    </w:p>
    <w:p w14:paraId="2B025C97">
      <w:pPr>
        <w:rPr>
          <w:color w:val="auto"/>
          <w:highlight w:val="none"/>
          <w:lang w:val="zh-CN"/>
        </w:rPr>
      </w:pPr>
      <w:r>
        <w:rPr>
          <w:color w:val="auto"/>
          <w:highlight w:val="none"/>
          <w:lang w:val="zh-CN"/>
        </w:rPr>
        <w:br w:type="page"/>
      </w:r>
    </w:p>
    <w:p w14:paraId="730DA0BC">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outlineLvl w:val="2"/>
        <w:rPr>
          <w:rFonts w:hint="eastAsia" w:cstheme="majorBidi"/>
          <w:b/>
          <w:bCs/>
          <w:color w:val="auto"/>
          <w:kern w:val="2"/>
          <w:sz w:val="32"/>
          <w:szCs w:val="32"/>
          <w:highlight w:val="none"/>
          <w:lang w:val="en-US" w:eastAsia="zh-CN" w:bidi="ar-SA"/>
        </w:rPr>
      </w:pPr>
      <w:bookmarkStart w:id="547" w:name="_Toc16501"/>
      <w:r>
        <w:rPr>
          <w:rFonts w:hint="eastAsia" w:cstheme="majorBidi"/>
          <w:b/>
          <w:bCs/>
          <w:color w:val="auto"/>
          <w:kern w:val="2"/>
          <w:sz w:val="32"/>
          <w:szCs w:val="32"/>
          <w:highlight w:val="none"/>
          <w:lang w:val="en-US" w:eastAsia="zh-CN" w:bidi="ar-SA"/>
        </w:rPr>
        <w:t>一、报价一览表</w:t>
      </w:r>
      <w:bookmarkEnd w:id="547"/>
    </w:p>
    <w:p w14:paraId="2AB3D72A">
      <w:pPr>
        <w:spacing w:line="300" w:lineRule="auto"/>
        <w:rPr>
          <w:rFonts w:cs="仿宋_GB2312"/>
          <w:color w:val="auto"/>
          <w:szCs w:val="24"/>
          <w:highlight w:val="none"/>
        </w:rPr>
      </w:pPr>
    </w:p>
    <w:p w14:paraId="2E702B28">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p>
    <w:p w14:paraId="0D117C7C">
      <w:pPr>
        <w:rPr>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p>
    <w:tbl>
      <w:tblPr>
        <w:tblStyle w:val="28"/>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5F27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68B46E6E">
            <w:pPr>
              <w:widowControl/>
              <w:autoSpaceDE w:val="0"/>
              <w:autoSpaceDN w:val="0"/>
              <w:jc w:val="center"/>
              <w:textAlignment w:val="bottom"/>
              <w:rPr>
                <w:color w:val="auto"/>
                <w:szCs w:val="21"/>
                <w:highlight w:val="none"/>
              </w:rPr>
            </w:pPr>
            <w:r>
              <w:rPr>
                <w:rFonts w:hint="eastAsia"/>
                <w:color w:val="auto"/>
                <w:szCs w:val="21"/>
                <w:highlight w:val="none"/>
              </w:rPr>
              <w:t>序号</w:t>
            </w:r>
          </w:p>
        </w:tc>
        <w:tc>
          <w:tcPr>
            <w:tcW w:w="2352" w:type="dxa"/>
            <w:vAlign w:val="center"/>
          </w:tcPr>
          <w:p w14:paraId="5D10FF2E">
            <w:pPr>
              <w:widowControl/>
              <w:autoSpaceDE w:val="0"/>
              <w:autoSpaceDN w:val="0"/>
              <w:ind w:left="851" w:hanging="851"/>
              <w:jc w:val="center"/>
              <w:textAlignment w:val="bottom"/>
              <w:rPr>
                <w:color w:val="auto"/>
                <w:szCs w:val="21"/>
                <w:highlight w:val="none"/>
              </w:rPr>
            </w:pPr>
            <w:r>
              <w:rPr>
                <w:rFonts w:hint="eastAsia"/>
                <w:color w:val="auto"/>
                <w:szCs w:val="21"/>
                <w:highlight w:val="none"/>
                <w:lang w:val="en-US" w:eastAsia="zh-CN"/>
              </w:rPr>
              <w:t>谈判</w:t>
            </w:r>
            <w:r>
              <w:rPr>
                <w:rFonts w:hint="eastAsia"/>
                <w:color w:val="auto"/>
                <w:szCs w:val="21"/>
                <w:highlight w:val="none"/>
              </w:rPr>
              <w:t>报价</w:t>
            </w:r>
          </w:p>
        </w:tc>
        <w:tc>
          <w:tcPr>
            <w:tcW w:w="2161" w:type="dxa"/>
            <w:vAlign w:val="center"/>
          </w:tcPr>
          <w:p w14:paraId="48CC1886">
            <w:pPr>
              <w:widowControl/>
              <w:autoSpaceDE w:val="0"/>
              <w:autoSpaceDN w:val="0"/>
              <w:jc w:val="center"/>
              <w:textAlignment w:val="bottom"/>
              <w:rPr>
                <w:color w:val="auto"/>
                <w:szCs w:val="21"/>
                <w:highlight w:val="none"/>
              </w:rPr>
            </w:pPr>
            <w:r>
              <w:rPr>
                <w:rFonts w:hint="eastAsia" w:ascii="宋体" w:hAnsi="宋体" w:eastAsia="宋体" w:cs="宋体"/>
                <w:color w:val="auto"/>
                <w:sz w:val="24"/>
                <w:szCs w:val="24"/>
                <w:highlight w:val="none"/>
              </w:rPr>
              <w:t>合同履行期限</w:t>
            </w:r>
            <w:r>
              <w:rPr>
                <w:rFonts w:hint="eastAsia" w:cs="宋体"/>
                <w:color w:val="auto"/>
                <w:sz w:val="24"/>
                <w:szCs w:val="24"/>
                <w:highlight w:val="none"/>
                <w:lang w:eastAsia="zh-CN"/>
              </w:rPr>
              <w:t>（</w:t>
            </w:r>
            <w:r>
              <w:rPr>
                <w:rFonts w:hint="eastAsia"/>
                <w:color w:val="auto"/>
                <w:szCs w:val="21"/>
                <w:highlight w:val="none"/>
              </w:rPr>
              <w:t>交货期限</w:t>
            </w:r>
            <w:r>
              <w:rPr>
                <w:rFonts w:hint="eastAsia" w:cs="宋体"/>
                <w:color w:val="auto"/>
                <w:sz w:val="24"/>
                <w:szCs w:val="24"/>
                <w:highlight w:val="none"/>
                <w:lang w:eastAsia="zh-CN"/>
              </w:rPr>
              <w:t>）</w:t>
            </w:r>
          </w:p>
        </w:tc>
        <w:tc>
          <w:tcPr>
            <w:tcW w:w="2611" w:type="dxa"/>
            <w:vAlign w:val="center"/>
          </w:tcPr>
          <w:p w14:paraId="620875ED">
            <w:pPr>
              <w:widowControl/>
              <w:autoSpaceDE w:val="0"/>
              <w:autoSpaceDN w:val="0"/>
              <w:jc w:val="center"/>
              <w:textAlignment w:val="bottom"/>
              <w:rPr>
                <w:color w:val="auto"/>
                <w:szCs w:val="21"/>
                <w:highlight w:val="none"/>
              </w:rPr>
            </w:pPr>
            <w:r>
              <w:rPr>
                <w:rFonts w:hint="eastAsia"/>
                <w:color w:val="auto"/>
                <w:szCs w:val="21"/>
                <w:highlight w:val="none"/>
              </w:rPr>
              <w:t>备注（如有）</w:t>
            </w:r>
          </w:p>
        </w:tc>
      </w:tr>
      <w:tr w14:paraId="1B09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73431128">
            <w:pPr>
              <w:jc w:val="center"/>
              <w:rPr>
                <w:color w:val="auto"/>
                <w:sz w:val="28"/>
                <w:highlight w:val="none"/>
              </w:rPr>
            </w:pPr>
          </w:p>
        </w:tc>
        <w:tc>
          <w:tcPr>
            <w:tcW w:w="2352" w:type="dxa"/>
            <w:vAlign w:val="center"/>
          </w:tcPr>
          <w:p w14:paraId="45A40F19">
            <w:pPr>
              <w:widowControl/>
              <w:autoSpaceDE w:val="0"/>
              <w:autoSpaceDN w:val="0"/>
              <w:spacing w:line="240" w:lineRule="auto"/>
              <w:ind w:left="851" w:hanging="851"/>
              <w:jc w:val="left"/>
              <w:textAlignment w:val="bottom"/>
              <w:rPr>
                <w:rFonts w:hint="eastAsia"/>
                <w:color w:val="auto"/>
                <w:szCs w:val="21"/>
                <w:highlight w:val="none"/>
                <w:lang w:val="en-US" w:eastAsia="zh-CN"/>
              </w:rPr>
            </w:pPr>
            <w:r>
              <w:rPr>
                <w:rFonts w:hint="eastAsia"/>
                <w:color w:val="auto"/>
                <w:szCs w:val="21"/>
                <w:highlight w:val="none"/>
                <w:lang w:val="en-US" w:eastAsia="zh-CN"/>
              </w:rPr>
              <w:t>小写：</w:t>
            </w:r>
          </w:p>
          <w:p w14:paraId="131FC705">
            <w:pPr>
              <w:jc w:val="left"/>
              <w:rPr>
                <w:color w:val="auto"/>
                <w:sz w:val="28"/>
                <w:highlight w:val="none"/>
              </w:rPr>
            </w:pPr>
            <w:r>
              <w:rPr>
                <w:rFonts w:hint="eastAsia"/>
                <w:color w:val="auto"/>
                <w:szCs w:val="21"/>
                <w:highlight w:val="none"/>
                <w:lang w:val="en-US" w:eastAsia="zh-CN"/>
              </w:rPr>
              <w:t>大写：</w:t>
            </w:r>
          </w:p>
        </w:tc>
        <w:tc>
          <w:tcPr>
            <w:tcW w:w="2161" w:type="dxa"/>
            <w:vAlign w:val="center"/>
          </w:tcPr>
          <w:p w14:paraId="3409D243">
            <w:pPr>
              <w:jc w:val="center"/>
              <w:rPr>
                <w:color w:val="auto"/>
                <w:sz w:val="28"/>
                <w:highlight w:val="none"/>
              </w:rPr>
            </w:pPr>
          </w:p>
        </w:tc>
        <w:tc>
          <w:tcPr>
            <w:tcW w:w="2611" w:type="dxa"/>
            <w:vAlign w:val="center"/>
          </w:tcPr>
          <w:p w14:paraId="35602B49">
            <w:pPr>
              <w:jc w:val="center"/>
              <w:rPr>
                <w:color w:val="auto"/>
                <w:sz w:val="28"/>
                <w:highlight w:val="none"/>
              </w:rPr>
            </w:pPr>
          </w:p>
        </w:tc>
      </w:tr>
    </w:tbl>
    <w:p w14:paraId="486E37D7">
      <w:pPr>
        <w:spacing w:line="300" w:lineRule="auto"/>
        <w:rPr>
          <w:rFonts w:ascii="Arial" w:hAnsi="Arial" w:cs="Arial"/>
          <w:color w:val="auto"/>
          <w:szCs w:val="21"/>
          <w:highlight w:val="none"/>
          <w:u w:val="single"/>
        </w:rPr>
      </w:pPr>
    </w:p>
    <w:p w14:paraId="0270EFB4">
      <w:pPr>
        <w:spacing w:line="300" w:lineRule="auto"/>
        <w:rPr>
          <w:rFonts w:ascii="Arial" w:hAnsi="Arial" w:cs="Arial"/>
          <w:color w:val="auto"/>
          <w:szCs w:val="21"/>
          <w:highlight w:val="none"/>
        </w:rPr>
      </w:pPr>
      <w:r>
        <w:rPr>
          <w:rFonts w:hint="eastAsia" w:ascii="Arial" w:hAnsi="Arial" w:cs="Arial"/>
          <w:color w:val="auto"/>
          <w:szCs w:val="21"/>
          <w:highlight w:val="none"/>
          <w:lang w:val="en-US" w:eastAsia="zh-CN"/>
        </w:rPr>
        <w:t>供应商</w:t>
      </w:r>
      <w:r>
        <w:rPr>
          <w:rFonts w:ascii="Arial" w:hAnsi="Arial" w:cs="Arial"/>
          <w:color w:val="auto"/>
          <w:szCs w:val="21"/>
          <w:highlight w:val="none"/>
        </w:rPr>
        <w:t>名称</w:t>
      </w:r>
      <w:r>
        <w:rPr>
          <w:rFonts w:hint="eastAsia" w:ascii="宋体" w:hAnsi="宋体" w:eastAsia="宋体" w:cs="宋体"/>
          <w:color w:val="auto"/>
          <w:kern w:val="0"/>
          <w:sz w:val="24"/>
          <w:szCs w:val="24"/>
          <w:highlight w:val="none"/>
          <w:lang w:eastAsia="zh-CN"/>
        </w:rPr>
        <w:t>（</w:t>
      </w:r>
      <w:r>
        <w:rPr>
          <w:rFonts w:hint="eastAsia" w:cs="宋体"/>
          <w:color w:val="auto"/>
          <w:kern w:val="0"/>
          <w:sz w:val="24"/>
          <w:szCs w:val="24"/>
          <w:highlight w:val="none"/>
          <w:lang w:eastAsia="zh-CN"/>
        </w:rPr>
        <w:t>公</w:t>
      </w:r>
      <w:r>
        <w:rPr>
          <w:rFonts w:hint="eastAsia" w:ascii="宋体" w:hAnsi="宋体" w:eastAsia="宋体" w:cs="宋体"/>
          <w:color w:val="auto"/>
          <w:kern w:val="0"/>
          <w:sz w:val="24"/>
          <w:szCs w:val="24"/>
          <w:highlight w:val="none"/>
          <w:lang w:eastAsia="zh-CN"/>
        </w:rPr>
        <w:t>章）</w:t>
      </w:r>
      <w:r>
        <w:rPr>
          <w:rFonts w:ascii="Arial" w:hAnsi="Arial" w:cs="Arial"/>
          <w:color w:val="auto"/>
          <w:szCs w:val="21"/>
          <w:highlight w:val="none"/>
        </w:rPr>
        <w:t>：</w:t>
      </w:r>
    </w:p>
    <w:p w14:paraId="6302F8A6">
      <w:pPr>
        <w:spacing w:line="300" w:lineRule="auto"/>
        <w:rPr>
          <w:rFonts w:ascii="Arial" w:hAnsi="Arial" w:cs="Arial"/>
          <w:color w:val="auto"/>
          <w:szCs w:val="21"/>
          <w:highlight w:val="none"/>
          <w:u w:val="single"/>
        </w:rPr>
      </w:pPr>
      <w:r>
        <w:rPr>
          <w:rFonts w:ascii="Arial" w:hAnsi="Arial" w:cs="Arial"/>
          <w:color w:val="auto"/>
          <w:szCs w:val="21"/>
          <w:highlight w:val="none"/>
        </w:rPr>
        <w:t>日期：</w:t>
      </w:r>
    </w:p>
    <w:p w14:paraId="722CC087">
      <w:pPr>
        <w:rPr>
          <w:rFonts w:cs="Arial"/>
          <w:color w:val="auto"/>
          <w:szCs w:val="24"/>
          <w:highlight w:val="none"/>
        </w:rPr>
      </w:pPr>
    </w:p>
    <w:p w14:paraId="21BB3A26">
      <w:pPr>
        <w:pStyle w:val="11"/>
        <w:rPr>
          <w:rFonts w:cs="Arial"/>
          <w:color w:val="auto"/>
          <w:szCs w:val="24"/>
          <w:highlight w:val="none"/>
        </w:rPr>
      </w:pPr>
    </w:p>
    <w:p w14:paraId="4C551945">
      <w:pPr>
        <w:pStyle w:val="11"/>
        <w:rPr>
          <w:rFonts w:cs="Arial"/>
          <w:color w:val="auto"/>
          <w:szCs w:val="24"/>
          <w:highlight w:val="none"/>
        </w:rPr>
      </w:pPr>
    </w:p>
    <w:p w14:paraId="09ACCEBB">
      <w:pPr>
        <w:pStyle w:val="11"/>
        <w:rPr>
          <w:rFonts w:cs="Arial"/>
          <w:color w:val="auto"/>
          <w:szCs w:val="24"/>
          <w:highlight w:val="none"/>
        </w:rPr>
      </w:pPr>
    </w:p>
    <w:p w14:paraId="54CAC625">
      <w:pPr>
        <w:pStyle w:val="11"/>
        <w:rPr>
          <w:rFonts w:cs="Arial"/>
          <w:color w:val="auto"/>
          <w:szCs w:val="24"/>
          <w:highlight w:val="none"/>
        </w:rPr>
      </w:pPr>
    </w:p>
    <w:p w14:paraId="5D119674">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1266F1C5">
      <w:pPr>
        <w:pStyle w:val="11"/>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1.上述</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报价内容根据</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文件要求包括了货物及其配套的设计、采购、制造、检测、试验、运输、保险、仓储、税费以及现场落地、安装及安装耗损、调试、培训、技术服务（包括技术资料、图纸的提供）质保期内的售后服务保障等所有费用。</w:t>
      </w:r>
    </w:p>
    <w:p w14:paraId="26C7BD91">
      <w:pPr>
        <w:pStyle w:val="11"/>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2.特殊事项在备注中注明。</w:t>
      </w:r>
    </w:p>
    <w:p w14:paraId="56ADDAE7">
      <w:pPr>
        <w:pStyle w:val="11"/>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3.表中大写与小写不一致的，以大写为准</w:t>
      </w:r>
      <w:r>
        <w:rPr>
          <w:rFonts w:hint="eastAsia" w:ascii="宋体" w:hAnsi="宋体" w:eastAsia="宋体" w:cs="宋体"/>
          <w:color w:val="auto"/>
          <w:sz w:val="21"/>
          <w:szCs w:val="21"/>
          <w:highlight w:val="none"/>
        </w:rPr>
        <w:t>。</w:t>
      </w:r>
    </w:p>
    <w:p w14:paraId="5C45EAC1">
      <w:pPr>
        <w:pStyle w:val="11"/>
        <w:ind w:firstLine="480" w:firstLineChars="200"/>
        <w:rPr>
          <w:rFonts w:hint="eastAsia" w:ascii="宋体" w:hAnsi="宋体" w:eastAsia="宋体" w:cs="宋体"/>
          <w:color w:val="auto"/>
          <w:sz w:val="24"/>
          <w:szCs w:val="24"/>
          <w:highlight w:val="none"/>
        </w:rPr>
      </w:pPr>
    </w:p>
    <w:p w14:paraId="584BFACD">
      <w:pPr>
        <w:pStyle w:val="11"/>
        <w:ind w:firstLine="480" w:firstLineChars="200"/>
        <w:rPr>
          <w:rFonts w:hint="eastAsia" w:ascii="宋体" w:hAnsi="宋体" w:eastAsia="宋体" w:cs="宋体"/>
          <w:color w:val="auto"/>
          <w:sz w:val="24"/>
          <w:szCs w:val="24"/>
          <w:highlight w:val="none"/>
        </w:rPr>
      </w:pPr>
    </w:p>
    <w:p w14:paraId="3426CDB6">
      <w:pPr>
        <w:pStyle w:val="11"/>
        <w:ind w:firstLine="480" w:firstLineChars="200"/>
        <w:rPr>
          <w:rFonts w:hint="eastAsia" w:ascii="宋体" w:hAnsi="宋体" w:eastAsia="宋体" w:cs="宋体"/>
          <w:color w:val="auto"/>
          <w:sz w:val="24"/>
          <w:szCs w:val="24"/>
          <w:highlight w:val="none"/>
        </w:rPr>
      </w:pPr>
    </w:p>
    <w:p w14:paraId="39260CE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sectPr>
          <w:pgSz w:w="11906" w:h="16838"/>
          <w:pgMar w:top="1440" w:right="1800" w:bottom="1440" w:left="1800" w:header="851" w:footer="992" w:gutter="0"/>
          <w:pgNumType w:fmt="decimal"/>
          <w:cols w:space="425" w:num="1"/>
          <w:docGrid w:type="lines" w:linePitch="312" w:charSpace="0"/>
        </w:sectPr>
      </w:pPr>
    </w:p>
    <w:p w14:paraId="7B2B178E">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420" w:leftChars="0" w:hanging="420" w:firstLineChars="0"/>
        <w:jc w:val="center"/>
        <w:textAlignment w:val="auto"/>
        <w:outlineLvl w:val="2"/>
        <w:rPr>
          <w:rFonts w:hint="eastAsia" w:cstheme="majorBidi"/>
          <w:b/>
          <w:bCs/>
          <w:color w:val="auto"/>
          <w:kern w:val="2"/>
          <w:sz w:val="32"/>
          <w:szCs w:val="32"/>
          <w:highlight w:val="none"/>
          <w:lang w:val="en-US" w:eastAsia="zh-CN" w:bidi="ar-SA"/>
        </w:rPr>
      </w:pPr>
      <w:bookmarkStart w:id="548" w:name="_Toc22648"/>
      <w:r>
        <w:rPr>
          <w:rFonts w:hint="eastAsia" w:cstheme="majorBidi"/>
          <w:b/>
          <w:bCs/>
          <w:color w:val="auto"/>
          <w:kern w:val="2"/>
          <w:sz w:val="32"/>
          <w:szCs w:val="32"/>
          <w:highlight w:val="none"/>
          <w:lang w:val="en-US" w:eastAsia="zh-CN" w:bidi="ar-SA"/>
        </w:rPr>
        <w:t>二、分项报价表</w:t>
      </w:r>
      <w:bookmarkEnd w:id="548"/>
      <w:r>
        <w:rPr>
          <w:rFonts w:hint="eastAsia" w:ascii="宋体" w:hAnsi="宋体" w:eastAsia="宋体" w:cs="宋体"/>
          <w:b/>
          <w:bCs w:val="0"/>
          <w:color w:val="auto"/>
          <w:sz w:val="24"/>
          <w:lang w:val="zh-CN" w:eastAsia="zh-CN"/>
        </w:rPr>
        <w:t>【如适用】</w:t>
      </w:r>
    </w:p>
    <w:p w14:paraId="36B29882">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p>
    <w:p w14:paraId="48D45A94">
      <w:pPr>
        <w:rPr>
          <w:rFonts w:hint="eastAsia"/>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p>
    <w:tbl>
      <w:tblPr>
        <w:tblStyle w:val="29"/>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9"/>
        <w:gridCol w:w="687"/>
        <w:gridCol w:w="647"/>
        <w:gridCol w:w="659"/>
        <w:gridCol w:w="738"/>
        <w:gridCol w:w="1508"/>
        <w:gridCol w:w="628"/>
        <w:gridCol w:w="643"/>
        <w:gridCol w:w="957"/>
        <w:gridCol w:w="515"/>
        <w:gridCol w:w="911"/>
      </w:tblGrid>
      <w:tr w14:paraId="3310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vAlign w:val="center"/>
          </w:tcPr>
          <w:p w14:paraId="2D51E3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val="0"/>
                <w:bCs/>
                <w:color w:val="auto"/>
                <w:szCs w:val="21"/>
                <w:highlight w:val="none"/>
                <w:u w:val="none"/>
                <w:vertAlign w:val="baseline"/>
                <w:lang w:val="zh-CN"/>
              </w:rPr>
            </w:pPr>
            <w:r>
              <w:rPr>
                <w:rFonts w:hint="eastAsia" w:ascii="宋体" w:hAnsi="宋体" w:eastAsia="宋体" w:cs="宋体"/>
                <w:b w:val="0"/>
                <w:bCs/>
                <w:color w:val="auto"/>
                <w:kern w:val="2"/>
                <w:sz w:val="24"/>
                <w:szCs w:val="24"/>
                <w:highlight w:val="none"/>
              </w:rPr>
              <w:t>序号</w:t>
            </w:r>
          </w:p>
        </w:tc>
        <w:tc>
          <w:tcPr>
            <w:tcW w:w="409" w:type="pct"/>
            <w:gridSpan w:val="2"/>
            <w:vAlign w:val="center"/>
          </w:tcPr>
          <w:p w14:paraId="31DAB9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val="0"/>
                <w:bCs/>
                <w:color w:val="auto"/>
                <w:szCs w:val="21"/>
                <w:highlight w:val="none"/>
                <w:u w:val="none"/>
                <w:vertAlign w:val="baseline"/>
                <w:lang w:val="zh-CN"/>
              </w:rPr>
            </w:pPr>
            <w:r>
              <w:rPr>
                <w:rFonts w:hint="eastAsia" w:cs="宋体"/>
                <w:b w:val="0"/>
                <w:bCs/>
                <w:color w:val="auto"/>
                <w:sz w:val="24"/>
                <w:szCs w:val="24"/>
                <w:highlight w:val="none"/>
                <w:lang w:val="en-US" w:eastAsia="zh-CN"/>
              </w:rPr>
              <w:t>分项</w:t>
            </w:r>
            <w:r>
              <w:rPr>
                <w:rFonts w:hint="eastAsia" w:ascii="宋体" w:hAnsi="宋体" w:eastAsia="宋体" w:cs="宋体"/>
                <w:b w:val="0"/>
                <w:bCs/>
                <w:color w:val="auto"/>
                <w:sz w:val="24"/>
                <w:szCs w:val="24"/>
                <w:highlight w:val="none"/>
              </w:rPr>
              <w:t>名称</w:t>
            </w:r>
          </w:p>
        </w:tc>
        <w:tc>
          <w:tcPr>
            <w:tcW w:w="380" w:type="pct"/>
            <w:vAlign w:val="center"/>
          </w:tcPr>
          <w:p w14:paraId="1FEEAE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val="0"/>
                <w:bCs/>
                <w:color w:val="auto"/>
                <w:szCs w:val="21"/>
                <w:highlight w:val="none"/>
                <w:u w:val="none"/>
                <w:vertAlign w:val="baseline"/>
                <w:lang w:val="zh-CN"/>
              </w:rPr>
            </w:pPr>
            <w:r>
              <w:rPr>
                <w:rFonts w:hint="eastAsia" w:cs="宋体"/>
                <w:b w:val="0"/>
                <w:bCs/>
                <w:color w:val="auto"/>
                <w:sz w:val="24"/>
                <w:szCs w:val="24"/>
                <w:highlight w:val="none"/>
                <w:lang w:val="en-US" w:eastAsia="zh-CN"/>
              </w:rPr>
              <w:t>制造商</w:t>
            </w:r>
          </w:p>
        </w:tc>
        <w:tc>
          <w:tcPr>
            <w:tcW w:w="387" w:type="pct"/>
            <w:vAlign w:val="center"/>
          </w:tcPr>
          <w:p w14:paraId="264DED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val="0"/>
                <w:bCs/>
                <w:color w:val="auto"/>
                <w:szCs w:val="21"/>
                <w:highlight w:val="none"/>
                <w:u w:val="none"/>
                <w:vertAlign w:val="baseline"/>
                <w:lang w:val="zh-CN"/>
              </w:rPr>
            </w:pPr>
            <w:r>
              <w:rPr>
                <w:rFonts w:hint="eastAsia" w:cs="宋体"/>
                <w:b w:val="0"/>
                <w:bCs/>
                <w:color w:val="auto"/>
                <w:sz w:val="24"/>
                <w:szCs w:val="24"/>
                <w:highlight w:val="none"/>
                <w:lang w:val="en-US" w:eastAsia="zh-CN"/>
              </w:rPr>
              <w:t>产地/国别</w:t>
            </w:r>
          </w:p>
        </w:tc>
        <w:tc>
          <w:tcPr>
            <w:tcW w:w="433" w:type="pct"/>
            <w:vAlign w:val="center"/>
          </w:tcPr>
          <w:p w14:paraId="64AC8B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制造商</w:t>
            </w:r>
          </w:p>
          <w:p w14:paraId="09B31A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val="0"/>
                <w:bCs/>
                <w:color w:val="auto"/>
                <w:szCs w:val="21"/>
                <w:highlight w:val="none"/>
                <w:u w:val="none"/>
                <w:vertAlign w:val="baseline"/>
                <w:lang w:val="zh-CN"/>
              </w:rPr>
            </w:pPr>
            <w:r>
              <w:rPr>
                <w:rFonts w:hint="eastAsia" w:ascii="宋体" w:hAnsi="宋体" w:eastAsia="宋体" w:cs="宋体"/>
                <w:b w:val="0"/>
                <w:bCs/>
                <w:color w:val="auto"/>
                <w:sz w:val="24"/>
                <w:szCs w:val="24"/>
                <w:highlight w:val="none"/>
                <w:lang w:val="en-US" w:eastAsia="zh-CN"/>
              </w:rPr>
              <w:t>统一社会信用代码</w:t>
            </w:r>
          </w:p>
        </w:tc>
        <w:tc>
          <w:tcPr>
            <w:tcW w:w="886" w:type="pct"/>
            <w:vAlign w:val="center"/>
          </w:tcPr>
          <w:p w14:paraId="63E266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制造商</w:t>
            </w:r>
          </w:p>
          <w:p w14:paraId="25D503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4"/>
                <w:szCs w:val="24"/>
                <w:highlight w:val="none"/>
                <w:lang w:val="en-US" w:eastAsia="zh-CN"/>
              </w:rPr>
            </w:pPr>
            <w:r>
              <w:rPr>
                <w:rFonts w:hint="eastAsia" w:cs="宋体"/>
                <w:b w:val="0"/>
                <w:bCs/>
                <w:color w:val="auto"/>
                <w:sz w:val="24"/>
                <w:szCs w:val="24"/>
                <w:highlight w:val="none"/>
                <w:lang w:val="en-US" w:eastAsia="zh-CN"/>
              </w:rPr>
              <w:t>规模（大型/中型/小型/微型）</w:t>
            </w:r>
          </w:p>
        </w:tc>
        <w:tc>
          <w:tcPr>
            <w:tcW w:w="369" w:type="pct"/>
            <w:vAlign w:val="center"/>
          </w:tcPr>
          <w:p w14:paraId="60D081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val="0"/>
                <w:bCs/>
                <w:color w:val="auto"/>
                <w:szCs w:val="21"/>
                <w:highlight w:val="none"/>
                <w:u w:val="none"/>
                <w:vertAlign w:val="baseline"/>
                <w:lang w:val="zh-CN"/>
              </w:rPr>
            </w:pPr>
            <w:r>
              <w:rPr>
                <w:rFonts w:hint="eastAsia" w:ascii="宋体" w:hAnsi="宋体" w:eastAsia="宋体" w:cs="宋体"/>
                <w:b w:val="0"/>
                <w:bCs/>
                <w:color w:val="auto"/>
                <w:sz w:val="24"/>
                <w:szCs w:val="24"/>
                <w:highlight w:val="none"/>
              </w:rPr>
              <w:t>品牌</w:t>
            </w:r>
          </w:p>
        </w:tc>
        <w:tc>
          <w:tcPr>
            <w:tcW w:w="377" w:type="pct"/>
            <w:vAlign w:val="center"/>
          </w:tcPr>
          <w:p w14:paraId="6B3AFB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val="0"/>
                <w:bCs/>
                <w:color w:val="auto"/>
                <w:szCs w:val="21"/>
                <w:highlight w:val="none"/>
                <w:u w:val="none"/>
                <w:vertAlign w:val="baseline"/>
                <w:lang w:val="zh-CN"/>
              </w:rPr>
            </w:pPr>
            <w:r>
              <w:rPr>
                <w:rFonts w:hint="eastAsia" w:ascii="宋体" w:hAnsi="宋体" w:eastAsia="宋体" w:cs="宋体"/>
                <w:b w:val="0"/>
                <w:bCs/>
                <w:color w:val="auto"/>
                <w:sz w:val="24"/>
                <w:szCs w:val="24"/>
                <w:highlight w:val="none"/>
                <w:lang w:val="en-US" w:eastAsia="zh-CN"/>
              </w:rPr>
              <w:t>规格</w:t>
            </w:r>
            <w:r>
              <w:rPr>
                <w:rFonts w:hint="eastAsia"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rPr>
              <w:t>型号</w:t>
            </w:r>
          </w:p>
        </w:tc>
        <w:tc>
          <w:tcPr>
            <w:tcW w:w="562" w:type="pct"/>
            <w:vAlign w:val="center"/>
          </w:tcPr>
          <w:p w14:paraId="45014B84">
            <w:pPr>
              <w:spacing w:line="24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单价</w:t>
            </w:r>
          </w:p>
          <w:p w14:paraId="145DF2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val="0"/>
                <w:bCs/>
                <w:color w:val="auto"/>
                <w:szCs w:val="21"/>
                <w:highlight w:val="none"/>
                <w:u w:val="none"/>
                <w:vertAlign w:val="baseline"/>
                <w:lang w:val="zh-CN"/>
              </w:rPr>
            </w:pPr>
            <w:r>
              <w:rPr>
                <w:rFonts w:hint="eastAsia" w:ascii="宋体" w:hAnsi="宋体" w:eastAsia="宋体" w:cs="宋体"/>
                <w:b w:val="0"/>
                <w:bCs/>
                <w:color w:val="auto"/>
                <w:sz w:val="24"/>
                <w:szCs w:val="24"/>
                <w:highlight w:val="none"/>
              </w:rPr>
              <w:t>（元）</w:t>
            </w:r>
          </w:p>
        </w:tc>
        <w:tc>
          <w:tcPr>
            <w:tcW w:w="302" w:type="pct"/>
            <w:vAlign w:val="center"/>
          </w:tcPr>
          <w:p w14:paraId="3BCEDF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val="0"/>
                <w:bCs/>
                <w:color w:val="auto"/>
                <w:szCs w:val="21"/>
                <w:highlight w:val="none"/>
                <w:u w:val="none"/>
                <w:vertAlign w:val="baseline"/>
                <w:lang w:val="zh-CN"/>
              </w:rPr>
            </w:pPr>
            <w:r>
              <w:rPr>
                <w:rFonts w:hint="eastAsia" w:ascii="宋体" w:hAnsi="宋体" w:eastAsia="宋体" w:cs="宋体"/>
                <w:b w:val="0"/>
                <w:bCs/>
                <w:color w:val="auto"/>
                <w:sz w:val="24"/>
                <w:szCs w:val="24"/>
                <w:highlight w:val="none"/>
              </w:rPr>
              <w:t>数量</w:t>
            </w:r>
          </w:p>
        </w:tc>
        <w:tc>
          <w:tcPr>
            <w:tcW w:w="535" w:type="pct"/>
            <w:vAlign w:val="center"/>
          </w:tcPr>
          <w:p w14:paraId="577D0E39">
            <w:pPr>
              <w:spacing w:line="240" w:lineRule="auto"/>
              <w:jc w:val="center"/>
              <w:rPr>
                <w:rFonts w:hint="default" w:ascii="宋体" w:hAnsi="宋体" w:eastAsia="宋体" w:cs="宋体"/>
                <w:b w:val="0"/>
                <w:bCs/>
                <w:color w:val="auto"/>
                <w:sz w:val="24"/>
                <w:szCs w:val="24"/>
                <w:highlight w:val="none"/>
                <w:lang w:val="en-US" w:eastAsia="zh-CN"/>
              </w:rPr>
            </w:pPr>
            <w:r>
              <w:rPr>
                <w:rFonts w:hint="eastAsia" w:cs="宋体"/>
                <w:b w:val="0"/>
                <w:bCs/>
                <w:color w:val="auto"/>
                <w:sz w:val="24"/>
                <w:szCs w:val="24"/>
                <w:highlight w:val="none"/>
                <w:lang w:val="en-US" w:eastAsia="zh-CN"/>
              </w:rPr>
              <w:t>合价</w:t>
            </w:r>
          </w:p>
          <w:p w14:paraId="2EC37A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val="0"/>
                <w:bCs/>
                <w:color w:val="auto"/>
                <w:szCs w:val="21"/>
                <w:highlight w:val="none"/>
                <w:u w:val="none"/>
                <w:vertAlign w:val="baseline"/>
                <w:lang w:val="zh-CN"/>
              </w:rPr>
            </w:pPr>
            <w:r>
              <w:rPr>
                <w:rFonts w:hint="eastAsia" w:ascii="宋体" w:hAnsi="宋体" w:eastAsia="宋体" w:cs="宋体"/>
                <w:b w:val="0"/>
                <w:bCs/>
                <w:color w:val="auto"/>
                <w:sz w:val="24"/>
                <w:szCs w:val="24"/>
                <w:highlight w:val="none"/>
              </w:rPr>
              <w:t>（元）</w:t>
            </w:r>
          </w:p>
        </w:tc>
      </w:tr>
      <w:tr w14:paraId="3DDD7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vAlign w:val="center"/>
          </w:tcPr>
          <w:p w14:paraId="76007496">
            <w:pPr>
              <w:jc w:val="center"/>
              <w:rPr>
                <w:rFonts w:hint="eastAsia" w:eastAsia="宋体"/>
                <w:b w:val="0"/>
                <w:bCs/>
                <w:color w:val="auto"/>
                <w:szCs w:val="21"/>
                <w:highlight w:val="none"/>
                <w:u w:val="none"/>
                <w:vertAlign w:val="baseline"/>
                <w:lang w:val="en-US" w:eastAsia="zh-CN"/>
              </w:rPr>
            </w:pPr>
            <w:r>
              <w:rPr>
                <w:rFonts w:hint="eastAsia"/>
                <w:b w:val="0"/>
                <w:bCs/>
                <w:color w:val="auto"/>
                <w:szCs w:val="21"/>
                <w:highlight w:val="none"/>
                <w:u w:val="none"/>
                <w:vertAlign w:val="baseline"/>
                <w:lang w:val="en-US" w:eastAsia="zh-CN"/>
              </w:rPr>
              <w:t>1</w:t>
            </w:r>
          </w:p>
        </w:tc>
        <w:tc>
          <w:tcPr>
            <w:tcW w:w="409" w:type="pct"/>
            <w:gridSpan w:val="2"/>
            <w:vAlign w:val="center"/>
          </w:tcPr>
          <w:p w14:paraId="5185A0F8">
            <w:pPr>
              <w:jc w:val="center"/>
              <w:rPr>
                <w:rFonts w:hint="eastAsia"/>
                <w:b w:val="0"/>
                <w:bCs/>
                <w:color w:val="auto"/>
                <w:szCs w:val="21"/>
                <w:highlight w:val="none"/>
                <w:u w:val="none"/>
                <w:vertAlign w:val="baseline"/>
                <w:lang w:val="zh-CN"/>
              </w:rPr>
            </w:pPr>
          </w:p>
        </w:tc>
        <w:tc>
          <w:tcPr>
            <w:tcW w:w="380" w:type="pct"/>
            <w:vAlign w:val="center"/>
          </w:tcPr>
          <w:p w14:paraId="440761B0">
            <w:pPr>
              <w:jc w:val="center"/>
              <w:rPr>
                <w:rFonts w:hint="eastAsia"/>
                <w:b w:val="0"/>
                <w:bCs/>
                <w:color w:val="auto"/>
                <w:szCs w:val="21"/>
                <w:highlight w:val="none"/>
                <w:u w:val="none"/>
                <w:vertAlign w:val="baseline"/>
                <w:lang w:val="zh-CN"/>
              </w:rPr>
            </w:pPr>
          </w:p>
        </w:tc>
        <w:tc>
          <w:tcPr>
            <w:tcW w:w="387" w:type="pct"/>
            <w:vAlign w:val="center"/>
          </w:tcPr>
          <w:p w14:paraId="2042EBA7">
            <w:pPr>
              <w:jc w:val="center"/>
              <w:rPr>
                <w:rFonts w:hint="eastAsia"/>
                <w:b w:val="0"/>
                <w:bCs/>
                <w:color w:val="auto"/>
                <w:szCs w:val="21"/>
                <w:highlight w:val="none"/>
                <w:u w:val="none"/>
                <w:vertAlign w:val="baseline"/>
                <w:lang w:val="zh-CN"/>
              </w:rPr>
            </w:pPr>
          </w:p>
        </w:tc>
        <w:tc>
          <w:tcPr>
            <w:tcW w:w="433" w:type="pct"/>
            <w:vAlign w:val="center"/>
          </w:tcPr>
          <w:p w14:paraId="74B97F46">
            <w:pPr>
              <w:jc w:val="center"/>
              <w:rPr>
                <w:rFonts w:hint="eastAsia"/>
                <w:b w:val="0"/>
                <w:bCs/>
                <w:color w:val="auto"/>
                <w:szCs w:val="21"/>
                <w:highlight w:val="none"/>
                <w:u w:val="none"/>
                <w:vertAlign w:val="baseline"/>
                <w:lang w:val="zh-CN"/>
              </w:rPr>
            </w:pPr>
          </w:p>
        </w:tc>
        <w:tc>
          <w:tcPr>
            <w:tcW w:w="886" w:type="pct"/>
            <w:vAlign w:val="center"/>
          </w:tcPr>
          <w:p w14:paraId="58D4443B">
            <w:pPr>
              <w:jc w:val="center"/>
              <w:rPr>
                <w:rFonts w:hint="eastAsia"/>
                <w:b w:val="0"/>
                <w:bCs/>
                <w:color w:val="auto"/>
                <w:szCs w:val="21"/>
                <w:highlight w:val="none"/>
                <w:u w:val="none"/>
                <w:vertAlign w:val="baseline"/>
                <w:lang w:val="zh-CN"/>
              </w:rPr>
            </w:pPr>
          </w:p>
        </w:tc>
        <w:tc>
          <w:tcPr>
            <w:tcW w:w="369" w:type="pct"/>
            <w:vAlign w:val="center"/>
          </w:tcPr>
          <w:p w14:paraId="6DCBEFCF">
            <w:pPr>
              <w:jc w:val="center"/>
              <w:rPr>
                <w:rFonts w:hint="eastAsia"/>
                <w:b w:val="0"/>
                <w:bCs/>
                <w:color w:val="auto"/>
                <w:szCs w:val="21"/>
                <w:highlight w:val="none"/>
                <w:u w:val="none"/>
                <w:vertAlign w:val="baseline"/>
                <w:lang w:val="zh-CN"/>
              </w:rPr>
            </w:pPr>
          </w:p>
        </w:tc>
        <w:tc>
          <w:tcPr>
            <w:tcW w:w="377" w:type="pct"/>
            <w:vAlign w:val="center"/>
          </w:tcPr>
          <w:p w14:paraId="38890D30">
            <w:pPr>
              <w:jc w:val="center"/>
              <w:rPr>
                <w:rFonts w:hint="eastAsia"/>
                <w:b w:val="0"/>
                <w:bCs/>
                <w:color w:val="auto"/>
                <w:szCs w:val="21"/>
                <w:highlight w:val="none"/>
                <w:u w:val="none"/>
                <w:vertAlign w:val="baseline"/>
                <w:lang w:val="zh-CN"/>
              </w:rPr>
            </w:pPr>
          </w:p>
        </w:tc>
        <w:tc>
          <w:tcPr>
            <w:tcW w:w="562" w:type="pct"/>
            <w:vAlign w:val="center"/>
          </w:tcPr>
          <w:p w14:paraId="50753003">
            <w:pPr>
              <w:jc w:val="center"/>
              <w:rPr>
                <w:rFonts w:hint="eastAsia"/>
                <w:b w:val="0"/>
                <w:bCs/>
                <w:color w:val="auto"/>
                <w:szCs w:val="21"/>
                <w:highlight w:val="none"/>
                <w:u w:val="none"/>
                <w:vertAlign w:val="baseline"/>
                <w:lang w:val="zh-CN"/>
              </w:rPr>
            </w:pPr>
          </w:p>
        </w:tc>
        <w:tc>
          <w:tcPr>
            <w:tcW w:w="302" w:type="pct"/>
            <w:vAlign w:val="center"/>
          </w:tcPr>
          <w:p w14:paraId="722E72FF">
            <w:pPr>
              <w:jc w:val="center"/>
              <w:rPr>
                <w:rFonts w:hint="eastAsia"/>
                <w:b w:val="0"/>
                <w:bCs/>
                <w:color w:val="auto"/>
                <w:szCs w:val="21"/>
                <w:highlight w:val="none"/>
                <w:u w:val="none"/>
                <w:vertAlign w:val="baseline"/>
                <w:lang w:val="zh-CN"/>
              </w:rPr>
            </w:pPr>
          </w:p>
        </w:tc>
        <w:tc>
          <w:tcPr>
            <w:tcW w:w="535" w:type="pct"/>
            <w:vAlign w:val="center"/>
          </w:tcPr>
          <w:p w14:paraId="1F020DC5">
            <w:pPr>
              <w:jc w:val="center"/>
              <w:rPr>
                <w:rFonts w:hint="eastAsia"/>
                <w:b w:val="0"/>
                <w:bCs/>
                <w:color w:val="auto"/>
                <w:szCs w:val="21"/>
                <w:highlight w:val="none"/>
                <w:u w:val="none"/>
                <w:vertAlign w:val="baseline"/>
                <w:lang w:val="zh-CN"/>
              </w:rPr>
            </w:pPr>
          </w:p>
        </w:tc>
      </w:tr>
      <w:tr w14:paraId="327B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vAlign w:val="center"/>
          </w:tcPr>
          <w:p w14:paraId="2DA2FC9F">
            <w:pPr>
              <w:jc w:val="center"/>
              <w:rPr>
                <w:rFonts w:hint="eastAsia" w:eastAsia="宋体"/>
                <w:b w:val="0"/>
                <w:bCs/>
                <w:color w:val="auto"/>
                <w:szCs w:val="21"/>
                <w:highlight w:val="none"/>
                <w:u w:val="none"/>
                <w:vertAlign w:val="baseline"/>
                <w:lang w:val="en-US" w:eastAsia="zh-CN"/>
              </w:rPr>
            </w:pPr>
            <w:r>
              <w:rPr>
                <w:rFonts w:hint="eastAsia"/>
                <w:b w:val="0"/>
                <w:bCs/>
                <w:color w:val="auto"/>
                <w:szCs w:val="21"/>
                <w:highlight w:val="none"/>
                <w:u w:val="none"/>
                <w:vertAlign w:val="baseline"/>
                <w:lang w:val="en-US" w:eastAsia="zh-CN"/>
              </w:rPr>
              <w:t>2</w:t>
            </w:r>
          </w:p>
        </w:tc>
        <w:tc>
          <w:tcPr>
            <w:tcW w:w="409" w:type="pct"/>
            <w:gridSpan w:val="2"/>
            <w:vAlign w:val="center"/>
          </w:tcPr>
          <w:p w14:paraId="022E3F12">
            <w:pPr>
              <w:jc w:val="center"/>
              <w:rPr>
                <w:rFonts w:hint="eastAsia"/>
                <w:b w:val="0"/>
                <w:bCs/>
                <w:color w:val="auto"/>
                <w:szCs w:val="21"/>
                <w:highlight w:val="none"/>
                <w:u w:val="none"/>
                <w:vertAlign w:val="baseline"/>
                <w:lang w:val="zh-CN"/>
              </w:rPr>
            </w:pPr>
          </w:p>
        </w:tc>
        <w:tc>
          <w:tcPr>
            <w:tcW w:w="380" w:type="pct"/>
            <w:vAlign w:val="center"/>
          </w:tcPr>
          <w:p w14:paraId="3FFF5518">
            <w:pPr>
              <w:jc w:val="center"/>
              <w:rPr>
                <w:rFonts w:hint="eastAsia"/>
                <w:b w:val="0"/>
                <w:bCs/>
                <w:color w:val="auto"/>
                <w:szCs w:val="21"/>
                <w:highlight w:val="none"/>
                <w:u w:val="none"/>
                <w:vertAlign w:val="baseline"/>
                <w:lang w:val="zh-CN"/>
              </w:rPr>
            </w:pPr>
          </w:p>
        </w:tc>
        <w:tc>
          <w:tcPr>
            <w:tcW w:w="387" w:type="pct"/>
            <w:vAlign w:val="center"/>
          </w:tcPr>
          <w:p w14:paraId="0C93B94B">
            <w:pPr>
              <w:jc w:val="center"/>
              <w:rPr>
                <w:rFonts w:hint="eastAsia"/>
                <w:b w:val="0"/>
                <w:bCs/>
                <w:color w:val="auto"/>
                <w:szCs w:val="21"/>
                <w:highlight w:val="none"/>
                <w:u w:val="none"/>
                <w:vertAlign w:val="baseline"/>
                <w:lang w:val="zh-CN"/>
              </w:rPr>
            </w:pPr>
          </w:p>
        </w:tc>
        <w:tc>
          <w:tcPr>
            <w:tcW w:w="433" w:type="pct"/>
            <w:vAlign w:val="center"/>
          </w:tcPr>
          <w:p w14:paraId="43F08D28">
            <w:pPr>
              <w:jc w:val="center"/>
              <w:rPr>
                <w:rFonts w:hint="eastAsia"/>
                <w:b w:val="0"/>
                <w:bCs/>
                <w:color w:val="auto"/>
                <w:szCs w:val="21"/>
                <w:highlight w:val="none"/>
                <w:u w:val="none"/>
                <w:vertAlign w:val="baseline"/>
                <w:lang w:val="zh-CN"/>
              </w:rPr>
            </w:pPr>
          </w:p>
        </w:tc>
        <w:tc>
          <w:tcPr>
            <w:tcW w:w="886" w:type="pct"/>
            <w:vAlign w:val="center"/>
          </w:tcPr>
          <w:p w14:paraId="22025CB6">
            <w:pPr>
              <w:jc w:val="center"/>
              <w:rPr>
                <w:rFonts w:hint="eastAsia"/>
                <w:b w:val="0"/>
                <w:bCs/>
                <w:color w:val="auto"/>
                <w:szCs w:val="21"/>
                <w:highlight w:val="none"/>
                <w:u w:val="none"/>
                <w:vertAlign w:val="baseline"/>
                <w:lang w:val="zh-CN"/>
              </w:rPr>
            </w:pPr>
          </w:p>
        </w:tc>
        <w:tc>
          <w:tcPr>
            <w:tcW w:w="369" w:type="pct"/>
            <w:vAlign w:val="center"/>
          </w:tcPr>
          <w:p w14:paraId="3AB5BC9F">
            <w:pPr>
              <w:jc w:val="center"/>
              <w:rPr>
                <w:rFonts w:hint="eastAsia"/>
                <w:b w:val="0"/>
                <w:bCs/>
                <w:color w:val="auto"/>
                <w:szCs w:val="21"/>
                <w:highlight w:val="none"/>
                <w:u w:val="none"/>
                <w:vertAlign w:val="baseline"/>
                <w:lang w:val="zh-CN"/>
              </w:rPr>
            </w:pPr>
          </w:p>
        </w:tc>
        <w:tc>
          <w:tcPr>
            <w:tcW w:w="377" w:type="pct"/>
            <w:vAlign w:val="center"/>
          </w:tcPr>
          <w:p w14:paraId="62DDA3C2">
            <w:pPr>
              <w:jc w:val="center"/>
              <w:rPr>
                <w:rFonts w:hint="eastAsia"/>
                <w:b w:val="0"/>
                <w:bCs/>
                <w:color w:val="auto"/>
                <w:szCs w:val="21"/>
                <w:highlight w:val="none"/>
                <w:u w:val="none"/>
                <w:vertAlign w:val="baseline"/>
                <w:lang w:val="zh-CN"/>
              </w:rPr>
            </w:pPr>
          </w:p>
        </w:tc>
        <w:tc>
          <w:tcPr>
            <w:tcW w:w="562" w:type="pct"/>
            <w:vAlign w:val="center"/>
          </w:tcPr>
          <w:p w14:paraId="703F39B0">
            <w:pPr>
              <w:jc w:val="center"/>
              <w:rPr>
                <w:rFonts w:hint="eastAsia"/>
                <w:b w:val="0"/>
                <w:bCs/>
                <w:color w:val="auto"/>
                <w:szCs w:val="21"/>
                <w:highlight w:val="none"/>
                <w:u w:val="none"/>
                <w:vertAlign w:val="baseline"/>
                <w:lang w:val="zh-CN"/>
              </w:rPr>
            </w:pPr>
          </w:p>
        </w:tc>
        <w:tc>
          <w:tcPr>
            <w:tcW w:w="302" w:type="pct"/>
            <w:vAlign w:val="center"/>
          </w:tcPr>
          <w:p w14:paraId="454AC89A">
            <w:pPr>
              <w:jc w:val="center"/>
              <w:rPr>
                <w:rFonts w:hint="eastAsia"/>
                <w:b w:val="0"/>
                <w:bCs/>
                <w:color w:val="auto"/>
                <w:szCs w:val="21"/>
                <w:highlight w:val="none"/>
                <w:u w:val="none"/>
                <w:vertAlign w:val="baseline"/>
                <w:lang w:val="zh-CN"/>
              </w:rPr>
            </w:pPr>
          </w:p>
        </w:tc>
        <w:tc>
          <w:tcPr>
            <w:tcW w:w="535" w:type="pct"/>
            <w:vAlign w:val="center"/>
          </w:tcPr>
          <w:p w14:paraId="3DE3EDC9">
            <w:pPr>
              <w:jc w:val="center"/>
              <w:rPr>
                <w:rFonts w:hint="eastAsia"/>
                <w:b w:val="0"/>
                <w:bCs/>
                <w:color w:val="auto"/>
                <w:szCs w:val="21"/>
                <w:highlight w:val="none"/>
                <w:u w:val="none"/>
                <w:vertAlign w:val="baseline"/>
                <w:lang w:val="zh-CN"/>
              </w:rPr>
            </w:pPr>
          </w:p>
        </w:tc>
      </w:tr>
      <w:tr w14:paraId="338F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vAlign w:val="center"/>
          </w:tcPr>
          <w:p w14:paraId="288DC270">
            <w:pPr>
              <w:jc w:val="center"/>
              <w:rPr>
                <w:rFonts w:hint="eastAsia" w:eastAsia="宋体"/>
                <w:b w:val="0"/>
                <w:bCs/>
                <w:color w:val="auto"/>
                <w:szCs w:val="21"/>
                <w:highlight w:val="none"/>
                <w:u w:val="none"/>
                <w:vertAlign w:val="baseline"/>
                <w:lang w:val="en-US" w:eastAsia="zh-CN"/>
              </w:rPr>
            </w:pPr>
            <w:r>
              <w:rPr>
                <w:rFonts w:hint="eastAsia"/>
                <w:b w:val="0"/>
                <w:bCs/>
                <w:color w:val="auto"/>
                <w:szCs w:val="21"/>
                <w:highlight w:val="none"/>
                <w:u w:val="none"/>
                <w:vertAlign w:val="baseline"/>
                <w:lang w:val="en-US" w:eastAsia="zh-CN"/>
              </w:rPr>
              <w:t>3</w:t>
            </w:r>
          </w:p>
        </w:tc>
        <w:tc>
          <w:tcPr>
            <w:tcW w:w="409" w:type="pct"/>
            <w:gridSpan w:val="2"/>
            <w:vAlign w:val="center"/>
          </w:tcPr>
          <w:p w14:paraId="296B3553">
            <w:pPr>
              <w:jc w:val="center"/>
              <w:rPr>
                <w:rFonts w:hint="eastAsia"/>
                <w:b w:val="0"/>
                <w:bCs/>
                <w:color w:val="auto"/>
                <w:szCs w:val="21"/>
                <w:highlight w:val="none"/>
                <w:u w:val="none"/>
                <w:vertAlign w:val="baseline"/>
                <w:lang w:val="zh-CN"/>
              </w:rPr>
            </w:pPr>
          </w:p>
        </w:tc>
        <w:tc>
          <w:tcPr>
            <w:tcW w:w="380" w:type="pct"/>
            <w:vAlign w:val="center"/>
          </w:tcPr>
          <w:p w14:paraId="11A9BFBA">
            <w:pPr>
              <w:jc w:val="center"/>
              <w:rPr>
                <w:rFonts w:hint="eastAsia"/>
                <w:b w:val="0"/>
                <w:bCs/>
                <w:color w:val="auto"/>
                <w:szCs w:val="21"/>
                <w:highlight w:val="none"/>
                <w:u w:val="none"/>
                <w:vertAlign w:val="baseline"/>
                <w:lang w:val="zh-CN"/>
              </w:rPr>
            </w:pPr>
          </w:p>
        </w:tc>
        <w:tc>
          <w:tcPr>
            <w:tcW w:w="387" w:type="pct"/>
            <w:vAlign w:val="center"/>
          </w:tcPr>
          <w:p w14:paraId="6D34AAEE">
            <w:pPr>
              <w:jc w:val="center"/>
              <w:rPr>
                <w:rFonts w:hint="eastAsia"/>
                <w:b w:val="0"/>
                <w:bCs/>
                <w:color w:val="auto"/>
                <w:szCs w:val="21"/>
                <w:highlight w:val="none"/>
                <w:u w:val="none"/>
                <w:vertAlign w:val="baseline"/>
                <w:lang w:val="zh-CN"/>
              </w:rPr>
            </w:pPr>
          </w:p>
        </w:tc>
        <w:tc>
          <w:tcPr>
            <w:tcW w:w="433" w:type="pct"/>
            <w:vAlign w:val="center"/>
          </w:tcPr>
          <w:p w14:paraId="1895811B">
            <w:pPr>
              <w:jc w:val="center"/>
              <w:rPr>
                <w:rFonts w:hint="eastAsia"/>
                <w:b w:val="0"/>
                <w:bCs/>
                <w:color w:val="auto"/>
                <w:szCs w:val="21"/>
                <w:highlight w:val="none"/>
                <w:u w:val="none"/>
                <w:vertAlign w:val="baseline"/>
                <w:lang w:val="zh-CN"/>
              </w:rPr>
            </w:pPr>
          </w:p>
        </w:tc>
        <w:tc>
          <w:tcPr>
            <w:tcW w:w="886" w:type="pct"/>
            <w:vAlign w:val="center"/>
          </w:tcPr>
          <w:p w14:paraId="4765FF03">
            <w:pPr>
              <w:jc w:val="center"/>
              <w:rPr>
                <w:rFonts w:hint="eastAsia"/>
                <w:b w:val="0"/>
                <w:bCs/>
                <w:color w:val="auto"/>
                <w:szCs w:val="21"/>
                <w:highlight w:val="none"/>
                <w:u w:val="none"/>
                <w:vertAlign w:val="baseline"/>
                <w:lang w:val="zh-CN"/>
              </w:rPr>
            </w:pPr>
          </w:p>
        </w:tc>
        <w:tc>
          <w:tcPr>
            <w:tcW w:w="369" w:type="pct"/>
            <w:vAlign w:val="center"/>
          </w:tcPr>
          <w:p w14:paraId="451E27CA">
            <w:pPr>
              <w:jc w:val="center"/>
              <w:rPr>
                <w:rFonts w:hint="eastAsia"/>
                <w:b w:val="0"/>
                <w:bCs/>
                <w:color w:val="auto"/>
                <w:szCs w:val="21"/>
                <w:highlight w:val="none"/>
                <w:u w:val="none"/>
                <w:vertAlign w:val="baseline"/>
                <w:lang w:val="zh-CN"/>
              </w:rPr>
            </w:pPr>
          </w:p>
        </w:tc>
        <w:tc>
          <w:tcPr>
            <w:tcW w:w="377" w:type="pct"/>
            <w:vAlign w:val="center"/>
          </w:tcPr>
          <w:p w14:paraId="1030805C">
            <w:pPr>
              <w:jc w:val="center"/>
              <w:rPr>
                <w:rFonts w:hint="eastAsia"/>
                <w:b w:val="0"/>
                <w:bCs/>
                <w:color w:val="auto"/>
                <w:szCs w:val="21"/>
                <w:highlight w:val="none"/>
                <w:u w:val="none"/>
                <w:vertAlign w:val="baseline"/>
                <w:lang w:val="zh-CN"/>
              </w:rPr>
            </w:pPr>
          </w:p>
        </w:tc>
        <w:tc>
          <w:tcPr>
            <w:tcW w:w="562" w:type="pct"/>
            <w:vAlign w:val="center"/>
          </w:tcPr>
          <w:p w14:paraId="03FD13FA">
            <w:pPr>
              <w:jc w:val="center"/>
              <w:rPr>
                <w:rFonts w:hint="eastAsia"/>
                <w:b w:val="0"/>
                <w:bCs/>
                <w:color w:val="auto"/>
                <w:szCs w:val="21"/>
                <w:highlight w:val="none"/>
                <w:u w:val="none"/>
                <w:vertAlign w:val="baseline"/>
                <w:lang w:val="zh-CN"/>
              </w:rPr>
            </w:pPr>
          </w:p>
        </w:tc>
        <w:tc>
          <w:tcPr>
            <w:tcW w:w="302" w:type="pct"/>
            <w:vAlign w:val="center"/>
          </w:tcPr>
          <w:p w14:paraId="16B2BB13">
            <w:pPr>
              <w:jc w:val="center"/>
              <w:rPr>
                <w:rFonts w:hint="eastAsia"/>
                <w:b w:val="0"/>
                <w:bCs/>
                <w:color w:val="auto"/>
                <w:szCs w:val="21"/>
                <w:highlight w:val="none"/>
                <w:u w:val="none"/>
                <w:vertAlign w:val="baseline"/>
                <w:lang w:val="zh-CN"/>
              </w:rPr>
            </w:pPr>
          </w:p>
        </w:tc>
        <w:tc>
          <w:tcPr>
            <w:tcW w:w="535" w:type="pct"/>
            <w:vAlign w:val="center"/>
          </w:tcPr>
          <w:p w14:paraId="568E139E">
            <w:pPr>
              <w:jc w:val="center"/>
              <w:rPr>
                <w:rFonts w:hint="eastAsia"/>
                <w:b w:val="0"/>
                <w:bCs/>
                <w:color w:val="auto"/>
                <w:szCs w:val="21"/>
                <w:highlight w:val="none"/>
                <w:u w:val="none"/>
                <w:vertAlign w:val="baseline"/>
                <w:lang w:val="zh-CN"/>
              </w:rPr>
            </w:pPr>
          </w:p>
        </w:tc>
      </w:tr>
      <w:tr w14:paraId="42C3E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vAlign w:val="center"/>
          </w:tcPr>
          <w:p w14:paraId="0C125950">
            <w:pPr>
              <w:jc w:val="center"/>
              <w:rPr>
                <w:rFonts w:hint="default"/>
                <w:b w:val="0"/>
                <w:bCs/>
                <w:color w:val="auto"/>
                <w:szCs w:val="21"/>
                <w:highlight w:val="none"/>
                <w:u w:val="none"/>
                <w:vertAlign w:val="baseline"/>
                <w:lang w:val="en-US" w:eastAsia="zh-CN"/>
              </w:rPr>
            </w:pPr>
            <w:r>
              <w:rPr>
                <w:rFonts w:hint="eastAsia"/>
                <w:b w:val="0"/>
                <w:bCs/>
                <w:color w:val="auto"/>
                <w:szCs w:val="21"/>
                <w:highlight w:val="none"/>
                <w:u w:val="none"/>
                <w:vertAlign w:val="baseline"/>
                <w:lang w:val="en-US" w:eastAsia="zh-CN"/>
              </w:rPr>
              <w:t>4</w:t>
            </w:r>
          </w:p>
        </w:tc>
        <w:tc>
          <w:tcPr>
            <w:tcW w:w="409" w:type="pct"/>
            <w:gridSpan w:val="2"/>
            <w:vAlign w:val="center"/>
          </w:tcPr>
          <w:p w14:paraId="15DAFE63">
            <w:pPr>
              <w:jc w:val="center"/>
              <w:rPr>
                <w:rFonts w:hint="eastAsia"/>
                <w:b w:val="0"/>
                <w:bCs/>
                <w:color w:val="auto"/>
                <w:szCs w:val="21"/>
                <w:highlight w:val="none"/>
                <w:u w:val="none"/>
                <w:vertAlign w:val="baseline"/>
                <w:lang w:val="zh-CN"/>
              </w:rPr>
            </w:pPr>
          </w:p>
        </w:tc>
        <w:tc>
          <w:tcPr>
            <w:tcW w:w="380" w:type="pct"/>
            <w:vAlign w:val="center"/>
          </w:tcPr>
          <w:p w14:paraId="2B09F9F1">
            <w:pPr>
              <w:jc w:val="center"/>
              <w:rPr>
                <w:rFonts w:hint="eastAsia"/>
                <w:b w:val="0"/>
                <w:bCs/>
                <w:color w:val="auto"/>
                <w:szCs w:val="21"/>
                <w:highlight w:val="none"/>
                <w:u w:val="none"/>
                <w:vertAlign w:val="baseline"/>
                <w:lang w:val="zh-CN"/>
              </w:rPr>
            </w:pPr>
          </w:p>
        </w:tc>
        <w:tc>
          <w:tcPr>
            <w:tcW w:w="387" w:type="pct"/>
            <w:vAlign w:val="center"/>
          </w:tcPr>
          <w:p w14:paraId="4CDA23AB">
            <w:pPr>
              <w:jc w:val="center"/>
              <w:rPr>
                <w:rFonts w:hint="eastAsia"/>
                <w:b w:val="0"/>
                <w:bCs/>
                <w:color w:val="auto"/>
                <w:szCs w:val="21"/>
                <w:highlight w:val="none"/>
                <w:u w:val="none"/>
                <w:vertAlign w:val="baseline"/>
                <w:lang w:val="zh-CN"/>
              </w:rPr>
            </w:pPr>
          </w:p>
        </w:tc>
        <w:tc>
          <w:tcPr>
            <w:tcW w:w="433" w:type="pct"/>
            <w:vAlign w:val="center"/>
          </w:tcPr>
          <w:p w14:paraId="0950F184">
            <w:pPr>
              <w:jc w:val="center"/>
              <w:rPr>
                <w:rFonts w:hint="eastAsia"/>
                <w:b w:val="0"/>
                <w:bCs/>
                <w:color w:val="auto"/>
                <w:szCs w:val="21"/>
                <w:highlight w:val="none"/>
                <w:u w:val="none"/>
                <w:vertAlign w:val="baseline"/>
                <w:lang w:val="zh-CN"/>
              </w:rPr>
            </w:pPr>
          </w:p>
        </w:tc>
        <w:tc>
          <w:tcPr>
            <w:tcW w:w="886" w:type="pct"/>
            <w:vAlign w:val="center"/>
          </w:tcPr>
          <w:p w14:paraId="7741B4AD">
            <w:pPr>
              <w:jc w:val="center"/>
              <w:rPr>
                <w:rFonts w:hint="eastAsia"/>
                <w:b w:val="0"/>
                <w:bCs/>
                <w:color w:val="auto"/>
                <w:szCs w:val="21"/>
                <w:highlight w:val="none"/>
                <w:u w:val="none"/>
                <w:vertAlign w:val="baseline"/>
                <w:lang w:val="zh-CN"/>
              </w:rPr>
            </w:pPr>
          </w:p>
        </w:tc>
        <w:tc>
          <w:tcPr>
            <w:tcW w:w="369" w:type="pct"/>
            <w:vAlign w:val="center"/>
          </w:tcPr>
          <w:p w14:paraId="7B9E34C6">
            <w:pPr>
              <w:jc w:val="center"/>
              <w:rPr>
                <w:rFonts w:hint="eastAsia"/>
                <w:b w:val="0"/>
                <w:bCs/>
                <w:color w:val="auto"/>
                <w:szCs w:val="21"/>
                <w:highlight w:val="none"/>
                <w:u w:val="none"/>
                <w:vertAlign w:val="baseline"/>
                <w:lang w:val="zh-CN"/>
              </w:rPr>
            </w:pPr>
          </w:p>
        </w:tc>
        <w:tc>
          <w:tcPr>
            <w:tcW w:w="377" w:type="pct"/>
            <w:vAlign w:val="center"/>
          </w:tcPr>
          <w:p w14:paraId="16246DFE">
            <w:pPr>
              <w:jc w:val="center"/>
              <w:rPr>
                <w:rFonts w:hint="eastAsia"/>
                <w:b w:val="0"/>
                <w:bCs/>
                <w:color w:val="auto"/>
                <w:szCs w:val="21"/>
                <w:highlight w:val="none"/>
                <w:u w:val="none"/>
                <w:vertAlign w:val="baseline"/>
                <w:lang w:val="zh-CN"/>
              </w:rPr>
            </w:pPr>
          </w:p>
        </w:tc>
        <w:tc>
          <w:tcPr>
            <w:tcW w:w="562" w:type="pct"/>
            <w:vAlign w:val="center"/>
          </w:tcPr>
          <w:p w14:paraId="667E660E">
            <w:pPr>
              <w:jc w:val="center"/>
              <w:rPr>
                <w:rFonts w:hint="eastAsia"/>
                <w:b w:val="0"/>
                <w:bCs/>
                <w:color w:val="auto"/>
                <w:szCs w:val="21"/>
                <w:highlight w:val="none"/>
                <w:u w:val="none"/>
                <w:vertAlign w:val="baseline"/>
                <w:lang w:val="zh-CN"/>
              </w:rPr>
            </w:pPr>
          </w:p>
        </w:tc>
        <w:tc>
          <w:tcPr>
            <w:tcW w:w="302" w:type="pct"/>
            <w:vAlign w:val="center"/>
          </w:tcPr>
          <w:p w14:paraId="0AB67270">
            <w:pPr>
              <w:jc w:val="center"/>
              <w:rPr>
                <w:rFonts w:hint="eastAsia"/>
                <w:b w:val="0"/>
                <w:bCs/>
                <w:color w:val="auto"/>
                <w:szCs w:val="21"/>
                <w:highlight w:val="none"/>
                <w:u w:val="none"/>
                <w:vertAlign w:val="baseline"/>
                <w:lang w:val="zh-CN"/>
              </w:rPr>
            </w:pPr>
          </w:p>
        </w:tc>
        <w:tc>
          <w:tcPr>
            <w:tcW w:w="535" w:type="pct"/>
            <w:vAlign w:val="center"/>
          </w:tcPr>
          <w:p w14:paraId="2CD8830B">
            <w:pPr>
              <w:jc w:val="center"/>
              <w:rPr>
                <w:rFonts w:hint="eastAsia"/>
                <w:b w:val="0"/>
                <w:bCs/>
                <w:color w:val="auto"/>
                <w:szCs w:val="21"/>
                <w:highlight w:val="none"/>
                <w:u w:val="none"/>
                <w:vertAlign w:val="baseline"/>
                <w:lang w:val="zh-CN"/>
              </w:rPr>
            </w:pPr>
          </w:p>
        </w:tc>
      </w:tr>
      <w:tr w14:paraId="5D11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vAlign w:val="center"/>
          </w:tcPr>
          <w:p w14:paraId="6CAC30B4">
            <w:pPr>
              <w:jc w:val="center"/>
              <w:rPr>
                <w:rFonts w:hint="default"/>
                <w:b w:val="0"/>
                <w:bCs/>
                <w:color w:val="auto"/>
                <w:szCs w:val="21"/>
                <w:highlight w:val="none"/>
                <w:u w:val="none"/>
                <w:vertAlign w:val="baseline"/>
                <w:lang w:val="en-US" w:eastAsia="zh-CN"/>
              </w:rPr>
            </w:pPr>
            <w:r>
              <w:rPr>
                <w:rFonts w:hint="eastAsia"/>
                <w:b w:val="0"/>
                <w:bCs/>
                <w:color w:val="auto"/>
                <w:szCs w:val="21"/>
                <w:highlight w:val="none"/>
                <w:u w:val="none"/>
                <w:vertAlign w:val="baseline"/>
                <w:lang w:val="en-US" w:eastAsia="zh-CN"/>
              </w:rPr>
              <w:t>5</w:t>
            </w:r>
          </w:p>
        </w:tc>
        <w:tc>
          <w:tcPr>
            <w:tcW w:w="409" w:type="pct"/>
            <w:gridSpan w:val="2"/>
            <w:vAlign w:val="center"/>
          </w:tcPr>
          <w:p w14:paraId="3FB10D43">
            <w:pPr>
              <w:jc w:val="center"/>
              <w:rPr>
                <w:rFonts w:hint="eastAsia"/>
                <w:b w:val="0"/>
                <w:bCs/>
                <w:color w:val="auto"/>
                <w:szCs w:val="21"/>
                <w:highlight w:val="none"/>
                <w:u w:val="none"/>
                <w:vertAlign w:val="baseline"/>
                <w:lang w:val="zh-CN"/>
              </w:rPr>
            </w:pPr>
          </w:p>
        </w:tc>
        <w:tc>
          <w:tcPr>
            <w:tcW w:w="380" w:type="pct"/>
            <w:vAlign w:val="center"/>
          </w:tcPr>
          <w:p w14:paraId="7E5FEF86">
            <w:pPr>
              <w:jc w:val="center"/>
              <w:rPr>
                <w:rFonts w:hint="eastAsia"/>
                <w:b w:val="0"/>
                <w:bCs/>
                <w:color w:val="auto"/>
                <w:szCs w:val="21"/>
                <w:highlight w:val="none"/>
                <w:u w:val="none"/>
                <w:vertAlign w:val="baseline"/>
                <w:lang w:val="zh-CN"/>
              </w:rPr>
            </w:pPr>
          </w:p>
        </w:tc>
        <w:tc>
          <w:tcPr>
            <w:tcW w:w="387" w:type="pct"/>
            <w:vAlign w:val="center"/>
          </w:tcPr>
          <w:p w14:paraId="0DB29551">
            <w:pPr>
              <w:jc w:val="center"/>
              <w:rPr>
                <w:rFonts w:hint="eastAsia"/>
                <w:b w:val="0"/>
                <w:bCs/>
                <w:color w:val="auto"/>
                <w:szCs w:val="21"/>
                <w:highlight w:val="none"/>
                <w:u w:val="none"/>
                <w:vertAlign w:val="baseline"/>
                <w:lang w:val="zh-CN"/>
              </w:rPr>
            </w:pPr>
          </w:p>
        </w:tc>
        <w:tc>
          <w:tcPr>
            <w:tcW w:w="433" w:type="pct"/>
            <w:vAlign w:val="center"/>
          </w:tcPr>
          <w:p w14:paraId="060CA4CC">
            <w:pPr>
              <w:jc w:val="center"/>
              <w:rPr>
                <w:rFonts w:hint="eastAsia"/>
                <w:b w:val="0"/>
                <w:bCs/>
                <w:color w:val="auto"/>
                <w:szCs w:val="21"/>
                <w:highlight w:val="none"/>
                <w:u w:val="none"/>
                <w:vertAlign w:val="baseline"/>
                <w:lang w:val="zh-CN"/>
              </w:rPr>
            </w:pPr>
          </w:p>
        </w:tc>
        <w:tc>
          <w:tcPr>
            <w:tcW w:w="886" w:type="pct"/>
            <w:vAlign w:val="center"/>
          </w:tcPr>
          <w:p w14:paraId="1B25BEDC">
            <w:pPr>
              <w:jc w:val="center"/>
              <w:rPr>
                <w:rFonts w:hint="eastAsia"/>
                <w:b w:val="0"/>
                <w:bCs/>
                <w:color w:val="auto"/>
                <w:szCs w:val="21"/>
                <w:highlight w:val="none"/>
                <w:u w:val="none"/>
                <w:vertAlign w:val="baseline"/>
                <w:lang w:val="zh-CN"/>
              </w:rPr>
            </w:pPr>
          </w:p>
        </w:tc>
        <w:tc>
          <w:tcPr>
            <w:tcW w:w="369" w:type="pct"/>
            <w:vAlign w:val="center"/>
          </w:tcPr>
          <w:p w14:paraId="32BA0DB2">
            <w:pPr>
              <w:jc w:val="center"/>
              <w:rPr>
                <w:rFonts w:hint="eastAsia"/>
                <w:b w:val="0"/>
                <w:bCs/>
                <w:color w:val="auto"/>
                <w:szCs w:val="21"/>
                <w:highlight w:val="none"/>
                <w:u w:val="none"/>
                <w:vertAlign w:val="baseline"/>
                <w:lang w:val="zh-CN"/>
              </w:rPr>
            </w:pPr>
          </w:p>
        </w:tc>
        <w:tc>
          <w:tcPr>
            <w:tcW w:w="377" w:type="pct"/>
            <w:vAlign w:val="center"/>
          </w:tcPr>
          <w:p w14:paraId="2C65F4A3">
            <w:pPr>
              <w:jc w:val="center"/>
              <w:rPr>
                <w:rFonts w:hint="eastAsia"/>
                <w:b w:val="0"/>
                <w:bCs/>
                <w:color w:val="auto"/>
                <w:szCs w:val="21"/>
                <w:highlight w:val="none"/>
                <w:u w:val="none"/>
                <w:vertAlign w:val="baseline"/>
                <w:lang w:val="zh-CN"/>
              </w:rPr>
            </w:pPr>
          </w:p>
        </w:tc>
        <w:tc>
          <w:tcPr>
            <w:tcW w:w="562" w:type="pct"/>
            <w:vAlign w:val="center"/>
          </w:tcPr>
          <w:p w14:paraId="26EF7EA0">
            <w:pPr>
              <w:jc w:val="center"/>
              <w:rPr>
                <w:rFonts w:hint="eastAsia"/>
                <w:b w:val="0"/>
                <w:bCs/>
                <w:color w:val="auto"/>
                <w:szCs w:val="21"/>
                <w:highlight w:val="none"/>
                <w:u w:val="none"/>
                <w:vertAlign w:val="baseline"/>
                <w:lang w:val="zh-CN"/>
              </w:rPr>
            </w:pPr>
          </w:p>
        </w:tc>
        <w:tc>
          <w:tcPr>
            <w:tcW w:w="302" w:type="pct"/>
            <w:vAlign w:val="center"/>
          </w:tcPr>
          <w:p w14:paraId="00B89591">
            <w:pPr>
              <w:jc w:val="center"/>
              <w:rPr>
                <w:rFonts w:hint="eastAsia"/>
                <w:b w:val="0"/>
                <w:bCs/>
                <w:color w:val="auto"/>
                <w:szCs w:val="21"/>
                <w:highlight w:val="none"/>
                <w:u w:val="none"/>
                <w:vertAlign w:val="baseline"/>
                <w:lang w:val="zh-CN"/>
              </w:rPr>
            </w:pPr>
          </w:p>
        </w:tc>
        <w:tc>
          <w:tcPr>
            <w:tcW w:w="535" w:type="pct"/>
            <w:vAlign w:val="center"/>
          </w:tcPr>
          <w:p w14:paraId="54182B1F">
            <w:pPr>
              <w:jc w:val="center"/>
              <w:rPr>
                <w:rFonts w:hint="eastAsia"/>
                <w:b w:val="0"/>
                <w:bCs/>
                <w:color w:val="auto"/>
                <w:szCs w:val="21"/>
                <w:highlight w:val="none"/>
                <w:u w:val="none"/>
                <w:vertAlign w:val="baseline"/>
                <w:lang w:val="zh-CN"/>
              </w:rPr>
            </w:pPr>
          </w:p>
        </w:tc>
      </w:tr>
      <w:tr w14:paraId="301DE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vAlign w:val="center"/>
          </w:tcPr>
          <w:p w14:paraId="7EA94A24">
            <w:pPr>
              <w:jc w:val="center"/>
              <w:rPr>
                <w:rFonts w:hint="default"/>
                <w:b w:val="0"/>
                <w:bCs/>
                <w:color w:val="auto"/>
                <w:szCs w:val="21"/>
                <w:highlight w:val="none"/>
                <w:u w:val="none"/>
                <w:vertAlign w:val="baseline"/>
                <w:lang w:val="en-US" w:eastAsia="zh-CN"/>
              </w:rPr>
            </w:pPr>
            <w:r>
              <w:rPr>
                <w:rFonts w:hint="eastAsia"/>
                <w:b w:val="0"/>
                <w:bCs/>
                <w:color w:val="auto"/>
                <w:szCs w:val="21"/>
                <w:highlight w:val="none"/>
                <w:u w:val="none"/>
                <w:vertAlign w:val="baseline"/>
                <w:lang w:val="en-US" w:eastAsia="zh-CN"/>
              </w:rPr>
              <w:t>6</w:t>
            </w:r>
          </w:p>
        </w:tc>
        <w:tc>
          <w:tcPr>
            <w:tcW w:w="409" w:type="pct"/>
            <w:gridSpan w:val="2"/>
            <w:vAlign w:val="center"/>
          </w:tcPr>
          <w:p w14:paraId="3B5CDE55">
            <w:pPr>
              <w:jc w:val="center"/>
              <w:rPr>
                <w:rFonts w:hint="eastAsia"/>
                <w:b w:val="0"/>
                <w:bCs/>
                <w:color w:val="auto"/>
                <w:szCs w:val="21"/>
                <w:highlight w:val="none"/>
                <w:u w:val="none"/>
                <w:vertAlign w:val="baseline"/>
                <w:lang w:val="zh-CN"/>
              </w:rPr>
            </w:pPr>
          </w:p>
        </w:tc>
        <w:tc>
          <w:tcPr>
            <w:tcW w:w="380" w:type="pct"/>
            <w:vAlign w:val="center"/>
          </w:tcPr>
          <w:p w14:paraId="1AB0C36B">
            <w:pPr>
              <w:jc w:val="center"/>
              <w:rPr>
                <w:rFonts w:hint="eastAsia"/>
                <w:b w:val="0"/>
                <w:bCs/>
                <w:color w:val="auto"/>
                <w:szCs w:val="21"/>
                <w:highlight w:val="none"/>
                <w:u w:val="none"/>
                <w:vertAlign w:val="baseline"/>
                <w:lang w:val="zh-CN"/>
              </w:rPr>
            </w:pPr>
          </w:p>
        </w:tc>
        <w:tc>
          <w:tcPr>
            <w:tcW w:w="387" w:type="pct"/>
            <w:vAlign w:val="center"/>
          </w:tcPr>
          <w:p w14:paraId="2F301FFC">
            <w:pPr>
              <w:jc w:val="center"/>
              <w:rPr>
                <w:rFonts w:hint="eastAsia"/>
                <w:b w:val="0"/>
                <w:bCs/>
                <w:color w:val="auto"/>
                <w:szCs w:val="21"/>
                <w:highlight w:val="none"/>
                <w:u w:val="none"/>
                <w:vertAlign w:val="baseline"/>
                <w:lang w:val="zh-CN"/>
              </w:rPr>
            </w:pPr>
          </w:p>
        </w:tc>
        <w:tc>
          <w:tcPr>
            <w:tcW w:w="433" w:type="pct"/>
            <w:vAlign w:val="center"/>
          </w:tcPr>
          <w:p w14:paraId="50F3BC75">
            <w:pPr>
              <w:jc w:val="center"/>
              <w:rPr>
                <w:rFonts w:hint="eastAsia"/>
                <w:b w:val="0"/>
                <w:bCs/>
                <w:color w:val="auto"/>
                <w:szCs w:val="21"/>
                <w:highlight w:val="none"/>
                <w:u w:val="none"/>
                <w:vertAlign w:val="baseline"/>
                <w:lang w:val="zh-CN"/>
              </w:rPr>
            </w:pPr>
          </w:p>
        </w:tc>
        <w:tc>
          <w:tcPr>
            <w:tcW w:w="886" w:type="pct"/>
            <w:vAlign w:val="center"/>
          </w:tcPr>
          <w:p w14:paraId="38450E2E">
            <w:pPr>
              <w:jc w:val="center"/>
              <w:rPr>
                <w:rFonts w:hint="eastAsia"/>
                <w:b w:val="0"/>
                <w:bCs/>
                <w:color w:val="auto"/>
                <w:szCs w:val="21"/>
                <w:highlight w:val="none"/>
                <w:u w:val="none"/>
                <w:vertAlign w:val="baseline"/>
                <w:lang w:val="zh-CN"/>
              </w:rPr>
            </w:pPr>
          </w:p>
        </w:tc>
        <w:tc>
          <w:tcPr>
            <w:tcW w:w="369" w:type="pct"/>
            <w:vAlign w:val="center"/>
          </w:tcPr>
          <w:p w14:paraId="6F2B7F21">
            <w:pPr>
              <w:jc w:val="center"/>
              <w:rPr>
                <w:rFonts w:hint="eastAsia"/>
                <w:b w:val="0"/>
                <w:bCs/>
                <w:color w:val="auto"/>
                <w:szCs w:val="21"/>
                <w:highlight w:val="none"/>
                <w:u w:val="none"/>
                <w:vertAlign w:val="baseline"/>
                <w:lang w:val="zh-CN"/>
              </w:rPr>
            </w:pPr>
          </w:p>
        </w:tc>
        <w:tc>
          <w:tcPr>
            <w:tcW w:w="377" w:type="pct"/>
            <w:vAlign w:val="center"/>
          </w:tcPr>
          <w:p w14:paraId="0734D7CF">
            <w:pPr>
              <w:jc w:val="center"/>
              <w:rPr>
                <w:rFonts w:hint="eastAsia"/>
                <w:b w:val="0"/>
                <w:bCs/>
                <w:color w:val="auto"/>
                <w:szCs w:val="21"/>
                <w:highlight w:val="none"/>
                <w:u w:val="none"/>
                <w:vertAlign w:val="baseline"/>
                <w:lang w:val="zh-CN"/>
              </w:rPr>
            </w:pPr>
          </w:p>
        </w:tc>
        <w:tc>
          <w:tcPr>
            <w:tcW w:w="562" w:type="pct"/>
            <w:vAlign w:val="center"/>
          </w:tcPr>
          <w:p w14:paraId="6B88051D">
            <w:pPr>
              <w:jc w:val="center"/>
              <w:rPr>
                <w:rFonts w:hint="eastAsia"/>
                <w:b w:val="0"/>
                <w:bCs/>
                <w:color w:val="auto"/>
                <w:szCs w:val="21"/>
                <w:highlight w:val="none"/>
                <w:u w:val="none"/>
                <w:vertAlign w:val="baseline"/>
                <w:lang w:val="zh-CN"/>
              </w:rPr>
            </w:pPr>
          </w:p>
        </w:tc>
        <w:tc>
          <w:tcPr>
            <w:tcW w:w="302" w:type="pct"/>
            <w:vAlign w:val="center"/>
          </w:tcPr>
          <w:p w14:paraId="4D587CF2">
            <w:pPr>
              <w:jc w:val="center"/>
              <w:rPr>
                <w:rFonts w:hint="eastAsia"/>
                <w:b w:val="0"/>
                <w:bCs/>
                <w:color w:val="auto"/>
                <w:szCs w:val="21"/>
                <w:highlight w:val="none"/>
                <w:u w:val="none"/>
                <w:vertAlign w:val="baseline"/>
                <w:lang w:val="zh-CN"/>
              </w:rPr>
            </w:pPr>
          </w:p>
        </w:tc>
        <w:tc>
          <w:tcPr>
            <w:tcW w:w="535" w:type="pct"/>
            <w:vAlign w:val="center"/>
          </w:tcPr>
          <w:p w14:paraId="3808F91F">
            <w:pPr>
              <w:jc w:val="center"/>
              <w:rPr>
                <w:rFonts w:hint="eastAsia"/>
                <w:b w:val="0"/>
                <w:bCs/>
                <w:color w:val="auto"/>
                <w:szCs w:val="21"/>
                <w:highlight w:val="none"/>
                <w:u w:val="none"/>
                <w:vertAlign w:val="baseline"/>
                <w:lang w:val="zh-CN"/>
              </w:rPr>
            </w:pPr>
          </w:p>
        </w:tc>
      </w:tr>
      <w:tr w14:paraId="24D4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vAlign w:val="center"/>
          </w:tcPr>
          <w:p w14:paraId="0CA1058F">
            <w:pPr>
              <w:jc w:val="center"/>
              <w:rPr>
                <w:rFonts w:hint="eastAsia"/>
                <w:b w:val="0"/>
                <w:bCs/>
                <w:color w:val="auto"/>
                <w:szCs w:val="21"/>
                <w:highlight w:val="none"/>
                <w:u w:val="none"/>
                <w:vertAlign w:val="baseline"/>
                <w:lang w:val="zh-CN"/>
              </w:rPr>
            </w:pPr>
            <w:r>
              <w:rPr>
                <w:rFonts w:hint="default" w:ascii="Arial" w:hAnsi="Arial" w:cs="Arial"/>
                <w:b w:val="0"/>
                <w:bCs/>
                <w:color w:val="auto"/>
                <w:szCs w:val="21"/>
                <w:highlight w:val="none"/>
                <w:u w:val="none"/>
                <w:vertAlign w:val="baseline"/>
                <w:lang w:val="zh-CN"/>
              </w:rPr>
              <w:t>…</w:t>
            </w:r>
          </w:p>
        </w:tc>
        <w:tc>
          <w:tcPr>
            <w:tcW w:w="409" w:type="pct"/>
            <w:gridSpan w:val="2"/>
            <w:vAlign w:val="center"/>
          </w:tcPr>
          <w:p w14:paraId="07D6C3C7">
            <w:pPr>
              <w:jc w:val="center"/>
              <w:rPr>
                <w:rFonts w:hint="eastAsia"/>
                <w:b w:val="0"/>
                <w:bCs/>
                <w:color w:val="auto"/>
                <w:szCs w:val="21"/>
                <w:highlight w:val="none"/>
                <w:u w:val="none"/>
                <w:vertAlign w:val="baseline"/>
                <w:lang w:val="zh-CN"/>
              </w:rPr>
            </w:pPr>
          </w:p>
        </w:tc>
        <w:tc>
          <w:tcPr>
            <w:tcW w:w="380" w:type="pct"/>
            <w:vAlign w:val="center"/>
          </w:tcPr>
          <w:p w14:paraId="54762713">
            <w:pPr>
              <w:jc w:val="center"/>
              <w:rPr>
                <w:rFonts w:hint="eastAsia"/>
                <w:b w:val="0"/>
                <w:bCs/>
                <w:color w:val="auto"/>
                <w:szCs w:val="21"/>
                <w:highlight w:val="none"/>
                <w:u w:val="none"/>
                <w:vertAlign w:val="baseline"/>
                <w:lang w:val="zh-CN"/>
              </w:rPr>
            </w:pPr>
          </w:p>
        </w:tc>
        <w:tc>
          <w:tcPr>
            <w:tcW w:w="387" w:type="pct"/>
            <w:vAlign w:val="center"/>
          </w:tcPr>
          <w:p w14:paraId="6008D212">
            <w:pPr>
              <w:jc w:val="center"/>
              <w:rPr>
                <w:rFonts w:hint="eastAsia"/>
                <w:b w:val="0"/>
                <w:bCs/>
                <w:color w:val="auto"/>
                <w:szCs w:val="21"/>
                <w:highlight w:val="none"/>
                <w:u w:val="none"/>
                <w:vertAlign w:val="baseline"/>
                <w:lang w:val="zh-CN"/>
              </w:rPr>
            </w:pPr>
          </w:p>
        </w:tc>
        <w:tc>
          <w:tcPr>
            <w:tcW w:w="433" w:type="pct"/>
            <w:vAlign w:val="center"/>
          </w:tcPr>
          <w:p w14:paraId="7BB3E714">
            <w:pPr>
              <w:jc w:val="center"/>
              <w:rPr>
                <w:rFonts w:hint="eastAsia"/>
                <w:b w:val="0"/>
                <w:bCs/>
                <w:color w:val="auto"/>
                <w:szCs w:val="21"/>
                <w:highlight w:val="none"/>
                <w:u w:val="none"/>
                <w:vertAlign w:val="baseline"/>
                <w:lang w:val="zh-CN"/>
              </w:rPr>
            </w:pPr>
          </w:p>
        </w:tc>
        <w:tc>
          <w:tcPr>
            <w:tcW w:w="886" w:type="pct"/>
            <w:vAlign w:val="center"/>
          </w:tcPr>
          <w:p w14:paraId="30E0F0AA">
            <w:pPr>
              <w:jc w:val="center"/>
              <w:rPr>
                <w:rFonts w:hint="eastAsia"/>
                <w:b w:val="0"/>
                <w:bCs/>
                <w:color w:val="auto"/>
                <w:szCs w:val="21"/>
                <w:highlight w:val="none"/>
                <w:u w:val="none"/>
                <w:vertAlign w:val="baseline"/>
                <w:lang w:val="zh-CN"/>
              </w:rPr>
            </w:pPr>
          </w:p>
        </w:tc>
        <w:tc>
          <w:tcPr>
            <w:tcW w:w="369" w:type="pct"/>
            <w:vAlign w:val="center"/>
          </w:tcPr>
          <w:p w14:paraId="0BA52A3E">
            <w:pPr>
              <w:jc w:val="center"/>
              <w:rPr>
                <w:rFonts w:hint="eastAsia"/>
                <w:b w:val="0"/>
                <w:bCs/>
                <w:color w:val="auto"/>
                <w:szCs w:val="21"/>
                <w:highlight w:val="none"/>
                <w:u w:val="none"/>
                <w:vertAlign w:val="baseline"/>
                <w:lang w:val="zh-CN"/>
              </w:rPr>
            </w:pPr>
          </w:p>
        </w:tc>
        <w:tc>
          <w:tcPr>
            <w:tcW w:w="377" w:type="pct"/>
            <w:vAlign w:val="center"/>
          </w:tcPr>
          <w:p w14:paraId="77514C69">
            <w:pPr>
              <w:jc w:val="center"/>
              <w:rPr>
                <w:rFonts w:hint="eastAsia"/>
                <w:b w:val="0"/>
                <w:bCs/>
                <w:color w:val="auto"/>
                <w:szCs w:val="21"/>
                <w:highlight w:val="none"/>
                <w:u w:val="none"/>
                <w:vertAlign w:val="baseline"/>
                <w:lang w:val="zh-CN"/>
              </w:rPr>
            </w:pPr>
          </w:p>
        </w:tc>
        <w:tc>
          <w:tcPr>
            <w:tcW w:w="562" w:type="pct"/>
            <w:vAlign w:val="center"/>
          </w:tcPr>
          <w:p w14:paraId="3C51E7DE">
            <w:pPr>
              <w:jc w:val="center"/>
              <w:rPr>
                <w:rFonts w:hint="eastAsia"/>
                <w:b w:val="0"/>
                <w:bCs/>
                <w:color w:val="auto"/>
                <w:szCs w:val="21"/>
                <w:highlight w:val="none"/>
                <w:u w:val="none"/>
                <w:vertAlign w:val="baseline"/>
                <w:lang w:val="zh-CN"/>
              </w:rPr>
            </w:pPr>
          </w:p>
        </w:tc>
        <w:tc>
          <w:tcPr>
            <w:tcW w:w="302" w:type="pct"/>
            <w:vAlign w:val="center"/>
          </w:tcPr>
          <w:p w14:paraId="1C3D14DE">
            <w:pPr>
              <w:jc w:val="center"/>
              <w:rPr>
                <w:rFonts w:hint="eastAsia"/>
                <w:b w:val="0"/>
                <w:bCs/>
                <w:color w:val="auto"/>
                <w:szCs w:val="21"/>
                <w:highlight w:val="none"/>
                <w:u w:val="none"/>
                <w:vertAlign w:val="baseline"/>
                <w:lang w:val="zh-CN"/>
              </w:rPr>
            </w:pPr>
          </w:p>
        </w:tc>
        <w:tc>
          <w:tcPr>
            <w:tcW w:w="535" w:type="pct"/>
            <w:vAlign w:val="center"/>
          </w:tcPr>
          <w:p w14:paraId="7C3AA4BD">
            <w:pPr>
              <w:jc w:val="center"/>
              <w:rPr>
                <w:rFonts w:hint="eastAsia"/>
                <w:b w:val="0"/>
                <w:bCs/>
                <w:color w:val="auto"/>
                <w:szCs w:val="21"/>
                <w:highlight w:val="none"/>
                <w:u w:val="none"/>
                <w:vertAlign w:val="baseline"/>
                <w:lang w:val="zh-CN"/>
              </w:rPr>
            </w:pPr>
          </w:p>
        </w:tc>
      </w:tr>
      <w:tr w14:paraId="6C254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gridSpan w:val="2"/>
            <w:vAlign w:val="center"/>
          </w:tcPr>
          <w:p w14:paraId="7495CA2D">
            <w:pPr>
              <w:jc w:val="center"/>
              <w:rPr>
                <w:rFonts w:hint="eastAsia"/>
                <w:b w:val="0"/>
                <w:bCs/>
                <w:color w:val="auto"/>
                <w:szCs w:val="21"/>
                <w:highlight w:val="none"/>
                <w:u w:val="none"/>
                <w:vertAlign w:val="baseline"/>
                <w:lang w:val="en-US" w:eastAsia="zh-CN"/>
              </w:rPr>
            </w:pPr>
          </w:p>
        </w:tc>
        <w:tc>
          <w:tcPr>
            <w:tcW w:w="4104" w:type="pct"/>
            <w:gridSpan w:val="9"/>
            <w:vAlign w:val="center"/>
          </w:tcPr>
          <w:p w14:paraId="5FAEC9B0">
            <w:pPr>
              <w:jc w:val="center"/>
              <w:rPr>
                <w:rFonts w:hint="eastAsia" w:eastAsia="宋体"/>
                <w:b w:val="0"/>
                <w:bCs/>
                <w:color w:val="auto"/>
                <w:szCs w:val="21"/>
                <w:highlight w:val="none"/>
                <w:u w:val="none"/>
                <w:vertAlign w:val="baseline"/>
                <w:lang w:val="en-US" w:eastAsia="zh-CN"/>
              </w:rPr>
            </w:pPr>
            <w:r>
              <w:rPr>
                <w:rFonts w:hint="eastAsia"/>
                <w:b w:val="0"/>
                <w:bCs/>
                <w:color w:val="auto"/>
                <w:szCs w:val="21"/>
                <w:highlight w:val="none"/>
                <w:u w:val="none"/>
                <w:vertAlign w:val="baseline"/>
                <w:lang w:val="en-US" w:eastAsia="zh-CN"/>
              </w:rPr>
              <w:t>总价（元）</w:t>
            </w:r>
          </w:p>
        </w:tc>
        <w:tc>
          <w:tcPr>
            <w:tcW w:w="535" w:type="pct"/>
            <w:vAlign w:val="center"/>
          </w:tcPr>
          <w:p w14:paraId="50C5CBA4">
            <w:pPr>
              <w:jc w:val="center"/>
              <w:rPr>
                <w:rFonts w:hint="eastAsia"/>
                <w:b w:val="0"/>
                <w:bCs/>
                <w:color w:val="auto"/>
                <w:szCs w:val="21"/>
                <w:highlight w:val="none"/>
                <w:u w:val="none"/>
                <w:vertAlign w:val="baseline"/>
                <w:lang w:val="zh-CN"/>
              </w:rPr>
            </w:pPr>
          </w:p>
        </w:tc>
      </w:tr>
    </w:tbl>
    <w:p w14:paraId="111A8E1A">
      <w:pPr>
        <w:spacing w:line="300" w:lineRule="auto"/>
        <w:rPr>
          <w:rFonts w:ascii="Arial" w:hAnsi="Arial" w:cs="Arial"/>
          <w:color w:val="auto"/>
          <w:szCs w:val="21"/>
          <w:highlight w:val="none"/>
        </w:rPr>
      </w:pPr>
    </w:p>
    <w:p w14:paraId="51101AF7">
      <w:pPr>
        <w:spacing w:line="300" w:lineRule="auto"/>
        <w:rPr>
          <w:rFonts w:ascii="Arial" w:hAnsi="Arial" w:cs="Arial"/>
          <w:color w:val="auto"/>
          <w:szCs w:val="21"/>
          <w:highlight w:val="none"/>
        </w:rPr>
      </w:pPr>
      <w:r>
        <w:rPr>
          <w:rFonts w:hint="eastAsia" w:ascii="Arial" w:hAnsi="Arial" w:cs="Arial"/>
          <w:color w:val="auto"/>
          <w:szCs w:val="21"/>
          <w:highlight w:val="none"/>
          <w:lang w:val="en-US" w:eastAsia="zh-CN"/>
        </w:rPr>
        <w:t>供应商</w:t>
      </w:r>
      <w:r>
        <w:rPr>
          <w:rFonts w:ascii="Arial" w:hAnsi="Arial" w:cs="Arial"/>
          <w:color w:val="auto"/>
          <w:szCs w:val="21"/>
          <w:highlight w:val="none"/>
        </w:rPr>
        <w:t>名称</w:t>
      </w:r>
      <w:r>
        <w:rPr>
          <w:rFonts w:hint="eastAsia" w:ascii="宋体" w:hAnsi="宋体" w:eastAsia="宋体" w:cs="宋体"/>
          <w:color w:val="auto"/>
          <w:kern w:val="0"/>
          <w:sz w:val="24"/>
          <w:szCs w:val="24"/>
          <w:highlight w:val="none"/>
          <w:lang w:eastAsia="zh-CN"/>
        </w:rPr>
        <w:t>（</w:t>
      </w:r>
      <w:r>
        <w:rPr>
          <w:rFonts w:hint="eastAsia" w:cs="宋体"/>
          <w:color w:val="auto"/>
          <w:kern w:val="0"/>
          <w:sz w:val="24"/>
          <w:szCs w:val="24"/>
          <w:highlight w:val="none"/>
          <w:lang w:eastAsia="zh-CN"/>
        </w:rPr>
        <w:t>公</w:t>
      </w:r>
      <w:r>
        <w:rPr>
          <w:rFonts w:hint="eastAsia" w:ascii="宋体" w:hAnsi="宋体" w:eastAsia="宋体" w:cs="宋体"/>
          <w:color w:val="auto"/>
          <w:kern w:val="0"/>
          <w:sz w:val="24"/>
          <w:szCs w:val="24"/>
          <w:highlight w:val="none"/>
          <w:lang w:eastAsia="zh-CN"/>
        </w:rPr>
        <w:t>章）</w:t>
      </w:r>
      <w:r>
        <w:rPr>
          <w:rFonts w:ascii="Arial" w:hAnsi="Arial" w:cs="Arial"/>
          <w:color w:val="auto"/>
          <w:szCs w:val="21"/>
          <w:highlight w:val="none"/>
        </w:rPr>
        <w:t>：</w:t>
      </w:r>
    </w:p>
    <w:p w14:paraId="2F327AC4">
      <w:pPr>
        <w:spacing w:line="300" w:lineRule="auto"/>
        <w:rPr>
          <w:rFonts w:ascii="Arial" w:hAnsi="Arial" w:cs="Arial"/>
          <w:color w:val="auto"/>
          <w:szCs w:val="21"/>
          <w:highlight w:val="none"/>
        </w:rPr>
      </w:pPr>
      <w:r>
        <w:rPr>
          <w:rFonts w:ascii="Arial" w:hAnsi="Arial" w:cs="Arial"/>
          <w:color w:val="auto"/>
          <w:szCs w:val="21"/>
          <w:highlight w:val="none"/>
        </w:rPr>
        <w:t>日期：</w:t>
      </w:r>
    </w:p>
    <w:p w14:paraId="27628D55">
      <w:pPr>
        <w:spacing w:line="240" w:lineRule="auto"/>
        <w:rPr>
          <w:rFonts w:hint="eastAsia" w:ascii="宋体" w:hAnsi="宋体" w:eastAsia="宋体" w:cs="宋体"/>
          <w:b/>
          <w:color w:val="auto"/>
          <w:sz w:val="24"/>
          <w:szCs w:val="24"/>
          <w:highlight w:val="none"/>
          <w:lang w:eastAsia="zh-CN"/>
        </w:rPr>
      </w:pPr>
    </w:p>
    <w:p w14:paraId="4681585F">
      <w:pPr>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lang w:eastAsia="zh-CN"/>
        </w:rPr>
        <w:t>注：</w:t>
      </w: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按照本表填写的</w:t>
      </w:r>
      <w:r>
        <w:rPr>
          <w:rFonts w:hint="eastAsia" w:cs="宋体"/>
          <w:color w:val="auto"/>
          <w:sz w:val="21"/>
          <w:szCs w:val="21"/>
          <w:highlight w:val="none"/>
          <w:lang w:val="en-US" w:eastAsia="zh-CN"/>
        </w:rPr>
        <w:t>总</w:t>
      </w:r>
      <w:r>
        <w:rPr>
          <w:rFonts w:hint="default" w:ascii="宋体" w:hAnsi="宋体" w:eastAsia="宋体" w:cs="宋体"/>
          <w:color w:val="auto"/>
          <w:sz w:val="21"/>
          <w:szCs w:val="21"/>
          <w:highlight w:val="none"/>
          <w:lang w:val="en-US" w:eastAsia="zh-CN"/>
        </w:rPr>
        <w:t>价填写到</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报价</w:t>
      </w:r>
      <w:r>
        <w:rPr>
          <w:rFonts w:hint="eastAsia" w:ascii="宋体" w:hAnsi="宋体" w:eastAsia="宋体" w:cs="宋体"/>
          <w:color w:val="auto"/>
          <w:sz w:val="21"/>
          <w:szCs w:val="21"/>
          <w:highlight w:val="none"/>
          <w:lang w:val="en-US" w:eastAsia="zh-CN"/>
        </w:rPr>
        <w:t>一览表”</w:t>
      </w:r>
      <w:r>
        <w:rPr>
          <w:rFonts w:hint="default" w:ascii="宋体" w:hAnsi="宋体" w:eastAsia="宋体" w:cs="宋体"/>
          <w:color w:val="auto"/>
          <w:sz w:val="21"/>
          <w:szCs w:val="21"/>
          <w:highlight w:val="none"/>
          <w:lang w:val="en-US" w:eastAsia="zh-CN"/>
        </w:rPr>
        <w:t>中对应的</w:t>
      </w:r>
      <w:r>
        <w:rPr>
          <w:rFonts w:hint="eastAsia" w:cs="宋体"/>
          <w:color w:val="auto"/>
          <w:sz w:val="21"/>
          <w:szCs w:val="21"/>
          <w:highlight w:val="none"/>
          <w:lang w:val="en-US" w:eastAsia="zh-CN"/>
        </w:rPr>
        <w:t>“谈判报价”</w:t>
      </w:r>
      <w:r>
        <w:rPr>
          <w:rFonts w:hint="default" w:ascii="宋体" w:hAnsi="宋体" w:eastAsia="宋体" w:cs="宋体"/>
          <w:color w:val="auto"/>
          <w:sz w:val="21"/>
          <w:szCs w:val="21"/>
          <w:highlight w:val="none"/>
          <w:lang w:val="en-US" w:eastAsia="zh-CN"/>
        </w:rPr>
        <w:t>栏中。</w:t>
      </w:r>
    </w:p>
    <w:p w14:paraId="6B43AF2E">
      <w:pPr>
        <w:spacing w:line="360" w:lineRule="auto"/>
        <w:ind w:firstLine="420" w:firstLineChars="20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表中所列货物为对应本项目需求的全部货物及所需附件购置费、包装费、运输费、人工费、保险费、安装调试费、各种税费、资料费、售后服务费及完成项目应有的全部费用。如有漏项或缺项，供应商承担全部责任。</w:t>
      </w:r>
    </w:p>
    <w:p w14:paraId="06F958A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.表中须明确列出所投产品的</w:t>
      </w:r>
      <w:r>
        <w:rPr>
          <w:rFonts w:hint="eastAsia" w:cs="宋体"/>
          <w:color w:val="auto"/>
          <w:sz w:val="21"/>
          <w:szCs w:val="21"/>
          <w:highlight w:val="none"/>
          <w:lang w:val="en-US" w:eastAsia="zh-CN"/>
        </w:rPr>
        <w:t>分项</w:t>
      </w:r>
      <w:r>
        <w:rPr>
          <w:rFonts w:hint="eastAsia" w:ascii="宋体" w:hAnsi="宋体" w:eastAsia="宋体" w:cs="宋体"/>
          <w:color w:val="auto"/>
          <w:sz w:val="21"/>
          <w:szCs w:val="21"/>
          <w:highlight w:val="none"/>
        </w:rPr>
        <w:t>名称、</w:t>
      </w:r>
      <w:r>
        <w:rPr>
          <w:rFonts w:hint="eastAsia" w:cs="宋体"/>
          <w:color w:val="auto"/>
          <w:sz w:val="21"/>
          <w:szCs w:val="21"/>
          <w:highlight w:val="none"/>
          <w:lang w:val="en-US" w:eastAsia="zh-CN"/>
        </w:rPr>
        <w:t>制造商、</w:t>
      </w:r>
      <w:r>
        <w:rPr>
          <w:rFonts w:hint="eastAsia" w:cs="宋体"/>
          <w:b w:val="0"/>
          <w:bCs/>
          <w:color w:val="auto"/>
          <w:sz w:val="21"/>
          <w:szCs w:val="21"/>
          <w:highlight w:val="none"/>
          <w:lang w:val="en-US" w:eastAsia="zh-CN"/>
        </w:rPr>
        <w:t>产地/国别、</w:t>
      </w:r>
      <w:r>
        <w:rPr>
          <w:rFonts w:hint="eastAsia" w:ascii="宋体" w:hAnsi="宋体" w:eastAsia="宋体" w:cs="宋体"/>
          <w:b w:val="0"/>
          <w:bCs/>
          <w:color w:val="auto"/>
          <w:sz w:val="21"/>
          <w:szCs w:val="21"/>
          <w:highlight w:val="none"/>
          <w:lang w:val="en-US" w:eastAsia="zh-CN"/>
        </w:rPr>
        <w:t>制造商统一社会信用代码</w:t>
      </w:r>
      <w:r>
        <w:rPr>
          <w:rFonts w:hint="eastAsia"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en-US" w:eastAsia="zh-CN"/>
        </w:rPr>
        <w:t>制造商规模</w:t>
      </w:r>
      <w:r>
        <w:rPr>
          <w:rFonts w:hint="eastAsia" w:ascii="宋体" w:hAnsi="宋体" w:eastAsia="宋体" w:cs="宋体"/>
          <w:color w:val="auto"/>
          <w:sz w:val="21"/>
          <w:szCs w:val="21"/>
          <w:highlight w:val="none"/>
        </w:rPr>
        <w:t>品牌、</w:t>
      </w:r>
      <w:r>
        <w:rPr>
          <w:rFonts w:hint="eastAsia" w:cs="宋体"/>
          <w:color w:val="auto"/>
          <w:sz w:val="21"/>
          <w:szCs w:val="21"/>
          <w:highlight w:val="none"/>
          <w:lang w:eastAsia="zh-CN"/>
        </w:rPr>
        <w:t>规格、</w:t>
      </w:r>
      <w:r>
        <w:rPr>
          <w:rFonts w:hint="eastAsia" w:ascii="宋体" w:hAnsi="宋体" w:eastAsia="宋体" w:cs="宋体"/>
          <w:color w:val="auto"/>
          <w:sz w:val="21"/>
          <w:szCs w:val="21"/>
          <w:highlight w:val="none"/>
        </w:rPr>
        <w:t>型号、</w:t>
      </w:r>
      <w:r>
        <w:rPr>
          <w:rFonts w:hint="eastAsia" w:cs="宋体"/>
          <w:color w:val="auto"/>
          <w:sz w:val="21"/>
          <w:szCs w:val="21"/>
          <w:highlight w:val="none"/>
          <w:lang w:eastAsia="zh-CN"/>
        </w:rPr>
        <w:t>单价、数量、</w:t>
      </w:r>
      <w:r>
        <w:rPr>
          <w:rFonts w:hint="eastAsia" w:cs="宋体"/>
          <w:color w:val="auto"/>
          <w:sz w:val="21"/>
          <w:szCs w:val="21"/>
          <w:highlight w:val="none"/>
          <w:lang w:val="en-US" w:eastAsia="zh-CN"/>
        </w:rPr>
        <w:t>合价等</w:t>
      </w:r>
      <w:r>
        <w:rPr>
          <w:rFonts w:hint="eastAsia" w:ascii="宋体" w:hAnsi="宋体" w:eastAsia="宋体" w:cs="宋体"/>
          <w:color w:val="auto"/>
          <w:sz w:val="21"/>
          <w:szCs w:val="21"/>
          <w:highlight w:val="none"/>
        </w:rPr>
        <w:t>，否则可能导致</w:t>
      </w:r>
      <w:r>
        <w:rPr>
          <w:rFonts w:hint="eastAsia" w:ascii="宋体" w:hAnsi="宋体" w:eastAsia="宋体" w:cs="宋体"/>
          <w:b/>
          <w:bCs/>
          <w:color w:val="auto"/>
          <w:sz w:val="21"/>
          <w:szCs w:val="21"/>
          <w:highlight w:val="none"/>
        </w:rPr>
        <w:t>响应无效</w:t>
      </w:r>
      <w:r>
        <w:rPr>
          <w:rFonts w:hint="eastAsia" w:ascii="宋体" w:hAnsi="宋体" w:eastAsia="宋体" w:cs="宋体"/>
          <w:color w:val="auto"/>
          <w:sz w:val="21"/>
          <w:szCs w:val="21"/>
          <w:highlight w:val="none"/>
        </w:rPr>
        <w:t>。</w:t>
      </w:r>
    </w:p>
    <w:p w14:paraId="4DDBE92D">
      <w:pPr>
        <w:rPr>
          <w:rFonts w:hint="eastAsia" w:ascii="宋体" w:hAnsi="宋体" w:eastAsia="宋体" w:cs="宋体"/>
          <w:b w:val="0"/>
          <w:bCs w:val="0"/>
          <w:i w:val="0"/>
          <w:iCs w:val="0"/>
          <w:color w:val="auto"/>
          <w:kern w:val="0"/>
          <w:sz w:val="21"/>
          <w:szCs w:val="21"/>
          <w:highlight w:val="none"/>
          <w:lang w:val="en-US" w:eastAsia="zh-CN" w:bidi="ar"/>
        </w:rPr>
      </w:pPr>
      <w:bookmarkStart w:id="549" w:name="_Toc4379"/>
      <w:r>
        <w:rPr>
          <w:rFonts w:hint="eastAsia" w:ascii="宋体" w:hAnsi="宋体" w:eastAsia="宋体" w:cs="宋体"/>
          <w:b w:val="0"/>
          <w:bCs w:val="0"/>
          <w:i w:val="0"/>
          <w:iCs w:val="0"/>
          <w:color w:val="auto"/>
          <w:kern w:val="0"/>
          <w:sz w:val="21"/>
          <w:szCs w:val="21"/>
          <w:highlight w:val="none"/>
          <w:lang w:val="en-US" w:eastAsia="zh-CN" w:bidi="ar"/>
        </w:rPr>
        <w:br w:type="page"/>
      </w:r>
    </w:p>
    <w:bookmarkEnd w:id="549"/>
    <w:p w14:paraId="478C52C4">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outlineLvl w:val="2"/>
        <w:rPr>
          <w:rFonts w:hint="eastAsia" w:cstheme="majorBidi"/>
          <w:b/>
          <w:bCs/>
          <w:color w:val="auto"/>
          <w:kern w:val="2"/>
          <w:sz w:val="32"/>
          <w:szCs w:val="32"/>
          <w:highlight w:val="none"/>
          <w:lang w:val="en-US" w:eastAsia="zh-CN" w:bidi="ar-SA"/>
        </w:rPr>
      </w:pPr>
      <w:r>
        <w:rPr>
          <w:rFonts w:hint="eastAsia" w:cstheme="majorBidi"/>
          <w:b/>
          <w:bCs/>
          <w:color w:val="auto"/>
          <w:kern w:val="2"/>
          <w:sz w:val="32"/>
          <w:szCs w:val="32"/>
          <w:highlight w:val="none"/>
          <w:lang w:val="en-US" w:eastAsia="zh-CN" w:bidi="ar-SA"/>
        </w:rPr>
        <w:t>三、关于符合本国产品标准的声明函或财政部规定的其他证明文件</w:t>
      </w:r>
    </w:p>
    <w:p w14:paraId="6FF3AA7F">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附件1</w:t>
      </w:r>
    </w:p>
    <w:p w14:paraId="5676474C">
      <w:pPr>
        <w:keepNext w:val="0"/>
        <w:keepLines w:val="0"/>
        <w:widowControl/>
        <w:suppressLineNumbers w:val="0"/>
        <w:ind w:firstLine="482" w:firstLineChars="200"/>
        <w:jc w:val="center"/>
        <w:rPr>
          <w:rFonts w:hint="eastAsia" w:ascii="宋体" w:hAnsi="宋体" w:eastAsia="宋体" w:cs="宋体"/>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（一）</w:t>
      </w:r>
      <w:r>
        <w:rPr>
          <w:rFonts w:hint="eastAsia" w:ascii="宋体" w:hAnsi="宋体" w:eastAsia="宋体" w:cs="宋体"/>
          <w:b/>
          <w:bCs/>
          <w:color w:val="auto"/>
          <w:kern w:val="0"/>
          <w:sz w:val="24"/>
          <w:szCs w:val="24"/>
          <w:highlight w:val="none"/>
          <w:lang w:val="en-US" w:eastAsia="zh-CN" w:bidi="ar"/>
        </w:rPr>
        <w:t>关于符合本国产品标准的声明函</w:t>
      </w:r>
    </w:p>
    <w:p w14:paraId="4E43082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57EC3BE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1，生产厂为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2，厂址为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4在中国境内生产。</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（关键工序）</w:t>
      </w:r>
      <w:r>
        <w:rPr>
          <w:rFonts w:hint="eastAsia" w:ascii="宋体" w:hAnsi="宋体" w:eastAsia="宋体" w:cs="宋体"/>
          <w:color w:val="auto"/>
          <w:kern w:val="0"/>
          <w:sz w:val="21"/>
          <w:szCs w:val="21"/>
          <w:highlight w:val="none"/>
          <w:lang w:val="en-US" w:eastAsia="zh-CN" w:bidi="ar"/>
        </w:rPr>
        <w:t>5在中国境内完成。</w:t>
      </w:r>
    </w:p>
    <w:p w14:paraId="3167887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在中国境内生产。</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的（关键工序）在中国境内完成。</w:t>
      </w:r>
    </w:p>
    <w:p w14:paraId="39D5F96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p w14:paraId="0D9C897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本公司（单位）对上述声明内容的真实性负责。如有虚假，愿承担相应法律责任。</w:t>
      </w:r>
    </w:p>
    <w:p w14:paraId="1ADA7C7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0BFACF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公司（单位）名称（盖章）：　        </w:t>
      </w:r>
    </w:p>
    <w:p w14:paraId="7EB9AE8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  日         </w:t>
      </w:r>
    </w:p>
    <w:p w14:paraId="72A84A28">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p>
    <w:p w14:paraId="3C20D06F">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cs="宋体"/>
          <w:b/>
          <w:bCs/>
          <w:color w:val="auto"/>
          <w:kern w:val="0"/>
          <w:sz w:val="21"/>
          <w:szCs w:val="21"/>
          <w:highlight w:val="none"/>
          <w:lang w:val="en-US" w:eastAsia="zh-CN" w:bidi="ar"/>
        </w:rPr>
        <w:t>注：</w:t>
      </w:r>
      <w:r>
        <w:rPr>
          <w:rFonts w:hint="eastAsia" w:ascii="宋体" w:hAnsi="宋体" w:eastAsia="宋体" w:cs="宋体"/>
          <w:color w:val="auto"/>
          <w:kern w:val="0"/>
          <w:sz w:val="21"/>
          <w:szCs w:val="21"/>
          <w:highlight w:val="none"/>
          <w:lang w:val="en-US" w:eastAsia="zh-CN" w:bidi="ar"/>
        </w:rPr>
        <w:t>1.产品如有型号，请在“产品名称”栏一并填写。</w:t>
      </w:r>
    </w:p>
    <w:p w14:paraId="7826741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2.生产厂名与厂址应与生产厂营业执照载明的相关信息保持一致。</w:t>
      </w:r>
    </w:p>
    <w:p w14:paraId="497E7BB9">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3.该产品的中国境内生产的组件成本占比相关要求实施前，“规定比例”栏可不填，下同。</w:t>
      </w:r>
    </w:p>
    <w:p w14:paraId="509B4ACE">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4.该产品的关键组件要求实施前，“关键组件”栏可不填，下同。</w:t>
      </w:r>
    </w:p>
    <w:p w14:paraId="301AB172">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5.该产品的关键工序要求实施前，“关键工序”栏可不填，下同。</w:t>
      </w:r>
    </w:p>
    <w:p w14:paraId="4AE36C1C">
      <w:pPr>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br w:type="page"/>
      </w:r>
    </w:p>
    <w:p w14:paraId="0F8F4702">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附件2</w:t>
      </w:r>
    </w:p>
    <w:p w14:paraId="6662B597">
      <w:pPr>
        <w:jc w:val="center"/>
        <w:rPr>
          <w:rFonts w:hint="eastAsia" w:ascii="宋体" w:hAnsi="宋体" w:eastAsia="宋体" w:cs="宋体"/>
          <w:b/>
          <w:bCs/>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（二）</w:t>
      </w:r>
      <w:r>
        <w:rPr>
          <w:rFonts w:hint="eastAsia" w:ascii="宋体" w:hAnsi="宋体" w:eastAsia="宋体" w:cs="宋体"/>
          <w:b/>
          <w:bCs/>
          <w:color w:val="auto"/>
          <w:kern w:val="0"/>
          <w:sz w:val="24"/>
          <w:szCs w:val="24"/>
          <w:highlight w:val="none"/>
          <w:lang w:val="en-US" w:eastAsia="zh-CN" w:bidi="ar"/>
        </w:rPr>
        <w:t>本国产品成本占比承诺函</w:t>
      </w:r>
    </w:p>
    <w:p w14:paraId="1E46F03A">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color w:val="auto"/>
          <w:sz w:val="24"/>
          <w:szCs w:val="24"/>
          <w:highlight w:val="none"/>
        </w:rPr>
      </w:pPr>
    </w:p>
    <w:p w14:paraId="58B0E73F">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致:[采购人/采购代理机构名称]</w:t>
      </w:r>
    </w:p>
    <w:p w14:paraId="35665E38">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本单位就参与[项目名称      、编号      ]政府采购项目，郑重承诺如下:</w:t>
      </w:r>
    </w:p>
    <w:p w14:paraId="2F0FA20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本单位为该项目(或采购包)提供的符合本国产品标准的产品成本之和，占所提供全部产品成本之和的比例为</w:t>
      </w:r>
      <w:r>
        <w:rPr>
          <w:rFonts w:hint="eastAsia"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%。本承诺内容真实有效，若存在虚假承诺，愿意承担相应法律责任，放弃中标(成交)资格，并接受政府采购监管部门处罚。</w:t>
      </w:r>
    </w:p>
    <w:p w14:paraId="2FEAB4C6">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191A52">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承诺人(供应商公章):</w:t>
      </w:r>
    </w:p>
    <w:p w14:paraId="492D49FA">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法定代表人或授权代表签字:</w:t>
      </w:r>
    </w:p>
    <w:p w14:paraId="28BE864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w:t>
      </w:r>
    </w:p>
    <w:p w14:paraId="62B3730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49A0CD8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4B4300D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547ADD6E">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E91AD6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C1085A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5ED9EEA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B57883A">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0CC4D55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C5A32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5E3FA7A7">
      <w:pPr>
        <w:keepNext w:val="0"/>
        <w:keepLines w:val="0"/>
        <w:widowControl/>
        <w:suppressLineNumbers w:val="0"/>
        <w:jc w:val="both"/>
        <w:rPr>
          <w:rFonts w:hint="default" w:cs="宋体"/>
          <w:strike w:val="0"/>
          <w:dstrike w:val="0"/>
          <w:color w:val="auto"/>
          <w:kern w:val="0"/>
          <w:sz w:val="21"/>
          <w:szCs w:val="21"/>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r>
        <w:rPr>
          <w:rFonts w:hint="eastAsia" w:ascii="宋体" w:hAnsi="宋体" w:eastAsia="宋体" w:cs="宋体"/>
          <w:b/>
          <w:bCs/>
          <w:strike w:val="0"/>
          <w:dstrike w:val="0"/>
          <w:color w:val="auto"/>
          <w:kern w:val="0"/>
          <w:sz w:val="21"/>
          <w:szCs w:val="21"/>
          <w:highlight w:val="none"/>
          <w:lang w:val="en-US" w:eastAsia="zh-CN" w:bidi="ar"/>
        </w:rPr>
        <w:t>注：</w:t>
      </w:r>
      <w:r>
        <w:rPr>
          <w:rFonts w:hint="eastAsia" w:ascii="宋体" w:hAnsi="宋体" w:eastAsia="宋体" w:cs="宋体"/>
          <w:strike w:val="0"/>
          <w:dstrike w:val="0"/>
          <w:color w:val="auto"/>
          <w:kern w:val="0"/>
          <w:sz w:val="21"/>
          <w:szCs w:val="21"/>
          <w:highlight w:val="none"/>
          <w:lang w:val="en-US" w:eastAsia="zh-CN" w:bidi="ar"/>
        </w:rPr>
        <w:t>若供应商所投产品均符合本国产品标准，且已提供《声明函》，可不填写《承诺函》。</w:t>
      </w:r>
    </w:p>
    <w:p w14:paraId="4AF2D630">
      <w:pPr>
        <w:pStyle w:val="3"/>
        <w:bidi w:val="0"/>
        <w:jc w:val="center"/>
        <w:outlineLvl w:val="1"/>
        <w:rPr>
          <w:rFonts w:hint="eastAsia" w:ascii="宋体" w:hAnsi="宋体" w:eastAsia="宋体" w:cs="宋体"/>
          <w:color w:val="auto"/>
          <w:sz w:val="72"/>
          <w:szCs w:val="72"/>
          <w:highlight w:val="none"/>
          <w:lang w:val="en-US" w:eastAsia="zh-CN"/>
        </w:rPr>
      </w:pPr>
      <w:bookmarkStart w:id="550" w:name="_Toc5283"/>
      <w:r>
        <w:rPr>
          <w:rFonts w:hint="eastAsia" w:ascii="宋体" w:hAnsi="宋体" w:eastAsia="宋体" w:cs="宋体"/>
          <w:color w:val="auto"/>
          <w:sz w:val="72"/>
          <w:szCs w:val="72"/>
          <w:highlight w:val="none"/>
          <w:lang w:val="en-US" w:eastAsia="zh-CN"/>
        </w:rPr>
        <w:t>商务技术文件</w:t>
      </w:r>
      <w:bookmarkEnd w:id="550"/>
    </w:p>
    <w:p w14:paraId="69CDC1D3">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4C52C730"/>
    <w:p w14:paraId="14C1B3A8">
      <w:pPr>
        <w:rPr>
          <w:color w:val="auto"/>
          <w:sz w:val="21"/>
          <w:szCs w:val="21"/>
          <w:highlight w:val="none"/>
        </w:rPr>
      </w:pPr>
    </w:p>
    <w:p w14:paraId="15227E06"/>
    <w:p w14:paraId="41D881B8">
      <w:pPr>
        <w:autoSpaceDE w:val="0"/>
        <w:autoSpaceDN w:val="0"/>
        <w:adjustRightInd w:val="0"/>
        <w:rPr>
          <w:color w:val="auto"/>
          <w:sz w:val="21"/>
          <w:szCs w:val="21"/>
          <w:highlight w:val="none"/>
        </w:rPr>
      </w:pPr>
    </w:p>
    <w:p w14:paraId="1C7F5439">
      <w:pPr>
        <w:autoSpaceDE w:val="0"/>
        <w:autoSpaceDN w:val="0"/>
        <w:adjustRightInd w:val="0"/>
        <w:rPr>
          <w:color w:val="auto"/>
          <w:sz w:val="21"/>
          <w:szCs w:val="21"/>
          <w:highlight w:val="none"/>
        </w:rPr>
      </w:pPr>
    </w:p>
    <w:p w14:paraId="037029E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538909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D86FB53">
      <w:pPr>
        <w:ind w:left="420" w:leftChars="175"/>
        <w:rPr>
          <w:rFonts w:hint="eastAsia" w:ascii="宋体" w:hAnsi="宋体" w:eastAsia="宋体" w:cs="宋体"/>
          <w:color w:val="auto"/>
          <w:sz w:val="36"/>
          <w:szCs w:val="36"/>
          <w:highlight w:val="none"/>
        </w:rPr>
      </w:pPr>
      <w:r>
        <w:rPr>
          <w:rFonts w:hint="eastAsia" w:cs="宋体"/>
          <w:color w:val="auto"/>
          <w:sz w:val="36"/>
          <w:szCs w:val="36"/>
          <w:highlight w:val="none"/>
          <w:lang w:val="en-US" w:eastAsia="zh-CN"/>
        </w:rPr>
        <w:t>供 应 商</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C5E0224">
      <w:pPr>
        <w:jc w:val="center"/>
        <w:rPr>
          <w:rFonts w:ascii="黑体" w:hAnsi="黑体" w:eastAsia="黑体"/>
          <w:color w:val="auto"/>
          <w:sz w:val="32"/>
          <w:szCs w:val="32"/>
          <w:highlight w:val="none"/>
        </w:rPr>
      </w:pPr>
    </w:p>
    <w:p w14:paraId="5C2AEB63">
      <w:pPr>
        <w:rPr>
          <w:color w:val="auto"/>
          <w:highlight w:val="none"/>
          <w:lang w:val="zh-CN"/>
        </w:rPr>
      </w:pPr>
      <w:r>
        <w:rPr>
          <w:color w:val="auto"/>
          <w:highlight w:val="none"/>
          <w:lang w:val="zh-CN"/>
        </w:rPr>
        <w:br w:type="page"/>
      </w:r>
    </w:p>
    <w:p w14:paraId="374BEE88">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outlineLvl w:val="2"/>
        <w:rPr>
          <w:rFonts w:hint="eastAsia" w:eastAsia="宋体" w:asciiTheme="majorHAnsi" w:hAnsiTheme="majorHAnsi" w:cstheme="majorBidi"/>
          <w:b/>
          <w:bCs/>
          <w:color w:val="auto"/>
          <w:kern w:val="2"/>
          <w:sz w:val="32"/>
          <w:szCs w:val="32"/>
          <w:highlight w:val="none"/>
          <w:lang w:val="en-US" w:eastAsia="zh-CN" w:bidi="ar-SA"/>
        </w:rPr>
      </w:pPr>
      <w:bookmarkStart w:id="551" w:name="_Toc155185921"/>
      <w:bookmarkStart w:id="552" w:name="_Toc140132831"/>
      <w:bookmarkStart w:id="553" w:name="_Toc109899489"/>
      <w:bookmarkStart w:id="554" w:name="_Toc109899908"/>
      <w:bookmarkStart w:id="555" w:name="_Toc25402"/>
      <w:bookmarkStart w:id="556" w:name="_Toc4097"/>
      <w:bookmarkStart w:id="557" w:name="_Toc109900327"/>
      <w:bookmarkStart w:id="558" w:name="_Toc3577"/>
      <w:r>
        <w:rPr>
          <w:rFonts w:hint="eastAsia" w:eastAsia="宋体" w:asciiTheme="majorHAnsi" w:hAnsiTheme="majorHAnsi" w:cstheme="majorBidi"/>
          <w:b/>
          <w:bCs/>
          <w:color w:val="auto"/>
          <w:kern w:val="2"/>
          <w:sz w:val="32"/>
          <w:szCs w:val="32"/>
          <w:highlight w:val="none"/>
          <w:lang w:val="en-US" w:eastAsia="zh-CN" w:bidi="ar-SA"/>
        </w:rPr>
        <w:t>一、</w:t>
      </w:r>
      <w:r>
        <w:rPr>
          <w:rFonts w:hint="eastAsia" w:cstheme="majorBidi"/>
          <w:b/>
          <w:bCs/>
          <w:color w:val="auto"/>
          <w:kern w:val="2"/>
          <w:sz w:val="32"/>
          <w:szCs w:val="32"/>
          <w:highlight w:val="none"/>
          <w:lang w:val="en-US" w:eastAsia="zh-CN" w:bidi="ar-SA"/>
        </w:rPr>
        <w:t>响应</w:t>
      </w:r>
      <w:r>
        <w:rPr>
          <w:rFonts w:hint="eastAsia" w:eastAsia="宋体" w:asciiTheme="majorHAnsi" w:hAnsiTheme="majorHAnsi" w:cstheme="majorBidi"/>
          <w:b/>
          <w:bCs/>
          <w:color w:val="auto"/>
          <w:kern w:val="2"/>
          <w:sz w:val="32"/>
          <w:szCs w:val="32"/>
          <w:highlight w:val="none"/>
          <w:lang w:val="en-US" w:eastAsia="zh-CN" w:bidi="ar-SA"/>
        </w:rPr>
        <w:t>函</w:t>
      </w:r>
      <w:bookmarkEnd w:id="551"/>
      <w:bookmarkEnd w:id="552"/>
      <w:bookmarkEnd w:id="553"/>
      <w:bookmarkEnd w:id="554"/>
      <w:bookmarkEnd w:id="555"/>
      <w:bookmarkEnd w:id="556"/>
      <w:bookmarkEnd w:id="557"/>
      <w:bookmarkEnd w:id="558"/>
    </w:p>
    <w:p w14:paraId="0ABD9EA3">
      <w:pPr>
        <w:rPr>
          <w:color w:val="auto"/>
          <w:highlight w:val="none"/>
        </w:rPr>
      </w:pPr>
      <w:r>
        <w:rPr>
          <w:rFonts w:hint="eastAsia"/>
          <w:color w:val="auto"/>
          <w:highlight w:val="none"/>
        </w:rPr>
        <w:t>致：（采购人）</w:t>
      </w:r>
    </w:p>
    <w:p w14:paraId="35C4266A">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竞争性谈判公告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w:t>
      </w:r>
      <w:r>
        <w:rPr>
          <w:rFonts w:hint="eastAsia" w:cs="仿宋_GB2312"/>
          <w:color w:val="auto"/>
          <w:szCs w:val="24"/>
          <w:highlight w:val="none"/>
          <w:lang w:val="en-US" w:eastAsia="zh-CN"/>
        </w:rPr>
        <w:t>供应商</w:t>
      </w:r>
      <w:r>
        <w:rPr>
          <w:rFonts w:hint="eastAsia" w:cs="仿宋_GB2312"/>
          <w:color w:val="auto"/>
          <w:szCs w:val="24"/>
          <w:highlight w:val="none"/>
          <w:u w:val="single"/>
        </w:rPr>
        <w:t>（</w:t>
      </w:r>
      <w:r>
        <w:rPr>
          <w:rFonts w:hint="eastAsia" w:cs="仿宋_GB2312"/>
          <w:color w:val="auto"/>
          <w:szCs w:val="24"/>
          <w:highlight w:val="none"/>
          <w:u w:val="single"/>
          <w:lang w:val="en-US" w:eastAsia="zh-CN"/>
        </w:rPr>
        <w:t>供应商</w:t>
      </w:r>
      <w:r>
        <w:rPr>
          <w:rFonts w:hint="eastAsia" w:cs="仿宋_GB2312"/>
          <w:color w:val="auto"/>
          <w:szCs w:val="24"/>
          <w:highlight w:val="none"/>
          <w:u w:val="single"/>
        </w:rPr>
        <w:t>名称、地址）</w:t>
      </w:r>
      <w:r>
        <w:rPr>
          <w:rFonts w:hint="eastAsia" w:cs="仿宋_GB2312"/>
          <w:color w:val="auto"/>
          <w:szCs w:val="24"/>
          <w:highlight w:val="none"/>
        </w:rPr>
        <w:t>提交下述文件</w:t>
      </w:r>
      <w:r>
        <w:rPr>
          <w:rFonts w:hint="eastAsia" w:cs="仿宋_GB2312"/>
          <w:b/>
          <w:bCs/>
          <w:color w:val="auto"/>
          <w:szCs w:val="24"/>
          <w:highlight w:val="none"/>
        </w:rPr>
        <w:t>：</w:t>
      </w:r>
    </w:p>
    <w:p w14:paraId="31DE4B23">
      <w:pPr>
        <w:spacing w:line="324" w:lineRule="auto"/>
        <w:ind w:firstLine="480" w:firstLineChars="200"/>
        <w:rPr>
          <w:rFonts w:hint="eastAsia" w:cs="Arial"/>
          <w:color w:val="auto"/>
          <w:szCs w:val="24"/>
          <w:highlight w:val="none"/>
          <w:lang w:val="en-US" w:eastAsia="zh-CN"/>
        </w:rPr>
      </w:pPr>
      <w:r>
        <w:rPr>
          <w:rFonts w:hint="eastAsia" w:cs="Arial"/>
          <w:color w:val="auto"/>
          <w:szCs w:val="24"/>
          <w:highlight w:val="none"/>
          <w:lang w:val="en-US" w:eastAsia="zh-CN"/>
        </w:rPr>
        <w:t>1.资格证明文件；</w:t>
      </w:r>
    </w:p>
    <w:p w14:paraId="7E086E9D">
      <w:pPr>
        <w:spacing w:line="324" w:lineRule="auto"/>
        <w:ind w:firstLine="480" w:firstLineChars="200"/>
        <w:rPr>
          <w:rFonts w:hint="eastAsia" w:cs="Arial"/>
          <w:color w:val="auto"/>
          <w:szCs w:val="24"/>
          <w:highlight w:val="none"/>
          <w:lang w:val="en-US" w:eastAsia="zh-CN"/>
        </w:rPr>
      </w:pPr>
      <w:r>
        <w:rPr>
          <w:rFonts w:hint="eastAsia" w:cs="Arial"/>
          <w:color w:val="auto"/>
          <w:szCs w:val="24"/>
          <w:highlight w:val="none"/>
          <w:lang w:val="en-US" w:eastAsia="zh-CN"/>
        </w:rPr>
        <w:t>2.报价文件；</w:t>
      </w:r>
    </w:p>
    <w:p w14:paraId="260B7A8D">
      <w:pPr>
        <w:spacing w:line="324" w:lineRule="auto"/>
        <w:ind w:firstLine="480" w:firstLineChars="200"/>
        <w:rPr>
          <w:rFonts w:hint="default" w:cs="Arial"/>
          <w:color w:val="auto"/>
          <w:szCs w:val="24"/>
          <w:highlight w:val="none"/>
          <w:lang w:val="en-US" w:eastAsia="zh-CN"/>
        </w:rPr>
      </w:pPr>
      <w:r>
        <w:rPr>
          <w:rFonts w:hint="eastAsia" w:cs="Arial"/>
          <w:color w:val="auto"/>
          <w:szCs w:val="24"/>
          <w:highlight w:val="none"/>
          <w:lang w:val="en-US" w:eastAsia="zh-CN"/>
        </w:rPr>
        <w:t>3.商务技术文件。</w:t>
      </w:r>
    </w:p>
    <w:p w14:paraId="2038C573">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7021F25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cs="Arial"/>
          <w:color w:val="auto"/>
          <w:szCs w:val="24"/>
          <w:highlight w:val="none"/>
        </w:rPr>
        <w:t>所附</w:t>
      </w:r>
      <w:r>
        <w:rPr>
          <w:rFonts w:hint="eastAsia" w:cs="Arial"/>
          <w:color w:val="auto"/>
          <w:szCs w:val="24"/>
          <w:highlight w:val="none"/>
          <w:lang w:val="en-US" w:eastAsia="zh-CN"/>
        </w:rPr>
        <w:t>报价一览</w:t>
      </w:r>
      <w:r>
        <w:rPr>
          <w:rFonts w:cs="Arial"/>
          <w:color w:val="auto"/>
          <w:szCs w:val="24"/>
          <w:highlight w:val="none"/>
        </w:rPr>
        <w:t>表中规定的应提交和交付的</w:t>
      </w:r>
      <w:r>
        <w:rPr>
          <w:rFonts w:hint="eastAsia" w:cs="Arial"/>
          <w:color w:val="auto"/>
          <w:szCs w:val="24"/>
          <w:highlight w:val="none"/>
        </w:rPr>
        <w:t>货物</w:t>
      </w:r>
      <w:r>
        <w:rPr>
          <w:rFonts w:cs="Arial"/>
          <w:color w:val="auto"/>
          <w:szCs w:val="24"/>
          <w:highlight w:val="none"/>
        </w:rPr>
        <w:t>和</w:t>
      </w:r>
      <w:r>
        <w:rPr>
          <w:rFonts w:hint="eastAsia" w:cs="Arial"/>
          <w:color w:val="auto"/>
          <w:szCs w:val="24"/>
          <w:highlight w:val="none"/>
          <w:lang w:val="en-US" w:eastAsia="zh-CN"/>
        </w:rPr>
        <w:t>相关</w:t>
      </w:r>
      <w:r>
        <w:rPr>
          <w:rFonts w:cs="Arial"/>
          <w:color w:val="auto"/>
          <w:szCs w:val="24"/>
          <w:highlight w:val="none"/>
        </w:rPr>
        <w:t>服务</w:t>
      </w:r>
      <w:r>
        <w:rPr>
          <w:rFonts w:hint="eastAsia" w:cs="Arial"/>
          <w:color w:val="auto"/>
          <w:szCs w:val="24"/>
          <w:highlight w:val="none"/>
        </w:rPr>
        <w:t>（如有）</w:t>
      </w:r>
      <w:r>
        <w:rPr>
          <w:rFonts w:cs="Arial"/>
          <w:color w:val="auto"/>
          <w:szCs w:val="24"/>
          <w:highlight w:val="none"/>
        </w:rPr>
        <w:t>的</w:t>
      </w:r>
      <w:r>
        <w:rPr>
          <w:rFonts w:hint="eastAsia" w:cs="Arial"/>
          <w:color w:val="auto"/>
          <w:szCs w:val="24"/>
          <w:highlight w:val="none"/>
        </w:rPr>
        <w:t>报价</w:t>
      </w:r>
      <w:r>
        <w:rPr>
          <w:rFonts w:cs="Arial"/>
          <w:color w:val="auto"/>
          <w:szCs w:val="24"/>
          <w:highlight w:val="none"/>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p>
    <w:p w14:paraId="3FF1B405">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w:t>
      </w:r>
      <w:r>
        <w:rPr>
          <w:rFonts w:hint="eastAsia" w:cs="仿宋_GB2312"/>
          <w:color w:val="auto"/>
          <w:szCs w:val="24"/>
          <w:highlight w:val="none"/>
          <w:lang w:val="en-US" w:eastAsia="zh-CN"/>
        </w:rPr>
        <w:t>竞争性谈判</w:t>
      </w:r>
      <w:r>
        <w:rPr>
          <w:rFonts w:cs="Arial"/>
          <w:color w:val="auto"/>
          <w:szCs w:val="24"/>
          <w:highlight w:val="none"/>
        </w:rPr>
        <w:t>文件的规定履行合同责任和义务。</w:t>
      </w:r>
    </w:p>
    <w:p w14:paraId="464D767C">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w:t>
      </w:r>
      <w:r>
        <w:rPr>
          <w:rFonts w:hint="eastAsia" w:cs="仿宋_GB2312"/>
          <w:color w:val="auto"/>
          <w:szCs w:val="24"/>
          <w:highlight w:val="none"/>
          <w:lang w:val="en-US" w:eastAsia="zh-CN"/>
        </w:rPr>
        <w:t>竞争性谈判</w:t>
      </w:r>
      <w:r>
        <w:rPr>
          <w:rFonts w:cs="Arial"/>
          <w:color w:val="auto"/>
          <w:szCs w:val="24"/>
          <w:highlight w:val="none"/>
        </w:rPr>
        <w:t>文件</w:t>
      </w:r>
      <w:r>
        <w:rPr>
          <w:rFonts w:cs="Arial"/>
          <w:i w:val="0"/>
          <w:iCs w:val="0"/>
          <w:color w:val="auto"/>
          <w:szCs w:val="24"/>
          <w:highlight w:val="none"/>
        </w:rPr>
        <w:t>，包括第</w:t>
      </w:r>
      <w:r>
        <w:rPr>
          <w:rFonts w:cs="Arial"/>
          <w:i w:val="0"/>
          <w:iCs w:val="0"/>
          <w:color w:val="auto"/>
          <w:szCs w:val="24"/>
          <w:highlight w:val="none"/>
          <w:u w:val="single"/>
        </w:rPr>
        <w:t>（编号、补遗书）（如果有的话）</w:t>
      </w:r>
      <w:r>
        <w:rPr>
          <w:rFonts w:cs="Arial"/>
          <w:i w:val="0"/>
          <w:iCs w:val="0"/>
          <w:color w:val="auto"/>
          <w:szCs w:val="24"/>
          <w:highlight w:val="none"/>
        </w:rPr>
        <w:t>。我</w:t>
      </w:r>
      <w:r>
        <w:rPr>
          <w:rFonts w:hint="eastAsia" w:cs="Arial"/>
          <w:i w:val="0"/>
          <w:iCs w:val="0"/>
          <w:color w:val="auto"/>
          <w:szCs w:val="24"/>
          <w:highlight w:val="none"/>
        </w:rPr>
        <w:t>方</w:t>
      </w:r>
      <w:r>
        <w:rPr>
          <w:rFonts w:cs="Arial"/>
          <w:i w:val="0"/>
          <w:iCs w:val="0"/>
          <w:color w:val="auto"/>
          <w:szCs w:val="24"/>
          <w:highlight w:val="none"/>
        </w:rPr>
        <w:t>完全理解并同意放弃对这方面有不明及误解的权力。</w:t>
      </w:r>
    </w:p>
    <w:p w14:paraId="70CAE828">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4.</w:t>
      </w:r>
      <w:r>
        <w:rPr>
          <w:rFonts w:hint="eastAsia" w:cs="Arial"/>
          <w:i w:val="0"/>
          <w:iCs w:val="0"/>
          <w:color w:val="auto"/>
          <w:szCs w:val="24"/>
          <w:highlight w:val="none"/>
        </w:rPr>
        <w:t>响应有效期为自提交响应文件的截止之日起</w:t>
      </w:r>
      <w:r>
        <w:rPr>
          <w:rFonts w:hint="eastAsia" w:cs="Arial"/>
          <w:i w:val="0"/>
          <w:iCs w:val="0"/>
          <w:color w:val="auto"/>
          <w:szCs w:val="24"/>
          <w:highlight w:val="none"/>
          <w:u w:val="single"/>
        </w:rPr>
        <w:t xml:space="preserve"> （由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填写）</w:t>
      </w:r>
      <w:r>
        <w:rPr>
          <w:rFonts w:cs="Arial"/>
          <w:i w:val="0"/>
          <w:iCs w:val="0"/>
          <w:color w:val="auto"/>
          <w:szCs w:val="24"/>
          <w:highlight w:val="none"/>
        </w:rPr>
        <w:t>个日历天。</w:t>
      </w:r>
    </w:p>
    <w:p w14:paraId="52EDF2A7">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5.</w:t>
      </w:r>
      <w:r>
        <w:rPr>
          <w:rFonts w:hint="eastAsia" w:cs="Arial"/>
          <w:i w:val="0"/>
          <w:iCs w:val="0"/>
          <w:color w:val="auto"/>
          <w:szCs w:val="24"/>
          <w:highlight w:val="none"/>
        </w:rPr>
        <w:t>我方</w:t>
      </w:r>
      <w:r>
        <w:rPr>
          <w:rFonts w:cs="Arial"/>
          <w:i w:val="0"/>
          <w:iCs w:val="0"/>
          <w:color w:val="auto"/>
          <w:szCs w:val="24"/>
          <w:highlight w:val="none"/>
        </w:rPr>
        <w:t>同意提供按照贵方</w:t>
      </w:r>
      <w:r>
        <w:rPr>
          <w:rFonts w:hint="eastAsia" w:cs="Arial"/>
          <w:i w:val="0"/>
          <w:iCs w:val="0"/>
          <w:color w:val="auto"/>
          <w:szCs w:val="24"/>
          <w:highlight w:val="none"/>
          <w:lang w:val="en-US" w:eastAsia="zh-CN"/>
        </w:rPr>
        <w:t>竞争性谈判</w:t>
      </w:r>
      <w:r>
        <w:rPr>
          <w:rFonts w:hint="eastAsia" w:cs="Arial"/>
          <w:i w:val="0"/>
          <w:iCs w:val="0"/>
          <w:color w:val="auto"/>
          <w:szCs w:val="24"/>
          <w:highlight w:val="none"/>
        </w:rPr>
        <w:t>文件</w:t>
      </w:r>
      <w:r>
        <w:rPr>
          <w:rFonts w:cs="Arial"/>
          <w:i w:val="0"/>
          <w:iCs w:val="0"/>
          <w:color w:val="auto"/>
          <w:szCs w:val="24"/>
          <w:highlight w:val="none"/>
        </w:rPr>
        <w:t>要求的与</w:t>
      </w:r>
      <w:r>
        <w:rPr>
          <w:rFonts w:hint="eastAsia" w:cs="Arial"/>
          <w:i w:val="0"/>
          <w:iCs w:val="0"/>
          <w:color w:val="auto"/>
          <w:szCs w:val="24"/>
          <w:highlight w:val="none"/>
          <w:lang w:val="en-US" w:eastAsia="zh-CN"/>
        </w:rPr>
        <w:t>谈判响应</w:t>
      </w:r>
      <w:r>
        <w:rPr>
          <w:rFonts w:cs="Arial"/>
          <w:i w:val="0"/>
          <w:iCs w:val="0"/>
          <w:color w:val="auto"/>
          <w:szCs w:val="24"/>
          <w:highlight w:val="none"/>
        </w:rPr>
        <w:t>有关的一切数据或资料。</w:t>
      </w:r>
    </w:p>
    <w:p w14:paraId="3CF5A666">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6.</w:t>
      </w:r>
      <w:r>
        <w:rPr>
          <w:rFonts w:hint="eastAsia" w:cs="Arial"/>
          <w:i w:val="0"/>
          <w:iCs w:val="0"/>
          <w:color w:val="auto"/>
          <w:szCs w:val="24"/>
          <w:highlight w:val="none"/>
        </w:rPr>
        <w:t>本项目如由</w:t>
      </w:r>
      <w:r>
        <w:rPr>
          <w:rFonts w:hint="eastAsia" w:cs="Arial"/>
          <w:i w:val="0"/>
          <w:iCs w:val="0"/>
          <w:color w:val="auto"/>
          <w:szCs w:val="24"/>
          <w:highlight w:val="none"/>
          <w:lang w:val="en-US" w:eastAsia="zh-CN"/>
        </w:rPr>
        <w:t>成交</w:t>
      </w:r>
      <w:r>
        <w:rPr>
          <w:rFonts w:hint="eastAsia" w:cs="Arial"/>
          <w:i w:val="0"/>
          <w:iCs w:val="0"/>
          <w:color w:val="auto"/>
          <w:szCs w:val="24"/>
          <w:highlight w:val="none"/>
        </w:rPr>
        <w:t>人支付采购代理服务费，我方同意按</w:t>
      </w:r>
      <w:r>
        <w:rPr>
          <w:rFonts w:hint="eastAsia" w:cs="Arial"/>
          <w:i w:val="0"/>
          <w:iCs w:val="0"/>
          <w:color w:val="auto"/>
          <w:szCs w:val="24"/>
          <w:highlight w:val="none"/>
          <w:lang w:val="en-US" w:eastAsia="zh-CN"/>
        </w:rPr>
        <w:t>供应商</w:t>
      </w:r>
      <w:r>
        <w:rPr>
          <w:rFonts w:hint="eastAsia" w:cs="Arial"/>
          <w:i w:val="0"/>
          <w:iCs w:val="0"/>
          <w:color w:val="auto"/>
          <w:szCs w:val="24"/>
          <w:highlight w:val="none"/>
        </w:rPr>
        <w:t>须知前附表中规定向采购代理机构支付采购代理服务费。</w:t>
      </w:r>
    </w:p>
    <w:p w14:paraId="6A150207">
      <w:pPr>
        <w:numPr>
          <w:ilvl w:val="0"/>
          <w:numId w:val="0"/>
        </w:numPr>
        <w:snapToGrid w:val="0"/>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7.</w:t>
      </w:r>
      <w:r>
        <w:rPr>
          <w:rFonts w:hint="eastAsia" w:cs="Arial"/>
          <w:i w:val="0"/>
          <w:iCs w:val="0"/>
          <w:color w:val="auto"/>
          <w:szCs w:val="24"/>
          <w:highlight w:val="none"/>
        </w:rPr>
        <w:t>重要声明：</w:t>
      </w:r>
    </w:p>
    <w:p w14:paraId="40AFB77A">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1）与我方单位负责人为同一人的其他单位名称：</w:t>
      </w:r>
    </w:p>
    <w:p w14:paraId="409D2F71">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无；</w:t>
      </w:r>
      <w:r>
        <w:rPr>
          <w:rFonts w:hint="eastAsia"/>
          <w:i w:val="0"/>
          <w:iCs w:val="0"/>
          <w:color w:val="auto"/>
          <w:szCs w:val="24"/>
          <w:highlight w:val="none"/>
          <w:lang w:eastAsia="zh-CN"/>
        </w:rPr>
        <w:t>□</w:t>
      </w:r>
      <w:r>
        <w:rPr>
          <w:rFonts w:hint="eastAsia"/>
          <w:i w:val="0"/>
          <w:iCs w:val="0"/>
          <w:color w:val="auto"/>
          <w:szCs w:val="24"/>
          <w:highlight w:val="none"/>
        </w:rPr>
        <w:t>有，具体单位名称为：</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0B2F52C6">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2）与我方存在控股、管理关系的其他单位的名称：</w:t>
      </w:r>
    </w:p>
    <w:p w14:paraId="3BE8BBB8">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无；□有，具体单位名称为： </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1103F8A2">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无；□有，已提供的具体服务内容为： </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4FC84088">
      <w:pPr>
        <w:spacing w:line="324" w:lineRule="auto"/>
        <w:ind w:firstLine="480" w:firstLineChars="200"/>
        <w:rPr>
          <w:color w:val="auto"/>
          <w:szCs w:val="24"/>
          <w:highlight w:val="none"/>
        </w:rPr>
      </w:pPr>
      <w:r>
        <w:rPr>
          <w:rFonts w:hint="eastAsia"/>
          <w:i w:val="0"/>
          <w:iCs w:val="0"/>
          <w:color w:val="auto"/>
          <w:szCs w:val="24"/>
          <w:highlight w:val="none"/>
        </w:rPr>
        <w:t>（备注：以上</w:t>
      </w:r>
      <w:r>
        <w:rPr>
          <w:i w:val="0"/>
          <w:iCs w:val="0"/>
          <w:color w:val="auto"/>
          <w:szCs w:val="24"/>
          <w:highlight w:val="none"/>
        </w:rPr>
        <w:t>3</w:t>
      </w:r>
      <w:r>
        <w:rPr>
          <w:rFonts w:hint="eastAsia"/>
          <w:i w:val="0"/>
          <w:iCs w:val="0"/>
          <w:color w:val="auto"/>
          <w:szCs w:val="24"/>
          <w:highlight w:val="none"/>
        </w:rPr>
        <w:t>项声明，必须如实选择，选中项用</w:t>
      </w:r>
      <w:r>
        <w:rPr>
          <w:rFonts w:hint="eastAsia"/>
          <w:i w:val="0"/>
          <w:iCs w:val="0"/>
          <w:color w:val="auto"/>
          <w:szCs w:val="24"/>
          <w:highlight w:val="none"/>
          <w:lang w:eastAsia="zh-CN"/>
        </w:rPr>
        <w:t>☑</w:t>
      </w:r>
      <w:r>
        <w:rPr>
          <w:rFonts w:hint="eastAsia"/>
          <w:i w:val="0"/>
          <w:iCs w:val="0"/>
          <w:color w:val="auto"/>
          <w:szCs w:val="24"/>
          <w:highlight w:val="none"/>
        </w:rPr>
        <w:t>表示，未选中项</w:t>
      </w:r>
      <w:r>
        <w:rPr>
          <w:rFonts w:hint="eastAsia"/>
          <w:color w:val="auto"/>
          <w:szCs w:val="24"/>
          <w:highlight w:val="none"/>
        </w:rPr>
        <w:t>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color w:val="auto"/>
          <w:szCs w:val="24"/>
          <w:highlight w:val="none"/>
        </w:rPr>
      </w:pPr>
      <w:r>
        <w:rPr>
          <w:rFonts w:hint="eastAsia"/>
          <w:color w:val="auto"/>
          <w:szCs w:val="24"/>
          <w:highlight w:val="none"/>
        </w:rPr>
        <w:t>4）我方在本</w:t>
      </w:r>
      <w:r>
        <w:rPr>
          <w:rFonts w:hint="eastAsia"/>
          <w:color w:val="auto"/>
          <w:szCs w:val="24"/>
          <w:highlight w:val="none"/>
          <w:lang w:val="en-US" w:eastAsia="zh-CN"/>
        </w:rPr>
        <w:t>响应</w:t>
      </w:r>
      <w:r>
        <w:rPr>
          <w:rFonts w:hint="eastAsia"/>
          <w:color w:val="auto"/>
          <w:szCs w:val="24"/>
          <w:highlight w:val="none"/>
        </w:rPr>
        <w:t>文件中所提供的全部资料均真实有效，我方承诺对其真实性负责并承担相应后果。</w:t>
      </w:r>
    </w:p>
    <w:p w14:paraId="5FB2607B">
      <w:pPr>
        <w:snapToGrid w:val="0"/>
        <w:spacing w:line="324" w:lineRule="auto"/>
        <w:ind w:firstLine="480" w:firstLineChars="200"/>
        <w:rPr>
          <w:color w:val="auto"/>
          <w:szCs w:val="24"/>
          <w:highlight w:val="none"/>
        </w:rPr>
      </w:pPr>
      <w:r>
        <w:rPr>
          <w:rFonts w:hint="eastAsia"/>
          <w:color w:val="auto"/>
          <w:szCs w:val="24"/>
          <w:highlight w:val="none"/>
        </w:rPr>
        <w:t>5）我方承诺本《</w:t>
      </w:r>
      <w:r>
        <w:rPr>
          <w:rFonts w:hint="eastAsia"/>
          <w:color w:val="auto"/>
          <w:szCs w:val="24"/>
          <w:highlight w:val="none"/>
          <w:lang w:val="en-US" w:eastAsia="zh-CN"/>
        </w:rPr>
        <w:t>响应</w:t>
      </w:r>
      <w:r>
        <w:rPr>
          <w:rFonts w:hint="eastAsia"/>
          <w:color w:val="auto"/>
          <w:szCs w:val="24"/>
          <w:highlight w:val="none"/>
        </w:rPr>
        <w:t>函》的签章对本</w:t>
      </w:r>
      <w:r>
        <w:rPr>
          <w:rFonts w:hint="eastAsia"/>
          <w:color w:val="auto"/>
          <w:szCs w:val="24"/>
          <w:highlight w:val="none"/>
          <w:lang w:val="en-US" w:eastAsia="zh-CN"/>
        </w:rPr>
        <w:t>响应</w:t>
      </w:r>
      <w:r>
        <w:rPr>
          <w:rFonts w:hint="eastAsia"/>
          <w:color w:val="auto"/>
          <w:szCs w:val="24"/>
          <w:highlight w:val="none"/>
        </w:rPr>
        <w:t>文件全部内容具有约束力并承担法律责任。</w:t>
      </w:r>
    </w:p>
    <w:p w14:paraId="2A195747">
      <w:pPr>
        <w:spacing w:line="300" w:lineRule="auto"/>
        <w:rPr>
          <w:rFonts w:cs="Arial"/>
          <w:color w:val="auto"/>
          <w:szCs w:val="24"/>
          <w:highlight w:val="none"/>
        </w:rPr>
      </w:pPr>
    </w:p>
    <w:p w14:paraId="3F664789">
      <w:pPr>
        <w:spacing w:line="300" w:lineRule="auto"/>
        <w:rPr>
          <w:rFonts w:cs="Arial"/>
          <w:color w:val="auto"/>
          <w:szCs w:val="24"/>
          <w:highlight w:val="none"/>
        </w:rPr>
      </w:pPr>
    </w:p>
    <w:p w14:paraId="6C365FF0">
      <w:pPr>
        <w:spacing w:line="300" w:lineRule="auto"/>
        <w:rPr>
          <w:rFonts w:cs="Arial"/>
          <w:color w:val="auto"/>
          <w:szCs w:val="24"/>
          <w:highlight w:val="none"/>
        </w:rPr>
      </w:pPr>
    </w:p>
    <w:p w14:paraId="2DB608AC">
      <w:pPr>
        <w:autoSpaceDE w:val="0"/>
        <w:autoSpaceDN w:val="0"/>
        <w:adjustRightInd w:val="0"/>
        <w:snapToGrid w:val="0"/>
        <w:ind w:firstLine="480" w:firstLineChars="200"/>
        <w:rPr>
          <w:rFonts w:cs="宋体"/>
          <w:color w:val="auto"/>
          <w:highlight w:val="none"/>
        </w:rPr>
      </w:pPr>
      <w:r>
        <w:rPr>
          <w:rFonts w:hint="eastAsia" w:cs="宋体"/>
          <w:color w:val="auto"/>
          <w:highlight w:val="none"/>
          <w:lang w:val="en-US" w:eastAsia="zh-CN"/>
        </w:rPr>
        <w:t>供应商名称</w:t>
      </w:r>
      <w:r>
        <w:rPr>
          <w:rFonts w:hint="eastAsia" w:cs="宋体"/>
          <w:color w:val="auto"/>
          <w:highlight w:val="none"/>
        </w:rPr>
        <w:t>（公章）：</w:t>
      </w:r>
    </w:p>
    <w:p w14:paraId="1186FA25">
      <w:pPr>
        <w:autoSpaceDE w:val="0"/>
        <w:autoSpaceDN w:val="0"/>
        <w:adjustRightInd w:val="0"/>
        <w:snapToGrid w:val="0"/>
        <w:ind w:firstLine="480" w:firstLineChars="200"/>
        <w:rPr>
          <w:rFonts w:hint="eastAsia" w:cs="宋体"/>
          <w:color w:val="auto"/>
          <w:highlight w:val="none"/>
        </w:rPr>
      </w:pPr>
      <w:r>
        <w:rPr>
          <w:rFonts w:hint="eastAsia" w:cs="宋体"/>
          <w:color w:val="auto"/>
          <w:highlight w:val="none"/>
        </w:rPr>
        <w:t>法定代表人或授权代表</w:t>
      </w:r>
      <w:r>
        <w:rPr>
          <w:rFonts w:hint="eastAsia" w:cs="宋体"/>
          <w:color w:val="auto"/>
          <w:highlight w:val="none"/>
          <w:lang w:eastAsia="zh-CN"/>
        </w:rPr>
        <w:t>（</w:t>
      </w:r>
      <w:r>
        <w:rPr>
          <w:rFonts w:hint="eastAsia" w:cs="宋体"/>
          <w:color w:val="auto"/>
          <w:highlight w:val="none"/>
        </w:rPr>
        <w:t>签字或印章</w:t>
      </w:r>
      <w:r>
        <w:rPr>
          <w:rFonts w:hint="eastAsia" w:cs="宋体"/>
          <w:color w:val="auto"/>
          <w:highlight w:val="none"/>
          <w:lang w:eastAsia="zh-CN"/>
        </w:rPr>
        <w:t>）</w:t>
      </w:r>
      <w:r>
        <w:rPr>
          <w:rFonts w:hint="eastAsia" w:cs="宋体"/>
          <w:color w:val="auto"/>
          <w:highlight w:val="none"/>
        </w:rPr>
        <w:t>：</w:t>
      </w:r>
    </w:p>
    <w:p w14:paraId="4CCC9D16">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268281DA">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0A396883">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63C92097">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6674502E">
      <w:pPr>
        <w:rPr>
          <w:rFonts w:cs="Arial"/>
          <w:color w:val="auto"/>
          <w:szCs w:val="24"/>
          <w:highlight w:val="none"/>
          <w:u w:val="single"/>
        </w:rPr>
      </w:pPr>
    </w:p>
    <w:p w14:paraId="478BFBB8">
      <w:pPr>
        <w:rPr>
          <w:rFonts w:cs="Arial"/>
          <w:color w:val="auto"/>
          <w:szCs w:val="24"/>
          <w:highlight w:val="none"/>
          <w:u w:val="single"/>
        </w:rPr>
      </w:pPr>
      <w:r>
        <w:rPr>
          <w:rFonts w:cs="Arial"/>
          <w:color w:val="auto"/>
          <w:szCs w:val="24"/>
          <w:highlight w:val="none"/>
          <w:u w:val="single"/>
        </w:rPr>
        <w:br w:type="page"/>
      </w:r>
    </w:p>
    <w:p w14:paraId="24B4BD65">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outlineLvl w:val="2"/>
        <w:rPr>
          <w:rFonts w:hint="eastAsia" w:eastAsia="宋体" w:asciiTheme="majorHAnsi" w:hAnsiTheme="majorHAnsi" w:cstheme="majorBidi"/>
          <w:b/>
          <w:bCs/>
          <w:color w:val="auto"/>
          <w:kern w:val="2"/>
          <w:sz w:val="32"/>
          <w:szCs w:val="32"/>
          <w:highlight w:val="none"/>
          <w:lang w:val="en-US" w:eastAsia="zh-CN" w:bidi="ar-SA"/>
        </w:rPr>
      </w:pPr>
      <w:bookmarkStart w:id="559" w:name="_Toc13659"/>
      <w:bookmarkStart w:id="560" w:name="_Toc155185924"/>
      <w:r>
        <w:rPr>
          <w:rFonts w:hint="eastAsia" w:cstheme="majorBidi"/>
          <w:b/>
          <w:bCs/>
          <w:color w:val="auto"/>
          <w:kern w:val="2"/>
          <w:sz w:val="32"/>
          <w:szCs w:val="32"/>
          <w:highlight w:val="none"/>
          <w:lang w:val="en-US" w:eastAsia="zh-CN" w:bidi="ar-SA"/>
        </w:rPr>
        <w:t>二</w:t>
      </w:r>
      <w:r>
        <w:rPr>
          <w:rFonts w:hint="eastAsia" w:eastAsia="宋体" w:asciiTheme="majorHAnsi" w:hAnsiTheme="majorHAnsi" w:cstheme="majorBidi"/>
          <w:b/>
          <w:bCs/>
          <w:color w:val="auto"/>
          <w:kern w:val="2"/>
          <w:sz w:val="32"/>
          <w:szCs w:val="32"/>
          <w:highlight w:val="none"/>
          <w:lang w:val="en-US" w:eastAsia="zh-CN" w:bidi="ar-SA"/>
        </w:rPr>
        <w:t>、法定代表人（单位负责人）身份证明</w:t>
      </w:r>
      <w:bookmarkEnd w:id="559"/>
      <w:bookmarkEnd w:id="560"/>
    </w:p>
    <w:p w14:paraId="46CF1AA3">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3DE52D6F">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1D36B9E0">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38746EB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（供应商名称）的法定代表人（单位负责人）。 </w:t>
      </w:r>
    </w:p>
    <w:p w14:paraId="3B002BC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cs="仿宋_GB2312"/>
          <w:color w:val="auto"/>
          <w:szCs w:val="24"/>
          <w:highlight w:val="none"/>
        </w:rPr>
      </w:pPr>
    </w:p>
    <w:p w14:paraId="473563CD">
      <w:pPr>
        <w:rPr>
          <w:rFonts w:cs="Arial"/>
          <w:color w:val="auto"/>
          <w:sz w:val="21"/>
          <w:szCs w:val="21"/>
          <w:highlight w:val="none"/>
        </w:rPr>
      </w:pPr>
    </w:p>
    <w:tbl>
      <w:tblPr>
        <w:tblStyle w:val="28"/>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1" w:hRule="atLeast"/>
        </w:trPr>
        <w:tc>
          <w:tcPr>
            <w:tcW w:w="8527" w:type="dxa"/>
          </w:tcPr>
          <w:p w14:paraId="4B7B7E19">
            <w:pPr>
              <w:rPr>
                <w:rFonts w:cs="Arial"/>
                <w:color w:val="auto"/>
                <w:highlight w:val="none"/>
              </w:rPr>
            </w:pPr>
          </w:p>
        </w:tc>
      </w:tr>
    </w:tbl>
    <w:p w14:paraId="76B5C725">
      <w:pPr>
        <w:ind w:firstLine="840" w:firstLineChars="350"/>
        <w:jc w:val="center"/>
        <w:rPr>
          <w:rFonts w:cs="Arial"/>
          <w:color w:val="auto"/>
          <w:highlight w:val="none"/>
        </w:rPr>
      </w:pPr>
    </w:p>
    <w:p w14:paraId="4AD74708">
      <w:pPr>
        <w:keepNext w:val="0"/>
        <w:keepLines w:val="0"/>
        <w:widowControl/>
        <w:suppressLineNumbers w:val="0"/>
        <w:jc w:val="left"/>
        <w:rPr>
          <w:color w:val="auto"/>
          <w:highlight w:val="none"/>
        </w:rPr>
      </w:pPr>
      <w:r>
        <w:rPr>
          <w:rFonts w:hint="eastAsia" w:cs="宋体"/>
          <w:color w:val="auto"/>
          <w:kern w:val="0"/>
          <w:sz w:val="24"/>
          <w:szCs w:val="24"/>
          <w:highlight w:val="none"/>
          <w:lang w:val="en-US" w:eastAsia="zh-CN" w:bidi="ar"/>
        </w:rPr>
        <w:t>供应商</w:t>
      </w:r>
      <w:r>
        <w:rPr>
          <w:rFonts w:hint="eastAsia" w:ascii="宋体" w:hAnsi="宋体" w:eastAsia="宋体" w:cs="宋体"/>
          <w:color w:val="auto"/>
          <w:kern w:val="0"/>
          <w:sz w:val="24"/>
          <w:szCs w:val="24"/>
          <w:highlight w:val="none"/>
          <w:lang w:val="en-US" w:eastAsia="zh-CN" w:bidi="ar"/>
        </w:rPr>
        <w:t>名称（加盖公章）：</w:t>
      </w:r>
      <w:r>
        <w:rPr>
          <w:rFonts w:ascii="DejaVuSans" w:hAnsi="DejaVuSans" w:eastAsia="DejaVuSans" w:cs="DejaVuSans"/>
          <w:color w:val="auto"/>
          <w:kern w:val="0"/>
          <w:sz w:val="24"/>
          <w:szCs w:val="24"/>
          <w:highlight w:val="none"/>
          <w:lang w:val="en-US" w:eastAsia="zh-CN" w:bidi="ar"/>
        </w:rPr>
        <w:t xml:space="preserve">________________ </w:t>
      </w:r>
    </w:p>
    <w:p w14:paraId="364A1245">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法定代表人（单位负责人）（签字或签章）：</w:t>
      </w:r>
      <w:r>
        <w:rPr>
          <w:rFonts w:hint="default" w:ascii="DejaVuSans" w:hAnsi="DejaVuSans" w:eastAsia="DejaVuSans" w:cs="DejaVuSans"/>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239FE13">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6948CD78">
      <w:pPr>
        <w:rPr>
          <w:b/>
          <w:color w:val="auto"/>
          <w:sz w:val="28"/>
          <w:szCs w:val="28"/>
          <w:highlight w:val="none"/>
        </w:rPr>
      </w:pPr>
    </w:p>
    <w:p w14:paraId="04FDD702">
      <w:pPr>
        <w:rPr>
          <w:b/>
          <w:color w:val="auto"/>
          <w:sz w:val="28"/>
          <w:szCs w:val="28"/>
          <w:highlight w:val="none"/>
        </w:rPr>
      </w:pPr>
      <w:r>
        <w:rPr>
          <w:b/>
          <w:color w:val="auto"/>
          <w:sz w:val="28"/>
          <w:szCs w:val="28"/>
          <w:highlight w:val="none"/>
        </w:rPr>
        <w:br w:type="page"/>
      </w:r>
    </w:p>
    <w:p w14:paraId="0EEE8A23">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outlineLvl w:val="2"/>
        <w:rPr>
          <w:rFonts w:hint="eastAsia" w:eastAsia="宋体" w:asciiTheme="majorHAnsi" w:hAnsiTheme="majorHAnsi" w:cstheme="majorBidi"/>
          <w:b/>
          <w:bCs/>
          <w:color w:val="auto"/>
          <w:kern w:val="2"/>
          <w:sz w:val="32"/>
          <w:szCs w:val="32"/>
          <w:highlight w:val="none"/>
          <w:lang w:val="en-US" w:eastAsia="zh-CN" w:bidi="ar-SA"/>
        </w:rPr>
      </w:pPr>
      <w:bookmarkStart w:id="561" w:name="_Toc155185925"/>
      <w:bookmarkStart w:id="562" w:name="_Toc16728"/>
      <w:r>
        <w:rPr>
          <w:rFonts w:hint="eastAsia" w:cstheme="majorBidi"/>
          <w:b/>
          <w:bCs/>
          <w:color w:val="auto"/>
          <w:kern w:val="2"/>
          <w:sz w:val="32"/>
          <w:szCs w:val="32"/>
          <w:highlight w:val="none"/>
          <w:lang w:val="en-US" w:eastAsia="zh-CN" w:bidi="ar-SA"/>
        </w:rPr>
        <w:t>三</w:t>
      </w:r>
      <w:r>
        <w:rPr>
          <w:rFonts w:hint="eastAsia" w:eastAsia="宋体" w:asciiTheme="majorHAnsi" w:hAnsiTheme="majorHAnsi" w:cstheme="majorBidi"/>
          <w:b/>
          <w:bCs/>
          <w:color w:val="auto"/>
          <w:kern w:val="2"/>
          <w:sz w:val="32"/>
          <w:szCs w:val="32"/>
          <w:highlight w:val="none"/>
          <w:lang w:val="en-US" w:eastAsia="zh-CN" w:bidi="ar-SA"/>
        </w:rPr>
        <w:t>、授权委托书</w:t>
      </w:r>
      <w:bookmarkEnd w:id="561"/>
      <w:bookmarkEnd w:id="562"/>
    </w:p>
    <w:p w14:paraId="593F068D">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w:t>
      </w:r>
      <w:r>
        <w:rPr>
          <w:rFonts w:hint="eastAsia" w:cs="仿宋_GB2312"/>
          <w:color w:val="auto"/>
          <w:szCs w:val="24"/>
          <w:highlight w:val="none"/>
          <w:u w:val="none"/>
          <w:lang w:val="en-US" w:eastAsia="zh-CN"/>
        </w:rPr>
        <w:t>供应商</w:t>
      </w:r>
      <w:r>
        <w:rPr>
          <w:rFonts w:hint="eastAsia" w:cs="仿宋_GB2312"/>
          <w:color w:val="auto"/>
          <w:szCs w:val="24"/>
          <w:highlight w:val="none"/>
          <w:u w:val="none"/>
        </w:rPr>
        <w:t>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w:t>
      </w:r>
      <w:r>
        <w:rPr>
          <w:rFonts w:hint="eastAsia" w:cs="仿宋_GB2312"/>
          <w:color w:val="auto"/>
          <w:szCs w:val="24"/>
          <w:highlight w:val="none"/>
          <w:lang w:val="en-US" w:eastAsia="zh-CN"/>
        </w:rPr>
        <w:t>响应</w:t>
      </w:r>
      <w:r>
        <w:rPr>
          <w:rFonts w:hint="eastAsia" w:cs="仿宋_GB2312"/>
          <w:color w:val="auto"/>
          <w:szCs w:val="24"/>
          <w:highlight w:val="none"/>
        </w:rPr>
        <w:t>文件、签订合同和处理有关事宜，其法律后果由我方承担。</w:t>
      </w:r>
    </w:p>
    <w:p w14:paraId="56B80D1C">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自本授权委托书签署之日起至响应文件有效期届满之日止。</w:t>
      </w:r>
    </w:p>
    <w:p w14:paraId="0A605ABE">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cs="宋体"/>
          <w:color w:val="auto"/>
          <w:kern w:val="0"/>
          <w:sz w:val="24"/>
          <w:szCs w:val="24"/>
          <w:highlight w:val="none"/>
          <w:lang w:val="en-US" w:eastAsia="zh-CN" w:bidi="ar"/>
        </w:rPr>
        <w:t>供应商</w:t>
      </w:r>
      <w:r>
        <w:rPr>
          <w:rFonts w:hint="eastAsia" w:ascii="宋体" w:hAnsi="宋体" w:eastAsia="宋体" w:cs="宋体"/>
          <w:color w:val="auto"/>
          <w:kern w:val="0"/>
          <w:sz w:val="24"/>
          <w:szCs w:val="24"/>
          <w:highlight w:val="none"/>
          <w:lang w:val="en-US" w:eastAsia="zh-CN" w:bidi="ar"/>
        </w:rPr>
        <w:t>名称（加盖公章）：</w:t>
      </w:r>
      <w:r>
        <w:rPr>
          <w:rFonts w:ascii="DejaVuSans" w:hAnsi="DejaVuSans" w:eastAsia="DejaVuSans" w:cs="DejaVuSans"/>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法定代表人（单位负责人）（签字或签章）：</w:t>
      </w:r>
      <w:r>
        <w:rPr>
          <w:rFonts w:hint="default" w:ascii="DejaVuSans" w:hAnsi="DejaVuSans" w:eastAsia="DejaVuSans" w:cs="DejaVuSans"/>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color w:val="auto"/>
          <w:highlight w:val="none"/>
          <w:u w:val="single"/>
          <w:lang w:val="en-US"/>
        </w:rPr>
      </w:pPr>
      <w:r>
        <w:rPr>
          <w:rFonts w:hint="eastAsia" w:ascii="宋体" w:hAnsi="宋体" w:eastAsia="宋体" w:cs="宋体"/>
          <w:color w:val="auto"/>
          <w:kern w:val="0"/>
          <w:sz w:val="24"/>
          <w:szCs w:val="24"/>
          <w:highlight w:val="none"/>
          <w:lang w:val="en-US" w:eastAsia="zh-CN" w:bidi="ar"/>
        </w:rPr>
        <w:t>委托代理人（签字或签章）：</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eastAsia" w:ascii="DejaVuSans" w:hAnsi="DejaVuSans" w:eastAsia="DejaVuSans" w:cs="DejaVuSans"/>
          <w:color w:val="auto"/>
          <w:kern w:val="0"/>
          <w:sz w:val="24"/>
          <w:szCs w:val="24"/>
          <w:highlight w:val="none"/>
          <w:u w:val="single"/>
          <w:lang w:val="en-US" w:eastAsia="zh-CN" w:bidi="ar"/>
        </w:rPr>
        <w:t xml:space="preserve">              </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28"/>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cs="Arial"/>
                <w:color w:val="auto"/>
                <w:highlight w:val="none"/>
              </w:rPr>
            </w:pPr>
          </w:p>
        </w:tc>
      </w:tr>
    </w:tbl>
    <w:p w14:paraId="003FC2D7">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6A6FAC65">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1.若供应商为事业单位或其他组织或分支机构，则法定代表人（单位负责人）处的签署人可为单位负责人。 </w:t>
      </w:r>
    </w:p>
    <w:p w14:paraId="7579C425">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若响应文件中签字之处均为法定代表人（单位负责人）本人签署，则可不提供本《授权委托书》，但须提供《法定代表人（单位负责人）身份证明》。 </w:t>
      </w:r>
    </w:p>
    <w:p w14:paraId="7D81952A">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供应商为自然人的情形，可不提供本《授权委托书》。 </w:t>
      </w:r>
    </w:p>
    <w:p w14:paraId="16E91B57">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供应商应随本《授权委托书》同时提供法定代表人（单位负责人）及委托代理人的有效的身份证、护照等身份证明文件电子件。提供身份证的，应同时提供身份证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0B2EBA16">
      <w:pPr>
        <w:rPr>
          <w:color w:val="auto"/>
          <w:highlight w:val="none"/>
        </w:rPr>
      </w:pPr>
      <w:r>
        <w:rPr>
          <w:color w:val="auto"/>
          <w:highlight w:val="none"/>
        </w:rPr>
        <w:br w:type="page"/>
      </w:r>
    </w:p>
    <w:p w14:paraId="117D25C9">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outlineLvl w:val="2"/>
        <w:rPr>
          <w:rFonts w:hint="eastAsia" w:eastAsia="宋体" w:asciiTheme="majorHAnsi" w:hAnsiTheme="majorHAnsi" w:cstheme="majorBidi"/>
          <w:b/>
          <w:bCs/>
          <w:color w:val="auto"/>
          <w:kern w:val="2"/>
          <w:sz w:val="32"/>
          <w:szCs w:val="32"/>
          <w:highlight w:val="none"/>
          <w:lang w:val="en-US" w:eastAsia="zh-CN" w:bidi="ar-SA"/>
        </w:rPr>
      </w:pPr>
      <w:bookmarkStart w:id="563" w:name="_Toc163492928"/>
      <w:bookmarkStart w:id="564" w:name="_Toc155185934"/>
      <w:r>
        <w:rPr>
          <w:rFonts w:hint="eastAsia" w:cstheme="majorBidi"/>
          <w:b/>
          <w:bCs/>
          <w:color w:val="auto"/>
          <w:kern w:val="2"/>
          <w:sz w:val="32"/>
          <w:szCs w:val="32"/>
          <w:highlight w:val="none"/>
          <w:lang w:val="en-US" w:eastAsia="zh-CN" w:bidi="ar-SA"/>
        </w:rPr>
        <w:t>四</w:t>
      </w:r>
      <w:r>
        <w:rPr>
          <w:rFonts w:hint="eastAsia" w:eastAsia="宋体" w:asciiTheme="majorHAnsi" w:hAnsiTheme="majorHAnsi" w:cstheme="majorBidi"/>
          <w:b/>
          <w:bCs/>
          <w:color w:val="auto"/>
          <w:kern w:val="2"/>
          <w:sz w:val="32"/>
          <w:szCs w:val="32"/>
          <w:highlight w:val="none"/>
          <w:lang w:val="en-US" w:eastAsia="zh-CN" w:bidi="ar-SA"/>
        </w:rPr>
        <w:t>、</w:t>
      </w:r>
      <w:bookmarkEnd w:id="563"/>
      <w:bookmarkEnd w:id="564"/>
      <w:r>
        <w:rPr>
          <w:rFonts w:hint="eastAsia" w:eastAsia="宋体" w:asciiTheme="majorHAnsi" w:hAnsiTheme="majorHAnsi" w:cstheme="majorBidi"/>
          <w:b/>
          <w:bCs/>
          <w:color w:val="auto"/>
          <w:kern w:val="2"/>
          <w:sz w:val="32"/>
          <w:szCs w:val="32"/>
          <w:highlight w:val="none"/>
          <w:lang w:val="zh-CN" w:eastAsia="zh-CN" w:bidi="ar-SA"/>
        </w:rPr>
        <w:t>政府采购供应商廉洁自律承诺书</w:t>
      </w:r>
    </w:p>
    <w:p w14:paraId="2AB445CF">
      <w:pPr>
        <w:pStyle w:val="11"/>
        <w:rPr>
          <w:color w:val="auto"/>
          <w:highlight w:val="none"/>
        </w:rPr>
      </w:pPr>
    </w:p>
    <w:p w14:paraId="2CE177B4">
      <w:pPr>
        <w:snapToGrid w:val="0"/>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kern w:val="0"/>
          <w:sz w:val="24"/>
          <w:szCs w:val="24"/>
          <w:highlight w:val="none"/>
          <w:lang w:val="zh-CN"/>
        </w:rPr>
        <w:t>项目</w:t>
      </w:r>
      <w:r>
        <w:rPr>
          <w:rFonts w:hint="eastAsia" w:cs="宋体"/>
          <w:color w:val="auto"/>
          <w:kern w:val="0"/>
          <w:sz w:val="24"/>
          <w:szCs w:val="24"/>
          <w:highlight w:val="none"/>
          <w:lang w:val="en-US" w:eastAsia="zh-CN"/>
        </w:rPr>
        <w:t>竞争性谈判文件</w:t>
      </w:r>
      <w:r>
        <w:rPr>
          <w:rFonts w:hint="eastAsia" w:ascii="宋体" w:hAnsi="宋体" w:cs="宋体"/>
          <w:color w:val="auto"/>
          <w:kern w:val="0"/>
          <w:sz w:val="24"/>
          <w:szCs w:val="24"/>
          <w:highlight w:val="none"/>
          <w:lang w:val="zh-CN"/>
        </w:rPr>
        <w:t>要求参加</w:t>
      </w:r>
      <w:r>
        <w:rPr>
          <w:rFonts w:hint="eastAsia" w:cs="宋体"/>
          <w:color w:val="auto"/>
          <w:kern w:val="0"/>
          <w:sz w:val="24"/>
          <w:szCs w:val="24"/>
          <w:highlight w:val="none"/>
          <w:lang w:val="en-US" w:eastAsia="zh-CN"/>
        </w:rPr>
        <w:t>谈判响应</w:t>
      </w:r>
      <w:r>
        <w:rPr>
          <w:rFonts w:hint="eastAsia" w:ascii="宋体" w:hAnsi="宋体" w:cs="宋体"/>
          <w:color w:val="auto"/>
          <w:kern w:val="0"/>
          <w:sz w:val="24"/>
          <w:szCs w:val="24"/>
          <w:highlight w:val="none"/>
          <w:lang w:val="zh-CN"/>
        </w:rPr>
        <w:t>。在这次</w:t>
      </w:r>
      <w:r>
        <w:rPr>
          <w:rFonts w:hint="eastAsia" w:cs="宋体"/>
          <w:color w:val="auto"/>
          <w:kern w:val="0"/>
          <w:sz w:val="24"/>
          <w:szCs w:val="24"/>
          <w:highlight w:val="none"/>
          <w:lang w:val="en-US" w:eastAsia="zh-CN"/>
        </w:rPr>
        <w:t>谈判响应</w:t>
      </w:r>
      <w:r>
        <w:rPr>
          <w:rFonts w:hint="eastAsia" w:ascii="宋体" w:hAnsi="宋体" w:cs="宋体"/>
          <w:color w:val="auto"/>
          <w:kern w:val="0"/>
          <w:sz w:val="24"/>
          <w:szCs w:val="24"/>
          <w:highlight w:val="none"/>
          <w:lang w:val="zh-CN"/>
        </w:rPr>
        <w:t>过程中和</w:t>
      </w:r>
      <w:r>
        <w:rPr>
          <w:rFonts w:hint="eastAsia" w:cs="宋体"/>
          <w:color w:val="auto"/>
          <w:kern w:val="0"/>
          <w:sz w:val="24"/>
          <w:szCs w:val="24"/>
          <w:highlight w:val="none"/>
          <w:lang w:val="en-US" w:eastAsia="zh-CN"/>
        </w:rPr>
        <w:t>成交</w:t>
      </w:r>
      <w:r>
        <w:rPr>
          <w:rFonts w:hint="eastAsia" w:ascii="宋体" w:hAnsi="宋体" w:cs="宋体"/>
          <w:color w:val="auto"/>
          <w:kern w:val="0"/>
          <w:sz w:val="24"/>
          <w:szCs w:val="24"/>
          <w:highlight w:val="none"/>
          <w:lang w:val="zh-CN"/>
        </w:rPr>
        <w:t>后，我们将严格遵守国家法律法规要求，并郑重承诺：</w:t>
      </w:r>
    </w:p>
    <w:p w14:paraId="2B87D13C">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六、严格遵守《中华人民共和国政府采购法》《中华人民共和国政府采购法</w:t>
      </w:r>
      <w:r>
        <w:rPr>
          <w:rFonts w:hint="eastAsia" w:cs="宋体"/>
          <w:color w:val="auto"/>
          <w:kern w:val="0"/>
          <w:sz w:val="24"/>
          <w:szCs w:val="24"/>
          <w:highlight w:val="none"/>
          <w:lang w:val="en-US" w:eastAsia="zh-CN"/>
        </w:rPr>
        <w:t>实施条例</w:t>
      </w:r>
      <w:r>
        <w:rPr>
          <w:rFonts w:hint="eastAsia" w:ascii="宋体" w:hAnsi="宋体" w:cs="宋体"/>
          <w:color w:val="auto"/>
          <w:kern w:val="0"/>
          <w:sz w:val="24"/>
          <w:szCs w:val="24"/>
          <w:highlight w:val="none"/>
          <w:lang w:val="zh-CN"/>
        </w:rPr>
        <w:t xml:space="preserve">》《中华人民共和国民法典》等法律法规，诚实守信，合法经营，坚决抵制各种违法违纪行为。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如违反上述承诺，你单位有权立即取消我单位</w:t>
      </w:r>
      <w:r>
        <w:rPr>
          <w:rFonts w:hint="eastAsia" w:cs="宋体"/>
          <w:color w:val="auto"/>
          <w:kern w:val="0"/>
          <w:sz w:val="24"/>
          <w:szCs w:val="24"/>
          <w:highlight w:val="none"/>
          <w:lang w:val="en-US" w:eastAsia="zh-CN"/>
        </w:rPr>
        <w:t>谈判响应</w:t>
      </w:r>
      <w:r>
        <w:rPr>
          <w:rFonts w:hint="eastAsia" w:ascii="宋体" w:hAnsi="宋体" w:cs="宋体"/>
          <w:color w:val="auto"/>
          <w:kern w:val="0"/>
          <w:sz w:val="24"/>
          <w:szCs w:val="24"/>
          <w:highlight w:val="none"/>
          <w:lang w:val="zh-CN"/>
        </w:rPr>
        <w:t>、</w:t>
      </w:r>
      <w:r>
        <w:rPr>
          <w:rFonts w:hint="eastAsia" w:cs="宋体"/>
          <w:color w:val="auto"/>
          <w:kern w:val="0"/>
          <w:sz w:val="24"/>
          <w:szCs w:val="24"/>
          <w:highlight w:val="none"/>
          <w:lang w:val="en-US" w:eastAsia="zh-CN"/>
        </w:rPr>
        <w:t>成交</w:t>
      </w:r>
      <w:r>
        <w:rPr>
          <w:rFonts w:hint="eastAsia" w:ascii="宋体" w:hAnsi="宋体" w:cs="宋体"/>
          <w:color w:val="auto"/>
          <w:kern w:val="0"/>
          <w:sz w:val="24"/>
          <w:szCs w:val="24"/>
          <w:highlight w:val="none"/>
          <w:lang w:val="zh-CN"/>
        </w:rPr>
        <w:t>或在建项目的建设资格，有权拒绝我单位在一定时期内进入你单位进行项目建设或其他经营活动，并通报</w:t>
      </w:r>
      <w:r>
        <w:rPr>
          <w:rFonts w:hint="eastAsia" w:ascii="宋体" w:hAnsi="宋体" w:cs="宋体"/>
          <w:color w:val="auto"/>
          <w:kern w:val="0"/>
          <w:sz w:val="24"/>
          <w:szCs w:val="24"/>
          <w:highlight w:val="none"/>
          <w:lang w:val="en-US" w:eastAsia="zh-CN"/>
        </w:rPr>
        <w:t>兵团</w:t>
      </w:r>
      <w:r>
        <w:rPr>
          <w:rFonts w:hint="eastAsia" w:ascii="宋体" w:hAnsi="宋体" w:cs="宋体"/>
          <w:color w:val="auto"/>
          <w:kern w:val="0"/>
          <w:sz w:val="24"/>
          <w:szCs w:val="24"/>
          <w:highlight w:val="none"/>
          <w:lang w:val="zh-CN"/>
        </w:rPr>
        <w:t>财政局。由此引起的相应损失均由我单位承担。</w:t>
      </w:r>
    </w:p>
    <w:p w14:paraId="5E22ECB4">
      <w:pPr>
        <w:autoSpaceDE w:val="0"/>
        <w:autoSpaceDN w:val="0"/>
        <w:spacing w:line="360" w:lineRule="auto"/>
        <w:ind w:left="2"/>
        <w:jc w:val="left"/>
        <w:rPr>
          <w:rFonts w:ascii="宋体" w:hAnsi="宋体" w:cs="宋体"/>
          <w:color w:val="auto"/>
          <w:kern w:val="0"/>
          <w:sz w:val="24"/>
          <w:szCs w:val="24"/>
          <w:highlight w:val="none"/>
          <w:lang w:val="zh-CN"/>
        </w:rPr>
      </w:pPr>
    </w:p>
    <w:p w14:paraId="0914ACDE">
      <w:pPr>
        <w:autoSpaceDE w:val="0"/>
        <w:autoSpaceDN w:val="0"/>
        <w:spacing w:line="360" w:lineRule="auto"/>
        <w:ind w:left="2"/>
        <w:jc w:val="left"/>
        <w:rPr>
          <w:rFonts w:ascii="宋体" w:hAnsi="宋体" w:cs="宋体"/>
          <w:color w:val="auto"/>
          <w:kern w:val="0"/>
          <w:sz w:val="24"/>
          <w:szCs w:val="24"/>
          <w:highlight w:val="none"/>
          <w:lang w:val="zh-CN"/>
        </w:rPr>
      </w:pPr>
    </w:p>
    <w:p w14:paraId="02E01AF0">
      <w:pPr>
        <w:autoSpaceDE w:val="0"/>
        <w:autoSpaceDN w:val="0"/>
        <w:spacing w:line="360" w:lineRule="auto"/>
        <w:ind w:left="2"/>
        <w:jc w:val="left"/>
        <w:rPr>
          <w:rFonts w:ascii="宋体" w:hAnsi="宋体" w:cs="宋体"/>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cs="宋体"/>
          <w:color w:val="auto"/>
          <w:kern w:val="0"/>
          <w:sz w:val="24"/>
          <w:szCs w:val="24"/>
          <w:highlight w:val="none"/>
          <w:lang w:val="en-US" w:eastAsia="zh-CN"/>
        </w:rPr>
        <w:t>供应商</w:t>
      </w:r>
      <w:r>
        <w:rPr>
          <w:rFonts w:hint="eastAsia" w:ascii="宋体" w:hAnsi="宋体" w:cs="宋体"/>
          <w:color w:val="auto"/>
          <w:kern w:val="0"/>
          <w:sz w:val="24"/>
          <w:szCs w:val="24"/>
          <w:highlight w:val="none"/>
          <w:lang w:val="zh-CN"/>
        </w:rPr>
        <w:t>名称（</w:t>
      </w:r>
      <w:r>
        <w:rPr>
          <w:rFonts w:hint="eastAsia" w:cs="宋体"/>
          <w:color w:val="auto"/>
          <w:sz w:val="24"/>
          <w:szCs w:val="24"/>
          <w:highlight w:val="none"/>
          <w:lang w:eastAsia="zh-CN"/>
        </w:rPr>
        <w:t>公章</w:t>
      </w:r>
      <w:r>
        <w:rPr>
          <w:rFonts w:hint="eastAsia" w:ascii="宋体" w:hAnsi="宋体" w:cs="宋体"/>
          <w:color w:val="auto"/>
          <w:kern w:val="0"/>
          <w:sz w:val="24"/>
          <w:szCs w:val="24"/>
          <w:highlight w:val="none"/>
          <w:lang w:val="zh-CN"/>
        </w:rPr>
        <w:t xml:space="preserve">）：                                                                                                                                                                                                               </w:t>
      </w:r>
    </w:p>
    <w:p w14:paraId="0FD8A2DC">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5AA40BF9">
      <w:pPr>
        <w:rPr>
          <w:rFonts w:hint="eastAsia" w:eastAsia="宋体" w:asciiTheme="majorHAnsi" w:hAnsiTheme="majorHAnsi" w:cstheme="majorBidi"/>
          <w:b/>
          <w:bCs/>
          <w:color w:val="auto"/>
          <w:kern w:val="2"/>
          <w:sz w:val="24"/>
          <w:szCs w:val="24"/>
          <w:highlight w:val="none"/>
          <w:lang w:val="en-US" w:eastAsia="zh-CN" w:bidi="ar-SA"/>
        </w:rPr>
      </w:pPr>
    </w:p>
    <w:p w14:paraId="2917743B">
      <w:pPr>
        <w:pStyle w:val="11"/>
        <w:rPr>
          <w:rFonts w:hint="eastAsia" w:eastAsia="宋体" w:asciiTheme="majorHAnsi" w:hAnsiTheme="majorHAnsi" w:cstheme="majorBidi"/>
          <w:b/>
          <w:bCs/>
          <w:color w:val="auto"/>
          <w:kern w:val="2"/>
          <w:sz w:val="24"/>
          <w:szCs w:val="24"/>
          <w:highlight w:val="none"/>
          <w:lang w:val="en-US" w:eastAsia="zh-CN" w:bidi="ar-SA"/>
        </w:rPr>
      </w:pPr>
    </w:p>
    <w:p w14:paraId="2CC927CA">
      <w:pPr>
        <w:pStyle w:val="11"/>
        <w:rPr>
          <w:rFonts w:hint="eastAsia" w:eastAsia="宋体" w:asciiTheme="majorHAnsi" w:hAnsiTheme="majorHAnsi" w:cstheme="majorBidi"/>
          <w:b/>
          <w:bCs/>
          <w:color w:val="auto"/>
          <w:kern w:val="2"/>
          <w:sz w:val="24"/>
          <w:szCs w:val="24"/>
          <w:highlight w:val="none"/>
          <w:lang w:val="en-US" w:eastAsia="zh-CN" w:bidi="ar-SA"/>
        </w:rPr>
      </w:pPr>
    </w:p>
    <w:p w14:paraId="18FDCDE0">
      <w:pPr>
        <w:pStyle w:val="11"/>
        <w:rPr>
          <w:rFonts w:hint="eastAsia" w:eastAsia="宋体" w:asciiTheme="majorHAnsi" w:hAnsiTheme="majorHAnsi" w:cstheme="majorBidi"/>
          <w:b/>
          <w:bCs/>
          <w:color w:val="auto"/>
          <w:kern w:val="2"/>
          <w:sz w:val="24"/>
          <w:szCs w:val="24"/>
          <w:highlight w:val="none"/>
          <w:lang w:val="en-US" w:eastAsia="zh-CN" w:bidi="ar-SA"/>
        </w:rPr>
      </w:pPr>
    </w:p>
    <w:p w14:paraId="0D5FD33D">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outlineLvl w:val="2"/>
        <w:rPr>
          <w:rFonts w:hint="eastAsia" w:eastAsia="宋体" w:asciiTheme="majorHAnsi" w:hAnsiTheme="majorHAnsi" w:cstheme="majorBidi"/>
          <w:b/>
          <w:bCs/>
          <w:color w:val="auto"/>
          <w:kern w:val="2"/>
          <w:sz w:val="32"/>
          <w:szCs w:val="32"/>
          <w:highlight w:val="none"/>
          <w:lang w:val="en-US" w:eastAsia="zh-CN" w:bidi="ar-SA"/>
        </w:rPr>
      </w:pPr>
      <w:r>
        <w:rPr>
          <w:rFonts w:hint="eastAsia" w:eastAsia="宋体" w:asciiTheme="majorHAnsi" w:hAnsiTheme="majorHAnsi" w:cstheme="majorBidi"/>
          <w:b/>
          <w:bCs/>
          <w:color w:val="auto"/>
          <w:kern w:val="2"/>
          <w:sz w:val="32"/>
          <w:szCs w:val="32"/>
          <w:highlight w:val="none"/>
          <w:lang w:val="en-US" w:eastAsia="zh-CN" w:bidi="ar-SA"/>
        </w:rPr>
        <w:t>五、实质性响应一览表</w:t>
      </w:r>
      <w:r>
        <w:rPr>
          <w:rFonts w:hint="eastAsia" w:eastAsia="宋体" w:asciiTheme="majorHAnsi" w:hAnsiTheme="majorHAnsi" w:cstheme="majorBidi"/>
          <w:b/>
          <w:bCs/>
          <w:color w:val="auto"/>
          <w:kern w:val="2"/>
          <w:sz w:val="32"/>
          <w:szCs w:val="32"/>
          <w:highlight w:val="none"/>
          <w:lang w:val="zh-CN" w:eastAsia="zh-CN" w:bidi="ar-SA"/>
        </w:rPr>
        <w:t>【</w:t>
      </w:r>
      <w:r>
        <w:rPr>
          <w:rFonts w:hint="eastAsia" w:eastAsia="宋体" w:asciiTheme="majorHAnsi" w:hAnsiTheme="majorHAnsi" w:cstheme="majorBidi"/>
          <w:b/>
          <w:bCs/>
          <w:color w:val="auto"/>
          <w:kern w:val="2"/>
          <w:sz w:val="32"/>
          <w:szCs w:val="32"/>
          <w:highlight w:val="none"/>
          <w:lang w:val="en-US" w:eastAsia="zh-CN" w:bidi="ar-SA"/>
        </w:rPr>
        <w:t>本表须与第四章的一致】</w:t>
      </w:r>
    </w:p>
    <w:p w14:paraId="72869DE6">
      <w:pPr>
        <w:keepNext w:val="0"/>
        <w:keepLines w:val="0"/>
        <w:pageBreakBefore w:val="0"/>
        <w:widowControl w:val="0"/>
        <w:shd w:val="clear" w:color="auto"/>
        <w:tabs>
          <w:tab w:val="left" w:pos="3045"/>
        </w:tabs>
        <w:kinsoku/>
        <w:wordWrap/>
        <w:overflowPunct/>
        <w:topLinePunct w:val="0"/>
        <w:autoSpaceDE w:val="0"/>
        <w:autoSpaceDN w:val="0"/>
        <w:bidi w:val="0"/>
        <w:adjustRightInd w:val="0"/>
        <w:snapToGrid w:val="0"/>
        <w:spacing w:line="360" w:lineRule="exact"/>
        <w:jc w:val="center"/>
        <w:textAlignment w:val="auto"/>
        <w:rPr>
          <w:rFonts w:hint="eastAsia" w:ascii="宋体" w:hAnsi="宋体" w:cs="宋体"/>
          <w:b/>
          <w:color w:val="auto"/>
          <w:sz w:val="24"/>
          <w:highlight w:val="none"/>
        </w:rPr>
      </w:pPr>
      <w:r>
        <w:rPr>
          <w:rFonts w:hint="eastAsia" w:ascii="宋体" w:hAnsi="宋体" w:cs="宋体"/>
          <w:b w:val="0"/>
          <w:bCs/>
          <w:color w:val="auto"/>
          <w:sz w:val="24"/>
          <w:highlight w:val="none"/>
        </w:rPr>
        <w:t>（供应商须对本附表所有内容逐条响应且无负偏离，否则</w:t>
      </w:r>
      <w:r>
        <w:rPr>
          <w:rFonts w:hint="eastAsia" w:cs="宋体"/>
          <w:b w:val="0"/>
          <w:bCs/>
          <w:color w:val="auto"/>
          <w:sz w:val="24"/>
          <w:highlight w:val="none"/>
          <w:lang w:val="en-US" w:eastAsia="zh-CN"/>
        </w:rPr>
        <w:t>其</w:t>
      </w:r>
      <w:r>
        <w:rPr>
          <w:rFonts w:hint="eastAsia" w:cs="宋体"/>
          <w:b/>
          <w:color w:val="auto"/>
          <w:sz w:val="24"/>
          <w:highlight w:val="none"/>
          <w:lang w:val="en-US" w:eastAsia="zh-CN"/>
        </w:rPr>
        <w:t>响应</w:t>
      </w:r>
      <w:r>
        <w:rPr>
          <w:rFonts w:hint="eastAsia" w:ascii="宋体" w:hAnsi="宋体" w:cs="宋体"/>
          <w:b/>
          <w:color w:val="auto"/>
          <w:sz w:val="24"/>
          <w:highlight w:val="none"/>
        </w:rPr>
        <w:t>无效</w:t>
      </w:r>
      <w:r>
        <w:rPr>
          <w:rFonts w:hint="eastAsia" w:ascii="宋体" w:hAnsi="宋体" w:cs="宋体"/>
          <w:b w:val="0"/>
          <w:bCs/>
          <w:color w:val="auto"/>
          <w:sz w:val="24"/>
          <w:highlight w:val="none"/>
        </w:rPr>
        <w:t>）</w:t>
      </w:r>
    </w:p>
    <w:p w14:paraId="597D85C2">
      <w:pPr>
        <w:pStyle w:val="21"/>
        <w:rPr>
          <w:rFonts w:hint="eastAsia" w:ascii="宋体" w:hAnsi="宋体" w:cs="宋体"/>
          <w:color w:val="auto"/>
          <w:highlight w:val="none"/>
        </w:rPr>
      </w:pPr>
    </w:p>
    <w:tbl>
      <w:tblPr>
        <w:tblStyle w:val="28"/>
        <w:tblW w:w="5590" w:type="pct"/>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496"/>
        <w:gridCol w:w="3671"/>
        <w:gridCol w:w="1957"/>
        <w:gridCol w:w="732"/>
      </w:tblGrid>
      <w:tr w14:paraId="5636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353" w:type="pct"/>
            <w:vMerge w:val="restart"/>
            <w:noWrap w:val="0"/>
            <w:vAlign w:val="center"/>
          </w:tcPr>
          <w:p w14:paraId="70DEA68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235" w:type="pct"/>
            <w:gridSpan w:val="2"/>
            <w:noWrap w:val="0"/>
            <w:vAlign w:val="center"/>
          </w:tcPr>
          <w:p w14:paraId="7BD88E5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文件要求的实质性响应内容</w:t>
            </w:r>
          </w:p>
        </w:tc>
        <w:tc>
          <w:tcPr>
            <w:tcW w:w="1026" w:type="pct"/>
            <w:vMerge w:val="restart"/>
            <w:noWrap w:val="0"/>
            <w:vAlign w:val="center"/>
          </w:tcPr>
          <w:p w14:paraId="2598EDF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文件具体</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响应内容</w:t>
            </w:r>
          </w:p>
        </w:tc>
        <w:tc>
          <w:tcPr>
            <w:tcW w:w="384" w:type="pct"/>
            <w:vMerge w:val="restart"/>
            <w:noWrap w:val="0"/>
            <w:vAlign w:val="center"/>
          </w:tcPr>
          <w:p w14:paraId="0E80A1F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22BA3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353" w:type="pct"/>
            <w:vMerge w:val="continue"/>
            <w:noWrap w:val="0"/>
            <w:vAlign w:val="center"/>
          </w:tcPr>
          <w:p w14:paraId="788F114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1309" w:type="pct"/>
            <w:noWrap w:val="0"/>
            <w:vAlign w:val="center"/>
          </w:tcPr>
          <w:p w14:paraId="5B941D5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实质性要求</w:t>
            </w:r>
          </w:p>
        </w:tc>
        <w:tc>
          <w:tcPr>
            <w:tcW w:w="1926" w:type="pct"/>
            <w:noWrap w:val="0"/>
            <w:vAlign w:val="center"/>
          </w:tcPr>
          <w:p w14:paraId="1887A7E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文件中的规定</w:t>
            </w:r>
          </w:p>
        </w:tc>
        <w:tc>
          <w:tcPr>
            <w:tcW w:w="1026" w:type="pct"/>
            <w:vMerge w:val="continue"/>
            <w:noWrap w:val="0"/>
            <w:vAlign w:val="center"/>
          </w:tcPr>
          <w:p w14:paraId="5FF6F46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eastAsia="zh-CN"/>
              </w:rPr>
            </w:pPr>
          </w:p>
        </w:tc>
        <w:tc>
          <w:tcPr>
            <w:tcW w:w="384" w:type="pct"/>
            <w:vMerge w:val="continue"/>
            <w:noWrap w:val="0"/>
            <w:vAlign w:val="center"/>
          </w:tcPr>
          <w:p w14:paraId="231BB2B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eastAsia="zh-CN"/>
              </w:rPr>
            </w:pPr>
          </w:p>
        </w:tc>
      </w:tr>
      <w:tr w14:paraId="19EB2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53" w:type="pct"/>
            <w:noWrap w:val="0"/>
            <w:vAlign w:val="center"/>
          </w:tcPr>
          <w:p w14:paraId="30499CF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309" w:type="pct"/>
            <w:noWrap w:val="0"/>
            <w:vAlign w:val="center"/>
          </w:tcPr>
          <w:p w14:paraId="1710CDD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1926" w:type="pct"/>
            <w:shd w:val="clear" w:color="auto" w:fill="auto"/>
            <w:noWrap w:val="0"/>
            <w:vAlign w:val="center"/>
          </w:tcPr>
          <w:p w14:paraId="63B0DE9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1026" w:type="pct"/>
            <w:noWrap w:val="0"/>
            <w:vAlign w:val="center"/>
          </w:tcPr>
          <w:p w14:paraId="0B1E2FB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84" w:type="pct"/>
            <w:noWrap w:val="0"/>
            <w:vAlign w:val="center"/>
          </w:tcPr>
          <w:p w14:paraId="259753B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78B0F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53" w:type="pct"/>
            <w:noWrap w:val="0"/>
            <w:vAlign w:val="center"/>
          </w:tcPr>
          <w:p w14:paraId="4CBD69A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309" w:type="pct"/>
            <w:noWrap w:val="0"/>
            <w:vAlign w:val="center"/>
          </w:tcPr>
          <w:p w14:paraId="07A7760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1926" w:type="pct"/>
            <w:shd w:val="clear" w:color="auto" w:fill="auto"/>
            <w:noWrap w:val="0"/>
            <w:vAlign w:val="center"/>
          </w:tcPr>
          <w:p w14:paraId="5649ACF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eastAsia="zh-CN"/>
              </w:rPr>
            </w:pPr>
          </w:p>
        </w:tc>
        <w:tc>
          <w:tcPr>
            <w:tcW w:w="1026" w:type="pct"/>
            <w:noWrap w:val="0"/>
            <w:vAlign w:val="center"/>
          </w:tcPr>
          <w:p w14:paraId="4746B94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84" w:type="pct"/>
            <w:noWrap w:val="0"/>
            <w:vAlign w:val="center"/>
          </w:tcPr>
          <w:p w14:paraId="06627A9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970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53" w:type="pct"/>
            <w:noWrap w:val="0"/>
            <w:vAlign w:val="center"/>
          </w:tcPr>
          <w:p w14:paraId="3B9948B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309" w:type="pct"/>
            <w:noWrap w:val="0"/>
            <w:vAlign w:val="center"/>
          </w:tcPr>
          <w:p w14:paraId="3EA4601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926" w:type="pct"/>
            <w:shd w:val="clear" w:color="auto" w:fill="auto"/>
            <w:noWrap w:val="0"/>
            <w:vAlign w:val="center"/>
          </w:tcPr>
          <w:p w14:paraId="62EC5B9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p>
        </w:tc>
        <w:tc>
          <w:tcPr>
            <w:tcW w:w="1026" w:type="pct"/>
            <w:noWrap w:val="0"/>
            <w:vAlign w:val="center"/>
          </w:tcPr>
          <w:p w14:paraId="0A9F833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84" w:type="pct"/>
            <w:noWrap w:val="0"/>
            <w:vAlign w:val="center"/>
          </w:tcPr>
          <w:p w14:paraId="08E089D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0C6F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53" w:type="pct"/>
            <w:noWrap w:val="0"/>
            <w:vAlign w:val="center"/>
          </w:tcPr>
          <w:p w14:paraId="08F7075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309" w:type="pct"/>
            <w:noWrap w:val="0"/>
            <w:vAlign w:val="center"/>
          </w:tcPr>
          <w:p w14:paraId="695BCC8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926" w:type="pct"/>
            <w:shd w:val="clear" w:color="auto" w:fill="auto"/>
            <w:noWrap w:val="0"/>
            <w:vAlign w:val="center"/>
          </w:tcPr>
          <w:p w14:paraId="7AA3A6E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p>
        </w:tc>
        <w:tc>
          <w:tcPr>
            <w:tcW w:w="1026" w:type="pct"/>
            <w:noWrap w:val="0"/>
            <w:vAlign w:val="center"/>
          </w:tcPr>
          <w:p w14:paraId="0F24775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84" w:type="pct"/>
            <w:noWrap w:val="0"/>
            <w:vAlign w:val="center"/>
          </w:tcPr>
          <w:p w14:paraId="7E09989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1BAE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53" w:type="pct"/>
            <w:noWrap w:val="0"/>
            <w:vAlign w:val="center"/>
          </w:tcPr>
          <w:p w14:paraId="01C20FB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309" w:type="pct"/>
            <w:noWrap w:val="0"/>
            <w:vAlign w:val="center"/>
          </w:tcPr>
          <w:p w14:paraId="6450B6F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p>
        </w:tc>
        <w:tc>
          <w:tcPr>
            <w:tcW w:w="1926" w:type="pct"/>
            <w:shd w:val="clear" w:color="auto" w:fill="auto"/>
            <w:noWrap w:val="0"/>
            <w:vAlign w:val="center"/>
          </w:tcPr>
          <w:p w14:paraId="76FAB45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p>
        </w:tc>
        <w:tc>
          <w:tcPr>
            <w:tcW w:w="1026" w:type="pct"/>
            <w:noWrap w:val="0"/>
            <w:vAlign w:val="center"/>
          </w:tcPr>
          <w:p w14:paraId="07DA94E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84" w:type="pct"/>
            <w:noWrap w:val="0"/>
            <w:vAlign w:val="center"/>
          </w:tcPr>
          <w:p w14:paraId="07E6D39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7D3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53" w:type="pct"/>
            <w:noWrap w:val="0"/>
            <w:vAlign w:val="center"/>
          </w:tcPr>
          <w:p w14:paraId="4F43B45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309" w:type="pct"/>
            <w:noWrap w:val="0"/>
            <w:vAlign w:val="center"/>
          </w:tcPr>
          <w:p w14:paraId="369ABCB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1926" w:type="pct"/>
            <w:shd w:val="clear" w:color="auto" w:fill="auto"/>
            <w:noWrap w:val="0"/>
            <w:vAlign w:val="center"/>
          </w:tcPr>
          <w:p w14:paraId="3A38EA7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1026" w:type="pct"/>
            <w:noWrap w:val="0"/>
            <w:vAlign w:val="center"/>
          </w:tcPr>
          <w:p w14:paraId="24EE6A9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84" w:type="pct"/>
            <w:noWrap w:val="0"/>
            <w:vAlign w:val="center"/>
          </w:tcPr>
          <w:p w14:paraId="1ABD1D6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0163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53" w:type="pct"/>
            <w:noWrap w:val="0"/>
            <w:vAlign w:val="center"/>
          </w:tcPr>
          <w:p w14:paraId="6E2F165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309" w:type="pct"/>
            <w:noWrap w:val="0"/>
            <w:vAlign w:val="center"/>
          </w:tcPr>
          <w:p w14:paraId="317CE50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1926" w:type="pct"/>
            <w:noWrap w:val="0"/>
            <w:vAlign w:val="center"/>
          </w:tcPr>
          <w:p w14:paraId="678C199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1026" w:type="pct"/>
            <w:noWrap w:val="0"/>
            <w:vAlign w:val="center"/>
          </w:tcPr>
          <w:p w14:paraId="63C11E7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84" w:type="pct"/>
            <w:noWrap w:val="0"/>
            <w:vAlign w:val="center"/>
          </w:tcPr>
          <w:p w14:paraId="168EE7B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013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53" w:type="pct"/>
            <w:noWrap w:val="0"/>
            <w:vAlign w:val="center"/>
          </w:tcPr>
          <w:p w14:paraId="65574B3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p>
        </w:tc>
        <w:tc>
          <w:tcPr>
            <w:tcW w:w="1309" w:type="pct"/>
            <w:shd w:val="clear" w:color="auto" w:fill="auto"/>
            <w:noWrap w:val="0"/>
            <w:vAlign w:val="center"/>
          </w:tcPr>
          <w:p w14:paraId="4892F810">
            <w:pPr>
              <w:pStyle w:val="46"/>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szCs w:val="24"/>
                <w:highlight w:val="none"/>
                <w:lang w:val="zh-CN"/>
              </w:rPr>
              <w:t>……</w:t>
            </w:r>
          </w:p>
        </w:tc>
        <w:tc>
          <w:tcPr>
            <w:tcW w:w="1926" w:type="pct"/>
            <w:noWrap w:val="0"/>
            <w:vAlign w:val="center"/>
          </w:tcPr>
          <w:p w14:paraId="6EE4960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p>
        </w:tc>
        <w:tc>
          <w:tcPr>
            <w:tcW w:w="1026" w:type="pct"/>
            <w:noWrap w:val="0"/>
            <w:vAlign w:val="center"/>
          </w:tcPr>
          <w:p w14:paraId="5A390DA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84" w:type="pct"/>
            <w:noWrap w:val="0"/>
            <w:vAlign w:val="center"/>
          </w:tcPr>
          <w:p w14:paraId="639F595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bl>
    <w:p w14:paraId="4758525D">
      <w:pPr>
        <w:rPr>
          <w:rFonts w:hint="eastAsia" w:cstheme="majorBidi"/>
          <w:b/>
          <w:bCs/>
          <w:color w:val="auto"/>
          <w:kern w:val="2"/>
          <w:sz w:val="32"/>
          <w:szCs w:val="32"/>
          <w:highlight w:val="none"/>
          <w:lang w:val="en-US" w:eastAsia="zh-CN" w:bidi="ar-SA"/>
        </w:rPr>
      </w:pPr>
    </w:p>
    <w:p w14:paraId="75D4FE8C">
      <w:pPr>
        <w:rPr>
          <w:rFonts w:hint="eastAsia" w:cstheme="majorBidi"/>
          <w:b/>
          <w:bCs/>
          <w:color w:val="auto"/>
          <w:kern w:val="2"/>
          <w:sz w:val="32"/>
          <w:szCs w:val="32"/>
          <w:highlight w:val="none"/>
          <w:lang w:val="en-US" w:eastAsia="zh-CN" w:bidi="ar-SA"/>
        </w:rPr>
      </w:pPr>
      <w:r>
        <w:rPr>
          <w:rFonts w:hint="eastAsia" w:cstheme="majorBidi"/>
          <w:b/>
          <w:bCs/>
          <w:color w:val="auto"/>
          <w:kern w:val="2"/>
          <w:sz w:val="32"/>
          <w:szCs w:val="32"/>
          <w:highlight w:val="none"/>
          <w:lang w:val="en-US" w:eastAsia="zh-CN" w:bidi="ar-SA"/>
        </w:rPr>
        <w:br w:type="page"/>
      </w:r>
    </w:p>
    <w:p w14:paraId="626EF50E">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outlineLvl w:val="2"/>
        <w:rPr>
          <w:rFonts w:hint="eastAsia" w:eastAsia="宋体" w:asciiTheme="majorHAnsi" w:hAnsiTheme="majorHAnsi" w:cstheme="majorBidi"/>
          <w:b/>
          <w:bCs/>
          <w:color w:val="auto"/>
          <w:kern w:val="2"/>
          <w:sz w:val="32"/>
          <w:szCs w:val="32"/>
          <w:highlight w:val="none"/>
          <w:lang w:val="en-US" w:eastAsia="zh-CN" w:bidi="ar-SA"/>
        </w:rPr>
      </w:pPr>
      <w:bookmarkStart w:id="565" w:name="_Toc3163"/>
      <w:r>
        <w:rPr>
          <w:rFonts w:hint="eastAsia" w:cstheme="majorBidi"/>
          <w:b/>
          <w:bCs/>
          <w:color w:val="auto"/>
          <w:kern w:val="2"/>
          <w:sz w:val="32"/>
          <w:szCs w:val="32"/>
          <w:highlight w:val="none"/>
          <w:lang w:val="en-US" w:eastAsia="zh-CN" w:bidi="ar-SA"/>
        </w:rPr>
        <w:t>六、</w:t>
      </w:r>
      <w:r>
        <w:rPr>
          <w:rFonts w:hint="eastAsia" w:eastAsia="宋体" w:asciiTheme="majorHAnsi" w:hAnsiTheme="majorHAnsi" w:cstheme="majorBidi"/>
          <w:b/>
          <w:bCs/>
          <w:color w:val="auto"/>
          <w:kern w:val="2"/>
          <w:sz w:val="32"/>
          <w:szCs w:val="32"/>
          <w:highlight w:val="none"/>
          <w:lang w:val="en-US" w:eastAsia="zh-CN" w:bidi="ar-SA"/>
        </w:rPr>
        <w:t>商务响应偏离表</w:t>
      </w:r>
      <w:bookmarkEnd w:id="565"/>
    </w:p>
    <w:p w14:paraId="21AF32D6">
      <w:pPr>
        <w:rPr>
          <w:rFonts w:cs="仿宋_GB2312"/>
          <w:color w:val="auto"/>
          <w:szCs w:val="24"/>
          <w:highlight w:val="none"/>
        </w:rPr>
      </w:pPr>
      <w:r>
        <w:rPr>
          <w:rFonts w:hint="eastAsia" w:cs="仿宋_GB2312"/>
          <w:color w:val="auto"/>
          <w:szCs w:val="24"/>
          <w:highlight w:val="none"/>
        </w:rPr>
        <w:t xml:space="preserve">项目名称：                                         </w:t>
      </w:r>
    </w:p>
    <w:p w14:paraId="0424C095">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28"/>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16B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A4BE3A9">
            <w:pPr>
              <w:pStyle w:val="46"/>
              <w:jc w:val="center"/>
              <w:rPr>
                <w:color w:val="auto"/>
                <w:highlight w:val="none"/>
              </w:rPr>
            </w:pPr>
            <w:r>
              <w:rPr>
                <w:rFonts w:hint="eastAsia"/>
                <w:color w:val="auto"/>
                <w:highlight w:val="none"/>
              </w:rPr>
              <w:t>序号</w:t>
            </w:r>
          </w:p>
        </w:tc>
        <w:tc>
          <w:tcPr>
            <w:tcW w:w="1395" w:type="pct"/>
            <w:vAlign w:val="center"/>
          </w:tcPr>
          <w:p w14:paraId="7CB83CD6">
            <w:pPr>
              <w:pStyle w:val="46"/>
              <w:jc w:val="center"/>
              <w:rPr>
                <w:color w:val="auto"/>
                <w:highlight w:val="none"/>
              </w:rPr>
            </w:pPr>
            <w:r>
              <w:rPr>
                <w:rFonts w:hint="eastAsia"/>
                <w:color w:val="auto"/>
                <w:highlight w:val="none"/>
                <w:lang w:val="en-US" w:eastAsia="zh-CN"/>
              </w:rPr>
              <w:t>竞争性谈判</w:t>
            </w:r>
            <w:r>
              <w:rPr>
                <w:rFonts w:hint="eastAsia"/>
                <w:color w:val="auto"/>
                <w:highlight w:val="none"/>
              </w:rPr>
              <w:t>文件的商务条款</w:t>
            </w:r>
          </w:p>
        </w:tc>
        <w:tc>
          <w:tcPr>
            <w:tcW w:w="1002" w:type="pct"/>
            <w:vAlign w:val="center"/>
          </w:tcPr>
          <w:p w14:paraId="55A47B57">
            <w:pPr>
              <w:pStyle w:val="46"/>
              <w:jc w:val="center"/>
              <w:rPr>
                <w:color w:val="auto"/>
                <w:highlight w:val="none"/>
              </w:rPr>
            </w:pPr>
            <w:r>
              <w:rPr>
                <w:rFonts w:hint="eastAsia"/>
                <w:color w:val="auto"/>
                <w:highlight w:val="none"/>
                <w:lang w:val="en-US" w:eastAsia="zh-CN"/>
              </w:rPr>
              <w:t>响应</w:t>
            </w:r>
            <w:r>
              <w:rPr>
                <w:rFonts w:hint="eastAsia"/>
                <w:color w:val="auto"/>
                <w:highlight w:val="none"/>
              </w:rPr>
              <w:t>文件的响应内容</w:t>
            </w:r>
          </w:p>
        </w:tc>
        <w:tc>
          <w:tcPr>
            <w:tcW w:w="1090" w:type="pct"/>
            <w:vAlign w:val="center"/>
          </w:tcPr>
          <w:p w14:paraId="2572E859">
            <w:pPr>
              <w:pStyle w:val="46"/>
              <w:jc w:val="center"/>
              <w:rPr>
                <w:color w:val="auto"/>
                <w:highlight w:val="none"/>
              </w:rPr>
            </w:pPr>
            <w:r>
              <w:rPr>
                <w:rFonts w:hint="eastAsia"/>
                <w:color w:val="auto"/>
                <w:highlight w:val="none"/>
              </w:rPr>
              <w:t>响应情况</w:t>
            </w:r>
          </w:p>
        </w:tc>
        <w:tc>
          <w:tcPr>
            <w:tcW w:w="1090" w:type="pct"/>
            <w:vAlign w:val="center"/>
          </w:tcPr>
          <w:p w14:paraId="7884F206">
            <w:pPr>
              <w:pStyle w:val="46"/>
              <w:jc w:val="center"/>
              <w:rPr>
                <w:color w:val="auto"/>
                <w:highlight w:val="none"/>
              </w:rPr>
            </w:pPr>
            <w:r>
              <w:rPr>
                <w:rFonts w:hint="eastAsia"/>
                <w:color w:val="auto"/>
                <w:highlight w:val="none"/>
              </w:rPr>
              <w:t>说明及索引</w:t>
            </w:r>
          </w:p>
        </w:tc>
      </w:tr>
      <w:tr w14:paraId="0728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56411A">
            <w:pPr>
              <w:pStyle w:val="46"/>
              <w:jc w:val="center"/>
              <w:rPr>
                <w:color w:val="auto"/>
                <w:highlight w:val="none"/>
              </w:rPr>
            </w:pPr>
            <w:r>
              <w:rPr>
                <w:rFonts w:hint="eastAsia"/>
                <w:color w:val="auto"/>
                <w:highlight w:val="none"/>
              </w:rPr>
              <w:t>1</w:t>
            </w:r>
          </w:p>
        </w:tc>
        <w:tc>
          <w:tcPr>
            <w:tcW w:w="1395" w:type="pct"/>
            <w:vAlign w:val="center"/>
          </w:tcPr>
          <w:p w14:paraId="34566CA0">
            <w:pPr>
              <w:pStyle w:val="46"/>
              <w:jc w:val="center"/>
              <w:rPr>
                <w:color w:val="auto"/>
                <w:highlight w:val="none"/>
              </w:rPr>
            </w:pPr>
            <w:r>
              <w:rPr>
                <w:rFonts w:hint="eastAsia"/>
                <w:color w:val="auto"/>
                <w:highlight w:val="none"/>
              </w:rPr>
              <w:t>*</w:t>
            </w:r>
            <w:r>
              <w:rPr>
                <w:color w:val="auto"/>
                <w:highlight w:val="none"/>
              </w:rPr>
              <w:t>******</w:t>
            </w:r>
          </w:p>
        </w:tc>
        <w:tc>
          <w:tcPr>
            <w:tcW w:w="1002" w:type="pct"/>
            <w:vAlign w:val="center"/>
          </w:tcPr>
          <w:p w14:paraId="1C6482B4">
            <w:pPr>
              <w:pStyle w:val="46"/>
              <w:jc w:val="center"/>
              <w:rPr>
                <w:color w:val="auto"/>
                <w:highlight w:val="none"/>
              </w:rPr>
            </w:pPr>
            <w:r>
              <w:rPr>
                <w:rFonts w:hint="eastAsia"/>
                <w:color w:val="auto"/>
                <w:highlight w:val="none"/>
              </w:rPr>
              <w:t>*</w:t>
            </w:r>
            <w:r>
              <w:rPr>
                <w:color w:val="auto"/>
                <w:highlight w:val="none"/>
              </w:rPr>
              <w:t>******</w:t>
            </w:r>
          </w:p>
        </w:tc>
        <w:tc>
          <w:tcPr>
            <w:tcW w:w="1090" w:type="pct"/>
            <w:vAlign w:val="center"/>
          </w:tcPr>
          <w:p w14:paraId="1BBD0417">
            <w:pPr>
              <w:pStyle w:val="46"/>
              <w:jc w:val="center"/>
              <w:rPr>
                <w:color w:val="auto"/>
                <w:highlight w:val="none"/>
              </w:rPr>
            </w:pPr>
            <w:r>
              <w:rPr>
                <w:rFonts w:hint="eastAsia"/>
                <w:color w:val="auto"/>
                <w:highlight w:val="none"/>
              </w:rPr>
              <w:t>响应</w:t>
            </w:r>
            <w:r>
              <w:rPr>
                <w:color w:val="auto"/>
                <w:highlight w:val="none"/>
              </w:rPr>
              <w:t>/偏离</w:t>
            </w:r>
          </w:p>
        </w:tc>
        <w:tc>
          <w:tcPr>
            <w:tcW w:w="1090" w:type="pct"/>
            <w:vAlign w:val="center"/>
          </w:tcPr>
          <w:p w14:paraId="1A90E39C">
            <w:pPr>
              <w:pStyle w:val="46"/>
              <w:jc w:val="center"/>
              <w:rPr>
                <w:color w:val="auto"/>
                <w:highlight w:val="none"/>
              </w:rPr>
            </w:pPr>
          </w:p>
        </w:tc>
      </w:tr>
      <w:tr w14:paraId="7C8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420" w:type="pct"/>
            <w:vAlign w:val="center"/>
          </w:tcPr>
          <w:p w14:paraId="05821036">
            <w:pPr>
              <w:pStyle w:val="46"/>
              <w:jc w:val="center"/>
              <w:rPr>
                <w:color w:val="auto"/>
                <w:highlight w:val="none"/>
              </w:rPr>
            </w:pPr>
            <w:r>
              <w:rPr>
                <w:rFonts w:hint="eastAsia"/>
                <w:color w:val="auto"/>
                <w:highlight w:val="none"/>
              </w:rPr>
              <w:t>2</w:t>
            </w:r>
          </w:p>
        </w:tc>
        <w:tc>
          <w:tcPr>
            <w:tcW w:w="1395" w:type="pct"/>
            <w:vAlign w:val="center"/>
          </w:tcPr>
          <w:p w14:paraId="2A717A55">
            <w:pPr>
              <w:pStyle w:val="46"/>
              <w:jc w:val="center"/>
              <w:rPr>
                <w:color w:val="auto"/>
                <w:highlight w:val="none"/>
              </w:rPr>
            </w:pPr>
            <w:r>
              <w:rPr>
                <w:rFonts w:hint="eastAsia"/>
                <w:color w:val="auto"/>
                <w:highlight w:val="none"/>
              </w:rPr>
              <w:t>*</w:t>
            </w:r>
            <w:r>
              <w:rPr>
                <w:color w:val="auto"/>
                <w:highlight w:val="none"/>
              </w:rPr>
              <w:t>******</w:t>
            </w:r>
          </w:p>
        </w:tc>
        <w:tc>
          <w:tcPr>
            <w:tcW w:w="1002" w:type="pct"/>
            <w:vAlign w:val="center"/>
          </w:tcPr>
          <w:p w14:paraId="20EC7575">
            <w:pPr>
              <w:pStyle w:val="46"/>
              <w:jc w:val="center"/>
              <w:rPr>
                <w:color w:val="auto"/>
                <w:highlight w:val="none"/>
              </w:rPr>
            </w:pPr>
            <w:r>
              <w:rPr>
                <w:rFonts w:hint="eastAsia"/>
                <w:color w:val="auto"/>
                <w:highlight w:val="none"/>
              </w:rPr>
              <w:t>*</w:t>
            </w:r>
            <w:r>
              <w:rPr>
                <w:color w:val="auto"/>
                <w:highlight w:val="none"/>
              </w:rPr>
              <w:t>******</w:t>
            </w:r>
          </w:p>
        </w:tc>
        <w:tc>
          <w:tcPr>
            <w:tcW w:w="1090" w:type="pct"/>
            <w:vAlign w:val="center"/>
          </w:tcPr>
          <w:p w14:paraId="5923E58D">
            <w:pPr>
              <w:pStyle w:val="46"/>
              <w:jc w:val="center"/>
              <w:rPr>
                <w:color w:val="auto"/>
                <w:highlight w:val="none"/>
              </w:rPr>
            </w:pPr>
          </w:p>
        </w:tc>
        <w:tc>
          <w:tcPr>
            <w:tcW w:w="1090" w:type="pct"/>
            <w:vAlign w:val="center"/>
          </w:tcPr>
          <w:p w14:paraId="59C2C317">
            <w:pPr>
              <w:pStyle w:val="46"/>
              <w:jc w:val="center"/>
              <w:rPr>
                <w:color w:val="auto"/>
                <w:highlight w:val="none"/>
              </w:rPr>
            </w:pPr>
          </w:p>
        </w:tc>
      </w:tr>
      <w:tr w14:paraId="643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63CA4">
            <w:pPr>
              <w:pStyle w:val="46"/>
              <w:jc w:val="center"/>
              <w:rPr>
                <w:color w:val="auto"/>
                <w:highlight w:val="none"/>
              </w:rPr>
            </w:pPr>
            <w:r>
              <w:rPr>
                <w:rFonts w:hint="eastAsia"/>
                <w:color w:val="auto"/>
                <w:highlight w:val="none"/>
              </w:rPr>
              <w:t>3</w:t>
            </w:r>
          </w:p>
        </w:tc>
        <w:tc>
          <w:tcPr>
            <w:tcW w:w="1395" w:type="pct"/>
            <w:vAlign w:val="center"/>
          </w:tcPr>
          <w:p w14:paraId="595245DB">
            <w:pPr>
              <w:pStyle w:val="46"/>
              <w:jc w:val="center"/>
              <w:rPr>
                <w:color w:val="auto"/>
                <w:highlight w:val="none"/>
              </w:rPr>
            </w:pPr>
            <w:r>
              <w:rPr>
                <w:rFonts w:hint="eastAsia"/>
                <w:color w:val="auto"/>
                <w:highlight w:val="none"/>
              </w:rPr>
              <w:t>*</w:t>
            </w:r>
            <w:r>
              <w:rPr>
                <w:color w:val="auto"/>
                <w:highlight w:val="none"/>
              </w:rPr>
              <w:t>******</w:t>
            </w:r>
          </w:p>
        </w:tc>
        <w:tc>
          <w:tcPr>
            <w:tcW w:w="1002" w:type="pct"/>
            <w:vAlign w:val="center"/>
          </w:tcPr>
          <w:p w14:paraId="0A16B4B6">
            <w:pPr>
              <w:pStyle w:val="46"/>
              <w:jc w:val="center"/>
              <w:rPr>
                <w:color w:val="auto"/>
                <w:highlight w:val="none"/>
              </w:rPr>
            </w:pPr>
            <w:r>
              <w:rPr>
                <w:rFonts w:hint="eastAsia"/>
                <w:color w:val="auto"/>
                <w:highlight w:val="none"/>
              </w:rPr>
              <w:t>*</w:t>
            </w:r>
            <w:r>
              <w:rPr>
                <w:color w:val="auto"/>
                <w:highlight w:val="none"/>
              </w:rPr>
              <w:t>******</w:t>
            </w:r>
          </w:p>
        </w:tc>
        <w:tc>
          <w:tcPr>
            <w:tcW w:w="1090" w:type="pct"/>
            <w:vAlign w:val="center"/>
          </w:tcPr>
          <w:p w14:paraId="58535F72">
            <w:pPr>
              <w:pStyle w:val="46"/>
              <w:jc w:val="center"/>
              <w:rPr>
                <w:color w:val="auto"/>
                <w:highlight w:val="none"/>
              </w:rPr>
            </w:pPr>
          </w:p>
        </w:tc>
        <w:tc>
          <w:tcPr>
            <w:tcW w:w="1090" w:type="pct"/>
            <w:vAlign w:val="center"/>
          </w:tcPr>
          <w:p w14:paraId="50AB520B">
            <w:pPr>
              <w:pStyle w:val="46"/>
              <w:jc w:val="center"/>
              <w:rPr>
                <w:color w:val="auto"/>
                <w:highlight w:val="none"/>
              </w:rPr>
            </w:pPr>
          </w:p>
        </w:tc>
      </w:tr>
      <w:tr w14:paraId="669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4127D5E">
            <w:pPr>
              <w:pStyle w:val="46"/>
              <w:jc w:val="center"/>
              <w:rPr>
                <w:color w:val="auto"/>
                <w:highlight w:val="none"/>
              </w:rPr>
            </w:pPr>
          </w:p>
        </w:tc>
        <w:tc>
          <w:tcPr>
            <w:tcW w:w="1395" w:type="pct"/>
            <w:vAlign w:val="center"/>
          </w:tcPr>
          <w:p w14:paraId="14968038">
            <w:pPr>
              <w:pStyle w:val="46"/>
              <w:jc w:val="center"/>
              <w:rPr>
                <w:color w:val="auto"/>
                <w:highlight w:val="none"/>
              </w:rPr>
            </w:pPr>
          </w:p>
        </w:tc>
        <w:tc>
          <w:tcPr>
            <w:tcW w:w="1002" w:type="pct"/>
            <w:vAlign w:val="center"/>
          </w:tcPr>
          <w:p w14:paraId="10A6B59E">
            <w:pPr>
              <w:pStyle w:val="46"/>
              <w:jc w:val="center"/>
              <w:rPr>
                <w:color w:val="auto"/>
                <w:highlight w:val="none"/>
              </w:rPr>
            </w:pPr>
          </w:p>
        </w:tc>
        <w:tc>
          <w:tcPr>
            <w:tcW w:w="1090" w:type="pct"/>
            <w:vAlign w:val="center"/>
          </w:tcPr>
          <w:p w14:paraId="61702DF6">
            <w:pPr>
              <w:pStyle w:val="46"/>
              <w:jc w:val="center"/>
              <w:rPr>
                <w:color w:val="auto"/>
                <w:highlight w:val="none"/>
              </w:rPr>
            </w:pPr>
          </w:p>
        </w:tc>
        <w:tc>
          <w:tcPr>
            <w:tcW w:w="1090" w:type="pct"/>
            <w:vAlign w:val="center"/>
          </w:tcPr>
          <w:p w14:paraId="0CC18FC2">
            <w:pPr>
              <w:pStyle w:val="46"/>
              <w:jc w:val="center"/>
              <w:rPr>
                <w:color w:val="auto"/>
                <w:highlight w:val="none"/>
              </w:rPr>
            </w:pPr>
          </w:p>
        </w:tc>
      </w:tr>
      <w:tr w14:paraId="57F3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61F269">
            <w:pPr>
              <w:pStyle w:val="46"/>
              <w:jc w:val="center"/>
              <w:rPr>
                <w:color w:val="auto"/>
                <w:highlight w:val="none"/>
              </w:rPr>
            </w:pPr>
          </w:p>
        </w:tc>
        <w:tc>
          <w:tcPr>
            <w:tcW w:w="1395" w:type="pct"/>
            <w:vAlign w:val="center"/>
          </w:tcPr>
          <w:p w14:paraId="5DDD9937">
            <w:pPr>
              <w:pStyle w:val="46"/>
              <w:jc w:val="center"/>
              <w:rPr>
                <w:color w:val="auto"/>
                <w:highlight w:val="none"/>
              </w:rPr>
            </w:pPr>
          </w:p>
        </w:tc>
        <w:tc>
          <w:tcPr>
            <w:tcW w:w="1002" w:type="pct"/>
            <w:vAlign w:val="center"/>
          </w:tcPr>
          <w:p w14:paraId="0B29A018">
            <w:pPr>
              <w:pStyle w:val="46"/>
              <w:jc w:val="center"/>
              <w:rPr>
                <w:color w:val="auto"/>
                <w:highlight w:val="none"/>
              </w:rPr>
            </w:pPr>
          </w:p>
        </w:tc>
        <w:tc>
          <w:tcPr>
            <w:tcW w:w="1090" w:type="pct"/>
            <w:vAlign w:val="center"/>
          </w:tcPr>
          <w:p w14:paraId="1FA693DE">
            <w:pPr>
              <w:pStyle w:val="46"/>
              <w:jc w:val="center"/>
              <w:rPr>
                <w:color w:val="auto"/>
                <w:highlight w:val="none"/>
              </w:rPr>
            </w:pPr>
          </w:p>
        </w:tc>
        <w:tc>
          <w:tcPr>
            <w:tcW w:w="1090" w:type="pct"/>
            <w:vAlign w:val="center"/>
          </w:tcPr>
          <w:p w14:paraId="3D633AB6">
            <w:pPr>
              <w:pStyle w:val="46"/>
              <w:jc w:val="center"/>
              <w:rPr>
                <w:color w:val="auto"/>
                <w:highlight w:val="none"/>
              </w:rPr>
            </w:pPr>
          </w:p>
        </w:tc>
      </w:tr>
      <w:tr w14:paraId="124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A5171A">
            <w:pPr>
              <w:pStyle w:val="46"/>
              <w:jc w:val="center"/>
              <w:rPr>
                <w:color w:val="auto"/>
                <w:highlight w:val="none"/>
              </w:rPr>
            </w:pPr>
          </w:p>
        </w:tc>
        <w:tc>
          <w:tcPr>
            <w:tcW w:w="1395" w:type="pct"/>
            <w:vAlign w:val="center"/>
          </w:tcPr>
          <w:p w14:paraId="014A297F">
            <w:pPr>
              <w:pStyle w:val="46"/>
              <w:jc w:val="center"/>
              <w:rPr>
                <w:color w:val="auto"/>
                <w:highlight w:val="none"/>
              </w:rPr>
            </w:pPr>
          </w:p>
        </w:tc>
        <w:tc>
          <w:tcPr>
            <w:tcW w:w="1002" w:type="pct"/>
            <w:vAlign w:val="center"/>
          </w:tcPr>
          <w:p w14:paraId="51467013">
            <w:pPr>
              <w:pStyle w:val="46"/>
              <w:jc w:val="center"/>
              <w:rPr>
                <w:color w:val="auto"/>
                <w:highlight w:val="none"/>
              </w:rPr>
            </w:pPr>
          </w:p>
        </w:tc>
        <w:tc>
          <w:tcPr>
            <w:tcW w:w="1090" w:type="pct"/>
            <w:vAlign w:val="center"/>
          </w:tcPr>
          <w:p w14:paraId="011E40CA">
            <w:pPr>
              <w:pStyle w:val="46"/>
              <w:jc w:val="center"/>
              <w:rPr>
                <w:color w:val="auto"/>
                <w:highlight w:val="none"/>
              </w:rPr>
            </w:pPr>
          </w:p>
        </w:tc>
        <w:tc>
          <w:tcPr>
            <w:tcW w:w="1090" w:type="pct"/>
            <w:vAlign w:val="center"/>
          </w:tcPr>
          <w:p w14:paraId="7062C313">
            <w:pPr>
              <w:pStyle w:val="46"/>
              <w:jc w:val="center"/>
              <w:rPr>
                <w:color w:val="auto"/>
                <w:highlight w:val="none"/>
              </w:rPr>
            </w:pPr>
          </w:p>
        </w:tc>
      </w:tr>
      <w:tr w14:paraId="799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B6F410">
            <w:pPr>
              <w:pStyle w:val="46"/>
              <w:jc w:val="center"/>
              <w:rPr>
                <w:color w:val="auto"/>
                <w:highlight w:val="none"/>
              </w:rPr>
            </w:pPr>
          </w:p>
        </w:tc>
        <w:tc>
          <w:tcPr>
            <w:tcW w:w="1395" w:type="pct"/>
            <w:vAlign w:val="center"/>
          </w:tcPr>
          <w:p w14:paraId="010A1BB0">
            <w:pPr>
              <w:pStyle w:val="46"/>
              <w:jc w:val="center"/>
              <w:rPr>
                <w:color w:val="auto"/>
                <w:highlight w:val="none"/>
              </w:rPr>
            </w:pPr>
          </w:p>
        </w:tc>
        <w:tc>
          <w:tcPr>
            <w:tcW w:w="1002" w:type="pct"/>
            <w:vAlign w:val="center"/>
          </w:tcPr>
          <w:p w14:paraId="1EE22C75">
            <w:pPr>
              <w:pStyle w:val="46"/>
              <w:jc w:val="center"/>
              <w:rPr>
                <w:color w:val="auto"/>
                <w:highlight w:val="none"/>
              </w:rPr>
            </w:pPr>
          </w:p>
        </w:tc>
        <w:tc>
          <w:tcPr>
            <w:tcW w:w="1090" w:type="pct"/>
            <w:vAlign w:val="center"/>
          </w:tcPr>
          <w:p w14:paraId="3C86F2CC">
            <w:pPr>
              <w:pStyle w:val="46"/>
              <w:jc w:val="center"/>
              <w:rPr>
                <w:color w:val="auto"/>
                <w:highlight w:val="none"/>
              </w:rPr>
            </w:pPr>
          </w:p>
        </w:tc>
        <w:tc>
          <w:tcPr>
            <w:tcW w:w="1090" w:type="pct"/>
            <w:vAlign w:val="center"/>
          </w:tcPr>
          <w:p w14:paraId="515EA04E">
            <w:pPr>
              <w:pStyle w:val="46"/>
              <w:jc w:val="center"/>
              <w:rPr>
                <w:color w:val="auto"/>
                <w:highlight w:val="none"/>
              </w:rPr>
            </w:pPr>
          </w:p>
        </w:tc>
      </w:tr>
      <w:tr w14:paraId="2D7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7EFA1E0">
            <w:pPr>
              <w:pStyle w:val="46"/>
              <w:jc w:val="center"/>
              <w:rPr>
                <w:color w:val="auto"/>
                <w:highlight w:val="none"/>
              </w:rPr>
            </w:pPr>
          </w:p>
        </w:tc>
        <w:tc>
          <w:tcPr>
            <w:tcW w:w="1395" w:type="pct"/>
            <w:vAlign w:val="center"/>
          </w:tcPr>
          <w:p w14:paraId="1C7A6406">
            <w:pPr>
              <w:pStyle w:val="46"/>
              <w:jc w:val="center"/>
              <w:rPr>
                <w:color w:val="auto"/>
                <w:highlight w:val="none"/>
              </w:rPr>
            </w:pPr>
          </w:p>
        </w:tc>
        <w:tc>
          <w:tcPr>
            <w:tcW w:w="1002" w:type="pct"/>
            <w:vAlign w:val="center"/>
          </w:tcPr>
          <w:p w14:paraId="7F774DAF">
            <w:pPr>
              <w:pStyle w:val="46"/>
              <w:jc w:val="center"/>
              <w:rPr>
                <w:color w:val="auto"/>
                <w:highlight w:val="none"/>
              </w:rPr>
            </w:pPr>
          </w:p>
        </w:tc>
        <w:tc>
          <w:tcPr>
            <w:tcW w:w="1090" w:type="pct"/>
            <w:vAlign w:val="center"/>
          </w:tcPr>
          <w:p w14:paraId="66A55C54">
            <w:pPr>
              <w:pStyle w:val="46"/>
              <w:jc w:val="center"/>
              <w:rPr>
                <w:color w:val="auto"/>
                <w:highlight w:val="none"/>
              </w:rPr>
            </w:pPr>
          </w:p>
        </w:tc>
        <w:tc>
          <w:tcPr>
            <w:tcW w:w="1090" w:type="pct"/>
            <w:vAlign w:val="center"/>
          </w:tcPr>
          <w:p w14:paraId="6FC3A7DB">
            <w:pPr>
              <w:pStyle w:val="46"/>
              <w:jc w:val="center"/>
              <w:rPr>
                <w:color w:val="auto"/>
                <w:highlight w:val="none"/>
              </w:rPr>
            </w:pPr>
          </w:p>
        </w:tc>
      </w:tr>
      <w:tr w14:paraId="2B93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D84A230">
            <w:pPr>
              <w:pStyle w:val="46"/>
              <w:jc w:val="center"/>
              <w:rPr>
                <w:color w:val="auto"/>
                <w:highlight w:val="none"/>
              </w:rPr>
            </w:pPr>
          </w:p>
        </w:tc>
        <w:tc>
          <w:tcPr>
            <w:tcW w:w="1395" w:type="pct"/>
            <w:vAlign w:val="center"/>
          </w:tcPr>
          <w:p w14:paraId="5A1690B5">
            <w:pPr>
              <w:pStyle w:val="46"/>
              <w:jc w:val="center"/>
              <w:rPr>
                <w:color w:val="auto"/>
                <w:highlight w:val="none"/>
              </w:rPr>
            </w:pPr>
          </w:p>
        </w:tc>
        <w:tc>
          <w:tcPr>
            <w:tcW w:w="1002" w:type="pct"/>
            <w:vAlign w:val="center"/>
          </w:tcPr>
          <w:p w14:paraId="735418C2">
            <w:pPr>
              <w:pStyle w:val="46"/>
              <w:jc w:val="center"/>
              <w:rPr>
                <w:color w:val="auto"/>
                <w:highlight w:val="none"/>
              </w:rPr>
            </w:pPr>
          </w:p>
        </w:tc>
        <w:tc>
          <w:tcPr>
            <w:tcW w:w="1090" w:type="pct"/>
            <w:vAlign w:val="center"/>
          </w:tcPr>
          <w:p w14:paraId="13F6671D">
            <w:pPr>
              <w:pStyle w:val="46"/>
              <w:jc w:val="center"/>
              <w:rPr>
                <w:color w:val="auto"/>
                <w:highlight w:val="none"/>
              </w:rPr>
            </w:pPr>
          </w:p>
        </w:tc>
        <w:tc>
          <w:tcPr>
            <w:tcW w:w="1090" w:type="pct"/>
            <w:vAlign w:val="center"/>
          </w:tcPr>
          <w:p w14:paraId="3DC0B3BB">
            <w:pPr>
              <w:pStyle w:val="46"/>
              <w:jc w:val="center"/>
              <w:rPr>
                <w:color w:val="auto"/>
                <w:highlight w:val="none"/>
              </w:rPr>
            </w:pPr>
          </w:p>
        </w:tc>
      </w:tr>
      <w:tr w14:paraId="79F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1E185D4">
            <w:pPr>
              <w:pStyle w:val="46"/>
              <w:jc w:val="center"/>
              <w:rPr>
                <w:color w:val="auto"/>
                <w:highlight w:val="none"/>
              </w:rPr>
            </w:pPr>
            <w:r>
              <w:rPr>
                <w:rFonts w:hint="eastAsia"/>
                <w:color w:val="auto"/>
                <w:highlight w:val="none"/>
              </w:rPr>
              <w:t>……</w:t>
            </w:r>
          </w:p>
        </w:tc>
        <w:tc>
          <w:tcPr>
            <w:tcW w:w="1395" w:type="pct"/>
            <w:vAlign w:val="center"/>
          </w:tcPr>
          <w:p w14:paraId="6324A49D">
            <w:pPr>
              <w:pStyle w:val="46"/>
              <w:jc w:val="center"/>
              <w:rPr>
                <w:color w:val="auto"/>
                <w:highlight w:val="none"/>
              </w:rPr>
            </w:pPr>
            <w:r>
              <w:rPr>
                <w:rFonts w:hint="eastAsia"/>
                <w:color w:val="auto"/>
                <w:highlight w:val="none"/>
              </w:rPr>
              <w:t>…………</w:t>
            </w:r>
          </w:p>
        </w:tc>
        <w:tc>
          <w:tcPr>
            <w:tcW w:w="1002" w:type="pct"/>
            <w:vAlign w:val="center"/>
          </w:tcPr>
          <w:p w14:paraId="0EE83785">
            <w:pPr>
              <w:pStyle w:val="46"/>
              <w:jc w:val="center"/>
              <w:rPr>
                <w:color w:val="auto"/>
                <w:highlight w:val="none"/>
              </w:rPr>
            </w:pPr>
            <w:r>
              <w:rPr>
                <w:rFonts w:hint="eastAsia"/>
                <w:color w:val="auto"/>
                <w:highlight w:val="none"/>
              </w:rPr>
              <w:t>…………</w:t>
            </w:r>
          </w:p>
        </w:tc>
        <w:tc>
          <w:tcPr>
            <w:tcW w:w="1090" w:type="pct"/>
            <w:vAlign w:val="center"/>
          </w:tcPr>
          <w:p w14:paraId="7A24BB2D">
            <w:pPr>
              <w:pStyle w:val="46"/>
              <w:jc w:val="center"/>
              <w:rPr>
                <w:color w:val="auto"/>
                <w:highlight w:val="none"/>
              </w:rPr>
            </w:pPr>
            <w:r>
              <w:rPr>
                <w:rFonts w:hint="eastAsia"/>
                <w:color w:val="auto"/>
                <w:highlight w:val="none"/>
              </w:rPr>
              <w:t>……</w:t>
            </w:r>
          </w:p>
        </w:tc>
        <w:tc>
          <w:tcPr>
            <w:tcW w:w="1090" w:type="pct"/>
            <w:vAlign w:val="center"/>
          </w:tcPr>
          <w:p w14:paraId="7CC08218">
            <w:pPr>
              <w:pStyle w:val="46"/>
              <w:jc w:val="center"/>
              <w:rPr>
                <w:color w:val="auto"/>
                <w:highlight w:val="none"/>
              </w:rPr>
            </w:pPr>
          </w:p>
        </w:tc>
      </w:tr>
    </w:tbl>
    <w:p w14:paraId="5CB06622">
      <w:pPr>
        <w:ind w:firstLine="480" w:firstLineChars="200"/>
        <w:rPr>
          <w:rFonts w:cs="仿宋_GB2312"/>
          <w:color w:val="auto"/>
          <w:szCs w:val="24"/>
          <w:highlight w:val="none"/>
        </w:rPr>
      </w:pPr>
    </w:p>
    <w:p w14:paraId="72A459D6">
      <w:pPr>
        <w:ind w:firstLine="480" w:firstLineChars="200"/>
        <w:rPr>
          <w:rFonts w:cs="仿宋_GB2312"/>
          <w:color w:val="auto"/>
          <w:szCs w:val="24"/>
          <w:highlight w:val="none"/>
        </w:rPr>
      </w:pPr>
    </w:p>
    <w:p w14:paraId="01107FC6">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cs="宋体"/>
          <w:color w:val="auto"/>
          <w:kern w:val="0"/>
          <w:sz w:val="24"/>
          <w:szCs w:val="24"/>
          <w:highlight w:val="none"/>
          <w:lang w:val="en-US" w:eastAsia="zh-CN"/>
        </w:rPr>
        <w:t>供应商</w:t>
      </w:r>
      <w:r>
        <w:rPr>
          <w:rFonts w:hint="eastAsia" w:ascii="宋体" w:hAnsi="宋体" w:cs="宋体"/>
          <w:color w:val="auto"/>
          <w:kern w:val="0"/>
          <w:sz w:val="24"/>
          <w:szCs w:val="24"/>
          <w:highlight w:val="none"/>
          <w:lang w:val="zh-CN"/>
        </w:rPr>
        <w:t>名称（</w:t>
      </w:r>
      <w:r>
        <w:rPr>
          <w:rFonts w:hint="eastAsia" w:cs="宋体"/>
          <w:color w:val="auto"/>
          <w:sz w:val="24"/>
          <w:szCs w:val="24"/>
          <w:highlight w:val="none"/>
          <w:lang w:eastAsia="zh-CN"/>
        </w:rPr>
        <w:t>公章</w:t>
      </w:r>
      <w:r>
        <w:rPr>
          <w:rFonts w:hint="eastAsia" w:ascii="宋体" w:hAnsi="宋体" w:cs="宋体"/>
          <w:color w:val="auto"/>
          <w:kern w:val="0"/>
          <w:sz w:val="24"/>
          <w:szCs w:val="24"/>
          <w:highlight w:val="none"/>
          <w:lang w:val="zh-CN"/>
        </w:rPr>
        <w:t xml:space="preserve">）：                                                                                                                                                                                                               </w:t>
      </w:r>
    </w:p>
    <w:p w14:paraId="14E042A5">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61F9C707">
      <w:pPr>
        <w:ind w:firstLine="420" w:firstLineChars="200"/>
        <w:rPr>
          <w:rFonts w:hint="eastAsia" w:cs="仿宋_GB2312"/>
          <w:color w:val="auto"/>
          <w:sz w:val="21"/>
          <w:szCs w:val="21"/>
          <w:highlight w:val="none"/>
        </w:rPr>
      </w:pPr>
    </w:p>
    <w:p w14:paraId="3F428C59">
      <w:pPr>
        <w:ind w:firstLine="420" w:firstLineChars="200"/>
        <w:rPr>
          <w:rFonts w:cs="仿宋_GB2312"/>
          <w:color w:val="auto"/>
          <w:szCs w:val="24"/>
          <w:highlight w:val="none"/>
        </w:rPr>
      </w:pPr>
      <w:r>
        <w:rPr>
          <w:rFonts w:hint="eastAsia" w:cs="仿宋_GB2312"/>
          <w:color w:val="auto"/>
          <w:sz w:val="21"/>
          <w:szCs w:val="21"/>
          <w:highlight w:val="none"/>
        </w:rPr>
        <w:t>注：</w:t>
      </w:r>
      <w:r>
        <w:rPr>
          <w:rFonts w:hint="eastAsia" w:cs="仿宋_GB2312"/>
          <w:color w:val="auto"/>
          <w:sz w:val="21"/>
          <w:szCs w:val="21"/>
          <w:highlight w:val="none"/>
          <w:lang w:val="en-US" w:eastAsia="zh-CN"/>
        </w:rPr>
        <w:t>供应商</w:t>
      </w:r>
      <w:r>
        <w:rPr>
          <w:rFonts w:hint="eastAsia" w:cs="仿宋_GB2312"/>
          <w:color w:val="auto"/>
          <w:sz w:val="21"/>
          <w:szCs w:val="21"/>
          <w:highlight w:val="none"/>
        </w:rPr>
        <w:t>应按照</w:t>
      </w:r>
      <w:r>
        <w:rPr>
          <w:rFonts w:hint="eastAsia" w:cs="仿宋_GB2312"/>
          <w:color w:val="auto"/>
          <w:sz w:val="21"/>
          <w:szCs w:val="21"/>
          <w:highlight w:val="none"/>
          <w:lang w:val="en-US" w:eastAsia="zh-CN"/>
        </w:rPr>
        <w:t>竞争性谈判</w:t>
      </w:r>
      <w:r>
        <w:rPr>
          <w:rFonts w:hint="eastAsia" w:cs="仿宋_GB2312"/>
          <w:color w:val="auto"/>
          <w:sz w:val="21"/>
          <w:szCs w:val="21"/>
          <w:highlight w:val="none"/>
        </w:rPr>
        <w:t>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16749689">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1.“竞争性谈判文件的商务条款”栏应详细列明竞争性谈判文件中的商务要求。 </w:t>
      </w:r>
    </w:p>
    <w:p w14:paraId="5CB91061">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2.“响应文件的响应内容”栏填写供应商对竞争性谈判文件提出的商务条款作出的明确响应，并列明具体响应数值或内容，只注明符合、满足等无具体内容表述的，将视为未实质性满足竞争性谈判文件要求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响应</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0F3502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B002B53">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3BEF2EC6">
      <w:pPr>
        <w:ind w:firstLine="420"/>
        <w:rPr>
          <w:rFonts w:hint="eastAsia" w:eastAsia="宋体" w:asciiTheme="majorHAnsi" w:hAnsiTheme="majorHAnsi" w:cstheme="majorBidi"/>
          <w:b/>
          <w:bCs/>
          <w:color w:val="auto"/>
          <w:kern w:val="2"/>
          <w:sz w:val="28"/>
          <w:szCs w:val="28"/>
          <w:highlight w:val="none"/>
          <w:lang w:val="en-US" w:eastAsia="zh-CN" w:bidi="ar-SA"/>
        </w:rPr>
      </w:pPr>
      <w:r>
        <w:rPr>
          <w:rFonts w:hint="eastAsia" w:cs="仿宋_GB2312"/>
          <w:color w:val="auto"/>
          <w:sz w:val="21"/>
          <w:szCs w:val="21"/>
          <w:highlight w:val="none"/>
          <w:lang w:val="en-US" w:eastAsia="zh-CN"/>
        </w:rPr>
        <w:t>5.对竞争性谈判文件中的所有商务要求，除本表所列明的所有偏离外，均视作供应商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eastAsia" w:cs="仿宋_GB2312"/>
          <w:b/>
          <w:bCs/>
          <w:color w:val="auto"/>
          <w:sz w:val="21"/>
          <w:szCs w:val="21"/>
          <w:highlight w:val="none"/>
          <w:lang w:val="en-US" w:eastAsia="zh-CN"/>
        </w:rPr>
        <w:t>响应</w:t>
      </w:r>
      <w:r>
        <w:rPr>
          <w:rFonts w:hint="default" w:cs="仿宋_GB2312"/>
          <w:b/>
          <w:bCs/>
          <w:color w:val="auto"/>
          <w:sz w:val="21"/>
          <w:szCs w:val="21"/>
          <w:highlight w:val="none"/>
          <w:lang w:val="en-US" w:eastAsia="zh-CN"/>
        </w:rPr>
        <w:t>无效</w:t>
      </w:r>
      <w:r>
        <w:rPr>
          <w:rFonts w:hint="default" w:cs="仿宋_GB2312"/>
          <w:color w:val="auto"/>
          <w:sz w:val="21"/>
          <w:szCs w:val="21"/>
          <w:highlight w:val="none"/>
          <w:lang w:val="en-US" w:eastAsia="zh-CN"/>
        </w:rPr>
        <w:t>。</w:t>
      </w:r>
      <w:r>
        <w:rPr>
          <w:rFonts w:cs="仿宋_GB2312"/>
          <w:color w:val="auto"/>
          <w:szCs w:val="24"/>
          <w:highlight w:val="none"/>
        </w:rPr>
        <w:br w:type="page"/>
      </w:r>
    </w:p>
    <w:p w14:paraId="287724FC">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outlineLvl w:val="2"/>
        <w:rPr>
          <w:rFonts w:hint="eastAsia" w:eastAsia="宋体" w:asciiTheme="majorHAnsi" w:hAnsiTheme="majorHAnsi" w:cstheme="majorBidi"/>
          <w:b/>
          <w:bCs/>
          <w:color w:val="auto"/>
          <w:kern w:val="2"/>
          <w:sz w:val="32"/>
          <w:szCs w:val="32"/>
          <w:highlight w:val="none"/>
          <w:lang w:val="en-US" w:eastAsia="zh-CN" w:bidi="ar-SA"/>
        </w:rPr>
      </w:pPr>
      <w:bookmarkStart w:id="566" w:name="_Toc21407"/>
      <w:r>
        <w:rPr>
          <w:rFonts w:hint="eastAsia" w:cstheme="majorBidi"/>
          <w:b/>
          <w:bCs/>
          <w:color w:val="auto"/>
          <w:kern w:val="2"/>
          <w:sz w:val="32"/>
          <w:szCs w:val="32"/>
          <w:highlight w:val="none"/>
          <w:lang w:val="en-US" w:eastAsia="zh-CN" w:bidi="ar-SA"/>
        </w:rPr>
        <w:t>七、</w:t>
      </w:r>
      <w:r>
        <w:rPr>
          <w:rFonts w:hint="eastAsia" w:eastAsia="宋体" w:asciiTheme="majorHAnsi" w:hAnsiTheme="majorHAnsi" w:cstheme="majorBidi"/>
          <w:b/>
          <w:bCs/>
          <w:color w:val="auto"/>
          <w:kern w:val="2"/>
          <w:sz w:val="32"/>
          <w:szCs w:val="32"/>
          <w:highlight w:val="none"/>
          <w:lang w:val="en-US" w:eastAsia="zh-CN" w:bidi="ar-SA"/>
        </w:rPr>
        <w:t>业绩证明文件</w:t>
      </w:r>
      <w:bookmarkEnd w:id="566"/>
      <w:r>
        <w:rPr>
          <w:rFonts w:hint="eastAsia" w:ascii="宋体" w:hAnsi="宋体" w:eastAsia="宋体" w:cs="宋体"/>
          <w:b/>
          <w:bCs w:val="0"/>
          <w:color w:val="auto"/>
          <w:sz w:val="24"/>
          <w:lang w:val="zh-CN" w:eastAsia="zh-CN"/>
        </w:rPr>
        <w:t>【如</w:t>
      </w:r>
      <w:r>
        <w:rPr>
          <w:rFonts w:hint="eastAsia" w:ascii="宋体" w:hAnsi="宋体" w:eastAsia="宋体" w:cs="宋体"/>
          <w:b/>
          <w:bCs w:val="0"/>
          <w:color w:val="auto"/>
          <w:sz w:val="24"/>
          <w:lang w:val="en-US" w:eastAsia="zh-CN"/>
        </w:rPr>
        <w:t>有</w:t>
      </w:r>
      <w:r>
        <w:rPr>
          <w:rFonts w:hint="eastAsia" w:ascii="宋体" w:hAnsi="宋体" w:eastAsia="宋体" w:cs="宋体"/>
          <w:b/>
          <w:bCs w:val="0"/>
          <w:color w:val="auto"/>
          <w:sz w:val="24"/>
          <w:lang w:val="zh-CN" w:eastAsia="zh-CN"/>
        </w:rPr>
        <w:t>】</w:t>
      </w:r>
    </w:p>
    <w:p w14:paraId="4541380C">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159B24BA">
      <w:pPr>
        <w:rPr>
          <w:rFonts w:cs="Arial"/>
          <w:bCs/>
          <w:color w:val="auto"/>
          <w:szCs w:val="21"/>
          <w:highlight w:val="none"/>
        </w:rPr>
      </w:pPr>
      <w:r>
        <w:rPr>
          <w:rFonts w:hint="eastAsia" w:cs="仿宋_GB2312"/>
          <w:color w:val="auto"/>
          <w:szCs w:val="24"/>
          <w:highlight w:val="none"/>
        </w:rPr>
        <w:t>项目编号</w:t>
      </w:r>
      <w:r>
        <w:rPr>
          <w:rFonts w:hint="eastAsia" w:cs="仿宋_GB2312"/>
          <w:color w:val="auto"/>
          <w:szCs w:val="24"/>
          <w:highlight w:val="none"/>
          <w:lang w:val="en-US" w:eastAsia="zh-CN"/>
        </w:rPr>
        <w:t>/</w:t>
      </w:r>
      <w:r>
        <w:rPr>
          <w:rFonts w:hint="eastAsia" w:cs="仿宋_GB2312"/>
          <w:color w:val="auto"/>
          <w:szCs w:val="24"/>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28"/>
        <w:tblW w:w="9237" w:type="dxa"/>
        <w:tblInd w:w="-3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381"/>
        <w:gridCol w:w="1381"/>
        <w:gridCol w:w="1381"/>
        <w:gridCol w:w="1522"/>
        <w:gridCol w:w="1568"/>
        <w:gridCol w:w="1169"/>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35" w:type="dxa"/>
            <w:vAlign w:val="center"/>
          </w:tcPr>
          <w:p w14:paraId="4E9572F9">
            <w:pPr>
              <w:jc w:val="center"/>
              <w:rPr>
                <w:rFonts w:cs="仿宋_GB2312"/>
                <w:color w:val="auto"/>
                <w:sz w:val="24"/>
                <w:szCs w:val="24"/>
                <w:highlight w:val="none"/>
              </w:rPr>
            </w:pPr>
            <w:bookmarkStart w:id="567" w:name="_Hlk46779239"/>
            <w:r>
              <w:rPr>
                <w:rFonts w:hint="eastAsia" w:cs="仿宋_GB2312"/>
                <w:color w:val="auto"/>
                <w:sz w:val="24"/>
                <w:szCs w:val="24"/>
                <w:highlight w:val="none"/>
              </w:rPr>
              <w:t>序号</w:t>
            </w:r>
          </w:p>
        </w:tc>
        <w:tc>
          <w:tcPr>
            <w:tcW w:w="1381" w:type="dxa"/>
            <w:shd w:val="clear" w:color="auto" w:fill="auto"/>
            <w:vAlign w:val="center"/>
          </w:tcPr>
          <w:p w14:paraId="51F55A40">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381" w:type="dxa"/>
            <w:shd w:val="clear" w:color="auto" w:fill="auto"/>
            <w:vAlign w:val="center"/>
          </w:tcPr>
          <w:p w14:paraId="4D5C38D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381" w:type="dxa"/>
            <w:shd w:val="clear" w:color="auto" w:fill="auto"/>
            <w:vAlign w:val="center"/>
          </w:tcPr>
          <w:p w14:paraId="69717F2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522" w:type="dxa"/>
            <w:shd w:val="clear" w:color="auto" w:fill="auto"/>
            <w:vAlign w:val="center"/>
          </w:tcPr>
          <w:p w14:paraId="57C35070">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568" w:type="dxa"/>
            <w:shd w:val="clear" w:color="auto" w:fill="auto"/>
            <w:vAlign w:val="center"/>
          </w:tcPr>
          <w:p w14:paraId="63FA3FA5">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169" w:type="dxa"/>
            <w:shd w:val="clear" w:color="auto" w:fill="auto"/>
            <w:vAlign w:val="center"/>
          </w:tcPr>
          <w:p w14:paraId="01352CB9">
            <w:pPr>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备注</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35" w:type="dxa"/>
            <w:vAlign w:val="center"/>
          </w:tcPr>
          <w:p w14:paraId="27508E81">
            <w:pPr>
              <w:jc w:val="center"/>
              <w:rPr>
                <w:rFonts w:cs="仿宋_GB2312"/>
                <w:color w:val="auto"/>
                <w:sz w:val="24"/>
                <w:szCs w:val="24"/>
                <w:highlight w:val="none"/>
              </w:rPr>
            </w:pPr>
            <w:r>
              <w:rPr>
                <w:rFonts w:hint="eastAsia" w:cs="仿宋_GB2312"/>
                <w:color w:val="auto"/>
                <w:sz w:val="24"/>
                <w:szCs w:val="24"/>
                <w:highlight w:val="none"/>
              </w:rPr>
              <w:t>1</w:t>
            </w:r>
          </w:p>
        </w:tc>
        <w:tc>
          <w:tcPr>
            <w:tcW w:w="1381" w:type="dxa"/>
            <w:vAlign w:val="center"/>
          </w:tcPr>
          <w:p w14:paraId="27562AF7">
            <w:pPr>
              <w:rPr>
                <w:rFonts w:cs="仿宋_GB2312"/>
                <w:color w:val="auto"/>
                <w:sz w:val="24"/>
                <w:szCs w:val="24"/>
                <w:highlight w:val="none"/>
              </w:rPr>
            </w:pPr>
          </w:p>
        </w:tc>
        <w:tc>
          <w:tcPr>
            <w:tcW w:w="1381" w:type="dxa"/>
            <w:vAlign w:val="center"/>
          </w:tcPr>
          <w:p w14:paraId="02799269">
            <w:pPr>
              <w:rPr>
                <w:rFonts w:cs="仿宋_GB2312"/>
                <w:color w:val="auto"/>
                <w:sz w:val="24"/>
                <w:szCs w:val="24"/>
                <w:highlight w:val="none"/>
              </w:rPr>
            </w:pPr>
          </w:p>
        </w:tc>
        <w:tc>
          <w:tcPr>
            <w:tcW w:w="1381" w:type="dxa"/>
            <w:vAlign w:val="center"/>
          </w:tcPr>
          <w:p w14:paraId="6449ADDF">
            <w:pPr>
              <w:rPr>
                <w:rFonts w:cs="仿宋_GB2312"/>
                <w:color w:val="auto"/>
                <w:sz w:val="24"/>
                <w:szCs w:val="24"/>
                <w:highlight w:val="none"/>
              </w:rPr>
            </w:pPr>
          </w:p>
        </w:tc>
        <w:tc>
          <w:tcPr>
            <w:tcW w:w="1522" w:type="dxa"/>
            <w:vAlign w:val="center"/>
          </w:tcPr>
          <w:p w14:paraId="183C0714">
            <w:pPr>
              <w:rPr>
                <w:rFonts w:cs="仿宋_GB2312"/>
                <w:color w:val="auto"/>
                <w:sz w:val="24"/>
                <w:szCs w:val="24"/>
                <w:highlight w:val="none"/>
              </w:rPr>
            </w:pPr>
          </w:p>
        </w:tc>
        <w:tc>
          <w:tcPr>
            <w:tcW w:w="1568" w:type="dxa"/>
            <w:vAlign w:val="center"/>
          </w:tcPr>
          <w:p w14:paraId="4F169081">
            <w:pPr>
              <w:rPr>
                <w:rFonts w:cs="仿宋_GB2312"/>
                <w:color w:val="auto"/>
                <w:sz w:val="24"/>
                <w:szCs w:val="24"/>
                <w:highlight w:val="none"/>
              </w:rPr>
            </w:pPr>
          </w:p>
        </w:tc>
        <w:tc>
          <w:tcPr>
            <w:tcW w:w="1169" w:type="dxa"/>
            <w:vAlign w:val="center"/>
          </w:tcPr>
          <w:p w14:paraId="64A9DF2C">
            <w:pPr>
              <w:rPr>
                <w:rFonts w:cs="仿宋_GB2312"/>
                <w:color w:val="auto"/>
                <w:sz w:val="24"/>
                <w:szCs w:val="24"/>
                <w:highlight w:val="none"/>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35" w:type="dxa"/>
            <w:vAlign w:val="center"/>
          </w:tcPr>
          <w:p w14:paraId="4A21BB39">
            <w:pPr>
              <w:jc w:val="center"/>
              <w:rPr>
                <w:rFonts w:cs="仿宋_GB2312"/>
                <w:color w:val="auto"/>
                <w:sz w:val="24"/>
                <w:szCs w:val="24"/>
                <w:highlight w:val="none"/>
              </w:rPr>
            </w:pPr>
            <w:r>
              <w:rPr>
                <w:rFonts w:hint="eastAsia" w:cs="仿宋_GB2312"/>
                <w:color w:val="auto"/>
                <w:sz w:val="24"/>
                <w:szCs w:val="24"/>
                <w:highlight w:val="none"/>
              </w:rPr>
              <w:t>2</w:t>
            </w:r>
          </w:p>
        </w:tc>
        <w:tc>
          <w:tcPr>
            <w:tcW w:w="1381" w:type="dxa"/>
            <w:vAlign w:val="center"/>
          </w:tcPr>
          <w:p w14:paraId="7CA4B3F3">
            <w:pPr>
              <w:rPr>
                <w:rFonts w:cs="仿宋_GB2312"/>
                <w:color w:val="auto"/>
                <w:sz w:val="24"/>
                <w:szCs w:val="24"/>
                <w:highlight w:val="none"/>
              </w:rPr>
            </w:pPr>
          </w:p>
        </w:tc>
        <w:tc>
          <w:tcPr>
            <w:tcW w:w="1381" w:type="dxa"/>
            <w:vAlign w:val="center"/>
          </w:tcPr>
          <w:p w14:paraId="59CCECB1">
            <w:pPr>
              <w:rPr>
                <w:rFonts w:cs="仿宋_GB2312"/>
                <w:color w:val="auto"/>
                <w:sz w:val="24"/>
                <w:szCs w:val="24"/>
                <w:highlight w:val="none"/>
              </w:rPr>
            </w:pPr>
          </w:p>
        </w:tc>
        <w:tc>
          <w:tcPr>
            <w:tcW w:w="1381" w:type="dxa"/>
            <w:vAlign w:val="center"/>
          </w:tcPr>
          <w:p w14:paraId="4E8043C4">
            <w:pPr>
              <w:rPr>
                <w:rFonts w:cs="仿宋_GB2312"/>
                <w:color w:val="auto"/>
                <w:sz w:val="24"/>
                <w:szCs w:val="24"/>
                <w:highlight w:val="none"/>
              </w:rPr>
            </w:pPr>
          </w:p>
        </w:tc>
        <w:tc>
          <w:tcPr>
            <w:tcW w:w="1522" w:type="dxa"/>
            <w:vAlign w:val="center"/>
          </w:tcPr>
          <w:p w14:paraId="2E195778">
            <w:pPr>
              <w:rPr>
                <w:rFonts w:cs="仿宋_GB2312"/>
                <w:color w:val="auto"/>
                <w:sz w:val="24"/>
                <w:szCs w:val="24"/>
                <w:highlight w:val="none"/>
              </w:rPr>
            </w:pPr>
          </w:p>
        </w:tc>
        <w:tc>
          <w:tcPr>
            <w:tcW w:w="1568" w:type="dxa"/>
            <w:vAlign w:val="center"/>
          </w:tcPr>
          <w:p w14:paraId="49A8CC13">
            <w:pPr>
              <w:rPr>
                <w:rFonts w:cs="仿宋_GB2312"/>
                <w:color w:val="auto"/>
                <w:sz w:val="24"/>
                <w:szCs w:val="24"/>
                <w:highlight w:val="none"/>
              </w:rPr>
            </w:pPr>
          </w:p>
        </w:tc>
        <w:tc>
          <w:tcPr>
            <w:tcW w:w="1169" w:type="dxa"/>
            <w:vAlign w:val="center"/>
          </w:tcPr>
          <w:p w14:paraId="60A21668">
            <w:pPr>
              <w:rPr>
                <w:rFonts w:cs="仿宋_GB2312"/>
                <w:color w:val="auto"/>
                <w:sz w:val="24"/>
                <w:szCs w:val="24"/>
                <w:highlight w:val="none"/>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35" w:type="dxa"/>
            <w:vAlign w:val="center"/>
          </w:tcPr>
          <w:p w14:paraId="4428D324">
            <w:pPr>
              <w:jc w:val="center"/>
              <w:rPr>
                <w:rFonts w:cs="仿宋_GB2312"/>
                <w:color w:val="auto"/>
                <w:sz w:val="24"/>
                <w:szCs w:val="24"/>
                <w:highlight w:val="none"/>
              </w:rPr>
            </w:pPr>
            <w:r>
              <w:rPr>
                <w:rFonts w:hint="eastAsia" w:cs="仿宋_GB2312"/>
                <w:color w:val="auto"/>
                <w:sz w:val="24"/>
                <w:szCs w:val="24"/>
                <w:highlight w:val="none"/>
              </w:rPr>
              <w:t>3</w:t>
            </w:r>
          </w:p>
        </w:tc>
        <w:tc>
          <w:tcPr>
            <w:tcW w:w="1381" w:type="dxa"/>
            <w:vAlign w:val="center"/>
          </w:tcPr>
          <w:p w14:paraId="46AEF6AC">
            <w:pPr>
              <w:rPr>
                <w:rFonts w:cs="仿宋_GB2312"/>
                <w:color w:val="auto"/>
                <w:sz w:val="24"/>
                <w:szCs w:val="24"/>
                <w:highlight w:val="none"/>
              </w:rPr>
            </w:pPr>
          </w:p>
        </w:tc>
        <w:tc>
          <w:tcPr>
            <w:tcW w:w="1381" w:type="dxa"/>
            <w:vAlign w:val="center"/>
          </w:tcPr>
          <w:p w14:paraId="601B0208">
            <w:pPr>
              <w:rPr>
                <w:rFonts w:cs="仿宋_GB2312"/>
                <w:color w:val="auto"/>
                <w:sz w:val="24"/>
                <w:szCs w:val="24"/>
                <w:highlight w:val="none"/>
              </w:rPr>
            </w:pPr>
          </w:p>
        </w:tc>
        <w:tc>
          <w:tcPr>
            <w:tcW w:w="1381" w:type="dxa"/>
            <w:vAlign w:val="center"/>
          </w:tcPr>
          <w:p w14:paraId="56885EE6">
            <w:pPr>
              <w:rPr>
                <w:rFonts w:cs="仿宋_GB2312"/>
                <w:color w:val="auto"/>
                <w:sz w:val="24"/>
                <w:szCs w:val="24"/>
                <w:highlight w:val="none"/>
              </w:rPr>
            </w:pPr>
          </w:p>
        </w:tc>
        <w:tc>
          <w:tcPr>
            <w:tcW w:w="1522" w:type="dxa"/>
            <w:vAlign w:val="center"/>
          </w:tcPr>
          <w:p w14:paraId="00552B19">
            <w:pPr>
              <w:rPr>
                <w:rFonts w:cs="仿宋_GB2312"/>
                <w:color w:val="auto"/>
                <w:sz w:val="24"/>
                <w:szCs w:val="24"/>
                <w:highlight w:val="none"/>
              </w:rPr>
            </w:pPr>
          </w:p>
        </w:tc>
        <w:tc>
          <w:tcPr>
            <w:tcW w:w="1568" w:type="dxa"/>
            <w:vAlign w:val="center"/>
          </w:tcPr>
          <w:p w14:paraId="77BC6128">
            <w:pPr>
              <w:rPr>
                <w:rFonts w:cs="仿宋_GB2312"/>
                <w:color w:val="auto"/>
                <w:sz w:val="24"/>
                <w:szCs w:val="24"/>
                <w:highlight w:val="none"/>
              </w:rPr>
            </w:pPr>
          </w:p>
        </w:tc>
        <w:tc>
          <w:tcPr>
            <w:tcW w:w="1169" w:type="dxa"/>
            <w:vAlign w:val="center"/>
          </w:tcPr>
          <w:p w14:paraId="26162792">
            <w:pPr>
              <w:rPr>
                <w:rFonts w:cs="仿宋_GB2312"/>
                <w:color w:val="auto"/>
                <w:sz w:val="24"/>
                <w:szCs w:val="24"/>
                <w:highlight w:val="none"/>
              </w:rPr>
            </w:pPr>
          </w:p>
        </w:tc>
      </w:tr>
      <w:tr w14:paraId="30484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35" w:type="dxa"/>
            <w:vAlign w:val="center"/>
          </w:tcPr>
          <w:p w14:paraId="514F8ED6">
            <w:pPr>
              <w:jc w:val="center"/>
              <w:rPr>
                <w:rFonts w:hint="eastAsia" w:eastAsia="宋体" w:cs="仿宋_GB2312"/>
                <w:color w:val="auto"/>
                <w:sz w:val="24"/>
                <w:szCs w:val="24"/>
                <w:highlight w:val="none"/>
                <w:lang w:val="en-US" w:eastAsia="zh-CN"/>
              </w:rPr>
            </w:pPr>
            <w:r>
              <w:rPr>
                <w:rFonts w:hint="eastAsia" w:cs="仿宋_GB2312"/>
                <w:color w:val="auto"/>
                <w:sz w:val="24"/>
                <w:szCs w:val="24"/>
                <w:highlight w:val="none"/>
                <w:lang w:val="en-US" w:eastAsia="zh-CN"/>
              </w:rPr>
              <w:t>4</w:t>
            </w:r>
          </w:p>
        </w:tc>
        <w:tc>
          <w:tcPr>
            <w:tcW w:w="1381" w:type="dxa"/>
            <w:vAlign w:val="center"/>
          </w:tcPr>
          <w:p w14:paraId="467454B8">
            <w:pPr>
              <w:rPr>
                <w:rFonts w:cs="仿宋_GB2312"/>
                <w:color w:val="auto"/>
                <w:sz w:val="24"/>
                <w:szCs w:val="24"/>
                <w:highlight w:val="none"/>
              </w:rPr>
            </w:pPr>
          </w:p>
        </w:tc>
        <w:tc>
          <w:tcPr>
            <w:tcW w:w="1381" w:type="dxa"/>
            <w:vAlign w:val="center"/>
          </w:tcPr>
          <w:p w14:paraId="7679D2E2">
            <w:pPr>
              <w:rPr>
                <w:rFonts w:cs="仿宋_GB2312"/>
                <w:color w:val="auto"/>
                <w:sz w:val="24"/>
                <w:szCs w:val="24"/>
                <w:highlight w:val="none"/>
              </w:rPr>
            </w:pPr>
          </w:p>
        </w:tc>
        <w:tc>
          <w:tcPr>
            <w:tcW w:w="1381" w:type="dxa"/>
            <w:vAlign w:val="center"/>
          </w:tcPr>
          <w:p w14:paraId="3BDF674D">
            <w:pPr>
              <w:rPr>
                <w:rFonts w:cs="仿宋_GB2312"/>
                <w:color w:val="auto"/>
                <w:sz w:val="24"/>
                <w:szCs w:val="24"/>
                <w:highlight w:val="none"/>
              </w:rPr>
            </w:pPr>
          </w:p>
        </w:tc>
        <w:tc>
          <w:tcPr>
            <w:tcW w:w="1522" w:type="dxa"/>
            <w:vAlign w:val="center"/>
          </w:tcPr>
          <w:p w14:paraId="4065B09A">
            <w:pPr>
              <w:rPr>
                <w:rFonts w:cs="仿宋_GB2312"/>
                <w:color w:val="auto"/>
                <w:sz w:val="24"/>
                <w:szCs w:val="24"/>
                <w:highlight w:val="none"/>
              </w:rPr>
            </w:pPr>
          </w:p>
        </w:tc>
        <w:tc>
          <w:tcPr>
            <w:tcW w:w="1568" w:type="dxa"/>
            <w:vAlign w:val="center"/>
          </w:tcPr>
          <w:p w14:paraId="62D4892D">
            <w:pPr>
              <w:rPr>
                <w:rFonts w:cs="仿宋_GB2312"/>
                <w:color w:val="auto"/>
                <w:sz w:val="24"/>
                <w:szCs w:val="24"/>
                <w:highlight w:val="none"/>
              </w:rPr>
            </w:pPr>
          </w:p>
        </w:tc>
        <w:tc>
          <w:tcPr>
            <w:tcW w:w="1169" w:type="dxa"/>
            <w:vAlign w:val="center"/>
          </w:tcPr>
          <w:p w14:paraId="1DBBFBF7">
            <w:pPr>
              <w:rPr>
                <w:rFonts w:cs="仿宋_GB2312"/>
                <w:color w:val="auto"/>
                <w:sz w:val="24"/>
                <w:szCs w:val="24"/>
                <w:highlight w:val="none"/>
              </w:rPr>
            </w:pPr>
          </w:p>
        </w:tc>
      </w:tr>
      <w:tr w14:paraId="74CC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35" w:type="dxa"/>
            <w:vAlign w:val="center"/>
          </w:tcPr>
          <w:p w14:paraId="64C5CB72">
            <w:pPr>
              <w:jc w:val="center"/>
              <w:rPr>
                <w:rFonts w:hint="default" w:cs="仿宋_GB2312"/>
                <w:color w:val="auto"/>
                <w:sz w:val="24"/>
                <w:szCs w:val="24"/>
                <w:highlight w:val="none"/>
                <w:lang w:val="en-US" w:eastAsia="zh-CN"/>
              </w:rPr>
            </w:pPr>
            <w:r>
              <w:rPr>
                <w:rFonts w:hint="eastAsia" w:cs="仿宋_GB2312"/>
                <w:color w:val="auto"/>
                <w:sz w:val="24"/>
                <w:szCs w:val="24"/>
                <w:highlight w:val="none"/>
                <w:lang w:val="en-US" w:eastAsia="zh-CN"/>
              </w:rPr>
              <w:t>5</w:t>
            </w:r>
          </w:p>
        </w:tc>
        <w:tc>
          <w:tcPr>
            <w:tcW w:w="1381" w:type="dxa"/>
            <w:vAlign w:val="center"/>
          </w:tcPr>
          <w:p w14:paraId="50735F91">
            <w:pPr>
              <w:rPr>
                <w:rFonts w:cs="仿宋_GB2312"/>
                <w:color w:val="auto"/>
                <w:sz w:val="24"/>
                <w:szCs w:val="24"/>
                <w:highlight w:val="none"/>
              </w:rPr>
            </w:pPr>
          </w:p>
        </w:tc>
        <w:tc>
          <w:tcPr>
            <w:tcW w:w="1381" w:type="dxa"/>
            <w:vAlign w:val="center"/>
          </w:tcPr>
          <w:p w14:paraId="35131693">
            <w:pPr>
              <w:rPr>
                <w:rFonts w:cs="仿宋_GB2312"/>
                <w:color w:val="auto"/>
                <w:sz w:val="24"/>
                <w:szCs w:val="24"/>
                <w:highlight w:val="none"/>
              </w:rPr>
            </w:pPr>
          </w:p>
        </w:tc>
        <w:tc>
          <w:tcPr>
            <w:tcW w:w="1381" w:type="dxa"/>
            <w:vAlign w:val="center"/>
          </w:tcPr>
          <w:p w14:paraId="3EE07B6C">
            <w:pPr>
              <w:rPr>
                <w:rFonts w:cs="仿宋_GB2312"/>
                <w:color w:val="auto"/>
                <w:sz w:val="24"/>
                <w:szCs w:val="24"/>
                <w:highlight w:val="none"/>
              </w:rPr>
            </w:pPr>
          </w:p>
        </w:tc>
        <w:tc>
          <w:tcPr>
            <w:tcW w:w="1522" w:type="dxa"/>
            <w:vAlign w:val="center"/>
          </w:tcPr>
          <w:p w14:paraId="315D7F2C">
            <w:pPr>
              <w:rPr>
                <w:rFonts w:cs="仿宋_GB2312"/>
                <w:color w:val="auto"/>
                <w:sz w:val="24"/>
                <w:szCs w:val="24"/>
                <w:highlight w:val="none"/>
              </w:rPr>
            </w:pPr>
          </w:p>
        </w:tc>
        <w:tc>
          <w:tcPr>
            <w:tcW w:w="1568" w:type="dxa"/>
            <w:vAlign w:val="center"/>
          </w:tcPr>
          <w:p w14:paraId="7172B17C">
            <w:pPr>
              <w:rPr>
                <w:rFonts w:cs="仿宋_GB2312"/>
                <w:color w:val="auto"/>
                <w:sz w:val="24"/>
                <w:szCs w:val="24"/>
                <w:highlight w:val="none"/>
              </w:rPr>
            </w:pPr>
          </w:p>
        </w:tc>
        <w:tc>
          <w:tcPr>
            <w:tcW w:w="1169" w:type="dxa"/>
            <w:vAlign w:val="center"/>
          </w:tcPr>
          <w:p w14:paraId="6B39C336">
            <w:pPr>
              <w:rPr>
                <w:rFonts w:cs="仿宋_GB2312"/>
                <w:color w:val="auto"/>
                <w:sz w:val="24"/>
                <w:szCs w:val="24"/>
                <w:highlight w:val="none"/>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35" w:type="dxa"/>
            <w:vAlign w:val="center"/>
          </w:tcPr>
          <w:p w14:paraId="433A34E7">
            <w:pPr>
              <w:jc w:val="center"/>
              <w:rPr>
                <w:rFonts w:cs="仿宋_GB2312"/>
                <w:color w:val="auto"/>
                <w:sz w:val="24"/>
                <w:szCs w:val="24"/>
                <w:highlight w:val="none"/>
              </w:rPr>
            </w:pPr>
            <w:r>
              <w:rPr>
                <w:rFonts w:hint="eastAsia" w:cs="仿宋_GB2312"/>
                <w:color w:val="auto"/>
                <w:sz w:val="24"/>
                <w:szCs w:val="24"/>
                <w:highlight w:val="none"/>
              </w:rPr>
              <w:t>…</w:t>
            </w:r>
          </w:p>
        </w:tc>
        <w:tc>
          <w:tcPr>
            <w:tcW w:w="1381" w:type="dxa"/>
            <w:vAlign w:val="center"/>
          </w:tcPr>
          <w:p w14:paraId="5D94CAA1">
            <w:pPr>
              <w:rPr>
                <w:rFonts w:cs="仿宋_GB2312"/>
                <w:color w:val="auto"/>
                <w:sz w:val="24"/>
                <w:szCs w:val="24"/>
                <w:highlight w:val="none"/>
              </w:rPr>
            </w:pPr>
          </w:p>
        </w:tc>
        <w:tc>
          <w:tcPr>
            <w:tcW w:w="1381" w:type="dxa"/>
            <w:vAlign w:val="center"/>
          </w:tcPr>
          <w:p w14:paraId="48AC7386">
            <w:pPr>
              <w:rPr>
                <w:rFonts w:cs="仿宋_GB2312"/>
                <w:color w:val="auto"/>
                <w:sz w:val="24"/>
                <w:szCs w:val="24"/>
                <w:highlight w:val="none"/>
              </w:rPr>
            </w:pPr>
          </w:p>
        </w:tc>
        <w:tc>
          <w:tcPr>
            <w:tcW w:w="1381" w:type="dxa"/>
            <w:vAlign w:val="center"/>
          </w:tcPr>
          <w:p w14:paraId="20172F35">
            <w:pPr>
              <w:rPr>
                <w:rFonts w:cs="仿宋_GB2312"/>
                <w:color w:val="auto"/>
                <w:sz w:val="24"/>
                <w:szCs w:val="24"/>
                <w:highlight w:val="none"/>
              </w:rPr>
            </w:pPr>
          </w:p>
        </w:tc>
        <w:tc>
          <w:tcPr>
            <w:tcW w:w="1522" w:type="dxa"/>
            <w:vAlign w:val="center"/>
          </w:tcPr>
          <w:p w14:paraId="75CF74D1">
            <w:pPr>
              <w:rPr>
                <w:rFonts w:cs="仿宋_GB2312"/>
                <w:color w:val="auto"/>
                <w:sz w:val="24"/>
                <w:szCs w:val="24"/>
                <w:highlight w:val="none"/>
              </w:rPr>
            </w:pPr>
          </w:p>
        </w:tc>
        <w:tc>
          <w:tcPr>
            <w:tcW w:w="1568" w:type="dxa"/>
            <w:vAlign w:val="center"/>
          </w:tcPr>
          <w:p w14:paraId="52CF4BF0">
            <w:pPr>
              <w:rPr>
                <w:rFonts w:cs="仿宋_GB2312"/>
                <w:color w:val="auto"/>
                <w:sz w:val="24"/>
                <w:szCs w:val="24"/>
                <w:highlight w:val="none"/>
              </w:rPr>
            </w:pPr>
          </w:p>
        </w:tc>
        <w:tc>
          <w:tcPr>
            <w:tcW w:w="1169" w:type="dxa"/>
            <w:vAlign w:val="center"/>
          </w:tcPr>
          <w:p w14:paraId="77C9A88B">
            <w:pPr>
              <w:rPr>
                <w:rFonts w:cs="仿宋_GB2312"/>
                <w:color w:val="auto"/>
                <w:sz w:val="24"/>
                <w:szCs w:val="24"/>
                <w:highlight w:val="none"/>
              </w:rPr>
            </w:pPr>
          </w:p>
        </w:tc>
      </w:tr>
      <w:bookmarkEnd w:id="567"/>
    </w:tbl>
    <w:p w14:paraId="40AB8FFA">
      <w:pPr>
        <w:rPr>
          <w:rFonts w:hint="eastAsia" w:cs="仿宋_GB2312"/>
          <w:color w:val="auto"/>
          <w:szCs w:val="24"/>
          <w:highlight w:val="none"/>
        </w:rPr>
      </w:pPr>
    </w:p>
    <w:p w14:paraId="58FF379C">
      <w:pPr>
        <w:rPr>
          <w:rFonts w:cs="仿宋_GB2312"/>
          <w:color w:val="auto"/>
          <w:sz w:val="21"/>
          <w:szCs w:val="21"/>
          <w:highlight w:val="none"/>
        </w:rPr>
      </w:pPr>
      <w:r>
        <w:rPr>
          <w:rFonts w:hint="eastAsia" w:cs="仿宋_GB2312"/>
          <w:color w:val="auto"/>
          <w:sz w:val="21"/>
          <w:szCs w:val="21"/>
          <w:highlight w:val="none"/>
        </w:rPr>
        <w:t>注：</w:t>
      </w:r>
      <w:r>
        <w:rPr>
          <w:rFonts w:hint="eastAsia" w:cs="仿宋_GB2312"/>
          <w:color w:val="auto"/>
          <w:sz w:val="21"/>
          <w:szCs w:val="21"/>
          <w:highlight w:val="none"/>
          <w:lang w:val="en-US" w:eastAsia="zh-CN"/>
        </w:rPr>
        <w:t>供应商</w:t>
      </w:r>
      <w:r>
        <w:rPr>
          <w:rFonts w:hint="eastAsia" w:cs="仿宋_GB2312"/>
          <w:color w:val="auto"/>
          <w:sz w:val="21"/>
          <w:szCs w:val="21"/>
          <w:highlight w:val="none"/>
        </w:rPr>
        <w:t>须按上表提供相应的</w:t>
      </w:r>
      <w:r>
        <w:rPr>
          <w:rFonts w:hint="eastAsia" w:cs="仿宋_GB2312"/>
          <w:color w:val="auto"/>
          <w:sz w:val="21"/>
          <w:szCs w:val="21"/>
          <w:highlight w:val="none"/>
          <w:lang w:val="en-US" w:eastAsia="zh-CN"/>
        </w:rPr>
        <w:t>中标（成交）通知书、采购合同等</w:t>
      </w:r>
      <w:r>
        <w:rPr>
          <w:rFonts w:hint="eastAsia" w:cs="仿宋_GB2312"/>
          <w:color w:val="auto"/>
          <w:sz w:val="21"/>
          <w:szCs w:val="21"/>
          <w:highlight w:val="none"/>
        </w:rPr>
        <w:t>业绩证明资料。</w:t>
      </w:r>
    </w:p>
    <w:p w14:paraId="5DB99613">
      <w:pPr>
        <w:widowControl/>
        <w:spacing w:before="100" w:beforeAutospacing="1" w:after="100" w:afterAutospacing="1"/>
        <w:rPr>
          <w:rFonts w:cs="Arial"/>
          <w:color w:val="auto"/>
          <w:szCs w:val="21"/>
          <w:highlight w:val="none"/>
        </w:rPr>
      </w:pPr>
    </w:p>
    <w:p w14:paraId="24086818">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cs="宋体"/>
          <w:color w:val="auto"/>
          <w:kern w:val="0"/>
          <w:sz w:val="24"/>
          <w:szCs w:val="24"/>
          <w:highlight w:val="none"/>
          <w:lang w:val="en-US" w:eastAsia="zh-CN"/>
        </w:rPr>
        <w:t>供应商</w:t>
      </w:r>
      <w:r>
        <w:rPr>
          <w:rFonts w:hint="eastAsia" w:ascii="宋体" w:hAnsi="宋体" w:cs="宋体"/>
          <w:color w:val="auto"/>
          <w:kern w:val="0"/>
          <w:sz w:val="24"/>
          <w:szCs w:val="24"/>
          <w:highlight w:val="none"/>
          <w:lang w:val="zh-CN"/>
        </w:rPr>
        <w:t>名称（</w:t>
      </w:r>
      <w:r>
        <w:rPr>
          <w:rFonts w:hint="eastAsia" w:cs="宋体"/>
          <w:color w:val="auto"/>
          <w:sz w:val="24"/>
          <w:szCs w:val="24"/>
          <w:highlight w:val="none"/>
          <w:lang w:eastAsia="zh-CN"/>
        </w:rPr>
        <w:t>公章</w:t>
      </w:r>
      <w:r>
        <w:rPr>
          <w:rFonts w:hint="eastAsia" w:ascii="宋体" w:hAnsi="宋体" w:cs="宋体"/>
          <w:color w:val="auto"/>
          <w:kern w:val="0"/>
          <w:sz w:val="24"/>
          <w:szCs w:val="24"/>
          <w:highlight w:val="none"/>
          <w:lang w:val="zh-CN"/>
        </w:rPr>
        <w:t xml:space="preserve">）：                                                                                                                                                                                                               </w:t>
      </w:r>
    </w:p>
    <w:p w14:paraId="142B0179">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095105C8">
      <w:pPr>
        <w:ind w:firstLine="420"/>
        <w:rPr>
          <w:rFonts w:cs="仿宋_GB2312"/>
          <w:color w:val="auto"/>
          <w:szCs w:val="24"/>
          <w:highlight w:val="none"/>
        </w:rPr>
      </w:pPr>
      <w:r>
        <w:rPr>
          <w:rFonts w:cs="仿宋_GB2312"/>
          <w:color w:val="auto"/>
          <w:szCs w:val="24"/>
          <w:highlight w:val="none"/>
        </w:rPr>
        <w:br w:type="page"/>
      </w:r>
    </w:p>
    <w:p w14:paraId="4E924C81">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outlineLvl w:val="2"/>
        <w:rPr>
          <w:rFonts w:hint="eastAsia" w:eastAsia="宋体" w:asciiTheme="majorHAnsi" w:hAnsiTheme="majorHAnsi" w:cstheme="majorBidi"/>
          <w:b/>
          <w:bCs/>
          <w:color w:val="auto"/>
          <w:kern w:val="2"/>
          <w:sz w:val="32"/>
          <w:szCs w:val="32"/>
          <w:highlight w:val="none"/>
          <w:lang w:val="en-US" w:eastAsia="zh-CN" w:bidi="ar-SA"/>
        </w:rPr>
      </w:pPr>
      <w:bookmarkStart w:id="568" w:name="_Toc10454"/>
      <w:r>
        <w:rPr>
          <w:rFonts w:hint="eastAsia" w:cstheme="majorBidi"/>
          <w:b/>
          <w:bCs/>
          <w:color w:val="auto"/>
          <w:kern w:val="2"/>
          <w:sz w:val="32"/>
          <w:szCs w:val="32"/>
          <w:highlight w:val="none"/>
          <w:lang w:val="en-US" w:eastAsia="zh-CN" w:bidi="ar-SA"/>
        </w:rPr>
        <w:t>八、</w:t>
      </w:r>
      <w:r>
        <w:rPr>
          <w:rFonts w:hint="eastAsia" w:eastAsia="宋体" w:asciiTheme="majorHAnsi" w:hAnsiTheme="majorHAnsi" w:cstheme="majorBidi"/>
          <w:b/>
          <w:bCs/>
          <w:color w:val="auto"/>
          <w:kern w:val="2"/>
          <w:sz w:val="32"/>
          <w:szCs w:val="32"/>
          <w:highlight w:val="none"/>
          <w:lang w:val="en-US" w:eastAsia="zh-CN" w:bidi="ar-SA"/>
        </w:rPr>
        <w:t>拟派项目团队</w:t>
      </w:r>
      <w:bookmarkEnd w:id="568"/>
      <w:r>
        <w:rPr>
          <w:rFonts w:hint="eastAsia" w:ascii="宋体" w:hAnsi="宋体" w:eastAsia="宋体" w:cs="宋体"/>
          <w:b/>
          <w:bCs w:val="0"/>
          <w:color w:val="auto"/>
          <w:sz w:val="24"/>
          <w:lang w:val="zh-CN" w:eastAsia="zh-CN"/>
        </w:rPr>
        <w:t>【如</w:t>
      </w:r>
      <w:r>
        <w:rPr>
          <w:rFonts w:hint="eastAsia" w:ascii="宋体" w:hAnsi="宋体" w:eastAsia="宋体" w:cs="宋体"/>
          <w:b/>
          <w:bCs w:val="0"/>
          <w:color w:val="auto"/>
          <w:sz w:val="24"/>
          <w:lang w:val="en-US" w:eastAsia="zh-CN"/>
        </w:rPr>
        <w:t>有</w:t>
      </w:r>
      <w:r>
        <w:rPr>
          <w:rFonts w:hint="eastAsia" w:ascii="宋体" w:hAnsi="宋体" w:eastAsia="宋体" w:cs="宋体"/>
          <w:b/>
          <w:bCs w:val="0"/>
          <w:color w:val="auto"/>
          <w:sz w:val="24"/>
          <w:lang w:val="zh-CN" w:eastAsia="zh-CN"/>
        </w:rPr>
        <w:t>】</w:t>
      </w:r>
    </w:p>
    <w:tbl>
      <w:tblPr>
        <w:tblStyle w:val="28"/>
        <w:tblW w:w="9162" w:type="dxa"/>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143"/>
        <w:gridCol w:w="1203"/>
        <w:gridCol w:w="1224"/>
        <w:gridCol w:w="876"/>
        <w:gridCol w:w="1850"/>
        <w:gridCol w:w="1277"/>
        <w:gridCol w:w="816"/>
      </w:tblGrid>
      <w:tr w14:paraId="044EA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27A52654">
            <w:pPr>
              <w:pStyle w:val="46"/>
              <w:jc w:val="center"/>
              <w:rPr>
                <w:color w:val="auto"/>
                <w:highlight w:val="none"/>
              </w:rPr>
            </w:pPr>
            <w:r>
              <w:rPr>
                <w:rFonts w:hint="eastAsia"/>
                <w:color w:val="auto"/>
                <w:highlight w:val="none"/>
              </w:rPr>
              <w:t>序号</w:t>
            </w:r>
          </w:p>
        </w:tc>
        <w:tc>
          <w:tcPr>
            <w:tcW w:w="1143" w:type="dxa"/>
            <w:vAlign w:val="center"/>
          </w:tcPr>
          <w:p w14:paraId="06896F70">
            <w:pPr>
              <w:pStyle w:val="46"/>
              <w:jc w:val="center"/>
              <w:rPr>
                <w:color w:val="auto"/>
                <w:highlight w:val="none"/>
              </w:rPr>
            </w:pPr>
            <w:r>
              <w:rPr>
                <w:rFonts w:hint="eastAsia"/>
                <w:color w:val="auto"/>
                <w:highlight w:val="none"/>
                <w:lang w:val="en-US" w:eastAsia="zh-CN"/>
              </w:rPr>
              <w:t>团队成员</w:t>
            </w:r>
          </w:p>
          <w:p w14:paraId="4131E775">
            <w:pPr>
              <w:pStyle w:val="46"/>
              <w:jc w:val="center"/>
              <w:rPr>
                <w:color w:val="auto"/>
                <w:highlight w:val="none"/>
              </w:rPr>
            </w:pPr>
            <w:r>
              <w:rPr>
                <w:rFonts w:hint="eastAsia"/>
                <w:color w:val="auto"/>
                <w:highlight w:val="none"/>
              </w:rPr>
              <w:t>姓名</w:t>
            </w:r>
          </w:p>
        </w:tc>
        <w:tc>
          <w:tcPr>
            <w:tcW w:w="1203" w:type="dxa"/>
            <w:tcBorders>
              <w:right w:val="single" w:color="auto" w:sz="4" w:space="0"/>
            </w:tcBorders>
            <w:vAlign w:val="center"/>
          </w:tcPr>
          <w:p w14:paraId="5B1E627A">
            <w:pPr>
              <w:pStyle w:val="46"/>
              <w:jc w:val="center"/>
              <w:rPr>
                <w:color w:val="auto"/>
                <w:highlight w:val="none"/>
              </w:rPr>
            </w:pPr>
            <w:r>
              <w:rPr>
                <w:rFonts w:hint="eastAsia"/>
                <w:color w:val="auto"/>
                <w:highlight w:val="none"/>
              </w:rPr>
              <w:t>工作单位</w:t>
            </w:r>
          </w:p>
        </w:tc>
        <w:tc>
          <w:tcPr>
            <w:tcW w:w="1224" w:type="dxa"/>
            <w:tcBorders>
              <w:left w:val="single" w:color="auto" w:sz="4" w:space="0"/>
            </w:tcBorders>
            <w:vAlign w:val="center"/>
          </w:tcPr>
          <w:p w14:paraId="566C9824">
            <w:pPr>
              <w:pStyle w:val="46"/>
              <w:jc w:val="center"/>
              <w:rPr>
                <w:color w:val="auto"/>
                <w:highlight w:val="none"/>
              </w:rPr>
            </w:pPr>
            <w:r>
              <w:rPr>
                <w:rFonts w:hint="eastAsia"/>
                <w:color w:val="auto"/>
                <w:highlight w:val="none"/>
              </w:rPr>
              <w:t>身份证号</w:t>
            </w:r>
          </w:p>
        </w:tc>
        <w:tc>
          <w:tcPr>
            <w:tcW w:w="876" w:type="dxa"/>
            <w:tcBorders>
              <w:left w:val="single" w:color="auto" w:sz="4" w:space="0"/>
            </w:tcBorders>
            <w:vAlign w:val="center"/>
          </w:tcPr>
          <w:p w14:paraId="3241822A">
            <w:pPr>
              <w:pStyle w:val="46"/>
              <w:jc w:val="center"/>
              <w:rPr>
                <w:color w:val="auto"/>
                <w:highlight w:val="none"/>
              </w:rPr>
            </w:pPr>
            <w:r>
              <w:rPr>
                <w:rFonts w:hint="eastAsia"/>
                <w:color w:val="auto"/>
                <w:highlight w:val="none"/>
              </w:rPr>
              <w:t>职称</w:t>
            </w:r>
          </w:p>
        </w:tc>
        <w:tc>
          <w:tcPr>
            <w:tcW w:w="1850" w:type="dxa"/>
            <w:vAlign w:val="center"/>
          </w:tcPr>
          <w:p w14:paraId="57503923">
            <w:pPr>
              <w:pStyle w:val="46"/>
              <w:jc w:val="center"/>
              <w:rPr>
                <w:rFonts w:hint="default" w:eastAsia="宋体"/>
                <w:color w:val="auto"/>
                <w:highlight w:val="none"/>
                <w:lang w:val="en-US" w:eastAsia="zh-CN"/>
              </w:rPr>
            </w:pPr>
            <w:r>
              <w:rPr>
                <w:rFonts w:hint="eastAsia"/>
                <w:color w:val="auto"/>
                <w:highlight w:val="none"/>
                <w:lang w:val="en-US" w:eastAsia="zh-CN"/>
              </w:rPr>
              <w:t>注册证书（岗位证书）名称及编号</w:t>
            </w:r>
          </w:p>
        </w:tc>
        <w:tc>
          <w:tcPr>
            <w:tcW w:w="1277" w:type="dxa"/>
            <w:vAlign w:val="center"/>
          </w:tcPr>
          <w:p w14:paraId="726B2B6A">
            <w:pPr>
              <w:pStyle w:val="46"/>
              <w:jc w:val="center"/>
              <w:rPr>
                <w:color w:val="auto"/>
                <w:highlight w:val="none"/>
              </w:rPr>
            </w:pPr>
            <w:r>
              <w:rPr>
                <w:rFonts w:hint="eastAsia" w:eastAsia="宋体"/>
                <w:color w:val="auto"/>
                <w:highlight w:val="none"/>
                <w:lang w:val="en-US" w:eastAsia="zh-CN"/>
              </w:rPr>
              <w:t>在团队中职务（岗位）</w:t>
            </w:r>
          </w:p>
        </w:tc>
        <w:tc>
          <w:tcPr>
            <w:tcW w:w="816" w:type="dxa"/>
            <w:vAlign w:val="center"/>
          </w:tcPr>
          <w:p w14:paraId="3D92204D">
            <w:pPr>
              <w:pStyle w:val="46"/>
              <w:jc w:val="center"/>
              <w:rPr>
                <w:color w:val="auto"/>
                <w:highlight w:val="none"/>
              </w:rPr>
            </w:pPr>
            <w:r>
              <w:rPr>
                <w:rFonts w:hint="eastAsia"/>
                <w:color w:val="auto"/>
                <w:highlight w:val="none"/>
              </w:rPr>
              <w:t>自有</w:t>
            </w:r>
            <w:r>
              <w:rPr>
                <w:color w:val="auto"/>
                <w:highlight w:val="none"/>
              </w:rPr>
              <w:t>/外聘</w:t>
            </w:r>
          </w:p>
        </w:tc>
      </w:tr>
      <w:tr w14:paraId="31719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96F11C3">
            <w:pPr>
              <w:pStyle w:val="46"/>
              <w:jc w:val="center"/>
              <w:rPr>
                <w:color w:val="auto"/>
                <w:highlight w:val="none"/>
              </w:rPr>
            </w:pPr>
            <w:bookmarkStart w:id="569" w:name="_Toc99533292"/>
            <w:bookmarkStart w:id="570" w:name="_Toc100090784"/>
            <w:r>
              <w:rPr>
                <w:rFonts w:hint="eastAsia"/>
                <w:color w:val="auto"/>
                <w:highlight w:val="none"/>
              </w:rPr>
              <w:t>1</w:t>
            </w:r>
            <w:bookmarkEnd w:id="569"/>
            <w:bookmarkEnd w:id="570"/>
          </w:p>
        </w:tc>
        <w:tc>
          <w:tcPr>
            <w:tcW w:w="1143" w:type="dxa"/>
            <w:vAlign w:val="center"/>
          </w:tcPr>
          <w:p w14:paraId="17E08D36">
            <w:pPr>
              <w:pStyle w:val="46"/>
              <w:jc w:val="center"/>
              <w:rPr>
                <w:color w:val="auto"/>
                <w:highlight w:val="none"/>
              </w:rPr>
            </w:pPr>
          </w:p>
        </w:tc>
        <w:tc>
          <w:tcPr>
            <w:tcW w:w="1203" w:type="dxa"/>
            <w:tcBorders>
              <w:right w:val="single" w:color="auto" w:sz="4" w:space="0"/>
            </w:tcBorders>
            <w:vAlign w:val="center"/>
          </w:tcPr>
          <w:p w14:paraId="210B6FB1">
            <w:pPr>
              <w:pStyle w:val="46"/>
              <w:jc w:val="center"/>
              <w:rPr>
                <w:color w:val="auto"/>
                <w:highlight w:val="none"/>
              </w:rPr>
            </w:pPr>
          </w:p>
        </w:tc>
        <w:tc>
          <w:tcPr>
            <w:tcW w:w="1224" w:type="dxa"/>
            <w:tcBorders>
              <w:left w:val="single" w:color="auto" w:sz="4" w:space="0"/>
            </w:tcBorders>
            <w:vAlign w:val="center"/>
          </w:tcPr>
          <w:p w14:paraId="3462C04F">
            <w:pPr>
              <w:pStyle w:val="46"/>
              <w:jc w:val="center"/>
              <w:rPr>
                <w:color w:val="auto"/>
                <w:highlight w:val="none"/>
              </w:rPr>
            </w:pPr>
          </w:p>
        </w:tc>
        <w:tc>
          <w:tcPr>
            <w:tcW w:w="876" w:type="dxa"/>
            <w:tcBorders>
              <w:left w:val="single" w:color="auto" w:sz="4" w:space="0"/>
            </w:tcBorders>
            <w:vAlign w:val="center"/>
          </w:tcPr>
          <w:p w14:paraId="1BA89E69">
            <w:pPr>
              <w:pStyle w:val="46"/>
              <w:jc w:val="center"/>
              <w:rPr>
                <w:color w:val="auto"/>
                <w:highlight w:val="none"/>
              </w:rPr>
            </w:pPr>
          </w:p>
        </w:tc>
        <w:tc>
          <w:tcPr>
            <w:tcW w:w="1850" w:type="dxa"/>
            <w:vAlign w:val="center"/>
          </w:tcPr>
          <w:p w14:paraId="033DBB1F">
            <w:pPr>
              <w:pStyle w:val="46"/>
              <w:jc w:val="center"/>
              <w:rPr>
                <w:color w:val="auto"/>
                <w:highlight w:val="none"/>
              </w:rPr>
            </w:pPr>
          </w:p>
        </w:tc>
        <w:tc>
          <w:tcPr>
            <w:tcW w:w="1277" w:type="dxa"/>
            <w:vAlign w:val="center"/>
          </w:tcPr>
          <w:p w14:paraId="2148FD62">
            <w:pPr>
              <w:pStyle w:val="46"/>
              <w:jc w:val="center"/>
              <w:rPr>
                <w:color w:val="auto"/>
                <w:highlight w:val="none"/>
              </w:rPr>
            </w:pPr>
          </w:p>
        </w:tc>
        <w:tc>
          <w:tcPr>
            <w:tcW w:w="816" w:type="dxa"/>
            <w:vAlign w:val="center"/>
          </w:tcPr>
          <w:p w14:paraId="73D8F053">
            <w:pPr>
              <w:pStyle w:val="46"/>
              <w:jc w:val="center"/>
              <w:rPr>
                <w:color w:val="auto"/>
                <w:highlight w:val="none"/>
              </w:rPr>
            </w:pPr>
          </w:p>
        </w:tc>
      </w:tr>
      <w:tr w14:paraId="43844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46A6AD6">
            <w:pPr>
              <w:pStyle w:val="46"/>
              <w:jc w:val="center"/>
              <w:rPr>
                <w:color w:val="auto"/>
                <w:highlight w:val="none"/>
              </w:rPr>
            </w:pPr>
            <w:bookmarkStart w:id="571" w:name="_Toc99533293"/>
            <w:bookmarkStart w:id="572" w:name="_Toc100090785"/>
            <w:r>
              <w:rPr>
                <w:rFonts w:hint="eastAsia"/>
                <w:color w:val="auto"/>
                <w:highlight w:val="none"/>
              </w:rPr>
              <w:t>2</w:t>
            </w:r>
            <w:bookmarkEnd w:id="571"/>
            <w:bookmarkEnd w:id="572"/>
          </w:p>
        </w:tc>
        <w:tc>
          <w:tcPr>
            <w:tcW w:w="1143" w:type="dxa"/>
            <w:vAlign w:val="center"/>
          </w:tcPr>
          <w:p w14:paraId="3D8D2A32">
            <w:pPr>
              <w:pStyle w:val="46"/>
              <w:jc w:val="center"/>
              <w:rPr>
                <w:color w:val="auto"/>
                <w:highlight w:val="none"/>
              </w:rPr>
            </w:pPr>
          </w:p>
        </w:tc>
        <w:tc>
          <w:tcPr>
            <w:tcW w:w="1203" w:type="dxa"/>
            <w:tcBorders>
              <w:right w:val="single" w:color="auto" w:sz="4" w:space="0"/>
            </w:tcBorders>
            <w:vAlign w:val="center"/>
          </w:tcPr>
          <w:p w14:paraId="2762151A">
            <w:pPr>
              <w:pStyle w:val="46"/>
              <w:jc w:val="center"/>
              <w:rPr>
                <w:color w:val="auto"/>
                <w:highlight w:val="none"/>
              </w:rPr>
            </w:pPr>
          </w:p>
        </w:tc>
        <w:tc>
          <w:tcPr>
            <w:tcW w:w="1224" w:type="dxa"/>
            <w:tcBorders>
              <w:left w:val="single" w:color="auto" w:sz="4" w:space="0"/>
            </w:tcBorders>
            <w:vAlign w:val="center"/>
          </w:tcPr>
          <w:p w14:paraId="372D6CF0">
            <w:pPr>
              <w:pStyle w:val="46"/>
              <w:jc w:val="center"/>
              <w:rPr>
                <w:color w:val="auto"/>
                <w:highlight w:val="none"/>
              </w:rPr>
            </w:pPr>
          </w:p>
        </w:tc>
        <w:tc>
          <w:tcPr>
            <w:tcW w:w="876" w:type="dxa"/>
            <w:tcBorders>
              <w:left w:val="single" w:color="auto" w:sz="4" w:space="0"/>
            </w:tcBorders>
            <w:vAlign w:val="center"/>
          </w:tcPr>
          <w:p w14:paraId="2BCE8297">
            <w:pPr>
              <w:pStyle w:val="46"/>
              <w:jc w:val="center"/>
              <w:rPr>
                <w:color w:val="auto"/>
                <w:highlight w:val="none"/>
              </w:rPr>
            </w:pPr>
          </w:p>
        </w:tc>
        <w:tc>
          <w:tcPr>
            <w:tcW w:w="1850" w:type="dxa"/>
            <w:vAlign w:val="center"/>
          </w:tcPr>
          <w:p w14:paraId="0DB83334">
            <w:pPr>
              <w:pStyle w:val="46"/>
              <w:jc w:val="center"/>
              <w:rPr>
                <w:color w:val="auto"/>
                <w:highlight w:val="none"/>
              </w:rPr>
            </w:pPr>
          </w:p>
        </w:tc>
        <w:tc>
          <w:tcPr>
            <w:tcW w:w="1277" w:type="dxa"/>
            <w:vAlign w:val="center"/>
          </w:tcPr>
          <w:p w14:paraId="77E48E09">
            <w:pPr>
              <w:pStyle w:val="46"/>
              <w:jc w:val="center"/>
              <w:rPr>
                <w:color w:val="auto"/>
                <w:highlight w:val="none"/>
              </w:rPr>
            </w:pPr>
          </w:p>
        </w:tc>
        <w:tc>
          <w:tcPr>
            <w:tcW w:w="816" w:type="dxa"/>
            <w:vAlign w:val="center"/>
          </w:tcPr>
          <w:p w14:paraId="32CE3B63">
            <w:pPr>
              <w:pStyle w:val="46"/>
              <w:jc w:val="center"/>
              <w:rPr>
                <w:color w:val="auto"/>
                <w:highlight w:val="none"/>
              </w:rPr>
            </w:pPr>
          </w:p>
        </w:tc>
      </w:tr>
      <w:tr w14:paraId="5E7FA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E23E322">
            <w:pPr>
              <w:pStyle w:val="46"/>
              <w:jc w:val="center"/>
              <w:rPr>
                <w:color w:val="auto"/>
                <w:highlight w:val="none"/>
              </w:rPr>
            </w:pPr>
            <w:bookmarkStart w:id="573" w:name="_Toc100090786"/>
            <w:bookmarkStart w:id="574" w:name="_Toc99533294"/>
            <w:r>
              <w:rPr>
                <w:rFonts w:hint="eastAsia"/>
                <w:color w:val="auto"/>
                <w:highlight w:val="none"/>
              </w:rPr>
              <w:t>3</w:t>
            </w:r>
            <w:bookmarkEnd w:id="573"/>
            <w:bookmarkEnd w:id="574"/>
          </w:p>
        </w:tc>
        <w:tc>
          <w:tcPr>
            <w:tcW w:w="1143" w:type="dxa"/>
            <w:vAlign w:val="center"/>
          </w:tcPr>
          <w:p w14:paraId="5622553E">
            <w:pPr>
              <w:pStyle w:val="46"/>
              <w:jc w:val="center"/>
              <w:rPr>
                <w:color w:val="auto"/>
                <w:highlight w:val="none"/>
              </w:rPr>
            </w:pPr>
          </w:p>
        </w:tc>
        <w:tc>
          <w:tcPr>
            <w:tcW w:w="1203" w:type="dxa"/>
            <w:tcBorders>
              <w:right w:val="single" w:color="auto" w:sz="4" w:space="0"/>
            </w:tcBorders>
            <w:vAlign w:val="center"/>
          </w:tcPr>
          <w:p w14:paraId="145347C3">
            <w:pPr>
              <w:pStyle w:val="46"/>
              <w:jc w:val="center"/>
              <w:rPr>
                <w:color w:val="auto"/>
                <w:highlight w:val="none"/>
              </w:rPr>
            </w:pPr>
          </w:p>
        </w:tc>
        <w:tc>
          <w:tcPr>
            <w:tcW w:w="1224" w:type="dxa"/>
            <w:tcBorders>
              <w:left w:val="single" w:color="auto" w:sz="4" w:space="0"/>
            </w:tcBorders>
            <w:vAlign w:val="center"/>
          </w:tcPr>
          <w:p w14:paraId="78C911C0">
            <w:pPr>
              <w:pStyle w:val="46"/>
              <w:jc w:val="center"/>
              <w:rPr>
                <w:color w:val="auto"/>
                <w:highlight w:val="none"/>
              </w:rPr>
            </w:pPr>
          </w:p>
        </w:tc>
        <w:tc>
          <w:tcPr>
            <w:tcW w:w="876" w:type="dxa"/>
            <w:tcBorders>
              <w:left w:val="single" w:color="auto" w:sz="4" w:space="0"/>
            </w:tcBorders>
            <w:vAlign w:val="center"/>
          </w:tcPr>
          <w:p w14:paraId="1632F2FA">
            <w:pPr>
              <w:pStyle w:val="46"/>
              <w:jc w:val="center"/>
              <w:rPr>
                <w:color w:val="auto"/>
                <w:highlight w:val="none"/>
              </w:rPr>
            </w:pPr>
          </w:p>
        </w:tc>
        <w:tc>
          <w:tcPr>
            <w:tcW w:w="1850" w:type="dxa"/>
            <w:vAlign w:val="center"/>
          </w:tcPr>
          <w:p w14:paraId="4AE50BE4">
            <w:pPr>
              <w:pStyle w:val="46"/>
              <w:jc w:val="center"/>
              <w:rPr>
                <w:color w:val="auto"/>
                <w:highlight w:val="none"/>
              </w:rPr>
            </w:pPr>
          </w:p>
        </w:tc>
        <w:tc>
          <w:tcPr>
            <w:tcW w:w="1277" w:type="dxa"/>
            <w:vAlign w:val="center"/>
          </w:tcPr>
          <w:p w14:paraId="107FDE9E">
            <w:pPr>
              <w:pStyle w:val="46"/>
              <w:jc w:val="center"/>
              <w:rPr>
                <w:color w:val="auto"/>
                <w:highlight w:val="none"/>
              </w:rPr>
            </w:pPr>
          </w:p>
        </w:tc>
        <w:tc>
          <w:tcPr>
            <w:tcW w:w="816" w:type="dxa"/>
            <w:vAlign w:val="center"/>
          </w:tcPr>
          <w:p w14:paraId="0FCF0246">
            <w:pPr>
              <w:pStyle w:val="46"/>
              <w:jc w:val="center"/>
              <w:rPr>
                <w:color w:val="auto"/>
                <w:highlight w:val="none"/>
              </w:rPr>
            </w:pPr>
          </w:p>
        </w:tc>
      </w:tr>
      <w:tr w14:paraId="076A7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85BF670">
            <w:pPr>
              <w:pStyle w:val="46"/>
              <w:jc w:val="center"/>
              <w:rPr>
                <w:color w:val="auto"/>
                <w:highlight w:val="none"/>
              </w:rPr>
            </w:pPr>
            <w:bookmarkStart w:id="575" w:name="_Toc100090787"/>
            <w:bookmarkStart w:id="576" w:name="_Toc99533295"/>
            <w:r>
              <w:rPr>
                <w:rFonts w:hint="eastAsia"/>
                <w:color w:val="auto"/>
                <w:highlight w:val="none"/>
              </w:rPr>
              <w:t>4</w:t>
            </w:r>
            <w:bookmarkEnd w:id="575"/>
            <w:bookmarkEnd w:id="576"/>
          </w:p>
        </w:tc>
        <w:tc>
          <w:tcPr>
            <w:tcW w:w="1143" w:type="dxa"/>
            <w:vAlign w:val="center"/>
          </w:tcPr>
          <w:p w14:paraId="06A33E5B">
            <w:pPr>
              <w:pStyle w:val="46"/>
              <w:jc w:val="center"/>
              <w:rPr>
                <w:color w:val="auto"/>
                <w:highlight w:val="none"/>
              </w:rPr>
            </w:pPr>
          </w:p>
        </w:tc>
        <w:tc>
          <w:tcPr>
            <w:tcW w:w="1203" w:type="dxa"/>
            <w:tcBorders>
              <w:right w:val="single" w:color="auto" w:sz="4" w:space="0"/>
            </w:tcBorders>
            <w:vAlign w:val="center"/>
          </w:tcPr>
          <w:p w14:paraId="7BBB4E02">
            <w:pPr>
              <w:pStyle w:val="46"/>
              <w:jc w:val="center"/>
              <w:rPr>
                <w:color w:val="auto"/>
                <w:highlight w:val="none"/>
              </w:rPr>
            </w:pPr>
          </w:p>
        </w:tc>
        <w:tc>
          <w:tcPr>
            <w:tcW w:w="1224" w:type="dxa"/>
            <w:tcBorders>
              <w:left w:val="single" w:color="auto" w:sz="4" w:space="0"/>
            </w:tcBorders>
            <w:vAlign w:val="center"/>
          </w:tcPr>
          <w:p w14:paraId="260605CA">
            <w:pPr>
              <w:pStyle w:val="46"/>
              <w:jc w:val="center"/>
              <w:rPr>
                <w:color w:val="auto"/>
                <w:highlight w:val="none"/>
              </w:rPr>
            </w:pPr>
          </w:p>
        </w:tc>
        <w:tc>
          <w:tcPr>
            <w:tcW w:w="876" w:type="dxa"/>
            <w:tcBorders>
              <w:left w:val="single" w:color="auto" w:sz="4" w:space="0"/>
            </w:tcBorders>
            <w:vAlign w:val="center"/>
          </w:tcPr>
          <w:p w14:paraId="55F61FA3">
            <w:pPr>
              <w:pStyle w:val="46"/>
              <w:jc w:val="center"/>
              <w:rPr>
                <w:color w:val="auto"/>
                <w:highlight w:val="none"/>
              </w:rPr>
            </w:pPr>
          </w:p>
        </w:tc>
        <w:tc>
          <w:tcPr>
            <w:tcW w:w="1850" w:type="dxa"/>
            <w:vAlign w:val="center"/>
          </w:tcPr>
          <w:p w14:paraId="05E14483">
            <w:pPr>
              <w:pStyle w:val="46"/>
              <w:jc w:val="center"/>
              <w:rPr>
                <w:color w:val="auto"/>
                <w:highlight w:val="none"/>
              </w:rPr>
            </w:pPr>
          </w:p>
        </w:tc>
        <w:tc>
          <w:tcPr>
            <w:tcW w:w="1277" w:type="dxa"/>
            <w:vAlign w:val="center"/>
          </w:tcPr>
          <w:p w14:paraId="7A6D63FA">
            <w:pPr>
              <w:pStyle w:val="46"/>
              <w:jc w:val="center"/>
              <w:rPr>
                <w:color w:val="auto"/>
                <w:highlight w:val="none"/>
              </w:rPr>
            </w:pPr>
          </w:p>
        </w:tc>
        <w:tc>
          <w:tcPr>
            <w:tcW w:w="816" w:type="dxa"/>
            <w:vAlign w:val="center"/>
          </w:tcPr>
          <w:p w14:paraId="20DFABE1">
            <w:pPr>
              <w:pStyle w:val="46"/>
              <w:jc w:val="center"/>
              <w:rPr>
                <w:color w:val="auto"/>
                <w:highlight w:val="none"/>
              </w:rPr>
            </w:pPr>
          </w:p>
        </w:tc>
      </w:tr>
      <w:tr w14:paraId="5F3FD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043CD23">
            <w:pPr>
              <w:pStyle w:val="46"/>
              <w:jc w:val="center"/>
              <w:rPr>
                <w:color w:val="auto"/>
                <w:highlight w:val="none"/>
              </w:rPr>
            </w:pPr>
            <w:bookmarkStart w:id="577" w:name="_Toc100090788"/>
            <w:bookmarkStart w:id="578" w:name="_Toc99533296"/>
            <w:r>
              <w:rPr>
                <w:rFonts w:hint="eastAsia"/>
                <w:color w:val="auto"/>
                <w:highlight w:val="none"/>
              </w:rPr>
              <w:t>5</w:t>
            </w:r>
            <w:bookmarkEnd w:id="577"/>
            <w:bookmarkEnd w:id="578"/>
          </w:p>
        </w:tc>
        <w:tc>
          <w:tcPr>
            <w:tcW w:w="1143" w:type="dxa"/>
            <w:vAlign w:val="center"/>
          </w:tcPr>
          <w:p w14:paraId="1A0773CB">
            <w:pPr>
              <w:pStyle w:val="46"/>
              <w:jc w:val="center"/>
              <w:rPr>
                <w:color w:val="auto"/>
                <w:highlight w:val="none"/>
              </w:rPr>
            </w:pPr>
          </w:p>
        </w:tc>
        <w:tc>
          <w:tcPr>
            <w:tcW w:w="1203" w:type="dxa"/>
            <w:tcBorders>
              <w:right w:val="single" w:color="auto" w:sz="4" w:space="0"/>
            </w:tcBorders>
            <w:vAlign w:val="center"/>
          </w:tcPr>
          <w:p w14:paraId="61787A67">
            <w:pPr>
              <w:pStyle w:val="46"/>
              <w:jc w:val="center"/>
              <w:rPr>
                <w:color w:val="auto"/>
                <w:highlight w:val="none"/>
              </w:rPr>
            </w:pPr>
          </w:p>
        </w:tc>
        <w:tc>
          <w:tcPr>
            <w:tcW w:w="1224" w:type="dxa"/>
            <w:tcBorders>
              <w:left w:val="single" w:color="auto" w:sz="4" w:space="0"/>
            </w:tcBorders>
            <w:vAlign w:val="center"/>
          </w:tcPr>
          <w:p w14:paraId="15BBA932">
            <w:pPr>
              <w:pStyle w:val="46"/>
              <w:jc w:val="center"/>
              <w:rPr>
                <w:color w:val="auto"/>
                <w:highlight w:val="none"/>
              </w:rPr>
            </w:pPr>
          </w:p>
        </w:tc>
        <w:tc>
          <w:tcPr>
            <w:tcW w:w="876" w:type="dxa"/>
            <w:tcBorders>
              <w:left w:val="single" w:color="auto" w:sz="4" w:space="0"/>
            </w:tcBorders>
            <w:vAlign w:val="center"/>
          </w:tcPr>
          <w:p w14:paraId="48AABD5E">
            <w:pPr>
              <w:pStyle w:val="46"/>
              <w:jc w:val="center"/>
              <w:rPr>
                <w:color w:val="auto"/>
                <w:highlight w:val="none"/>
              </w:rPr>
            </w:pPr>
          </w:p>
        </w:tc>
        <w:tc>
          <w:tcPr>
            <w:tcW w:w="1850" w:type="dxa"/>
            <w:vAlign w:val="center"/>
          </w:tcPr>
          <w:p w14:paraId="2BC300D7">
            <w:pPr>
              <w:pStyle w:val="46"/>
              <w:jc w:val="center"/>
              <w:rPr>
                <w:color w:val="auto"/>
                <w:highlight w:val="none"/>
              </w:rPr>
            </w:pPr>
          </w:p>
        </w:tc>
        <w:tc>
          <w:tcPr>
            <w:tcW w:w="1277" w:type="dxa"/>
            <w:vAlign w:val="center"/>
          </w:tcPr>
          <w:p w14:paraId="3943C72A">
            <w:pPr>
              <w:pStyle w:val="46"/>
              <w:jc w:val="center"/>
              <w:rPr>
                <w:color w:val="auto"/>
                <w:highlight w:val="none"/>
              </w:rPr>
            </w:pPr>
          </w:p>
        </w:tc>
        <w:tc>
          <w:tcPr>
            <w:tcW w:w="816" w:type="dxa"/>
            <w:vAlign w:val="center"/>
          </w:tcPr>
          <w:p w14:paraId="04141556">
            <w:pPr>
              <w:pStyle w:val="46"/>
              <w:jc w:val="center"/>
              <w:rPr>
                <w:color w:val="auto"/>
                <w:highlight w:val="none"/>
              </w:rPr>
            </w:pPr>
          </w:p>
        </w:tc>
      </w:tr>
      <w:tr w14:paraId="0EDD6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E74CE0E">
            <w:pPr>
              <w:pStyle w:val="46"/>
              <w:jc w:val="center"/>
              <w:rPr>
                <w:color w:val="auto"/>
                <w:highlight w:val="none"/>
              </w:rPr>
            </w:pPr>
            <w:bookmarkStart w:id="579" w:name="_Toc100090789"/>
            <w:bookmarkStart w:id="580" w:name="_Toc99533297"/>
            <w:r>
              <w:rPr>
                <w:rFonts w:hint="eastAsia"/>
                <w:color w:val="auto"/>
                <w:highlight w:val="none"/>
              </w:rPr>
              <w:t>6</w:t>
            </w:r>
            <w:bookmarkEnd w:id="579"/>
            <w:bookmarkEnd w:id="580"/>
          </w:p>
        </w:tc>
        <w:tc>
          <w:tcPr>
            <w:tcW w:w="1143" w:type="dxa"/>
            <w:vAlign w:val="center"/>
          </w:tcPr>
          <w:p w14:paraId="629198B4">
            <w:pPr>
              <w:pStyle w:val="46"/>
              <w:jc w:val="center"/>
              <w:rPr>
                <w:color w:val="auto"/>
                <w:highlight w:val="none"/>
              </w:rPr>
            </w:pPr>
          </w:p>
        </w:tc>
        <w:tc>
          <w:tcPr>
            <w:tcW w:w="1203" w:type="dxa"/>
            <w:tcBorders>
              <w:right w:val="single" w:color="auto" w:sz="4" w:space="0"/>
            </w:tcBorders>
            <w:vAlign w:val="center"/>
          </w:tcPr>
          <w:p w14:paraId="612B4791">
            <w:pPr>
              <w:pStyle w:val="46"/>
              <w:jc w:val="center"/>
              <w:rPr>
                <w:color w:val="auto"/>
                <w:highlight w:val="none"/>
              </w:rPr>
            </w:pPr>
          </w:p>
        </w:tc>
        <w:tc>
          <w:tcPr>
            <w:tcW w:w="1224" w:type="dxa"/>
            <w:tcBorders>
              <w:left w:val="single" w:color="auto" w:sz="4" w:space="0"/>
            </w:tcBorders>
            <w:vAlign w:val="center"/>
          </w:tcPr>
          <w:p w14:paraId="13596CFC">
            <w:pPr>
              <w:pStyle w:val="46"/>
              <w:jc w:val="center"/>
              <w:rPr>
                <w:color w:val="auto"/>
                <w:highlight w:val="none"/>
              </w:rPr>
            </w:pPr>
          </w:p>
        </w:tc>
        <w:tc>
          <w:tcPr>
            <w:tcW w:w="876" w:type="dxa"/>
            <w:tcBorders>
              <w:left w:val="single" w:color="auto" w:sz="4" w:space="0"/>
            </w:tcBorders>
            <w:vAlign w:val="center"/>
          </w:tcPr>
          <w:p w14:paraId="26E67AC9">
            <w:pPr>
              <w:pStyle w:val="46"/>
              <w:jc w:val="center"/>
              <w:rPr>
                <w:color w:val="auto"/>
                <w:highlight w:val="none"/>
              </w:rPr>
            </w:pPr>
          </w:p>
        </w:tc>
        <w:tc>
          <w:tcPr>
            <w:tcW w:w="1850" w:type="dxa"/>
            <w:vAlign w:val="center"/>
          </w:tcPr>
          <w:p w14:paraId="0134580B">
            <w:pPr>
              <w:pStyle w:val="46"/>
              <w:jc w:val="center"/>
              <w:rPr>
                <w:color w:val="auto"/>
                <w:highlight w:val="none"/>
              </w:rPr>
            </w:pPr>
          </w:p>
        </w:tc>
        <w:tc>
          <w:tcPr>
            <w:tcW w:w="1277" w:type="dxa"/>
            <w:vAlign w:val="center"/>
          </w:tcPr>
          <w:p w14:paraId="6FF03D95">
            <w:pPr>
              <w:pStyle w:val="46"/>
              <w:jc w:val="center"/>
              <w:rPr>
                <w:color w:val="auto"/>
                <w:highlight w:val="none"/>
              </w:rPr>
            </w:pPr>
          </w:p>
        </w:tc>
        <w:tc>
          <w:tcPr>
            <w:tcW w:w="816" w:type="dxa"/>
            <w:vAlign w:val="center"/>
          </w:tcPr>
          <w:p w14:paraId="01F1AED7">
            <w:pPr>
              <w:pStyle w:val="46"/>
              <w:jc w:val="center"/>
              <w:rPr>
                <w:color w:val="auto"/>
                <w:highlight w:val="none"/>
              </w:rPr>
            </w:pPr>
          </w:p>
        </w:tc>
      </w:tr>
      <w:tr w14:paraId="4DB1B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F34A3A2">
            <w:pPr>
              <w:pStyle w:val="46"/>
              <w:jc w:val="center"/>
              <w:rPr>
                <w:color w:val="auto"/>
                <w:highlight w:val="none"/>
              </w:rPr>
            </w:pPr>
            <w:bookmarkStart w:id="581" w:name="_Toc99533298"/>
            <w:bookmarkStart w:id="582" w:name="_Toc100090790"/>
            <w:r>
              <w:rPr>
                <w:rFonts w:hint="eastAsia"/>
                <w:color w:val="auto"/>
                <w:highlight w:val="none"/>
              </w:rPr>
              <w:t>7</w:t>
            </w:r>
            <w:bookmarkEnd w:id="581"/>
            <w:bookmarkEnd w:id="582"/>
          </w:p>
        </w:tc>
        <w:tc>
          <w:tcPr>
            <w:tcW w:w="1143" w:type="dxa"/>
            <w:vAlign w:val="center"/>
          </w:tcPr>
          <w:p w14:paraId="652A7D64">
            <w:pPr>
              <w:pStyle w:val="46"/>
              <w:jc w:val="center"/>
              <w:rPr>
                <w:color w:val="auto"/>
                <w:highlight w:val="none"/>
              </w:rPr>
            </w:pPr>
          </w:p>
        </w:tc>
        <w:tc>
          <w:tcPr>
            <w:tcW w:w="1203" w:type="dxa"/>
            <w:tcBorders>
              <w:right w:val="single" w:color="auto" w:sz="4" w:space="0"/>
            </w:tcBorders>
            <w:vAlign w:val="center"/>
          </w:tcPr>
          <w:p w14:paraId="05008CFD">
            <w:pPr>
              <w:pStyle w:val="46"/>
              <w:jc w:val="center"/>
              <w:rPr>
                <w:color w:val="auto"/>
                <w:highlight w:val="none"/>
              </w:rPr>
            </w:pPr>
          </w:p>
        </w:tc>
        <w:tc>
          <w:tcPr>
            <w:tcW w:w="1224" w:type="dxa"/>
            <w:tcBorders>
              <w:left w:val="single" w:color="auto" w:sz="4" w:space="0"/>
            </w:tcBorders>
            <w:vAlign w:val="center"/>
          </w:tcPr>
          <w:p w14:paraId="3050402F">
            <w:pPr>
              <w:pStyle w:val="46"/>
              <w:jc w:val="center"/>
              <w:rPr>
                <w:color w:val="auto"/>
                <w:highlight w:val="none"/>
              </w:rPr>
            </w:pPr>
          </w:p>
        </w:tc>
        <w:tc>
          <w:tcPr>
            <w:tcW w:w="876" w:type="dxa"/>
            <w:tcBorders>
              <w:left w:val="single" w:color="auto" w:sz="4" w:space="0"/>
            </w:tcBorders>
            <w:vAlign w:val="center"/>
          </w:tcPr>
          <w:p w14:paraId="358C0B3B">
            <w:pPr>
              <w:pStyle w:val="46"/>
              <w:jc w:val="center"/>
              <w:rPr>
                <w:color w:val="auto"/>
                <w:highlight w:val="none"/>
              </w:rPr>
            </w:pPr>
          </w:p>
        </w:tc>
        <w:tc>
          <w:tcPr>
            <w:tcW w:w="1850" w:type="dxa"/>
            <w:vAlign w:val="center"/>
          </w:tcPr>
          <w:p w14:paraId="706D8915">
            <w:pPr>
              <w:pStyle w:val="46"/>
              <w:jc w:val="center"/>
              <w:rPr>
                <w:color w:val="auto"/>
                <w:highlight w:val="none"/>
              </w:rPr>
            </w:pPr>
          </w:p>
        </w:tc>
        <w:tc>
          <w:tcPr>
            <w:tcW w:w="1277" w:type="dxa"/>
            <w:vAlign w:val="center"/>
          </w:tcPr>
          <w:p w14:paraId="5FBF328E">
            <w:pPr>
              <w:pStyle w:val="46"/>
              <w:jc w:val="center"/>
              <w:rPr>
                <w:color w:val="auto"/>
                <w:highlight w:val="none"/>
              </w:rPr>
            </w:pPr>
          </w:p>
        </w:tc>
        <w:tc>
          <w:tcPr>
            <w:tcW w:w="816" w:type="dxa"/>
            <w:vAlign w:val="center"/>
          </w:tcPr>
          <w:p w14:paraId="1DADAFB4">
            <w:pPr>
              <w:pStyle w:val="46"/>
              <w:jc w:val="center"/>
              <w:rPr>
                <w:color w:val="auto"/>
                <w:highlight w:val="none"/>
              </w:rPr>
            </w:pPr>
          </w:p>
        </w:tc>
      </w:tr>
      <w:tr w14:paraId="736D4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0C2EDAD">
            <w:pPr>
              <w:pStyle w:val="46"/>
              <w:jc w:val="center"/>
              <w:rPr>
                <w:color w:val="auto"/>
                <w:highlight w:val="none"/>
              </w:rPr>
            </w:pPr>
            <w:bookmarkStart w:id="583" w:name="_Toc99533299"/>
            <w:bookmarkStart w:id="584" w:name="_Toc100090791"/>
            <w:r>
              <w:rPr>
                <w:rFonts w:hint="eastAsia"/>
                <w:color w:val="auto"/>
                <w:highlight w:val="none"/>
              </w:rPr>
              <w:t>8</w:t>
            </w:r>
            <w:bookmarkEnd w:id="583"/>
            <w:bookmarkEnd w:id="584"/>
          </w:p>
        </w:tc>
        <w:tc>
          <w:tcPr>
            <w:tcW w:w="1143" w:type="dxa"/>
            <w:vAlign w:val="center"/>
          </w:tcPr>
          <w:p w14:paraId="4937ABBF">
            <w:pPr>
              <w:pStyle w:val="46"/>
              <w:jc w:val="center"/>
              <w:rPr>
                <w:color w:val="auto"/>
                <w:highlight w:val="none"/>
              </w:rPr>
            </w:pPr>
          </w:p>
        </w:tc>
        <w:tc>
          <w:tcPr>
            <w:tcW w:w="1203" w:type="dxa"/>
            <w:tcBorders>
              <w:right w:val="single" w:color="auto" w:sz="4" w:space="0"/>
            </w:tcBorders>
            <w:vAlign w:val="center"/>
          </w:tcPr>
          <w:p w14:paraId="5907D5C6">
            <w:pPr>
              <w:pStyle w:val="46"/>
              <w:jc w:val="center"/>
              <w:rPr>
                <w:color w:val="auto"/>
                <w:highlight w:val="none"/>
              </w:rPr>
            </w:pPr>
          </w:p>
        </w:tc>
        <w:tc>
          <w:tcPr>
            <w:tcW w:w="1224" w:type="dxa"/>
            <w:tcBorders>
              <w:left w:val="single" w:color="auto" w:sz="4" w:space="0"/>
            </w:tcBorders>
            <w:vAlign w:val="center"/>
          </w:tcPr>
          <w:p w14:paraId="397DE284">
            <w:pPr>
              <w:pStyle w:val="46"/>
              <w:jc w:val="center"/>
              <w:rPr>
                <w:color w:val="auto"/>
                <w:highlight w:val="none"/>
              </w:rPr>
            </w:pPr>
          </w:p>
        </w:tc>
        <w:tc>
          <w:tcPr>
            <w:tcW w:w="876" w:type="dxa"/>
            <w:tcBorders>
              <w:left w:val="single" w:color="auto" w:sz="4" w:space="0"/>
            </w:tcBorders>
            <w:vAlign w:val="center"/>
          </w:tcPr>
          <w:p w14:paraId="2E8853F7">
            <w:pPr>
              <w:pStyle w:val="46"/>
              <w:jc w:val="center"/>
              <w:rPr>
                <w:color w:val="auto"/>
                <w:highlight w:val="none"/>
              </w:rPr>
            </w:pPr>
          </w:p>
        </w:tc>
        <w:tc>
          <w:tcPr>
            <w:tcW w:w="1850" w:type="dxa"/>
            <w:vAlign w:val="center"/>
          </w:tcPr>
          <w:p w14:paraId="32E60044">
            <w:pPr>
              <w:pStyle w:val="46"/>
              <w:jc w:val="center"/>
              <w:rPr>
                <w:color w:val="auto"/>
                <w:highlight w:val="none"/>
              </w:rPr>
            </w:pPr>
          </w:p>
        </w:tc>
        <w:tc>
          <w:tcPr>
            <w:tcW w:w="1277" w:type="dxa"/>
            <w:vAlign w:val="center"/>
          </w:tcPr>
          <w:p w14:paraId="7107F6B0">
            <w:pPr>
              <w:pStyle w:val="46"/>
              <w:jc w:val="center"/>
              <w:rPr>
                <w:color w:val="auto"/>
                <w:highlight w:val="none"/>
              </w:rPr>
            </w:pPr>
          </w:p>
        </w:tc>
        <w:tc>
          <w:tcPr>
            <w:tcW w:w="816" w:type="dxa"/>
            <w:vAlign w:val="center"/>
          </w:tcPr>
          <w:p w14:paraId="5E455759">
            <w:pPr>
              <w:pStyle w:val="46"/>
              <w:jc w:val="center"/>
              <w:rPr>
                <w:color w:val="auto"/>
                <w:highlight w:val="none"/>
              </w:rPr>
            </w:pPr>
          </w:p>
        </w:tc>
      </w:tr>
      <w:tr w14:paraId="71A5B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C0658B4">
            <w:pPr>
              <w:pStyle w:val="46"/>
              <w:jc w:val="center"/>
              <w:rPr>
                <w:color w:val="auto"/>
                <w:highlight w:val="none"/>
              </w:rPr>
            </w:pPr>
            <w:bookmarkStart w:id="585" w:name="_Toc100090792"/>
            <w:bookmarkStart w:id="586" w:name="_Toc99533300"/>
            <w:r>
              <w:rPr>
                <w:rFonts w:hint="eastAsia"/>
                <w:color w:val="auto"/>
                <w:highlight w:val="none"/>
              </w:rPr>
              <w:t>9</w:t>
            </w:r>
            <w:bookmarkEnd w:id="585"/>
            <w:bookmarkEnd w:id="586"/>
          </w:p>
        </w:tc>
        <w:tc>
          <w:tcPr>
            <w:tcW w:w="1143" w:type="dxa"/>
            <w:vAlign w:val="center"/>
          </w:tcPr>
          <w:p w14:paraId="6A62F423">
            <w:pPr>
              <w:pStyle w:val="46"/>
              <w:jc w:val="center"/>
              <w:rPr>
                <w:color w:val="auto"/>
                <w:highlight w:val="none"/>
              </w:rPr>
            </w:pPr>
          </w:p>
        </w:tc>
        <w:tc>
          <w:tcPr>
            <w:tcW w:w="1203" w:type="dxa"/>
            <w:tcBorders>
              <w:right w:val="single" w:color="auto" w:sz="4" w:space="0"/>
            </w:tcBorders>
            <w:vAlign w:val="center"/>
          </w:tcPr>
          <w:p w14:paraId="651A0213">
            <w:pPr>
              <w:pStyle w:val="46"/>
              <w:jc w:val="center"/>
              <w:rPr>
                <w:color w:val="auto"/>
                <w:highlight w:val="none"/>
              </w:rPr>
            </w:pPr>
          </w:p>
        </w:tc>
        <w:tc>
          <w:tcPr>
            <w:tcW w:w="1224" w:type="dxa"/>
            <w:tcBorders>
              <w:left w:val="single" w:color="auto" w:sz="4" w:space="0"/>
            </w:tcBorders>
            <w:vAlign w:val="center"/>
          </w:tcPr>
          <w:p w14:paraId="4A278517">
            <w:pPr>
              <w:pStyle w:val="46"/>
              <w:jc w:val="center"/>
              <w:rPr>
                <w:color w:val="auto"/>
                <w:highlight w:val="none"/>
              </w:rPr>
            </w:pPr>
          </w:p>
        </w:tc>
        <w:tc>
          <w:tcPr>
            <w:tcW w:w="876" w:type="dxa"/>
            <w:tcBorders>
              <w:left w:val="single" w:color="auto" w:sz="4" w:space="0"/>
            </w:tcBorders>
            <w:vAlign w:val="center"/>
          </w:tcPr>
          <w:p w14:paraId="3F670292">
            <w:pPr>
              <w:pStyle w:val="46"/>
              <w:jc w:val="center"/>
              <w:rPr>
                <w:color w:val="auto"/>
                <w:highlight w:val="none"/>
              </w:rPr>
            </w:pPr>
          </w:p>
        </w:tc>
        <w:tc>
          <w:tcPr>
            <w:tcW w:w="1850" w:type="dxa"/>
            <w:vAlign w:val="center"/>
          </w:tcPr>
          <w:p w14:paraId="00A3D20D">
            <w:pPr>
              <w:pStyle w:val="46"/>
              <w:jc w:val="center"/>
              <w:rPr>
                <w:color w:val="auto"/>
                <w:highlight w:val="none"/>
              </w:rPr>
            </w:pPr>
          </w:p>
        </w:tc>
        <w:tc>
          <w:tcPr>
            <w:tcW w:w="1277" w:type="dxa"/>
            <w:vAlign w:val="center"/>
          </w:tcPr>
          <w:p w14:paraId="6968EA5F">
            <w:pPr>
              <w:pStyle w:val="46"/>
              <w:jc w:val="center"/>
              <w:rPr>
                <w:color w:val="auto"/>
                <w:highlight w:val="none"/>
              </w:rPr>
            </w:pPr>
          </w:p>
        </w:tc>
        <w:tc>
          <w:tcPr>
            <w:tcW w:w="816" w:type="dxa"/>
            <w:vAlign w:val="center"/>
          </w:tcPr>
          <w:p w14:paraId="6E89C893">
            <w:pPr>
              <w:pStyle w:val="46"/>
              <w:jc w:val="center"/>
              <w:rPr>
                <w:color w:val="auto"/>
                <w:highlight w:val="none"/>
              </w:rPr>
            </w:pPr>
          </w:p>
        </w:tc>
      </w:tr>
      <w:tr w14:paraId="06369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07A94533">
            <w:pPr>
              <w:pStyle w:val="46"/>
              <w:jc w:val="center"/>
              <w:rPr>
                <w:color w:val="auto"/>
                <w:highlight w:val="none"/>
              </w:rPr>
            </w:pPr>
            <w:bookmarkStart w:id="587" w:name="_Toc100090793"/>
            <w:bookmarkStart w:id="588" w:name="_Toc99533301"/>
            <w:r>
              <w:rPr>
                <w:rFonts w:hint="eastAsia"/>
                <w:color w:val="auto"/>
                <w:highlight w:val="none"/>
              </w:rPr>
              <w:t>10</w:t>
            </w:r>
            <w:bookmarkEnd w:id="587"/>
            <w:bookmarkEnd w:id="588"/>
          </w:p>
        </w:tc>
        <w:tc>
          <w:tcPr>
            <w:tcW w:w="1143" w:type="dxa"/>
            <w:vAlign w:val="center"/>
          </w:tcPr>
          <w:p w14:paraId="3DA04C3D">
            <w:pPr>
              <w:pStyle w:val="46"/>
              <w:jc w:val="center"/>
              <w:rPr>
                <w:color w:val="auto"/>
                <w:highlight w:val="none"/>
              </w:rPr>
            </w:pPr>
          </w:p>
        </w:tc>
        <w:tc>
          <w:tcPr>
            <w:tcW w:w="1203" w:type="dxa"/>
            <w:tcBorders>
              <w:right w:val="single" w:color="auto" w:sz="4" w:space="0"/>
            </w:tcBorders>
            <w:vAlign w:val="center"/>
          </w:tcPr>
          <w:p w14:paraId="4BA13044">
            <w:pPr>
              <w:pStyle w:val="46"/>
              <w:jc w:val="center"/>
              <w:rPr>
                <w:color w:val="auto"/>
                <w:highlight w:val="none"/>
              </w:rPr>
            </w:pPr>
          </w:p>
        </w:tc>
        <w:tc>
          <w:tcPr>
            <w:tcW w:w="1224" w:type="dxa"/>
            <w:tcBorders>
              <w:left w:val="single" w:color="auto" w:sz="4" w:space="0"/>
            </w:tcBorders>
            <w:vAlign w:val="center"/>
          </w:tcPr>
          <w:p w14:paraId="16B84266">
            <w:pPr>
              <w:pStyle w:val="46"/>
              <w:jc w:val="center"/>
              <w:rPr>
                <w:color w:val="auto"/>
                <w:highlight w:val="none"/>
              </w:rPr>
            </w:pPr>
          </w:p>
        </w:tc>
        <w:tc>
          <w:tcPr>
            <w:tcW w:w="876" w:type="dxa"/>
            <w:tcBorders>
              <w:left w:val="single" w:color="auto" w:sz="4" w:space="0"/>
            </w:tcBorders>
            <w:vAlign w:val="center"/>
          </w:tcPr>
          <w:p w14:paraId="71FC8978">
            <w:pPr>
              <w:pStyle w:val="46"/>
              <w:jc w:val="center"/>
              <w:rPr>
                <w:color w:val="auto"/>
                <w:highlight w:val="none"/>
              </w:rPr>
            </w:pPr>
          </w:p>
        </w:tc>
        <w:tc>
          <w:tcPr>
            <w:tcW w:w="1850" w:type="dxa"/>
            <w:vAlign w:val="center"/>
          </w:tcPr>
          <w:p w14:paraId="737A59E9">
            <w:pPr>
              <w:pStyle w:val="46"/>
              <w:jc w:val="center"/>
              <w:rPr>
                <w:color w:val="auto"/>
                <w:highlight w:val="none"/>
              </w:rPr>
            </w:pPr>
          </w:p>
        </w:tc>
        <w:tc>
          <w:tcPr>
            <w:tcW w:w="1277" w:type="dxa"/>
            <w:vAlign w:val="center"/>
          </w:tcPr>
          <w:p w14:paraId="292E64B7">
            <w:pPr>
              <w:pStyle w:val="46"/>
              <w:jc w:val="center"/>
              <w:rPr>
                <w:color w:val="auto"/>
                <w:highlight w:val="none"/>
              </w:rPr>
            </w:pPr>
          </w:p>
        </w:tc>
        <w:tc>
          <w:tcPr>
            <w:tcW w:w="816" w:type="dxa"/>
            <w:vAlign w:val="center"/>
          </w:tcPr>
          <w:p w14:paraId="44A42518">
            <w:pPr>
              <w:pStyle w:val="46"/>
              <w:jc w:val="center"/>
              <w:rPr>
                <w:color w:val="auto"/>
                <w:highlight w:val="none"/>
              </w:rPr>
            </w:pPr>
          </w:p>
        </w:tc>
      </w:tr>
    </w:tbl>
    <w:p w14:paraId="3CBF9299">
      <w:pPr>
        <w:rPr>
          <w:rFonts w:hint="eastAsia" w:cs="仿宋_GB2312"/>
          <w:color w:val="auto"/>
          <w:sz w:val="21"/>
          <w:szCs w:val="21"/>
          <w:highlight w:val="none"/>
          <w:lang w:val="en-US" w:eastAsia="zh-CN"/>
        </w:rPr>
      </w:pPr>
    </w:p>
    <w:p w14:paraId="1EAF0062">
      <w:pPr>
        <w:rPr>
          <w:rFonts w:hint="default" w:cs="仿宋_GB2312"/>
          <w:color w:val="auto"/>
          <w:sz w:val="21"/>
          <w:szCs w:val="21"/>
          <w:highlight w:val="none"/>
          <w:lang w:val="en-US"/>
        </w:rPr>
      </w:pPr>
      <w:r>
        <w:rPr>
          <w:rFonts w:hint="eastAsia" w:cs="仿宋_GB2312"/>
          <w:color w:val="auto"/>
          <w:sz w:val="21"/>
          <w:szCs w:val="21"/>
          <w:highlight w:val="none"/>
          <w:lang w:val="en-US" w:eastAsia="zh-CN"/>
        </w:rPr>
        <w:t>注：按竞争性谈判文件要求在本表后附相关人员证书。</w:t>
      </w:r>
    </w:p>
    <w:p w14:paraId="3B621572">
      <w:pPr>
        <w:ind w:firstLine="420" w:firstLineChars="200"/>
        <w:rPr>
          <w:rFonts w:hint="eastAsia" w:cs="仿宋_GB2312"/>
          <w:color w:val="auto"/>
          <w:sz w:val="21"/>
          <w:szCs w:val="21"/>
          <w:highlight w:val="none"/>
          <w:lang w:val="en-US" w:eastAsia="zh-CN"/>
        </w:rPr>
      </w:pPr>
    </w:p>
    <w:p w14:paraId="178B25F9">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442D33DF">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1.“在团队中职务（岗位）”栏应包括但不限于：项目负责人、项目联系人、项目服务人员或技术人员等。 </w:t>
      </w:r>
    </w:p>
    <w:p w14:paraId="51ED7B0D">
      <w:pPr>
        <w:ind w:firstLine="420" w:firstLineChars="200"/>
        <w:rPr>
          <w:color w:val="auto"/>
          <w:highlight w:val="none"/>
        </w:rPr>
      </w:pPr>
      <w:r>
        <w:rPr>
          <w:rFonts w:hint="eastAsia" w:cs="仿宋_GB2312"/>
          <w:color w:val="auto"/>
          <w:sz w:val="21"/>
          <w:szCs w:val="21"/>
          <w:highlight w:val="none"/>
          <w:lang w:val="en-US" w:eastAsia="zh-CN"/>
        </w:rPr>
        <w:t>2.如供应商成交，须按本表项目组成人员操作，不得随意更换。</w:t>
      </w:r>
      <w:r>
        <w:rPr>
          <w:color w:val="auto"/>
          <w:highlight w:val="none"/>
        </w:rPr>
        <w:br w:type="page"/>
      </w:r>
    </w:p>
    <w:p w14:paraId="1358285E">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outlineLvl w:val="2"/>
        <w:rPr>
          <w:rFonts w:hint="eastAsia" w:eastAsia="宋体" w:asciiTheme="majorHAnsi" w:hAnsiTheme="majorHAnsi" w:cstheme="majorBidi"/>
          <w:b/>
          <w:bCs/>
          <w:color w:val="auto"/>
          <w:kern w:val="2"/>
          <w:sz w:val="32"/>
          <w:szCs w:val="32"/>
          <w:highlight w:val="none"/>
          <w:lang w:val="en-US" w:eastAsia="zh-CN" w:bidi="ar-SA"/>
        </w:rPr>
      </w:pPr>
      <w:bookmarkStart w:id="589" w:name="_Toc22364"/>
      <w:r>
        <w:rPr>
          <w:rFonts w:hint="eastAsia" w:cstheme="majorBidi"/>
          <w:b/>
          <w:bCs/>
          <w:color w:val="auto"/>
          <w:kern w:val="2"/>
          <w:sz w:val="32"/>
          <w:szCs w:val="32"/>
          <w:highlight w:val="none"/>
          <w:lang w:val="en-US" w:eastAsia="zh-CN" w:bidi="ar-SA"/>
        </w:rPr>
        <w:t>九、</w:t>
      </w:r>
      <w:r>
        <w:rPr>
          <w:rFonts w:hint="eastAsia" w:eastAsia="宋体" w:asciiTheme="majorHAnsi" w:hAnsiTheme="majorHAnsi" w:cstheme="majorBidi"/>
          <w:b/>
          <w:bCs/>
          <w:color w:val="auto"/>
          <w:kern w:val="2"/>
          <w:sz w:val="32"/>
          <w:szCs w:val="32"/>
          <w:highlight w:val="none"/>
          <w:lang w:val="en-US" w:eastAsia="zh-CN" w:bidi="ar-SA"/>
        </w:rPr>
        <w:t>技术响应偏离表</w:t>
      </w:r>
      <w:bookmarkEnd w:id="589"/>
    </w:p>
    <w:p w14:paraId="7EE50E6A">
      <w:pPr>
        <w:rPr>
          <w:rFonts w:cs="仿宋_GB2312"/>
          <w:color w:val="auto"/>
          <w:szCs w:val="24"/>
          <w:highlight w:val="none"/>
        </w:rPr>
      </w:pPr>
      <w:r>
        <w:rPr>
          <w:rFonts w:hint="eastAsia" w:cs="仿宋_GB2312"/>
          <w:color w:val="auto"/>
          <w:szCs w:val="24"/>
          <w:highlight w:val="none"/>
        </w:rPr>
        <w:t xml:space="preserve">项目名称：                                         </w:t>
      </w:r>
    </w:p>
    <w:p w14:paraId="10CF1BE4">
      <w:pPr>
        <w:rPr>
          <w:rFonts w:cs="仿宋_GB2312"/>
          <w:color w:val="auto"/>
          <w:szCs w:val="24"/>
          <w:highlight w:val="none"/>
        </w:rPr>
      </w:pPr>
      <w:r>
        <w:rPr>
          <w:rFonts w:hint="eastAsia" w:cs="仿宋_GB2312"/>
          <w:color w:val="auto"/>
          <w:szCs w:val="24"/>
          <w:highlight w:val="none"/>
        </w:rPr>
        <w:t>项目编号</w:t>
      </w:r>
      <w:r>
        <w:rPr>
          <w:rFonts w:hint="eastAsia" w:cs="仿宋_GB2312"/>
          <w:color w:val="auto"/>
          <w:szCs w:val="24"/>
          <w:highlight w:val="none"/>
          <w:lang w:val="en-US" w:eastAsia="zh-CN"/>
        </w:rPr>
        <w:t>/</w:t>
      </w:r>
      <w:r>
        <w:rPr>
          <w:rFonts w:hint="eastAsia" w:cs="仿宋_GB2312"/>
          <w:color w:val="auto"/>
          <w:szCs w:val="24"/>
          <w:highlight w:val="none"/>
          <w:lang w:val="zh-CN"/>
        </w:rPr>
        <w:t>包号</w:t>
      </w:r>
      <w:r>
        <w:rPr>
          <w:rFonts w:hint="eastAsia" w:cs="仿宋_GB2312"/>
          <w:color w:val="auto"/>
          <w:szCs w:val="24"/>
          <w:highlight w:val="none"/>
        </w:rPr>
        <w:t xml:space="preserve">：         </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177"/>
        <w:gridCol w:w="1556"/>
        <w:gridCol w:w="2190"/>
        <w:gridCol w:w="1902"/>
      </w:tblGrid>
      <w:tr w14:paraId="23CC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5F892E53">
            <w:pPr>
              <w:pStyle w:val="46"/>
              <w:jc w:val="center"/>
              <w:rPr>
                <w:color w:val="auto"/>
                <w:highlight w:val="none"/>
              </w:rPr>
            </w:pPr>
            <w:r>
              <w:rPr>
                <w:rFonts w:hint="eastAsia"/>
                <w:color w:val="auto"/>
                <w:highlight w:val="none"/>
              </w:rPr>
              <w:t>序号</w:t>
            </w:r>
          </w:p>
        </w:tc>
        <w:tc>
          <w:tcPr>
            <w:tcW w:w="1277" w:type="pct"/>
            <w:vAlign w:val="center"/>
          </w:tcPr>
          <w:p w14:paraId="0C5608DB">
            <w:pPr>
              <w:pStyle w:val="46"/>
              <w:jc w:val="center"/>
              <w:rPr>
                <w:color w:val="auto"/>
                <w:highlight w:val="none"/>
              </w:rPr>
            </w:pPr>
            <w:r>
              <w:rPr>
                <w:rFonts w:hint="eastAsia"/>
                <w:color w:val="auto"/>
                <w:highlight w:val="none"/>
                <w:lang w:val="en-US" w:eastAsia="zh-CN"/>
              </w:rPr>
              <w:t>竞争性谈判</w:t>
            </w:r>
            <w:r>
              <w:rPr>
                <w:rFonts w:hint="eastAsia"/>
                <w:color w:val="auto"/>
                <w:highlight w:val="none"/>
              </w:rPr>
              <w:t>文件技术要求条款</w:t>
            </w:r>
          </w:p>
        </w:tc>
        <w:tc>
          <w:tcPr>
            <w:tcW w:w="913" w:type="pct"/>
            <w:vAlign w:val="center"/>
          </w:tcPr>
          <w:p w14:paraId="0B845CF1">
            <w:pPr>
              <w:pStyle w:val="46"/>
              <w:jc w:val="center"/>
              <w:rPr>
                <w:color w:val="auto"/>
                <w:highlight w:val="none"/>
              </w:rPr>
            </w:pPr>
            <w:r>
              <w:rPr>
                <w:rFonts w:hint="eastAsia"/>
                <w:color w:val="auto"/>
                <w:highlight w:val="none"/>
                <w:lang w:val="en-US" w:eastAsia="zh-CN"/>
              </w:rPr>
              <w:t>响应</w:t>
            </w:r>
            <w:r>
              <w:rPr>
                <w:rFonts w:hint="eastAsia"/>
                <w:color w:val="auto"/>
                <w:highlight w:val="none"/>
              </w:rPr>
              <w:t>文件内容</w:t>
            </w:r>
          </w:p>
          <w:p w14:paraId="4F79E073">
            <w:pPr>
              <w:pStyle w:val="46"/>
              <w:jc w:val="center"/>
              <w:rPr>
                <w:color w:val="auto"/>
                <w:highlight w:val="none"/>
              </w:rPr>
            </w:pPr>
            <w:r>
              <w:rPr>
                <w:rFonts w:hint="eastAsia"/>
                <w:color w:val="auto"/>
                <w:highlight w:val="none"/>
              </w:rPr>
              <w:t>对应简述</w:t>
            </w:r>
          </w:p>
        </w:tc>
        <w:tc>
          <w:tcPr>
            <w:tcW w:w="1285" w:type="pct"/>
            <w:vAlign w:val="center"/>
          </w:tcPr>
          <w:p w14:paraId="4AB4E9C3">
            <w:pPr>
              <w:pStyle w:val="46"/>
              <w:jc w:val="center"/>
              <w:rPr>
                <w:color w:val="auto"/>
                <w:highlight w:val="none"/>
              </w:rPr>
            </w:pPr>
            <w:r>
              <w:rPr>
                <w:rFonts w:hint="eastAsia"/>
                <w:color w:val="auto"/>
                <w:highlight w:val="none"/>
              </w:rPr>
              <w:t>响应情况</w:t>
            </w:r>
          </w:p>
        </w:tc>
        <w:tc>
          <w:tcPr>
            <w:tcW w:w="1116" w:type="pct"/>
            <w:vAlign w:val="center"/>
          </w:tcPr>
          <w:p w14:paraId="09D725B9">
            <w:pPr>
              <w:pStyle w:val="46"/>
              <w:jc w:val="center"/>
              <w:rPr>
                <w:color w:val="auto"/>
                <w:highlight w:val="none"/>
              </w:rPr>
            </w:pPr>
            <w:r>
              <w:rPr>
                <w:rFonts w:hint="eastAsia"/>
                <w:color w:val="auto"/>
                <w:highlight w:val="none"/>
                <w:lang w:val="en-US" w:eastAsia="zh-CN"/>
              </w:rPr>
              <w:t>证明资料</w:t>
            </w:r>
            <w:r>
              <w:rPr>
                <w:rFonts w:hint="eastAsia"/>
                <w:color w:val="auto"/>
                <w:highlight w:val="none"/>
              </w:rPr>
              <w:t>及索引</w:t>
            </w:r>
          </w:p>
        </w:tc>
      </w:tr>
      <w:tr w14:paraId="39E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29950C57">
            <w:pPr>
              <w:pStyle w:val="46"/>
              <w:jc w:val="center"/>
              <w:rPr>
                <w:color w:val="auto"/>
                <w:highlight w:val="none"/>
              </w:rPr>
            </w:pPr>
            <w:r>
              <w:rPr>
                <w:rFonts w:hint="eastAsia"/>
                <w:color w:val="auto"/>
                <w:highlight w:val="none"/>
              </w:rPr>
              <w:t>1</w:t>
            </w:r>
          </w:p>
        </w:tc>
        <w:tc>
          <w:tcPr>
            <w:tcW w:w="1277" w:type="pct"/>
            <w:vAlign w:val="center"/>
          </w:tcPr>
          <w:p w14:paraId="69B288A0">
            <w:pPr>
              <w:pStyle w:val="46"/>
              <w:jc w:val="center"/>
              <w:rPr>
                <w:color w:val="auto"/>
                <w:highlight w:val="none"/>
              </w:rPr>
            </w:pPr>
            <w:r>
              <w:rPr>
                <w:rFonts w:hint="eastAsia"/>
                <w:color w:val="auto"/>
                <w:highlight w:val="none"/>
              </w:rPr>
              <w:t>*</w:t>
            </w:r>
            <w:r>
              <w:rPr>
                <w:color w:val="auto"/>
                <w:highlight w:val="none"/>
              </w:rPr>
              <w:t>*******</w:t>
            </w:r>
          </w:p>
        </w:tc>
        <w:tc>
          <w:tcPr>
            <w:tcW w:w="913" w:type="pct"/>
            <w:vAlign w:val="center"/>
          </w:tcPr>
          <w:p w14:paraId="0E04AD72">
            <w:pPr>
              <w:pStyle w:val="46"/>
              <w:jc w:val="center"/>
              <w:rPr>
                <w:color w:val="auto"/>
                <w:highlight w:val="none"/>
              </w:rPr>
            </w:pPr>
            <w:r>
              <w:rPr>
                <w:rFonts w:hint="eastAsia"/>
                <w:color w:val="auto"/>
                <w:highlight w:val="none"/>
              </w:rPr>
              <w:t>*</w:t>
            </w:r>
            <w:r>
              <w:rPr>
                <w:color w:val="auto"/>
                <w:highlight w:val="none"/>
              </w:rPr>
              <w:t>*****</w:t>
            </w:r>
          </w:p>
        </w:tc>
        <w:tc>
          <w:tcPr>
            <w:tcW w:w="1285" w:type="pct"/>
            <w:vAlign w:val="center"/>
          </w:tcPr>
          <w:p w14:paraId="585AEA1C">
            <w:pPr>
              <w:pStyle w:val="46"/>
              <w:jc w:val="center"/>
              <w:rPr>
                <w:color w:val="auto"/>
                <w:highlight w:val="none"/>
              </w:rPr>
            </w:pPr>
            <w:r>
              <w:rPr>
                <w:rFonts w:hint="eastAsia"/>
                <w:color w:val="auto"/>
                <w:highlight w:val="none"/>
              </w:rPr>
              <w:t>响应/正偏离/负偏离</w:t>
            </w:r>
          </w:p>
        </w:tc>
        <w:tc>
          <w:tcPr>
            <w:tcW w:w="1116" w:type="pct"/>
            <w:vAlign w:val="center"/>
          </w:tcPr>
          <w:p w14:paraId="02D97874">
            <w:pPr>
              <w:pStyle w:val="46"/>
              <w:jc w:val="center"/>
              <w:rPr>
                <w:color w:val="auto"/>
                <w:highlight w:val="none"/>
              </w:rPr>
            </w:pPr>
          </w:p>
        </w:tc>
      </w:tr>
      <w:tr w14:paraId="4EC6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195B6778">
            <w:pPr>
              <w:pStyle w:val="46"/>
              <w:jc w:val="center"/>
              <w:rPr>
                <w:color w:val="auto"/>
                <w:highlight w:val="none"/>
              </w:rPr>
            </w:pPr>
            <w:r>
              <w:rPr>
                <w:rFonts w:hint="eastAsia"/>
                <w:color w:val="auto"/>
                <w:highlight w:val="none"/>
              </w:rPr>
              <w:t>2</w:t>
            </w:r>
          </w:p>
        </w:tc>
        <w:tc>
          <w:tcPr>
            <w:tcW w:w="1277" w:type="pct"/>
            <w:vAlign w:val="center"/>
          </w:tcPr>
          <w:p w14:paraId="30E52A7F">
            <w:pPr>
              <w:pStyle w:val="46"/>
              <w:jc w:val="center"/>
              <w:rPr>
                <w:color w:val="auto"/>
                <w:highlight w:val="none"/>
              </w:rPr>
            </w:pPr>
            <w:r>
              <w:rPr>
                <w:rFonts w:hint="eastAsia"/>
                <w:color w:val="auto"/>
                <w:highlight w:val="none"/>
              </w:rPr>
              <w:t>*</w:t>
            </w:r>
            <w:r>
              <w:rPr>
                <w:color w:val="auto"/>
                <w:highlight w:val="none"/>
              </w:rPr>
              <w:t>*******</w:t>
            </w:r>
          </w:p>
        </w:tc>
        <w:tc>
          <w:tcPr>
            <w:tcW w:w="913" w:type="pct"/>
            <w:vAlign w:val="center"/>
          </w:tcPr>
          <w:p w14:paraId="29A6C1E1">
            <w:pPr>
              <w:pStyle w:val="46"/>
              <w:jc w:val="center"/>
              <w:rPr>
                <w:color w:val="auto"/>
                <w:highlight w:val="none"/>
              </w:rPr>
            </w:pPr>
            <w:r>
              <w:rPr>
                <w:rFonts w:hint="eastAsia"/>
                <w:color w:val="auto"/>
                <w:highlight w:val="none"/>
              </w:rPr>
              <w:t>*</w:t>
            </w:r>
            <w:r>
              <w:rPr>
                <w:color w:val="auto"/>
                <w:highlight w:val="none"/>
              </w:rPr>
              <w:t>*****</w:t>
            </w:r>
          </w:p>
        </w:tc>
        <w:tc>
          <w:tcPr>
            <w:tcW w:w="1285" w:type="pct"/>
            <w:vAlign w:val="center"/>
          </w:tcPr>
          <w:p w14:paraId="5D92E460">
            <w:pPr>
              <w:pStyle w:val="46"/>
              <w:jc w:val="center"/>
              <w:rPr>
                <w:color w:val="auto"/>
                <w:highlight w:val="none"/>
              </w:rPr>
            </w:pPr>
            <w:r>
              <w:rPr>
                <w:rFonts w:hint="eastAsia"/>
                <w:color w:val="auto"/>
                <w:highlight w:val="none"/>
              </w:rPr>
              <w:t>响应/正偏离/负偏离</w:t>
            </w:r>
          </w:p>
        </w:tc>
        <w:tc>
          <w:tcPr>
            <w:tcW w:w="1116" w:type="pct"/>
            <w:vAlign w:val="center"/>
          </w:tcPr>
          <w:p w14:paraId="63E16449">
            <w:pPr>
              <w:pStyle w:val="46"/>
              <w:jc w:val="center"/>
              <w:rPr>
                <w:color w:val="auto"/>
                <w:highlight w:val="none"/>
              </w:rPr>
            </w:pPr>
          </w:p>
        </w:tc>
      </w:tr>
      <w:tr w14:paraId="0C00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shd w:val="clear" w:color="auto" w:fill="auto"/>
            <w:vAlign w:val="center"/>
          </w:tcPr>
          <w:p w14:paraId="4C45FE18">
            <w:pPr>
              <w:pStyle w:val="46"/>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3</w:t>
            </w:r>
          </w:p>
        </w:tc>
        <w:tc>
          <w:tcPr>
            <w:tcW w:w="1277" w:type="pct"/>
            <w:shd w:val="clear" w:color="auto" w:fill="auto"/>
            <w:vAlign w:val="center"/>
          </w:tcPr>
          <w:p w14:paraId="6D1DD644">
            <w:pPr>
              <w:pStyle w:val="46"/>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913" w:type="pct"/>
            <w:shd w:val="clear" w:color="auto" w:fill="auto"/>
            <w:vAlign w:val="center"/>
          </w:tcPr>
          <w:p w14:paraId="2982168B">
            <w:pPr>
              <w:pStyle w:val="46"/>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1285" w:type="pct"/>
            <w:shd w:val="clear" w:color="auto" w:fill="auto"/>
            <w:vAlign w:val="center"/>
          </w:tcPr>
          <w:p w14:paraId="78EC7D09">
            <w:pPr>
              <w:pStyle w:val="46"/>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响应/正偏离/负偏离</w:t>
            </w:r>
          </w:p>
        </w:tc>
        <w:tc>
          <w:tcPr>
            <w:tcW w:w="1116" w:type="pct"/>
            <w:vAlign w:val="center"/>
          </w:tcPr>
          <w:p w14:paraId="46369488">
            <w:pPr>
              <w:pStyle w:val="46"/>
              <w:jc w:val="center"/>
              <w:rPr>
                <w:color w:val="auto"/>
                <w:highlight w:val="none"/>
              </w:rPr>
            </w:pPr>
          </w:p>
        </w:tc>
      </w:tr>
      <w:tr w14:paraId="28C8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3874C19">
            <w:pPr>
              <w:pStyle w:val="46"/>
              <w:jc w:val="center"/>
              <w:rPr>
                <w:color w:val="auto"/>
                <w:highlight w:val="none"/>
              </w:rPr>
            </w:pPr>
          </w:p>
        </w:tc>
        <w:tc>
          <w:tcPr>
            <w:tcW w:w="1277" w:type="pct"/>
            <w:vAlign w:val="center"/>
          </w:tcPr>
          <w:p w14:paraId="529041E2">
            <w:pPr>
              <w:pStyle w:val="46"/>
              <w:jc w:val="center"/>
              <w:rPr>
                <w:color w:val="auto"/>
                <w:highlight w:val="none"/>
              </w:rPr>
            </w:pPr>
          </w:p>
        </w:tc>
        <w:tc>
          <w:tcPr>
            <w:tcW w:w="913" w:type="pct"/>
            <w:vAlign w:val="center"/>
          </w:tcPr>
          <w:p w14:paraId="301E476D">
            <w:pPr>
              <w:pStyle w:val="46"/>
              <w:jc w:val="center"/>
              <w:rPr>
                <w:color w:val="auto"/>
                <w:highlight w:val="none"/>
              </w:rPr>
            </w:pPr>
          </w:p>
        </w:tc>
        <w:tc>
          <w:tcPr>
            <w:tcW w:w="1285" w:type="pct"/>
            <w:vAlign w:val="center"/>
          </w:tcPr>
          <w:p w14:paraId="06F8AED7">
            <w:pPr>
              <w:pStyle w:val="46"/>
              <w:jc w:val="center"/>
              <w:rPr>
                <w:color w:val="auto"/>
                <w:highlight w:val="none"/>
              </w:rPr>
            </w:pPr>
          </w:p>
        </w:tc>
        <w:tc>
          <w:tcPr>
            <w:tcW w:w="1116" w:type="pct"/>
            <w:vAlign w:val="center"/>
          </w:tcPr>
          <w:p w14:paraId="0CE9DF45">
            <w:pPr>
              <w:pStyle w:val="46"/>
              <w:jc w:val="center"/>
              <w:rPr>
                <w:color w:val="auto"/>
                <w:highlight w:val="none"/>
              </w:rPr>
            </w:pPr>
          </w:p>
        </w:tc>
      </w:tr>
      <w:tr w14:paraId="6C86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5ECFDF6B">
            <w:pPr>
              <w:pStyle w:val="46"/>
              <w:jc w:val="center"/>
              <w:rPr>
                <w:color w:val="auto"/>
                <w:highlight w:val="none"/>
              </w:rPr>
            </w:pPr>
          </w:p>
        </w:tc>
        <w:tc>
          <w:tcPr>
            <w:tcW w:w="1277" w:type="pct"/>
            <w:vAlign w:val="center"/>
          </w:tcPr>
          <w:p w14:paraId="2BFBC98E">
            <w:pPr>
              <w:pStyle w:val="46"/>
              <w:jc w:val="center"/>
              <w:rPr>
                <w:color w:val="auto"/>
                <w:highlight w:val="none"/>
              </w:rPr>
            </w:pPr>
          </w:p>
        </w:tc>
        <w:tc>
          <w:tcPr>
            <w:tcW w:w="913" w:type="pct"/>
            <w:vAlign w:val="center"/>
          </w:tcPr>
          <w:p w14:paraId="7B8E769B">
            <w:pPr>
              <w:pStyle w:val="46"/>
              <w:jc w:val="center"/>
              <w:rPr>
                <w:color w:val="auto"/>
                <w:highlight w:val="none"/>
              </w:rPr>
            </w:pPr>
          </w:p>
        </w:tc>
        <w:tc>
          <w:tcPr>
            <w:tcW w:w="1285" w:type="pct"/>
            <w:vAlign w:val="center"/>
          </w:tcPr>
          <w:p w14:paraId="3EBF2A71">
            <w:pPr>
              <w:pStyle w:val="46"/>
              <w:jc w:val="center"/>
              <w:rPr>
                <w:color w:val="auto"/>
                <w:highlight w:val="none"/>
              </w:rPr>
            </w:pPr>
          </w:p>
        </w:tc>
        <w:tc>
          <w:tcPr>
            <w:tcW w:w="1116" w:type="pct"/>
            <w:vAlign w:val="center"/>
          </w:tcPr>
          <w:p w14:paraId="070B01FC">
            <w:pPr>
              <w:pStyle w:val="46"/>
              <w:jc w:val="center"/>
              <w:rPr>
                <w:color w:val="auto"/>
                <w:highlight w:val="none"/>
              </w:rPr>
            </w:pPr>
          </w:p>
        </w:tc>
      </w:tr>
      <w:tr w14:paraId="7291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E75B4E6">
            <w:pPr>
              <w:pStyle w:val="46"/>
              <w:jc w:val="center"/>
              <w:rPr>
                <w:color w:val="auto"/>
                <w:highlight w:val="none"/>
              </w:rPr>
            </w:pPr>
          </w:p>
        </w:tc>
        <w:tc>
          <w:tcPr>
            <w:tcW w:w="1277" w:type="pct"/>
            <w:vAlign w:val="center"/>
          </w:tcPr>
          <w:p w14:paraId="77107295">
            <w:pPr>
              <w:pStyle w:val="46"/>
              <w:jc w:val="center"/>
              <w:rPr>
                <w:color w:val="auto"/>
                <w:highlight w:val="none"/>
              </w:rPr>
            </w:pPr>
          </w:p>
        </w:tc>
        <w:tc>
          <w:tcPr>
            <w:tcW w:w="913" w:type="pct"/>
            <w:vAlign w:val="center"/>
          </w:tcPr>
          <w:p w14:paraId="4D01D78E">
            <w:pPr>
              <w:pStyle w:val="46"/>
              <w:jc w:val="center"/>
              <w:rPr>
                <w:color w:val="auto"/>
                <w:highlight w:val="none"/>
              </w:rPr>
            </w:pPr>
          </w:p>
        </w:tc>
        <w:tc>
          <w:tcPr>
            <w:tcW w:w="1285" w:type="pct"/>
            <w:vAlign w:val="center"/>
          </w:tcPr>
          <w:p w14:paraId="6D546857">
            <w:pPr>
              <w:pStyle w:val="46"/>
              <w:jc w:val="center"/>
              <w:rPr>
                <w:color w:val="auto"/>
                <w:highlight w:val="none"/>
              </w:rPr>
            </w:pPr>
          </w:p>
        </w:tc>
        <w:tc>
          <w:tcPr>
            <w:tcW w:w="1116" w:type="pct"/>
            <w:vAlign w:val="center"/>
          </w:tcPr>
          <w:p w14:paraId="2E1B7D0B">
            <w:pPr>
              <w:pStyle w:val="46"/>
              <w:jc w:val="center"/>
              <w:rPr>
                <w:color w:val="auto"/>
                <w:highlight w:val="none"/>
              </w:rPr>
            </w:pPr>
          </w:p>
        </w:tc>
      </w:tr>
      <w:tr w14:paraId="39F8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6AF16AFE">
            <w:pPr>
              <w:pStyle w:val="46"/>
              <w:jc w:val="center"/>
              <w:rPr>
                <w:color w:val="auto"/>
                <w:highlight w:val="none"/>
              </w:rPr>
            </w:pPr>
          </w:p>
        </w:tc>
        <w:tc>
          <w:tcPr>
            <w:tcW w:w="1277" w:type="pct"/>
            <w:vAlign w:val="center"/>
          </w:tcPr>
          <w:p w14:paraId="5C7E043B">
            <w:pPr>
              <w:pStyle w:val="46"/>
              <w:jc w:val="center"/>
              <w:rPr>
                <w:color w:val="auto"/>
                <w:highlight w:val="none"/>
              </w:rPr>
            </w:pPr>
          </w:p>
        </w:tc>
        <w:tc>
          <w:tcPr>
            <w:tcW w:w="913" w:type="pct"/>
            <w:vAlign w:val="center"/>
          </w:tcPr>
          <w:p w14:paraId="64166C7A">
            <w:pPr>
              <w:pStyle w:val="46"/>
              <w:jc w:val="center"/>
              <w:rPr>
                <w:color w:val="auto"/>
                <w:highlight w:val="none"/>
              </w:rPr>
            </w:pPr>
          </w:p>
        </w:tc>
        <w:tc>
          <w:tcPr>
            <w:tcW w:w="1285" w:type="pct"/>
            <w:vAlign w:val="center"/>
          </w:tcPr>
          <w:p w14:paraId="2817CCE5">
            <w:pPr>
              <w:pStyle w:val="46"/>
              <w:jc w:val="center"/>
              <w:rPr>
                <w:color w:val="auto"/>
                <w:highlight w:val="none"/>
              </w:rPr>
            </w:pPr>
          </w:p>
        </w:tc>
        <w:tc>
          <w:tcPr>
            <w:tcW w:w="1116" w:type="pct"/>
            <w:vAlign w:val="center"/>
          </w:tcPr>
          <w:p w14:paraId="184E3F96">
            <w:pPr>
              <w:pStyle w:val="46"/>
              <w:jc w:val="center"/>
              <w:rPr>
                <w:color w:val="auto"/>
                <w:highlight w:val="none"/>
              </w:rPr>
            </w:pPr>
          </w:p>
        </w:tc>
      </w:tr>
      <w:tr w14:paraId="2669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7" w:type="pct"/>
            <w:vAlign w:val="center"/>
          </w:tcPr>
          <w:p w14:paraId="0D811F11">
            <w:pPr>
              <w:pStyle w:val="46"/>
              <w:jc w:val="center"/>
              <w:rPr>
                <w:color w:val="auto"/>
                <w:highlight w:val="none"/>
              </w:rPr>
            </w:pPr>
            <w:r>
              <w:rPr>
                <w:rFonts w:hint="eastAsia"/>
                <w:color w:val="auto"/>
                <w:highlight w:val="none"/>
              </w:rPr>
              <w:t>……</w:t>
            </w:r>
          </w:p>
        </w:tc>
        <w:tc>
          <w:tcPr>
            <w:tcW w:w="1277" w:type="pct"/>
            <w:vAlign w:val="center"/>
          </w:tcPr>
          <w:p w14:paraId="7D0AF02A">
            <w:pPr>
              <w:pStyle w:val="46"/>
              <w:jc w:val="center"/>
              <w:rPr>
                <w:color w:val="auto"/>
                <w:highlight w:val="none"/>
              </w:rPr>
            </w:pPr>
            <w:r>
              <w:rPr>
                <w:rFonts w:hint="eastAsia"/>
                <w:color w:val="auto"/>
                <w:highlight w:val="none"/>
              </w:rPr>
              <w:t>…………</w:t>
            </w:r>
          </w:p>
        </w:tc>
        <w:tc>
          <w:tcPr>
            <w:tcW w:w="913" w:type="pct"/>
            <w:vAlign w:val="center"/>
          </w:tcPr>
          <w:p w14:paraId="6EC8C4F3">
            <w:pPr>
              <w:pStyle w:val="46"/>
              <w:jc w:val="center"/>
              <w:rPr>
                <w:color w:val="auto"/>
                <w:highlight w:val="none"/>
              </w:rPr>
            </w:pPr>
            <w:r>
              <w:rPr>
                <w:rFonts w:hint="eastAsia"/>
                <w:color w:val="auto"/>
                <w:highlight w:val="none"/>
              </w:rPr>
              <w:t>………………</w:t>
            </w:r>
          </w:p>
        </w:tc>
        <w:tc>
          <w:tcPr>
            <w:tcW w:w="1285" w:type="pct"/>
            <w:vAlign w:val="center"/>
          </w:tcPr>
          <w:p w14:paraId="59EB3DF9">
            <w:pPr>
              <w:pStyle w:val="46"/>
              <w:jc w:val="center"/>
              <w:rPr>
                <w:color w:val="auto"/>
                <w:highlight w:val="none"/>
              </w:rPr>
            </w:pPr>
            <w:r>
              <w:rPr>
                <w:rFonts w:hint="eastAsia"/>
                <w:color w:val="auto"/>
                <w:highlight w:val="none"/>
              </w:rPr>
              <w:t>…………</w:t>
            </w:r>
          </w:p>
        </w:tc>
        <w:tc>
          <w:tcPr>
            <w:tcW w:w="1116" w:type="pct"/>
            <w:vAlign w:val="center"/>
          </w:tcPr>
          <w:p w14:paraId="1BF96619">
            <w:pPr>
              <w:pStyle w:val="46"/>
              <w:jc w:val="center"/>
              <w:rPr>
                <w:color w:val="auto"/>
                <w:highlight w:val="none"/>
              </w:rPr>
            </w:pPr>
          </w:p>
        </w:tc>
      </w:tr>
    </w:tbl>
    <w:p w14:paraId="12AEBD40">
      <w:pPr>
        <w:ind w:firstLine="480" w:firstLineChars="200"/>
        <w:rPr>
          <w:rFonts w:cs="仿宋_GB2312"/>
          <w:color w:val="auto"/>
          <w:szCs w:val="24"/>
          <w:highlight w:val="none"/>
        </w:rPr>
      </w:pPr>
    </w:p>
    <w:p w14:paraId="71C6318B">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cs="宋体"/>
          <w:color w:val="auto"/>
          <w:kern w:val="0"/>
          <w:sz w:val="24"/>
          <w:szCs w:val="24"/>
          <w:highlight w:val="none"/>
          <w:lang w:val="en-US" w:eastAsia="zh-CN"/>
        </w:rPr>
        <w:t>供应商</w:t>
      </w:r>
      <w:r>
        <w:rPr>
          <w:rFonts w:hint="eastAsia" w:ascii="宋体" w:hAnsi="宋体" w:cs="宋体"/>
          <w:color w:val="auto"/>
          <w:kern w:val="0"/>
          <w:sz w:val="24"/>
          <w:szCs w:val="24"/>
          <w:highlight w:val="none"/>
          <w:lang w:val="zh-CN"/>
        </w:rPr>
        <w:t>名称（</w:t>
      </w:r>
      <w:r>
        <w:rPr>
          <w:rFonts w:hint="eastAsia" w:cs="宋体"/>
          <w:color w:val="auto"/>
          <w:sz w:val="24"/>
          <w:szCs w:val="24"/>
          <w:highlight w:val="none"/>
          <w:lang w:eastAsia="zh-CN"/>
        </w:rPr>
        <w:t>公章</w:t>
      </w:r>
      <w:r>
        <w:rPr>
          <w:rFonts w:hint="eastAsia" w:ascii="宋体" w:hAnsi="宋体" w:cs="宋体"/>
          <w:color w:val="auto"/>
          <w:kern w:val="0"/>
          <w:sz w:val="24"/>
          <w:szCs w:val="24"/>
          <w:highlight w:val="none"/>
          <w:lang w:val="zh-CN"/>
        </w:rPr>
        <w:t xml:space="preserve">）：                                                                                                                                                                                                               </w:t>
      </w:r>
    </w:p>
    <w:p w14:paraId="66182CD9">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414C3B01">
      <w:pPr>
        <w:ind w:firstLine="420"/>
        <w:rPr>
          <w:rFonts w:cs="仿宋_GB2312"/>
          <w:color w:val="auto"/>
          <w:szCs w:val="24"/>
          <w:highlight w:val="none"/>
        </w:rPr>
      </w:pPr>
    </w:p>
    <w:p w14:paraId="306D75A1">
      <w:pPr>
        <w:ind w:firstLine="420" w:firstLineChars="200"/>
        <w:rPr>
          <w:rFonts w:cs="仿宋_GB2312"/>
          <w:color w:val="auto"/>
          <w:szCs w:val="24"/>
          <w:highlight w:val="none"/>
        </w:rPr>
      </w:pPr>
      <w:r>
        <w:rPr>
          <w:rFonts w:hint="eastAsia" w:cs="仿宋_GB2312"/>
          <w:color w:val="auto"/>
          <w:sz w:val="21"/>
          <w:szCs w:val="21"/>
          <w:highlight w:val="none"/>
        </w:rPr>
        <w:t>注：</w:t>
      </w:r>
      <w:r>
        <w:rPr>
          <w:rFonts w:hint="eastAsia" w:cs="仿宋_GB2312"/>
          <w:color w:val="auto"/>
          <w:sz w:val="21"/>
          <w:szCs w:val="21"/>
          <w:highlight w:val="none"/>
          <w:lang w:val="en-US" w:eastAsia="zh-CN"/>
        </w:rPr>
        <w:t>供应商</w:t>
      </w:r>
      <w:r>
        <w:rPr>
          <w:rFonts w:hint="eastAsia" w:cs="仿宋_GB2312"/>
          <w:color w:val="auto"/>
          <w:sz w:val="21"/>
          <w:szCs w:val="21"/>
          <w:highlight w:val="none"/>
        </w:rPr>
        <w:t>应按照</w:t>
      </w:r>
      <w:r>
        <w:rPr>
          <w:rFonts w:hint="eastAsia" w:cs="仿宋_GB2312"/>
          <w:color w:val="auto"/>
          <w:sz w:val="21"/>
          <w:szCs w:val="21"/>
          <w:highlight w:val="none"/>
          <w:lang w:val="en-US" w:eastAsia="zh-CN"/>
        </w:rPr>
        <w:t>竞争性谈判</w:t>
      </w:r>
      <w:r>
        <w:rPr>
          <w:rFonts w:hint="eastAsia" w:cs="仿宋_GB2312"/>
          <w:color w:val="auto"/>
          <w:sz w:val="21"/>
          <w:szCs w:val="21"/>
          <w:highlight w:val="none"/>
        </w:rPr>
        <w:t>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32E4AC3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1.“竞争性谈判文件技术要求条款”栏应详细列明竞争性谈判文件中的技术要求。 </w:t>
      </w:r>
    </w:p>
    <w:p w14:paraId="0BA8C5C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2.“响应文件内容对应简述”栏填写供应商对竞争性谈判文件提出的技术条款作出的明确响应，并列明具体响应数值或内容，只注明符合、满足等无具体内容表述的，将视为未实质性满足竞争性谈判文件要求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响应</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10BDFC16">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3DD5C495">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4.“证明资料及索引”栏可填写证明资料的具体内容及索引。</w:t>
      </w:r>
    </w:p>
    <w:p w14:paraId="49A1A5E5">
      <w:pPr>
        <w:ind w:firstLine="420"/>
        <w:rPr>
          <w:rFonts w:cs="仿宋_GB2312"/>
          <w:color w:val="auto"/>
          <w:sz w:val="21"/>
          <w:szCs w:val="21"/>
          <w:highlight w:val="none"/>
        </w:rPr>
      </w:pPr>
      <w:r>
        <w:rPr>
          <w:rFonts w:hint="eastAsia" w:cs="仿宋_GB2312"/>
          <w:color w:val="auto"/>
          <w:sz w:val="21"/>
          <w:szCs w:val="21"/>
          <w:highlight w:val="none"/>
          <w:lang w:val="en-US" w:eastAsia="zh-CN"/>
        </w:rPr>
        <w:t>5.对竞争性谈判文件中的所有技术要求，除本表所列明的所有偏离外，均视作供应商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eastAsia" w:cs="仿宋_GB2312"/>
          <w:b/>
          <w:bCs/>
          <w:color w:val="auto"/>
          <w:sz w:val="21"/>
          <w:szCs w:val="21"/>
          <w:highlight w:val="none"/>
          <w:lang w:val="en-US" w:eastAsia="zh-CN"/>
        </w:rPr>
        <w:t>响应</w:t>
      </w:r>
      <w:r>
        <w:rPr>
          <w:rFonts w:hint="default" w:cs="仿宋_GB2312"/>
          <w:b/>
          <w:bCs/>
          <w:color w:val="auto"/>
          <w:sz w:val="21"/>
          <w:szCs w:val="21"/>
          <w:highlight w:val="none"/>
          <w:lang w:val="en-US" w:eastAsia="zh-CN"/>
        </w:rPr>
        <w:t>无效</w:t>
      </w:r>
      <w:r>
        <w:rPr>
          <w:rFonts w:hint="default" w:cs="仿宋_GB2312"/>
          <w:color w:val="auto"/>
          <w:sz w:val="21"/>
          <w:szCs w:val="21"/>
          <w:highlight w:val="none"/>
          <w:lang w:val="en-US" w:eastAsia="zh-CN"/>
        </w:rPr>
        <w:t>。</w:t>
      </w:r>
      <w:r>
        <w:rPr>
          <w:rFonts w:cs="仿宋_GB2312"/>
          <w:color w:val="auto"/>
          <w:sz w:val="21"/>
          <w:szCs w:val="21"/>
          <w:highlight w:val="none"/>
        </w:rPr>
        <w:br w:type="page"/>
      </w:r>
    </w:p>
    <w:p w14:paraId="06C98EB9">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outlineLvl w:val="2"/>
        <w:rPr>
          <w:rFonts w:hint="eastAsia" w:eastAsia="宋体" w:asciiTheme="majorHAnsi" w:hAnsiTheme="majorHAnsi" w:cstheme="majorBidi"/>
          <w:b/>
          <w:bCs/>
          <w:color w:val="auto"/>
          <w:kern w:val="2"/>
          <w:sz w:val="32"/>
          <w:szCs w:val="32"/>
          <w:highlight w:val="none"/>
          <w:lang w:val="en-US" w:eastAsia="zh-CN" w:bidi="ar-SA"/>
        </w:rPr>
      </w:pPr>
      <w:bookmarkStart w:id="590" w:name="_Toc29627"/>
      <w:r>
        <w:rPr>
          <w:rFonts w:hint="eastAsia" w:cstheme="majorBidi"/>
          <w:b/>
          <w:bCs/>
          <w:color w:val="auto"/>
          <w:kern w:val="2"/>
          <w:sz w:val="32"/>
          <w:szCs w:val="32"/>
          <w:highlight w:val="none"/>
          <w:lang w:val="en-US" w:eastAsia="zh-CN" w:bidi="ar-SA"/>
        </w:rPr>
        <w:t>十、</w:t>
      </w:r>
      <w:r>
        <w:rPr>
          <w:rFonts w:hint="eastAsia" w:eastAsia="宋体" w:asciiTheme="majorHAnsi" w:hAnsiTheme="majorHAnsi" w:cstheme="majorBidi"/>
          <w:b/>
          <w:bCs/>
          <w:color w:val="auto"/>
          <w:kern w:val="2"/>
          <w:sz w:val="32"/>
          <w:szCs w:val="32"/>
          <w:highlight w:val="none"/>
          <w:lang w:val="en-US" w:eastAsia="zh-CN" w:bidi="ar-SA"/>
        </w:rPr>
        <w:t>技术方案</w:t>
      </w:r>
      <w:bookmarkEnd w:id="590"/>
    </w:p>
    <w:p w14:paraId="3878D3F5">
      <w:pPr>
        <w:pStyle w:val="35"/>
        <w:rPr>
          <w:color w:val="auto"/>
          <w:highlight w:val="none"/>
        </w:rPr>
      </w:pPr>
      <w:r>
        <w:rPr>
          <w:rFonts w:hint="eastAsia"/>
          <w:color w:val="auto"/>
          <w:highlight w:val="none"/>
          <w:lang w:val="en-US" w:eastAsia="zh-CN"/>
        </w:rPr>
        <w:t>供应商</w:t>
      </w:r>
      <w:r>
        <w:rPr>
          <w:rFonts w:hint="eastAsia"/>
          <w:color w:val="auto"/>
          <w:highlight w:val="none"/>
        </w:rPr>
        <w:t>应按照</w:t>
      </w:r>
      <w:r>
        <w:rPr>
          <w:rFonts w:hint="eastAsia"/>
          <w:color w:val="auto"/>
          <w:highlight w:val="none"/>
          <w:lang w:val="en-US" w:eastAsia="zh-CN"/>
        </w:rPr>
        <w:t>竞争性谈判</w:t>
      </w:r>
      <w:r>
        <w:rPr>
          <w:rFonts w:hint="eastAsia"/>
          <w:color w:val="auto"/>
          <w:highlight w:val="none"/>
        </w:rPr>
        <w:t>文件的要求，提供详细的</w:t>
      </w:r>
      <w:r>
        <w:rPr>
          <w:rFonts w:hint="eastAsia"/>
          <w:color w:val="auto"/>
          <w:highlight w:val="none"/>
          <w:lang w:val="en-US" w:eastAsia="zh-CN"/>
        </w:rPr>
        <w:t>供货及相关</w:t>
      </w:r>
      <w:r>
        <w:rPr>
          <w:rFonts w:hint="eastAsia"/>
          <w:color w:val="auto"/>
          <w:highlight w:val="none"/>
        </w:rPr>
        <w:t>服务方案，包括文字描述或图表显示。格式自拟。</w:t>
      </w:r>
    </w:p>
    <w:p w14:paraId="7EE77353">
      <w:pPr>
        <w:pStyle w:val="35"/>
        <w:rPr>
          <w:color w:val="auto"/>
          <w:highlight w:val="none"/>
        </w:rPr>
      </w:pPr>
      <w:r>
        <w:rPr>
          <w:color w:val="auto"/>
          <w:highlight w:val="none"/>
        </w:rPr>
        <w:br w:type="page"/>
      </w:r>
    </w:p>
    <w:p w14:paraId="68D392B1">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outlineLvl w:val="2"/>
        <w:rPr>
          <w:rFonts w:hint="eastAsia" w:eastAsia="宋体" w:asciiTheme="majorHAnsi" w:hAnsiTheme="majorHAnsi" w:cstheme="majorBidi"/>
          <w:b/>
          <w:bCs/>
          <w:color w:val="auto"/>
          <w:kern w:val="2"/>
          <w:sz w:val="32"/>
          <w:szCs w:val="32"/>
          <w:highlight w:val="none"/>
          <w:lang w:val="en-US" w:eastAsia="zh-CN" w:bidi="ar-SA"/>
        </w:rPr>
      </w:pPr>
      <w:bookmarkStart w:id="591" w:name="_Toc20344"/>
      <w:r>
        <w:rPr>
          <w:rFonts w:hint="eastAsia" w:cstheme="majorBidi"/>
          <w:b/>
          <w:bCs/>
          <w:color w:val="auto"/>
          <w:kern w:val="2"/>
          <w:sz w:val="32"/>
          <w:szCs w:val="32"/>
          <w:highlight w:val="none"/>
          <w:lang w:val="en-US" w:eastAsia="zh-CN" w:bidi="ar-SA"/>
        </w:rPr>
        <w:t>十一、</w:t>
      </w:r>
      <w:r>
        <w:rPr>
          <w:rFonts w:hint="eastAsia" w:eastAsia="宋体" w:asciiTheme="majorHAnsi" w:hAnsiTheme="majorHAnsi" w:cstheme="majorBidi"/>
          <w:b/>
          <w:bCs/>
          <w:color w:val="auto"/>
          <w:kern w:val="2"/>
          <w:sz w:val="32"/>
          <w:szCs w:val="32"/>
          <w:highlight w:val="none"/>
          <w:lang w:val="en-US" w:eastAsia="zh-CN" w:bidi="ar-SA"/>
        </w:rPr>
        <w:t>其他文件</w:t>
      </w:r>
      <w:bookmarkEnd w:id="591"/>
    </w:p>
    <w:p w14:paraId="6EF40482">
      <w:pPr>
        <w:pStyle w:val="35"/>
        <w:ind w:left="0" w:leftChars="0" w:firstLine="0" w:firstLineChars="0"/>
        <w:rPr>
          <w:rFonts w:hint="eastAsia"/>
          <w:b/>
          <w:bCs/>
          <w:iCs/>
          <w:color w:val="auto"/>
          <w:sz w:val="24"/>
          <w:szCs w:val="24"/>
          <w:highlight w:val="none"/>
          <w:shd w:val="clear" w:color="auto" w:fill="FFFFFF" w:themeFill="background1"/>
          <w:lang w:val="zh-CN" w:eastAsia="zh-CN"/>
        </w:rPr>
      </w:pPr>
      <w:r>
        <w:rPr>
          <w:rFonts w:hint="eastAsia"/>
          <w:b/>
          <w:bCs/>
          <w:iCs/>
          <w:color w:val="auto"/>
          <w:sz w:val="24"/>
          <w:szCs w:val="24"/>
          <w:highlight w:val="none"/>
          <w:shd w:val="clear" w:color="auto" w:fill="FFFFFF" w:themeFill="background1"/>
          <w:lang w:val="en-US" w:eastAsia="zh-CN"/>
        </w:rPr>
        <w:t>（一）竞争性谈判</w:t>
      </w:r>
      <w:r>
        <w:rPr>
          <w:rFonts w:hint="eastAsia"/>
          <w:b/>
          <w:bCs/>
          <w:iCs/>
          <w:color w:val="auto"/>
          <w:sz w:val="24"/>
          <w:szCs w:val="24"/>
          <w:highlight w:val="none"/>
          <w:shd w:val="clear" w:color="auto" w:fill="FFFFFF" w:themeFill="background1"/>
          <w:lang w:val="zh-CN" w:eastAsia="zh-CN"/>
        </w:rPr>
        <w:t>文件要求提供的其它商务、技术资料和证明材料；</w:t>
      </w:r>
    </w:p>
    <w:p w14:paraId="1AB0431C">
      <w:pPr>
        <w:pStyle w:val="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1.1供应商信息采集表</w:t>
      </w:r>
    </w:p>
    <w:tbl>
      <w:tblPr>
        <w:tblStyle w:val="29"/>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321A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1508E63E">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525F160D">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6288AB90">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0694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BC16E3C">
            <w:pPr>
              <w:pStyle w:val="35"/>
              <w:rPr>
                <w:rFonts w:hint="eastAsia" w:ascii="宋体" w:hAnsi="宋体" w:eastAsia="宋体" w:cs="宋体"/>
                <w:color w:val="auto"/>
                <w:sz w:val="24"/>
                <w:szCs w:val="24"/>
                <w:highlight w:val="none"/>
                <w:vertAlign w:val="baseline"/>
                <w:lang w:val="en-US" w:eastAsia="zh-CN"/>
              </w:rPr>
            </w:pPr>
          </w:p>
        </w:tc>
        <w:tc>
          <w:tcPr>
            <w:tcW w:w="2841" w:type="dxa"/>
          </w:tcPr>
          <w:p w14:paraId="471F983C">
            <w:pPr>
              <w:pStyle w:val="35"/>
              <w:rPr>
                <w:rFonts w:hint="eastAsia" w:ascii="宋体" w:hAnsi="宋体" w:eastAsia="宋体" w:cs="宋体"/>
                <w:color w:val="auto"/>
                <w:sz w:val="24"/>
                <w:szCs w:val="24"/>
                <w:highlight w:val="none"/>
                <w:vertAlign w:val="baseline"/>
                <w:lang w:val="en-US" w:eastAsia="zh-CN"/>
              </w:rPr>
            </w:pPr>
          </w:p>
        </w:tc>
        <w:tc>
          <w:tcPr>
            <w:tcW w:w="2743" w:type="dxa"/>
          </w:tcPr>
          <w:p w14:paraId="59E9D0CB">
            <w:pPr>
              <w:pStyle w:val="35"/>
              <w:rPr>
                <w:rFonts w:hint="eastAsia" w:ascii="宋体" w:hAnsi="宋体" w:eastAsia="宋体" w:cs="宋体"/>
                <w:color w:val="auto"/>
                <w:sz w:val="24"/>
                <w:szCs w:val="24"/>
                <w:highlight w:val="none"/>
                <w:vertAlign w:val="baseline"/>
                <w:lang w:val="en-US" w:eastAsia="zh-CN"/>
              </w:rPr>
            </w:pPr>
          </w:p>
        </w:tc>
      </w:tr>
      <w:tr w14:paraId="6D8F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BE5BC20">
            <w:pPr>
              <w:pStyle w:val="35"/>
              <w:rPr>
                <w:rFonts w:hint="eastAsia" w:ascii="宋体" w:hAnsi="宋体" w:eastAsia="宋体" w:cs="宋体"/>
                <w:color w:val="auto"/>
                <w:sz w:val="24"/>
                <w:szCs w:val="24"/>
                <w:highlight w:val="none"/>
                <w:vertAlign w:val="baseline"/>
                <w:lang w:val="en-US" w:eastAsia="zh-CN"/>
              </w:rPr>
            </w:pPr>
          </w:p>
        </w:tc>
        <w:tc>
          <w:tcPr>
            <w:tcW w:w="2841" w:type="dxa"/>
          </w:tcPr>
          <w:p w14:paraId="65335BA2">
            <w:pPr>
              <w:pStyle w:val="35"/>
              <w:rPr>
                <w:rFonts w:hint="eastAsia" w:ascii="宋体" w:hAnsi="宋体" w:eastAsia="宋体" w:cs="宋体"/>
                <w:color w:val="auto"/>
                <w:sz w:val="24"/>
                <w:szCs w:val="24"/>
                <w:highlight w:val="none"/>
                <w:vertAlign w:val="baseline"/>
                <w:lang w:val="en-US" w:eastAsia="zh-CN"/>
              </w:rPr>
            </w:pPr>
          </w:p>
        </w:tc>
        <w:tc>
          <w:tcPr>
            <w:tcW w:w="2743" w:type="dxa"/>
          </w:tcPr>
          <w:p w14:paraId="331FBFA7">
            <w:pPr>
              <w:pStyle w:val="35"/>
              <w:rPr>
                <w:rFonts w:hint="eastAsia" w:ascii="宋体" w:hAnsi="宋体" w:eastAsia="宋体" w:cs="宋体"/>
                <w:color w:val="auto"/>
                <w:sz w:val="24"/>
                <w:szCs w:val="24"/>
                <w:highlight w:val="none"/>
                <w:vertAlign w:val="baseline"/>
                <w:lang w:val="en-US" w:eastAsia="zh-CN"/>
              </w:rPr>
            </w:pPr>
          </w:p>
        </w:tc>
      </w:tr>
      <w:tr w14:paraId="1A91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99AB141">
            <w:pPr>
              <w:pStyle w:val="35"/>
              <w:rPr>
                <w:rFonts w:hint="eastAsia" w:ascii="宋体" w:hAnsi="宋体" w:eastAsia="宋体" w:cs="宋体"/>
                <w:color w:val="auto"/>
                <w:sz w:val="24"/>
                <w:szCs w:val="24"/>
                <w:highlight w:val="none"/>
                <w:vertAlign w:val="baseline"/>
                <w:lang w:val="en-US" w:eastAsia="zh-CN"/>
              </w:rPr>
            </w:pPr>
          </w:p>
        </w:tc>
        <w:tc>
          <w:tcPr>
            <w:tcW w:w="2841" w:type="dxa"/>
          </w:tcPr>
          <w:p w14:paraId="00E4C5E8">
            <w:pPr>
              <w:pStyle w:val="35"/>
              <w:rPr>
                <w:rFonts w:hint="eastAsia" w:ascii="宋体" w:hAnsi="宋体" w:eastAsia="宋体" w:cs="宋体"/>
                <w:color w:val="auto"/>
                <w:sz w:val="24"/>
                <w:szCs w:val="24"/>
                <w:highlight w:val="none"/>
                <w:vertAlign w:val="baseline"/>
                <w:lang w:val="en-US" w:eastAsia="zh-CN"/>
              </w:rPr>
            </w:pPr>
          </w:p>
        </w:tc>
        <w:tc>
          <w:tcPr>
            <w:tcW w:w="2743" w:type="dxa"/>
          </w:tcPr>
          <w:p w14:paraId="42125693">
            <w:pPr>
              <w:pStyle w:val="35"/>
              <w:rPr>
                <w:rFonts w:hint="eastAsia" w:ascii="宋体" w:hAnsi="宋体" w:eastAsia="宋体" w:cs="宋体"/>
                <w:color w:val="auto"/>
                <w:sz w:val="24"/>
                <w:szCs w:val="24"/>
                <w:highlight w:val="none"/>
                <w:vertAlign w:val="baseline"/>
                <w:lang w:val="en-US" w:eastAsia="zh-CN"/>
              </w:rPr>
            </w:pPr>
          </w:p>
        </w:tc>
      </w:tr>
      <w:tr w14:paraId="24B4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995954E">
            <w:pPr>
              <w:pStyle w:val="35"/>
              <w:rPr>
                <w:rFonts w:hint="eastAsia" w:ascii="宋体" w:hAnsi="宋体" w:eastAsia="宋体" w:cs="宋体"/>
                <w:color w:val="auto"/>
                <w:sz w:val="24"/>
                <w:szCs w:val="24"/>
                <w:highlight w:val="none"/>
                <w:vertAlign w:val="baseline"/>
                <w:lang w:val="en-US" w:eastAsia="zh-CN"/>
              </w:rPr>
            </w:pPr>
          </w:p>
        </w:tc>
        <w:tc>
          <w:tcPr>
            <w:tcW w:w="2841" w:type="dxa"/>
          </w:tcPr>
          <w:p w14:paraId="75889361">
            <w:pPr>
              <w:pStyle w:val="35"/>
              <w:rPr>
                <w:rFonts w:hint="eastAsia" w:ascii="宋体" w:hAnsi="宋体" w:eastAsia="宋体" w:cs="宋体"/>
                <w:color w:val="auto"/>
                <w:sz w:val="24"/>
                <w:szCs w:val="24"/>
                <w:highlight w:val="none"/>
                <w:vertAlign w:val="baseline"/>
                <w:lang w:val="en-US" w:eastAsia="zh-CN"/>
              </w:rPr>
            </w:pPr>
          </w:p>
        </w:tc>
        <w:tc>
          <w:tcPr>
            <w:tcW w:w="2743" w:type="dxa"/>
          </w:tcPr>
          <w:p w14:paraId="760C7D5C">
            <w:pPr>
              <w:pStyle w:val="35"/>
              <w:rPr>
                <w:rFonts w:hint="eastAsia" w:ascii="宋体" w:hAnsi="宋体" w:eastAsia="宋体" w:cs="宋体"/>
                <w:color w:val="auto"/>
                <w:sz w:val="24"/>
                <w:szCs w:val="24"/>
                <w:highlight w:val="none"/>
                <w:vertAlign w:val="baseline"/>
                <w:lang w:val="en-US" w:eastAsia="zh-CN"/>
              </w:rPr>
            </w:pPr>
          </w:p>
        </w:tc>
      </w:tr>
    </w:tbl>
    <w:p w14:paraId="799D1172">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429C553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2.“供应商实际控制人性别”按供应商实际控制人性别划分请填写“男”或“女”，指拥有供应商 51%以上绝对所有权的性</w:t>
      </w:r>
      <w:r>
        <w:rPr>
          <w:rFonts w:hint="eastAsia" w:cs="宋体"/>
          <w:color w:val="auto"/>
          <w:kern w:val="0"/>
          <w:sz w:val="21"/>
          <w:szCs w:val="21"/>
          <w:highlight w:val="none"/>
          <w:lang w:val="en-US" w:eastAsia="zh-CN" w:bidi="ar"/>
        </w:rPr>
        <w:t>别</w:t>
      </w:r>
      <w:r>
        <w:rPr>
          <w:rFonts w:hint="eastAsia" w:ascii="宋体" w:hAnsi="宋体" w:eastAsia="宋体" w:cs="宋体"/>
          <w:color w:val="auto"/>
          <w:kern w:val="0"/>
          <w:sz w:val="21"/>
          <w:szCs w:val="21"/>
          <w:highlight w:val="none"/>
          <w:lang w:val="en-US" w:eastAsia="zh-CN" w:bidi="ar"/>
        </w:rPr>
        <w:t>；绝对所有权拥有者可以是一个人，也可以是多人合计计算。</w:t>
      </w:r>
    </w:p>
    <w:p w14:paraId="6C85D95C">
      <w:pPr>
        <w:pStyle w:val="35"/>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3.“外商投资类型”请填写“外商单独投资”、“外商部分投资”或“内资”。</w:t>
      </w:r>
    </w:p>
    <w:p w14:paraId="55FB009A">
      <w:pPr>
        <w:pStyle w:val="35"/>
        <w:rPr>
          <w:rFonts w:hint="eastAsia" w:ascii="宋体" w:hAnsi="宋体" w:eastAsia="宋体" w:cs="宋体"/>
          <w:color w:val="auto"/>
          <w:sz w:val="24"/>
          <w:szCs w:val="24"/>
          <w:highlight w:val="none"/>
          <w:lang w:val="en-US" w:eastAsia="zh-CN"/>
        </w:rPr>
      </w:pPr>
    </w:p>
    <w:p w14:paraId="7953C59C">
      <w:pPr>
        <w:pStyle w:val="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1.2其它商务、技术资料和证明材料</w:t>
      </w:r>
    </w:p>
    <w:p w14:paraId="3A11A162">
      <w:pPr>
        <w:pStyle w:val="35"/>
        <w:rPr>
          <w:rFonts w:hint="default"/>
          <w:color w:val="auto"/>
          <w:sz w:val="28"/>
          <w:szCs w:val="28"/>
          <w:highlight w:val="none"/>
          <w:lang w:val="en-US" w:eastAsia="zh-CN"/>
        </w:rPr>
      </w:pPr>
    </w:p>
    <w:p w14:paraId="7DF13FE9">
      <w:pPr>
        <w:pStyle w:val="35"/>
        <w:ind w:left="0" w:leftChars="0" w:firstLine="0" w:firstLineChars="0"/>
        <w:rPr>
          <w:rFonts w:hint="eastAsia"/>
          <w:b/>
          <w:bCs/>
          <w:iCs/>
          <w:color w:val="auto"/>
          <w:sz w:val="24"/>
          <w:szCs w:val="24"/>
          <w:highlight w:val="none"/>
          <w:shd w:val="clear" w:color="auto" w:fill="FFFFFF" w:themeFill="background1"/>
          <w:lang w:val="en-US" w:eastAsia="zh-CN"/>
        </w:rPr>
      </w:pPr>
      <w:r>
        <w:rPr>
          <w:rFonts w:hint="eastAsia"/>
          <w:b/>
          <w:bCs/>
          <w:iCs/>
          <w:color w:val="auto"/>
          <w:sz w:val="24"/>
          <w:szCs w:val="24"/>
          <w:highlight w:val="none"/>
          <w:shd w:val="clear" w:color="auto" w:fill="FFFFFF" w:themeFill="background1"/>
          <w:lang w:val="en-US" w:eastAsia="zh-CN"/>
        </w:rPr>
        <w:t>（二）供应商认为需要提供的其它商务、技术资料和说明。</w:t>
      </w:r>
    </w:p>
    <w:p w14:paraId="1B27B21C">
      <w:pPr>
        <w:pStyle w:val="35"/>
        <w:rPr>
          <w:rFonts w:hint="eastAsia"/>
          <w:color w:val="auto"/>
          <w:highlight w:val="none"/>
        </w:rPr>
      </w:pPr>
    </w:p>
    <w:p w14:paraId="3352B805">
      <w:pPr>
        <w:pStyle w:val="35"/>
        <w:rPr>
          <w:rFonts w:hint="eastAsia"/>
          <w:color w:val="auto"/>
          <w:highlight w:val="none"/>
        </w:rPr>
      </w:pPr>
    </w:p>
    <w:p w14:paraId="19B7C1E0">
      <w:pPr>
        <w:pStyle w:val="35"/>
        <w:rPr>
          <w:rFonts w:hint="eastAsia"/>
          <w:color w:val="auto"/>
          <w:highlight w:val="none"/>
        </w:rPr>
      </w:pPr>
    </w:p>
    <w:bookmarkEnd w:id="517"/>
    <w:p w14:paraId="7CB0AFFA">
      <w:pPr>
        <w:rPr>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宋体"/>
    <w:panose1 w:val="00000000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Helvetica">
    <w:altName w:val="Arial"/>
    <w:panose1 w:val="020B0504020202020204"/>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DejaVu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75237">
    <w:pPr>
      <w:pStyle w:val="17"/>
      <w:spacing w:line="240" w:lineRule="auto"/>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ADD4DD">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ADD4DD">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B49EB">
                          <w:pPr>
                            <w:pStyle w:val="17"/>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1FB49EB">
                    <w:pPr>
                      <w:pStyle w:val="17"/>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8C037">
    <w:pPr>
      <w:pStyle w:val="18"/>
      <w:pBdr>
        <w:bottom w:val="none" w:color="auto" w:sz="0" w:space="1"/>
      </w:pBdr>
      <w:tabs>
        <w:tab w:val="left" w:pos="3120"/>
      </w:tabs>
      <w:spacing w:line="240" w:lineRule="auto"/>
      <w:jc w:val="right"/>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F3D0">
    <w:pPr>
      <w:pStyle w:val="18"/>
      <w:pBdr>
        <w:bottom w:val="none" w:color="auto" w:sz="0" w:space="1"/>
      </w:pBdr>
      <w:spacing w:line="240" w:lineRule="auto"/>
    </w:pPr>
    <w:r>
      <w:rPr>
        <w:rFonts w:hint="eastAsia"/>
        <w:sz w:val="24"/>
        <w:szCs w:val="24"/>
        <w:lang w:val="en-US" w:eastAsia="zh-CN"/>
      </w:rPr>
      <w:t xml:space="preserve">                                 </w:t>
    </w:r>
    <w:r>
      <w:rPr>
        <w:rFonts w:hint="eastAsia" w:ascii="宋体" w:hAnsi="宋体" w:eastAsia="宋体" w:cs="宋体"/>
        <w:sz w:val="18"/>
        <w:szCs w:val="18"/>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ABE1DB"/>
    <w:multiLevelType w:val="singleLevel"/>
    <w:tmpl w:val="DEABE1DB"/>
    <w:lvl w:ilvl="0" w:tentative="0">
      <w:start w:val="23"/>
      <w:numFmt w:val="decimal"/>
      <w:suff w:val="space"/>
      <w:lvlText w:val="%1."/>
      <w:lvlJc w:val="left"/>
    </w:lvl>
  </w:abstractNum>
  <w:abstractNum w:abstractNumId="4">
    <w:nsid w:val="FFEFC674"/>
    <w:multiLevelType w:val="singleLevel"/>
    <w:tmpl w:val="FFEFC674"/>
    <w:lvl w:ilvl="0" w:tentative="0">
      <w:start w:val="1"/>
      <w:numFmt w:val="decimal"/>
      <w:suff w:val="nothing"/>
      <w:lvlText w:val="（%1）"/>
      <w:lvlJc w:val="left"/>
    </w:lvl>
  </w:abstractNum>
  <w:abstractNum w:abstractNumId="5">
    <w:nsid w:val="1C761375"/>
    <w:multiLevelType w:val="multilevel"/>
    <w:tmpl w:val="1C76137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5504026"/>
    <w:multiLevelType w:val="multilevel"/>
    <w:tmpl w:val="75504026"/>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A0F6431"/>
    <w:multiLevelType w:val="singleLevel"/>
    <w:tmpl w:val="7A0F6431"/>
    <w:lvl w:ilvl="0" w:tentative="0">
      <w:start w:val="1"/>
      <w:numFmt w:val="decimal"/>
      <w:suff w:val="space"/>
      <w:lvlText w:val="%1."/>
      <w:lvlJc w:val="left"/>
    </w:lvl>
  </w:abstractNum>
  <w:num w:numId="1">
    <w:abstractNumId w:val="7"/>
  </w:num>
  <w:num w:numId="2">
    <w:abstractNumId w:val="1"/>
  </w:num>
  <w:num w:numId="3">
    <w:abstractNumId w:val="4"/>
  </w:num>
  <w:num w:numId="4">
    <w:abstractNumId w:val="2"/>
  </w:num>
  <w:num w:numId="5">
    <w:abstractNumId w:val="0"/>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DA2E46"/>
    <w:rsid w:val="00010DF5"/>
    <w:rsid w:val="0002050C"/>
    <w:rsid w:val="00031D74"/>
    <w:rsid w:val="00031EDA"/>
    <w:rsid w:val="00035FD6"/>
    <w:rsid w:val="00041275"/>
    <w:rsid w:val="00041E23"/>
    <w:rsid w:val="00057979"/>
    <w:rsid w:val="00062839"/>
    <w:rsid w:val="000640B1"/>
    <w:rsid w:val="0006527E"/>
    <w:rsid w:val="000716F8"/>
    <w:rsid w:val="000725C9"/>
    <w:rsid w:val="000751D5"/>
    <w:rsid w:val="00077F3F"/>
    <w:rsid w:val="00080BBF"/>
    <w:rsid w:val="00094137"/>
    <w:rsid w:val="000A301B"/>
    <w:rsid w:val="000A519B"/>
    <w:rsid w:val="000A7A3F"/>
    <w:rsid w:val="000B0E52"/>
    <w:rsid w:val="000B7490"/>
    <w:rsid w:val="000D18E4"/>
    <w:rsid w:val="000D1DA9"/>
    <w:rsid w:val="000D2926"/>
    <w:rsid w:val="000D48B5"/>
    <w:rsid w:val="0011305B"/>
    <w:rsid w:val="00115707"/>
    <w:rsid w:val="0012011D"/>
    <w:rsid w:val="0012733E"/>
    <w:rsid w:val="00127F58"/>
    <w:rsid w:val="00131A1C"/>
    <w:rsid w:val="001361D8"/>
    <w:rsid w:val="00140C6C"/>
    <w:rsid w:val="00144643"/>
    <w:rsid w:val="00160D0D"/>
    <w:rsid w:val="0016196A"/>
    <w:rsid w:val="00161FD2"/>
    <w:rsid w:val="00167161"/>
    <w:rsid w:val="0019372B"/>
    <w:rsid w:val="00197CB9"/>
    <w:rsid w:val="001D1DC9"/>
    <w:rsid w:val="001E2156"/>
    <w:rsid w:val="001F00D7"/>
    <w:rsid w:val="001F0B83"/>
    <w:rsid w:val="002232D4"/>
    <w:rsid w:val="00230459"/>
    <w:rsid w:val="002416CF"/>
    <w:rsid w:val="00247842"/>
    <w:rsid w:val="002554AB"/>
    <w:rsid w:val="002629DD"/>
    <w:rsid w:val="00262A33"/>
    <w:rsid w:val="00264A6E"/>
    <w:rsid w:val="00266970"/>
    <w:rsid w:val="002746A9"/>
    <w:rsid w:val="00285085"/>
    <w:rsid w:val="00290F66"/>
    <w:rsid w:val="0029432F"/>
    <w:rsid w:val="002A1AEC"/>
    <w:rsid w:val="002A1FBA"/>
    <w:rsid w:val="002A5F16"/>
    <w:rsid w:val="002A6FAF"/>
    <w:rsid w:val="002B0E82"/>
    <w:rsid w:val="002C4B74"/>
    <w:rsid w:val="002C7C83"/>
    <w:rsid w:val="002D34F4"/>
    <w:rsid w:val="002D3A54"/>
    <w:rsid w:val="002D518A"/>
    <w:rsid w:val="002E0B52"/>
    <w:rsid w:val="002E34F0"/>
    <w:rsid w:val="002E6413"/>
    <w:rsid w:val="002E7870"/>
    <w:rsid w:val="002F0DD6"/>
    <w:rsid w:val="002F3C1F"/>
    <w:rsid w:val="003025BA"/>
    <w:rsid w:val="0030326B"/>
    <w:rsid w:val="00303828"/>
    <w:rsid w:val="00321CAC"/>
    <w:rsid w:val="00325002"/>
    <w:rsid w:val="003259BD"/>
    <w:rsid w:val="003327F2"/>
    <w:rsid w:val="00333AF9"/>
    <w:rsid w:val="0033438F"/>
    <w:rsid w:val="00343177"/>
    <w:rsid w:val="00343F73"/>
    <w:rsid w:val="00345C72"/>
    <w:rsid w:val="00345DEA"/>
    <w:rsid w:val="00346801"/>
    <w:rsid w:val="00346FB8"/>
    <w:rsid w:val="0034739D"/>
    <w:rsid w:val="00350BD8"/>
    <w:rsid w:val="00365E80"/>
    <w:rsid w:val="00381A77"/>
    <w:rsid w:val="00384C92"/>
    <w:rsid w:val="0038618F"/>
    <w:rsid w:val="003A07A4"/>
    <w:rsid w:val="003A4878"/>
    <w:rsid w:val="003B1785"/>
    <w:rsid w:val="003C4B9C"/>
    <w:rsid w:val="003C68DF"/>
    <w:rsid w:val="003D21B2"/>
    <w:rsid w:val="003E0B9F"/>
    <w:rsid w:val="003E2527"/>
    <w:rsid w:val="004017D6"/>
    <w:rsid w:val="0040190B"/>
    <w:rsid w:val="00411AB3"/>
    <w:rsid w:val="00411C17"/>
    <w:rsid w:val="00420DD8"/>
    <w:rsid w:val="00423A88"/>
    <w:rsid w:val="00425B35"/>
    <w:rsid w:val="0042756D"/>
    <w:rsid w:val="00427D0A"/>
    <w:rsid w:val="00437213"/>
    <w:rsid w:val="00443B3B"/>
    <w:rsid w:val="0044711D"/>
    <w:rsid w:val="00462EBD"/>
    <w:rsid w:val="0047182E"/>
    <w:rsid w:val="0048656E"/>
    <w:rsid w:val="00490932"/>
    <w:rsid w:val="00490B57"/>
    <w:rsid w:val="00492077"/>
    <w:rsid w:val="00492402"/>
    <w:rsid w:val="004A5602"/>
    <w:rsid w:val="004B29A0"/>
    <w:rsid w:val="004C31F0"/>
    <w:rsid w:val="004D65D4"/>
    <w:rsid w:val="004E09FC"/>
    <w:rsid w:val="004E0CE0"/>
    <w:rsid w:val="004E5531"/>
    <w:rsid w:val="004E5E3E"/>
    <w:rsid w:val="005001D8"/>
    <w:rsid w:val="00512CBB"/>
    <w:rsid w:val="00523D61"/>
    <w:rsid w:val="00535A35"/>
    <w:rsid w:val="00543B0C"/>
    <w:rsid w:val="00552FD8"/>
    <w:rsid w:val="00555F96"/>
    <w:rsid w:val="0055725A"/>
    <w:rsid w:val="00557310"/>
    <w:rsid w:val="00561A07"/>
    <w:rsid w:val="00562895"/>
    <w:rsid w:val="00574A51"/>
    <w:rsid w:val="00582A20"/>
    <w:rsid w:val="00590283"/>
    <w:rsid w:val="00594A14"/>
    <w:rsid w:val="005A3570"/>
    <w:rsid w:val="005A7750"/>
    <w:rsid w:val="005B55AC"/>
    <w:rsid w:val="005C18C8"/>
    <w:rsid w:val="005C30DA"/>
    <w:rsid w:val="005C3DD9"/>
    <w:rsid w:val="005C7693"/>
    <w:rsid w:val="005C77AF"/>
    <w:rsid w:val="005D689D"/>
    <w:rsid w:val="005E12E8"/>
    <w:rsid w:val="005E483B"/>
    <w:rsid w:val="005E4988"/>
    <w:rsid w:val="005E77BD"/>
    <w:rsid w:val="005F5FDD"/>
    <w:rsid w:val="00601022"/>
    <w:rsid w:val="0060162F"/>
    <w:rsid w:val="00602CF4"/>
    <w:rsid w:val="0060487D"/>
    <w:rsid w:val="00615D07"/>
    <w:rsid w:val="00623DA8"/>
    <w:rsid w:val="00626D3F"/>
    <w:rsid w:val="00630151"/>
    <w:rsid w:val="0064251F"/>
    <w:rsid w:val="00643F74"/>
    <w:rsid w:val="00662692"/>
    <w:rsid w:val="006664E4"/>
    <w:rsid w:val="00666E2F"/>
    <w:rsid w:val="00675096"/>
    <w:rsid w:val="006849F1"/>
    <w:rsid w:val="00687D2D"/>
    <w:rsid w:val="00691A5B"/>
    <w:rsid w:val="006926FF"/>
    <w:rsid w:val="006A28D1"/>
    <w:rsid w:val="006C0E57"/>
    <w:rsid w:val="006C30ED"/>
    <w:rsid w:val="006D2DE3"/>
    <w:rsid w:val="006D333D"/>
    <w:rsid w:val="006D6279"/>
    <w:rsid w:val="006E05F6"/>
    <w:rsid w:val="006E6126"/>
    <w:rsid w:val="006E7A70"/>
    <w:rsid w:val="006E7AAC"/>
    <w:rsid w:val="006F0A97"/>
    <w:rsid w:val="006F1007"/>
    <w:rsid w:val="006F1D7F"/>
    <w:rsid w:val="006F37E1"/>
    <w:rsid w:val="006F5BD9"/>
    <w:rsid w:val="00710747"/>
    <w:rsid w:val="00711E45"/>
    <w:rsid w:val="00712591"/>
    <w:rsid w:val="00714959"/>
    <w:rsid w:val="00720085"/>
    <w:rsid w:val="0072447B"/>
    <w:rsid w:val="007308A0"/>
    <w:rsid w:val="00733184"/>
    <w:rsid w:val="00735F23"/>
    <w:rsid w:val="00742B38"/>
    <w:rsid w:val="007439AE"/>
    <w:rsid w:val="00744ABD"/>
    <w:rsid w:val="00752609"/>
    <w:rsid w:val="0075271A"/>
    <w:rsid w:val="007625D0"/>
    <w:rsid w:val="0078326D"/>
    <w:rsid w:val="007840EB"/>
    <w:rsid w:val="007953A3"/>
    <w:rsid w:val="007953FA"/>
    <w:rsid w:val="007A3868"/>
    <w:rsid w:val="007B0927"/>
    <w:rsid w:val="007B31D2"/>
    <w:rsid w:val="007C1714"/>
    <w:rsid w:val="007C25B6"/>
    <w:rsid w:val="007C69D0"/>
    <w:rsid w:val="007C7E56"/>
    <w:rsid w:val="007D2501"/>
    <w:rsid w:val="007D3FAB"/>
    <w:rsid w:val="007E1B6D"/>
    <w:rsid w:val="007E1F79"/>
    <w:rsid w:val="007E27BF"/>
    <w:rsid w:val="007F2F74"/>
    <w:rsid w:val="007F7C6A"/>
    <w:rsid w:val="00805604"/>
    <w:rsid w:val="00814B4D"/>
    <w:rsid w:val="008155C5"/>
    <w:rsid w:val="00816516"/>
    <w:rsid w:val="00816A64"/>
    <w:rsid w:val="0083010B"/>
    <w:rsid w:val="0083496F"/>
    <w:rsid w:val="00836A98"/>
    <w:rsid w:val="00836FF3"/>
    <w:rsid w:val="00837654"/>
    <w:rsid w:val="0083775E"/>
    <w:rsid w:val="00837818"/>
    <w:rsid w:val="00861791"/>
    <w:rsid w:val="00866CA2"/>
    <w:rsid w:val="0086739C"/>
    <w:rsid w:val="0087004C"/>
    <w:rsid w:val="008700B2"/>
    <w:rsid w:val="00870A31"/>
    <w:rsid w:val="008744F5"/>
    <w:rsid w:val="00875ABA"/>
    <w:rsid w:val="00875E7B"/>
    <w:rsid w:val="008849F0"/>
    <w:rsid w:val="00884D19"/>
    <w:rsid w:val="0088780F"/>
    <w:rsid w:val="00893784"/>
    <w:rsid w:val="00896666"/>
    <w:rsid w:val="008A0CEF"/>
    <w:rsid w:val="008B0233"/>
    <w:rsid w:val="008B0B41"/>
    <w:rsid w:val="008B31A7"/>
    <w:rsid w:val="008D0B3B"/>
    <w:rsid w:val="008D33D3"/>
    <w:rsid w:val="008D5158"/>
    <w:rsid w:val="008D5F39"/>
    <w:rsid w:val="008D7F29"/>
    <w:rsid w:val="008E1419"/>
    <w:rsid w:val="008F3D10"/>
    <w:rsid w:val="008F4F88"/>
    <w:rsid w:val="009166DF"/>
    <w:rsid w:val="009312E6"/>
    <w:rsid w:val="0093260C"/>
    <w:rsid w:val="00937503"/>
    <w:rsid w:val="00942B9F"/>
    <w:rsid w:val="00943319"/>
    <w:rsid w:val="0094346F"/>
    <w:rsid w:val="00944BC7"/>
    <w:rsid w:val="00947447"/>
    <w:rsid w:val="009613A1"/>
    <w:rsid w:val="0097494E"/>
    <w:rsid w:val="00976A8C"/>
    <w:rsid w:val="00977FF3"/>
    <w:rsid w:val="0098091D"/>
    <w:rsid w:val="00980D3C"/>
    <w:rsid w:val="00984CC9"/>
    <w:rsid w:val="009941A6"/>
    <w:rsid w:val="0099510C"/>
    <w:rsid w:val="009A27AF"/>
    <w:rsid w:val="009A4A48"/>
    <w:rsid w:val="009A6DC0"/>
    <w:rsid w:val="009B74C7"/>
    <w:rsid w:val="009C06EE"/>
    <w:rsid w:val="009C4C40"/>
    <w:rsid w:val="009C5078"/>
    <w:rsid w:val="009F0E95"/>
    <w:rsid w:val="009F620C"/>
    <w:rsid w:val="00A00250"/>
    <w:rsid w:val="00A009BC"/>
    <w:rsid w:val="00A03C8F"/>
    <w:rsid w:val="00A208D0"/>
    <w:rsid w:val="00A2153A"/>
    <w:rsid w:val="00A3620F"/>
    <w:rsid w:val="00A36D87"/>
    <w:rsid w:val="00A42BA3"/>
    <w:rsid w:val="00A5026C"/>
    <w:rsid w:val="00A61ADA"/>
    <w:rsid w:val="00A67B9F"/>
    <w:rsid w:val="00A80437"/>
    <w:rsid w:val="00AA0034"/>
    <w:rsid w:val="00AA4E14"/>
    <w:rsid w:val="00AC1AE7"/>
    <w:rsid w:val="00AC7E4E"/>
    <w:rsid w:val="00B03E70"/>
    <w:rsid w:val="00B0667D"/>
    <w:rsid w:val="00B075F8"/>
    <w:rsid w:val="00B10CBD"/>
    <w:rsid w:val="00B15249"/>
    <w:rsid w:val="00B22126"/>
    <w:rsid w:val="00B23B20"/>
    <w:rsid w:val="00B24932"/>
    <w:rsid w:val="00B30024"/>
    <w:rsid w:val="00B35E10"/>
    <w:rsid w:val="00B67AB7"/>
    <w:rsid w:val="00B76EBE"/>
    <w:rsid w:val="00B807B2"/>
    <w:rsid w:val="00B81261"/>
    <w:rsid w:val="00B831FD"/>
    <w:rsid w:val="00B93E93"/>
    <w:rsid w:val="00BA0002"/>
    <w:rsid w:val="00BA7887"/>
    <w:rsid w:val="00BB0695"/>
    <w:rsid w:val="00BB0AA9"/>
    <w:rsid w:val="00BB389C"/>
    <w:rsid w:val="00BB5E22"/>
    <w:rsid w:val="00BC1538"/>
    <w:rsid w:val="00BC1927"/>
    <w:rsid w:val="00BC3D6E"/>
    <w:rsid w:val="00BC43BB"/>
    <w:rsid w:val="00BD0190"/>
    <w:rsid w:val="00BD36BD"/>
    <w:rsid w:val="00BD49FC"/>
    <w:rsid w:val="00BE027C"/>
    <w:rsid w:val="00BE229C"/>
    <w:rsid w:val="00BE2BE6"/>
    <w:rsid w:val="00BE359F"/>
    <w:rsid w:val="00BE6FC4"/>
    <w:rsid w:val="00BF2390"/>
    <w:rsid w:val="00BF2E8C"/>
    <w:rsid w:val="00BF513D"/>
    <w:rsid w:val="00BF52B9"/>
    <w:rsid w:val="00C2211B"/>
    <w:rsid w:val="00C24E2A"/>
    <w:rsid w:val="00C32FB4"/>
    <w:rsid w:val="00C34601"/>
    <w:rsid w:val="00C415A9"/>
    <w:rsid w:val="00C45CBF"/>
    <w:rsid w:val="00C47234"/>
    <w:rsid w:val="00C5578E"/>
    <w:rsid w:val="00C56F38"/>
    <w:rsid w:val="00C57229"/>
    <w:rsid w:val="00C57A04"/>
    <w:rsid w:val="00C74942"/>
    <w:rsid w:val="00C808EB"/>
    <w:rsid w:val="00C8512E"/>
    <w:rsid w:val="00C87E32"/>
    <w:rsid w:val="00C9657E"/>
    <w:rsid w:val="00CA074A"/>
    <w:rsid w:val="00CA1AB8"/>
    <w:rsid w:val="00CA3606"/>
    <w:rsid w:val="00CA5E59"/>
    <w:rsid w:val="00CB4EE6"/>
    <w:rsid w:val="00CB6539"/>
    <w:rsid w:val="00CC25B9"/>
    <w:rsid w:val="00CD5867"/>
    <w:rsid w:val="00CD6536"/>
    <w:rsid w:val="00CD674A"/>
    <w:rsid w:val="00CD73E5"/>
    <w:rsid w:val="00CE2D16"/>
    <w:rsid w:val="00CE2E34"/>
    <w:rsid w:val="00CE3408"/>
    <w:rsid w:val="00CE6C2F"/>
    <w:rsid w:val="00CE6E51"/>
    <w:rsid w:val="00CF3BE6"/>
    <w:rsid w:val="00D0326E"/>
    <w:rsid w:val="00D039E3"/>
    <w:rsid w:val="00D04025"/>
    <w:rsid w:val="00D11BF3"/>
    <w:rsid w:val="00D15C83"/>
    <w:rsid w:val="00D22E42"/>
    <w:rsid w:val="00D32675"/>
    <w:rsid w:val="00D337FF"/>
    <w:rsid w:val="00D36F93"/>
    <w:rsid w:val="00D43106"/>
    <w:rsid w:val="00D43B65"/>
    <w:rsid w:val="00D4715E"/>
    <w:rsid w:val="00D50483"/>
    <w:rsid w:val="00D50FA2"/>
    <w:rsid w:val="00D51CA5"/>
    <w:rsid w:val="00D605D6"/>
    <w:rsid w:val="00D91B19"/>
    <w:rsid w:val="00D93134"/>
    <w:rsid w:val="00D95972"/>
    <w:rsid w:val="00DA19EF"/>
    <w:rsid w:val="00DA2E46"/>
    <w:rsid w:val="00DA3EA5"/>
    <w:rsid w:val="00DA4062"/>
    <w:rsid w:val="00DB07DE"/>
    <w:rsid w:val="00DB6470"/>
    <w:rsid w:val="00DB648D"/>
    <w:rsid w:val="00DD2AE9"/>
    <w:rsid w:val="00DE21E8"/>
    <w:rsid w:val="00DE279C"/>
    <w:rsid w:val="00E131D1"/>
    <w:rsid w:val="00E22CBF"/>
    <w:rsid w:val="00E24A49"/>
    <w:rsid w:val="00E3190C"/>
    <w:rsid w:val="00E33B4C"/>
    <w:rsid w:val="00E346C5"/>
    <w:rsid w:val="00E40218"/>
    <w:rsid w:val="00E44C93"/>
    <w:rsid w:val="00E6060C"/>
    <w:rsid w:val="00E637A9"/>
    <w:rsid w:val="00E67DF9"/>
    <w:rsid w:val="00E71A4E"/>
    <w:rsid w:val="00E92BA7"/>
    <w:rsid w:val="00E957E7"/>
    <w:rsid w:val="00EB4AEC"/>
    <w:rsid w:val="00ED4D5F"/>
    <w:rsid w:val="00ED6D28"/>
    <w:rsid w:val="00ED72DC"/>
    <w:rsid w:val="00EE1389"/>
    <w:rsid w:val="00EE3D1C"/>
    <w:rsid w:val="00EE3FF1"/>
    <w:rsid w:val="00EE6A89"/>
    <w:rsid w:val="00EF2CF1"/>
    <w:rsid w:val="00F02A03"/>
    <w:rsid w:val="00F16856"/>
    <w:rsid w:val="00F23C03"/>
    <w:rsid w:val="00F43B46"/>
    <w:rsid w:val="00F46C50"/>
    <w:rsid w:val="00F50CDF"/>
    <w:rsid w:val="00F50DD6"/>
    <w:rsid w:val="00F517BA"/>
    <w:rsid w:val="00F538E2"/>
    <w:rsid w:val="00F76A89"/>
    <w:rsid w:val="00F8151A"/>
    <w:rsid w:val="00F822CF"/>
    <w:rsid w:val="00F93C6F"/>
    <w:rsid w:val="00F9418D"/>
    <w:rsid w:val="00F94BDC"/>
    <w:rsid w:val="00FA29A1"/>
    <w:rsid w:val="00FA7B4A"/>
    <w:rsid w:val="00FB50E5"/>
    <w:rsid w:val="00FB6912"/>
    <w:rsid w:val="00FC12AF"/>
    <w:rsid w:val="00FC1536"/>
    <w:rsid w:val="00FC2785"/>
    <w:rsid w:val="00FC4922"/>
    <w:rsid w:val="00FD19D9"/>
    <w:rsid w:val="00FD51C3"/>
    <w:rsid w:val="00FE4777"/>
    <w:rsid w:val="00FE4FF0"/>
    <w:rsid w:val="00FE551A"/>
    <w:rsid w:val="00FE60DA"/>
    <w:rsid w:val="00FE6DDE"/>
    <w:rsid w:val="00FF415F"/>
    <w:rsid w:val="00FF74A7"/>
    <w:rsid w:val="00FF75EA"/>
    <w:rsid w:val="01011432"/>
    <w:rsid w:val="01172A03"/>
    <w:rsid w:val="01176EA7"/>
    <w:rsid w:val="011A5E25"/>
    <w:rsid w:val="012A118F"/>
    <w:rsid w:val="014F42C4"/>
    <w:rsid w:val="014F6641"/>
    <w:rsid w:val="01521C8D"/>
    <w:rsid w:val="0168325F"/>
    <w:rsid w:val="016D6AC7"/>
    <w:rsid w:val="01A544B3"/>
    <w:rsid w:val="01AE3368"/>
    <w:rsid w:val="01C506B1"/>
    <w:rsid w:val="01CC7C92"/>
    <w:rsid w:val="01D17056"/>
    <w:rsid w:val="021D673F"/>
    <w:rsid w:val="023B0973"/>
    <w:rsid w:val="025263E9"/>
    <w:rsid w:val="02A468E7"/>
    <w:rsid w:val="02AA4F6F"/>
    <w:rsid w:val="02AE4AFE"/>
    <w:rsid w:val="02C72207"/>
    <w:rsid w:val="0317318F"/>
    <w:rsid w:val="031B2C7F"/>
    <w:rsid w:val="031D69B6"/>
    <w:rsid w:val="03265180"/>
    <w:rsid w:val="034C23ED"/>
    <w:rsid w:val="034F46D6"/>
    <w:rsid w:val="035937A7"/>
    <w:rsid w:val="03597303"/>
    <w:rsid w:val="035E2B6B"/>
    <w:rsid w:val="0387014A"/>
    <w:rsid w:val="03EF1A15"/>
    <w:rsid w:val="044004C3"/>
    <w:rsid w:val="04561A95"/>
    <w:rsid w:val="047C599F"/>
    <w:rsid w:val="04842AA6"/>
    <w:rsid w:val="049802FF"/>
    <w:rsid w:val="04AB5878"/>
    <w:rsid w:val="04B0389B"/>
    <w:rsid w:val="04DA4474"/>
    <w:rsid w:val="04EC6C63"/>
    <w:rsid w:val="04FF037E"/>
    <w:rsid w:val="05047743"/>
    <w:rsid w:val="05214D81"/>
    <w:rsid w:val="053B7608"/>
    <w:rsid w:val="05465FAD"/>
    <w:rsid w:val="054850FF"/>
    <w:rsid w:val="056F2E0E"/>
    <w:rsid w:val="05832D5D"/>
    <w:rsid w:val="05B20F4D"/>
    <w:rsid w:val="05B44CC5"/>
    <w:rsid w:val="05B66C8F"/>
    <w:rsid w:val="05DB04A3"/>
    <w:rsid w:val="05E530D0"/>
    <w:rsid w:val="05EF624C"/>
    <w:rsid w:val="05F25272"/>
    <w:rsid w:val="0644429B"/>
    <w:rsid w:val="0659586C"/>
    <w:rsid w:val="067D77AC"/>
    <w:rsid w:val="068C79F0"/>
    <w:rsid w:val="069C40D7"/>
    <w:rsid w:val="06A0349B"/>
    <w:rsid w:val="06A411DD"/>
    <w:rsid w:val="06C07699"/>
    <w:rsid w:val="06C62167"/>
    <w:rsid w:val="06D80BD5"/>
    <w:rsid w:val="06F537E7"/>
    <w:rsid w:val="070752C8"/>
    <w:rsid w:val="070E75E1"/>
    <w:rsid w:val="07222102"/>
    <w:rsid w:val="073100B5"/>
    <w:rsid w:val="07542E7B"/>
    <w:rsid w:val="07577FFE"/>
    <w:rsid w:val="076B1CFB"/>
    <w:rsid w:val="07941252"/>
    <w:rsid w:val="079C3C62"/>
    <w:rsid w:val="07B0770E"/>
    <w:rsid w:val="07BE62CF"/>
    <w:rsid w:val="07C531B9"/>
    <w:rsid w:val="07CA07CF"/>
    <w:rsid w:val="07F27D26"/>
    <w:rsid w:val="07FA3E48"/>
    <w:rsid w:val="08002443"/>
    <w:rsid w:val="08027530"/>
    <w:rsid w:val="086230FE"/>
    <w:rsid w:val="08766BA9"/>
    <w:rsid w:val="088272FC"/>
    <w:rsid w:val="088C3CD7"/>
    <w:rsid w:val="08BA08C0"/>
    <w:rsid w:val="08E81CF0"/>
    <w:rsid w:val="092403B3"/>
    <w:rsid w:val="094C3466"/>
    <w:rsid w:val="094F0D3C"/>
    <w:rsid w:val="09694018"/>
    <w:rsid w:val="097924AD"/>
    <w:rsid w:val="097F0C21"/>
    <w:rsid w:val="09931095"/>
    <w:rsid w:val="09B07E99"/>
    <w:rsid w:val="09C86F91"/>
    <w:rsid w:val="09FC4E8C"/>
    <w:rsid w:val="0A3C34DB"/>
    <w:rsid w:val="0A430BD6"/>
    <w:rsid w:val="0A540824"/>
    <w:rsid w:val="0A73514E"/>
    <w:rsid w:val="0A7F7F97"/>
    <w:rsid w:val="0A9E5F43"/>
    <w:rsid w:val="0AA479FE"/>
    <w:rsid w:val="0ACC485F"/>
    <w:rsid w:val="0ADA3F4C"/>
    <w:rsid w:val="0AF049F1"/>
    <w:rsid w:val="0B0E131B"/>
    <w:rsid w:val="0B116715"/>
    <w:rsid w:val="0B161163"/>
    <w:rsid w:val="0B291CB1"/>
    <w:rsid w:val="0B440899"/>
    <w:rsid w:val="0B48482D"/>
    <w:rsid w:val="0B5A00BC"/>
    <w:rsid w:val="0B6727D9"/>
    <w:rsid w:val="0B680A2B"/>
    <w:rsid w:val="0B7844F0"/>
    <w:rsid w:val="0B7F5D75"/>
    <w:rsid w:val="0B9C06D5"/>
    <w:rsid w:val="0B9C6927"/>
    <w:rsid w:val="0B9D61FB"/>
    <w:rsid w:val="0BB27EF8"/>
    <w:rsid w:val="0BBF2208"/>
    <w:rsid w:val="0BBF61BC"/>
    <w:rsid w:val="0BC47C2C"/>
    <w:rsid w:val="0BCB5C52"/>
    <w:rsid w:val="0BE300B2"/>
    <w:rsid w:val="0C01678A"/>
    <w:rsid w:val="0C060E10"/>
    <w:rsid w:val="0C085D6A"/>
    <w:rsid w:val="0C0A7D34"/>
    <w:rsid w:val="0C124F52"/>
    <w:rsid w:val="0C193AD3"/>
    <w:rsid w:val="0C2661F0"/>
    <w:rsid w:val="0C696B65"/>
    <w:rsid w:val="0C7B29E0"/>
    <w:rsid w:val="0C7D22B4"/>
    <w:rsid w:val="0CD935FB"/>
    <w:rsid w:val="0CE00A95"/>
    <w:rsid w:val="0D156C3F"/>
    <w:rsid w:val="0D3870E2"/>
    <w:rsid w:val="0D3951D6"/>
    <w:rsid w:val="0D416F52"/>
    <w:rsid w:val="0D8C18C1"/>
    <w:rsid w:val="0E0013EF"/>
    <w:rsid w:val="0E2B3F92"/>
    <w:rsid w:val="0E2B5D40"/>
    <w:rsid w:val="0E772D33"/>
    <w:rsid w:val="0E7B7815"/>
    <w:rsid w:val="0E88562B"/>
    <w:rsid w:val="0E8B67DF"/>
    <w:rsid w:val="0E925DBF"/>
    <w:rsid w:val="0EC37B54"/>
    <w:rsid w:val="0EDB7766"/>
    <w:rsid w:val="0EEF3211"/>
    <w:rsid w:val="0EF3685E"/>
    <w:rsid w:val="0EFB1BB6"/>
    <w:rsid w:val="0EFE3455"/>
    <w:rsid w:val="0F29227F"/>
    <w:rsid w:val="0F3375A2"/>
    <w:rsid w:val="0F3F7CF5"/>
    <w:rsid w:val="0F4F5A5E"/>
    <w:rsid w:val="0F6634D4"/>
    <w:rsid w:val="0F7200CA"/>
    <w:rsid w:val="0F7F4595"/>
    <w:rsid w:val="0F8C280E"/>
    <w:rsid w:val="0FB35FED"/>
    <w:rsid w:val="0FD97D81"/>
    <w:rsid w:val="0FDC6611"/>
    <w:rsid w:val="10637A13"/>
    <w:rsid w:val="108856CC"/>
    <w:rsid w:val="108D2CE2"/>
    <w:rsid w:val="10944070"/>
    <w:rsid w:val="10A36062"/>
    <w:rsid w:val="10A5627E"/>
    <w:rsid w:val="10A83678"/>
    <w:rsid w:val="10BC7123"/>
    <w:rsid w:val="10BD35C7"/>
    <w:rsid w:val="10D461A4"/>
    <w:rsid w:val="10D95F27"/>
    <w:rsid w:val="10EF574B"/>
    <w:rsid w:val="10F87681"/>
    <w:rsid w:val="1104261B"/>
    <w:rsid w:val="11254CC9"/>
    <w:rsid w:val="11801B30"/>
    <w:rsid w:val="11BD4513"/>
    <w:rsid w:val="11D5049D"/>
    <w:rsid w:val="11E626AA"/>
    <w:rsid w:val="11F50B3F"/>
    <w:rsid w:val="11FC3C7B"/>
    <w:rsid w:val="12096398"/>
    <w:rsid w:val="1218364A"/>
    <w:rsid w:val="12241424"/>
    <w:rsid w:val="122F22A3"/>
    <w:rsid w:val="12505D75"/>
    <w:rsid w:val="125725B2"/>
    <w:rsid w:val="12745F08"/>
    <w:rsid w:val="12863E8D"/>
    <w:rsid w:val="12A8795F"/>
    <w:rsid w:val="12AA36D7"/>
    <w:rsid w:val="12B83BBB"/>
    <w:rsid w:val="12BB58E4"/>
    <w:rsid w:val="12C0739F"/>
    <w:rsid w:val="12CC676F"/>
    <w:rsid w:val="12D6271E"/>
    <w:rsid w:val="12DD62D4"/>
    <w:rsid w:val="12E9012D"/>
    <w:rsid w:val="12F209B1"/>
    <w:rsid w:val="12F9465F"/>
    <w:rsid w:val="12FC7CAB"/>
    <w:rsid w:val="13117BFA"/>
    <w:rsid w:val="13685340"/>
    <w:rsid w:val="136D604A"/>
    <w:rsid w:val="136F6DBA"/>
    <w:rsid w:val="137B1518"/>
    <w:rsid w:val="138008DC"/>
    <w:rsid w:val="138E2FF9"/>
    <w:rsid w:val="13931986"/>
    <w:rsid w:val="13A73607"/>
    <w:rsid w:val="13F54E26"/>
    <w:rsid w:val="13FB7F63"/>
    <w:rsid w:val="140432BB"/>
    <w:rsid w:val="140908D1"/>
    <w:rsid w:val="140E413A"/>
    <w:rsid w:val="1422618B"/>
    <w:rsid w:val="142E20E6"/>
    <w:rsid w:val="14733F9D"/>
    <w:rsid w:val="14742577"/>
    <w:rsid w:val="147C10A3"/>
    <w:rsid w:val="14C447F8"/>
    <w:rsid w:val="14F275B8"/>
    <w:rsid w:val="15115C90"/>
    <w:rsid w:val="15175270"/>
    <w:rsid w:val="151B4D60"/>
    <w:rsid w:val="152C2AC9"/>
    <w:rsid w:val="15AF7257"/>
    <w:rsid w:val="15E52C78"/>
    <w:rsid w:val="160752E5"/>
    <w:rsid w:val="16104199"/>
    <w:rsid w:val="16140F28"/>
    <w:rsid w:val="163D4862"/>
    <w:rsid w:val="16430945"/>
    <w:rsid w:val="164E4CC1"/>
    <w:rsid w:val="165247B2"/>
    <w:rsid w:val="1654042C"/>
    <w:rsid w:val="16556050"/>
    <w:rsid w:val="16726D77"/>
    <w:rsid w:val="16820AD6"/>
    <w:rsid w:val="169923E1"/>
    <w:rsid w:val="16994D22"/>
    <w:rsid w:val="169D3553"/>
    <w:rsid w:val="16AC04CA"/>
    <w:rsid w:val="16B84207"/>
    <w:rsid w:val="16BC7E7D"/>
    <w:rsid w:val="16BE59A3"/>
    <w:rsid w:val="16CB6312"/>
    <w:rsid w:val="16DC4224"/>
    <w:rsid w:val="16EB2510"/>
    <w:rsid w:val="16F55828"/>
    <w:rsid w:val="17081314"/>
    <w:rsid w:val="17163A31"/>
    <w:rsid w:val="17326391"/>
    <w:rsid w:val="173739A8"/>
    <w:rsid w:val="1743234C"/>
    <w:rsid w:val="175277E6"/>
    <w:rsid w:val="175C6F6A"/>
    <w:rsid w:val="176C0FBA"/>
    <w:rsid w:val="177B1AE6"/>
    <w:rsid w:val="17AF1790"/>
    <w:rsid w:val="17B153E5"/>
    <w:rsid w:val="17F83137"/>
    <w:rsid w:val="1804388A"/>
    <w:rsid w:val="18226406"/>
    <w:rsid w:val="183A374F"/>
    <w:rsid w:val="183D6D9C"/>
    <w:rsid w:val="183F0D66"/>
    <w:rsid w:val="186407CC"/>
    <w:rsid w:val="186C142F"/>
    <w:rsid w:val="18823AC5"/>
    <w:rsid w:val="18934C0E"/>
    <w:rsid w:val="189A5F9C"/>
    <w:rsid w:val="189B3AC2"/>
    <w:rsid w:val="18D70F9E"/>
    <w:rsid w:val="18F41B50"/>
    <w:rsid w:val="18FE2FBD"/>
    <w:rsid w:val="19006747"/>
    <w:rsid w:val="190B1333"/>
    <w:rsid w:val="191775ED"/>
    <w:rsid w:val="19334F15"/>
    <w:rsid w:val="194523AC"/>
    <w:rsid w:val="196934AD"/>
    <w:rsid w:val="197030A6"/>
    <w:rsid w:val="197E58BE"/>
    <w:rsid w:val="199D21E8"/>
    <w:rsid w:val="19A277FE"/>
    <w:rsid w:val="19C72DC1"/>
    <w:rsid w:val="19E45129"/>
    <w:rsid w:val="1A240213"/>
    <w:rsid w:val="1A271AB1"/>
    <w:rsid w:val="1A304579"/>
    <w:rsid w:val="1A5B175B"/>
    <w:rsid w:val="1A705206"/>
    <w:rsid w:val="1A7D3BE9"/>
    <w:rsid w:val="1A7D7923"/>
    <w:rsid w:val="1A8D2B13"/>
    <w:rsid w:val="1AC437A4"/>
    <w:rsid w:val="1AC92B69"/>
    <w:rsid w:val="1ADF238C"/>
    <w:rsid w:val="1AEE4A81"/>
    <w:rsid w:val="1AF92BB3"/>
    <w:rsid w:val="1B0A2B9D"/>
    <w:rsid w:val="1B0E451B"/>
    <w:rsid w:val="1B2B2D19"/>
    <w:rsid w:val="1B3C158C"/>
    <w:rsid w:val="1B4E2991"/>
    <w:rsid w:val="1B684130"/>
    <w:rsid w:val="1B697EA8"/>
    <w:rsid w:val="1B6A60FA"/>
    <w:rsid w:val="1B7F6F38"/>
    <w:rsid w:val="1B83540D"/>
    <w:rsid w:val="1BC7354C"/>
    <w:rsid w:val="1BCA303C"/>
    <w:rsid w:val="1C033E58"/>
    <w:rsid w:val="1C071B9A"/>
    <w:rsid w:val="1C0C0F5F"/>
    <w:rsid w:val="1C0F6CA1"/>
    <w:rsid w:val="1C3D380E"/>
    <w:rsid w:val="1C4C3A51"/>
    <w:rsid w:val="1C542906"/>
    <w:rsid w:val="1C6A6B78"/>
    <w:rsid w:val="1C766D20"/>
    <w:rsid w:val="1CB17D58"/>
    <w:rsid w:val="1CB52A2F"/>
    <w:rsid w:val="1CE379B0"/>
    <w:rsid w:val="1CEE68B6"/>
    <w:rsid w:val="1CF0262F"/>
    <w:rsid w:val="1CF37EB8"/>
    <w:rsid w:val="1D110EBE"/>
    <w:rsid w:val="1D2A4350"/>
    <w:rsid w:val="1D320E99"/>
    <w:rsid w:val="1D9531D6"/>
    <w:rsid w:val="1DAB47A7"/>
    <w:rsid w:val="1DBE44DB"/>
    <w:rsid w:val="1DDC5D1E"/>
    <w:rsid w:val="1DEA1774"/>
    <w:rsid w:val="1E0C793C"/>
    <w:rsid w:val="1E236A34"/>
    <w:rsid w:val="1E252D30"/>
    <w:rsid w:val="1E293FBC"/>
    <w:rsid w:val="1E2A6014"/>
    <w:rsid w:val="1E3D3153"/>
    <w:rsid w:val="1E42510C"/>
    <w:rsid w:val="1E5E7A6C"/>
    <w:rsid w:val="1E6037E4"/>
    <w:rsid w:val="1E9516DF"/>
    <w:rsid w:val="1EDD6BE3"/>
    <w:rsid w:val="1EE77A61"/>
    <w:rsid w:val="1EEE7042"/>
    <w:rsid w:val="1EF74148"/>
    <w:rsid w:val="1F0625DD"/>
    <w:rsid w:val="1F4C5B16"/>
    <w:rsid w:val="1F933745"/>
    <w:rsid w:val="1FA63478"/>
    <w:rsid w:val="1FBF278C"/>
    <w:rsid w:val="1FE741BD"/>
    <w:rsid w:val="1FEA5A5B"/>
    <w:rsid w:val="20126D60"/>
    <w:rsid w:val="205E01F7"/>
    <w:rsid w:val="20665E37"/>
    <w:rsid w:val="207215AC"/>
    <w:rsid w:val="208F6602"/>
    <w:rsid w:val="20967991"/>
    <w:rsid w:val="20A43E5C"/>
    <w:rsid w:val="20A51982"/>
    <w:rsid w:val="20D02EA3"/>
    <w:rsid w:val="20EF0E4F"/>
    <w:rsid w:val="20F85F56"/>
    <w:rsid w:val="211014F1"/>
    <w:rsid w:val="211663DC"/>
    <w:rsid w:val="21254871"/>
    <w:rsid w:val="212C5BFF"/>
    <w:rsid w:val="215A09BE"/>
    <w:rsid w:val="216B497A"/>
    <w:rsid w:val="2184195C"/>
    <w:rsid w:val="218C0AD3"/>
    <w:rsid w:val="21937A2C"/>
    <w:rsid w:val="21A8155E"/>
    <w:rsid w:val="21C85928"/>
    <w:rsid w:val="21C916A0"/>
    <w:rsid w:val="220426D8"/>
    <w:rsid w:val="22124DF5"/>
    <w:rsid w:val="224F1BA5"/>
    <w:rsid w:val="22642828"/>
    <w:rsid w:val="228D6B72"/>
    <w:rsid w:val="22A2261D"/>
    <w:rsid w:val="22AB6CF5"/>
    <w:rsid w:val="22BD2FB3"/>
    <w:rsid w:val="22CE1AC1"/>
    <w:rsid w:val="22FD3CF7"/>
    <w:rsid w:val="230E1A60"/>
    <w:rsid w:val="23377209"/>
    <w:rsid w:val="2342795C"/>
    <w:rsid w:val="235D44ED"/>
    <w:rsid w:val="23636185"/>
    <w:rsid w:val="239F090A"/>
    <w:rsid w:val="23B56380"/>
    <w:rsid w:val="23C72304"/>
    <w:rsid w:val="23F46EA8"/>
    <w:rsid w:val="241F37F9"/>
    <w:rsid w:val="24561911"/>
    <w:rsid w:val="245E07C6"/>
    <w:rsid w:val="24653902"/>
    <w:rsid w:val="246D27B7"/>
    <w:rsid w:val="248024EA"/>
    <w:rsid w:val="24885842"/>
    <w:rsid w:val="248949DC"/>
    <w:rsid w:val="24AF254A"/>
    <w:rsid w:val="24AF7273"/>
    <w:rsid w:val="24B108F5"/>
    <w:rsid w:val="24B30B11"/>
    <w:rsid w:val="24C32F15"/>
    <w:rsid w:val="24C525F3"/>
    <w:rsid w:val="24CA19B7"/>
    <w:rsid w:val="24E24F53"/>
    <w:rsid w:val="25096983"/>
    <w:rsid w:val="25270BB7"/>
    <w:rsid w:val="253F23A5"/>
    <w:rsid w:val="254259F1"/>
    <w:rsid w:val="256B7396"/>
    <w:rsid w:val="25853B30"/>
    <w:rsid w:val="25950217"/>
    <w:rsid w:val="25A20B86"/>
    <w:rsid w:val="25BD32CA"/>
    <w:rsid w:val="25C40AFC"/>
    <w:rsid w:val="25CE197B"/>
    <w:rsid w:val="25D0124F"/>
    <w:rsid w:val="25EE7927"/>
    <w:rsid w:val="2628108B"/>
    <w:rsid w:val="26667E05"/>
    <w:rsid w:val="26771661"/>
    <w:rsid w:val="26976211"/>
    <w:rsid w:val="26E50D2A"/>
    <w:rsid w:val="271B0BF0"/>
    <w:rsid w:val="271C2272"/>
    <w:rsid w:val="27230BFF"/>
    <w:rsid w:val="27254D96"/>
    <w:rsid w:val="272F1FA5"/>
    <w:rsid w:val="27392ACF"/>
    <w:rsid w:val="27433CA3"/>
    <w:rsid w:val="274C0C22"/>
    <w:rsid w:val="2751016E"/>
    <w:rsid w:val="2767173F"/>
    <w:rsid w:val="27673D60"/>
    <w:rsid w:val="277327DA"/>
    <w:rsid w:val="2787443F"/>
    <w:rsid w:val="27AE55C0"/>
    <w:rsid w:val="27B5694E"/>
    <w:rsid w:val="27C13D12"/>
    <w:rsid w:val="27C76682"/>
    <w:rsid w:val="27D8263D"/>
    <w:rsid w:val="27E72880"/>
    <w:rsid w:val="27EB6814"/>
    <w:rsid w:val="27FE7638"/>
    <w:rsid w:val="280B5E71"/>
    <w:rsid w:val="28177609"/>
    <w:rsid w:val="281C077C"/>
    <w:rsid w:val="281C2BC6"/>
    <w:rsid w:val="281C4C20"/>
    <w:rsid w:val="28235FAE"/>
    <w:rsid w:val="28327F9F"/>
    <w:rsid w:val="285C0DA0"/>
    <w:rsid w:val="285F4B0C"/>
    <w:rsid w:val="28757E8C"/>
    <w:rsid w:val="288B3B53"/>
    <w:rsid w:val="28956780"/>
    <w:rsid w:val="28AD1D1C"/>
    <w:rsid w:val="28AD3ACA"/>
    <w:rsid w:val="28B22E8E"/>
    <w:rsid w:val="28BA1D43"/>
    <w:rsid w:val="28BA67C3"/>
    <w:rsid w:val="28BD003F"/>
    <w:rsid w:val="28C037FD"/>
    <w:rsid w:val="28D41056"/>
    <w:rsid w:val="28DC5807"/>
    <w:rsid w:val="28DC7F0B"/>
    <w:rsid w:val="28F416F8"/>
    <w:rsid w:val="28F811E9"/>
    <w:rsid w:val="29001E4B"/>
    <w:rsid w:val="290F0C0E"/>
    <w:rsid w:val="291F68C4"/>
    <w:rsid w:val="29210894"/>
    <w:rsid w:val="292F6A67"/>
    <w:rsid w:val="2976210D"/>
    <w:rsid w:val="298F1421"/>
    <w:rsid w:val="29AE7AF9"/>
    <w:rsid w:val="29C91AA7"/>
    <w:rsid w:val="29D62BAC"/>
    <w:rsid w:val="29DD3F3B"/>
    <w:rsid w:val="29EC0622"/>
    <w:rsid w:val="2A225DF1"/>
    <w:rsid w:val="2A32072A"/>
    <w:rsid w:val="2A391AB9"/>
    <w:rsid w:val="2A4B359A"/>
    <w:rsid w:val="2A635B27"/>
    <w:rsid w:val="2A8329A5"/>
    <w:rsid w:val="2A950CB9"/>
    <w:rsid w:val="2A9D2605"/>
    <w:rsid w:val="2ADE440E"/>
    <w:rsid w:val="2AE80DE9"/>
    <w:rsid w:val="2AE8703B"/>
    <w:rsid w:val="2B147E30"/>
    <w:rsid w:val="2B1B4930"/>
    <w:rsid w:val="2B306E7A"/>
    <w:rsid w:val="2B3202B6"/>
    <w:rsid w:val="2B512E32"/>
    <w:rsid w:val="2B683CD8"/>
    <w:rsid w:val="2B76279E"/>
    <w:rsid w:val="2B786611"/>
    <w:rsid w:val="2B7938DE"/>
    <w:rsid w:val="2B797C93"/>
    <w:rsid w:val="2B7D59D5"/>
    <w:rsid w:val="2BB46F1D"/>
    <w:rsid w:val="2BD25682"/>
    <w:rsid w:val="2BD55811"/>
    <w:rsid w:val="2BE27F2E"/>
    <w:rsid w:val="2BE5357A"/>
    <w:rsid w:val="2C1125C1"/>
    <w:rsid w:val="2C153E60"/>
    <w:rsid w:val="2C210A56"/>
    <w:rsid w:val="2C3D33B6"/>
    <w:rsid w:val="2C414C55"/>
    <w:rsid w:val="2C475FE3"/>
    <w:rsid w:val="2C4907B9"/>
    <w:rsid w:val="2C81364F"/>
    <w:rsid w:val="2C9A4365"/>
    <w:rsid w:val="2CC633AC"/>
    <w:rsid w:val="2CD05FD9"/>
    <w:rsid w:val="2CDE6947"/>
    <w:rsid w:val="2CEF7A50"/>
    <w:rsid w:val="2CF75313"/>
    <w:rsid w:val="2D3227EF"/>
    <w:rsid w:val="2D32459D"/>
    <w:rsid w:val="2D3565B5"/>
    <w:rsid w:val="2D39592C"/>
    <w:rsid w:val="2D3E2F42"/>
    <w:rsid w:val="2D850CA0"/>
    <w:rsid w:val="2D8868B3"/>
    <w:rsid w:val="2D9B2143"/>
    <w:rsid w:val="2DA03BFD"/>
    <w:rsid w:val="2DA336ED"/>
    <w:rsid w:val="2DC01BA9"/>
    <w:rsid w:val="2DE81100"/>
    <w:rsid w:val="2DEA4E78"/>
    <w:rsid w:val="2E2A1718"/>
    <w:rsid w:val="2E310CF9"/>
    <w:rsid w:val="2E3F6F72"/>
    <w:rsid w:val="2E7330BF"/>
    <w:rsid w:val="2E756E38"/>
    <w:rsid w:val="2E933762"/>
    <w:rsid w:val="2EB536D8"/>
    <w:rsid w:val="2EC851B9"/>
    <w:rsid w:val="2ECD0A22"/>
    <w:rsid w:val="2ECD316E"/>
    <w:rsid w:val="2EDA313F"/>
    <w:rsid w:val="2F1C6FCF"/>
    <w:rsid w:val="2F5C7FF7"/>
    <w:rsid w:val="2F5E167A"/>
    <w:rsid w:val="2F650C5A"/>
    <w:rsid w:val="2F880DEC"/>
    <w:rsid w:val="2F917CA1"/>
    <w:rsid w:val="3034062C"/>
    <w:rsid w:val="30396AEC"/>
    <w:rsid w:val="304C544B"/>
    <w:rsid w:val="30536D05"/>
    <w:rsid w:val="305F1B4D"/>
    <w:rsid w:val="30705B08"/>
    <w:rsid w:val="30A63CC6"/>
    <w:rsid w:val="30C0743E"/>
    <w:rsid w:val="30E56588"/>
    <w:rsid w:val="30E91417"/>
    <w:rsid w:val="31271F3F"/>
    <w:rsid w:val="31293F09"/>
    <w:rsid w:val="31433A7F"/>
    <w:rsid w:val="3159659D"/>
    <w:rsid w:val="31684A32"/>
    <w:rsid w:val="31727D49"/>
    <w:rsid w:val="31771119"/>
    <w:rsid w:val="317E24A7"/>
    <w:rsid w:val="319A0E2B"/>
    <w:rsid w:val="319C292D"/>
    <w:rsid w:val="319E0EF8"/>
    <w:rsid w:val="31AA504A"/>
    <w:rsid w:val="31B41A25"/>
    <w:rsid w:val="320504D2"/>
    <w:rsid w:val="32144BB9"/>
    <w:rsid w:val="324803BF"/>
    <w:rsid w:val="32513718"/>
    <w:rsid w:val="326A47D9"/>
    <w:rsid w:val="32840F7B"/>
    <w:rsid w:val="32AA7CC6"/>
    <w:rsid w:val="32B1065A"/>
    <w:rsid w:val="32E4458C"/>
    <w:rsid w:val="33024A12"/>
    <w:rsid w:val="33150BE9"/>
    <w:rsid w:val="332D26D2"/>
    <w:rsid w:val="33443C83"/>
    <w:rsid w:val="335D1C8B"/>
    <w:rsid w:val="337136E8"/>
    <w:rsid w:val="339715FE"/>
    <w:rsid w:val="33997124"/>
    <w:rsid w:val="33B43F5E"/>
    <w:rsid w:val="33EA3E24"/>
    <w:rsid w:val="3402116D"/>
    <w:rsid w:val="34256C0A"/>
    <w:rsid w:val="343230D5"/>
    <w:rsid w:val="34B65664"/>
    <w:rsid w:val="34E16FD5"/>
    <w:rsid w:val="34EB1C02"/>
    <w:rsid w:val="34FD1935"/>
    <w:rsid w:val="35571045"/>
    <w:rsid w:val="355754E9"/>
    <w:rsid w:val="355D23D3"/>
    <w:rsid w:val="3566572C"/>
    <w:rsid w:val="3571636E"/>
    <w:rsid w:val="358362DE"/>
    <w:rsid w:val="358F4AB7"/>
    <w:rsid w:val="35973F37"/>
    <w:rsid w:val="35C506A4"/>
    <w:rsid w:val="35C8047F"/>
    <w:rsid w:val="35CB558F"/>
    <w:rsid w:val="36021D61"/>
    <w:rsid w:val="36213401"/>
    <w:rsid w:val="36392E40"/>
    <w:rsid w:val="365D5425"/>
    <w:rsid w:val="36794FEB"/>
    <w:rsid w:val="3687595A"/>
    <w:rsid w:val="368816D2"/>
    <w:rsid w:val="368C11C2"/>
    <w:rsid w:val="36AC716F"/>
    <w:rsid w:val="36D6243D"/>
    <w:rsid w:val="36D87F64"/>
    <w:rsid w:val="36F32FEF"/>
    <w:rsid w:val="36F40B16"/>
    <w:rsid w:val="371A057C"/>
    <w:rsid w:val="373553B6"/>
    <w:rsid w:val="373B6744"/>
    <w:rsid w:val="37490E61"/>
    <w:rsid w:val="37692862"/>
    <w:rsid w:val="37695060"/>
    <w:rsid w:val="377D0B0B"/>
    <w:rsid w:val="37A662B4"/>
    <w:rsid w:val="37AA2584"/>
    <w:rsid w:val="37B56400"/>
    <w:rsid w:val="37BE35FD"/>
    <w:rsid w:val="37BF7375"/>
    <w:rsid w:val="37D72911"/>
    <w:rsid w:val="37DF17C6"/>
    <w:rsid w:val="381A45AC"/>
    <w:rsid w:val="383B4C4E"/>
    <w:rsid w:val="386555A5"/>
    <w:rsid w:val="38795776"/>
    <w:rsid w:val="38AA1DD4"/>
    <w:rsid w:val="38C5276A"/>
    <w:rsid w:val="38CE5AC2"/>
    <w:rsid w:val="38D34E86"/>
    <w:rsid w:val="38D97FC3"/>
    <w:rsid w:val="38DE382B"/>
    <w:rsid w:val="38F31B98"/>
    <w:rsid w:val="38FC0C25"/>
    <w:rsid w:val="391A2AB5"/>
    <w:rsid w:val="391C5EDB"/>
    <w:rsid w:val="392C27E9"/>
    <w:rsid w:val="39610CA2"/>
    <w:rsid w:val="39BC1DBE"/>
    <w:rsid w:val="39C742BF"/>
    <w:rsid w:val="3A1C0AAF"/>
    <w:rsid w:val="3A500759"/>
    <w:rsid w:val="3A557B1D"/>
    <w:rsid w:val="3A8408A1"/>
    <w:rsid w:val="3A905C8A"/>
    <w:rsid w:val="3A916DA7"/>
    <w:rsid w:val="3A961B24"/>
    <w:rsid w:val="3AA36ADA"/>
    <w:rsid w:val="3AEE274E"/>
    <w:rsid w:val="3B091033"/>
    <w:rsid w:val="3B0F23C2"/>
    <w:rsid w:val="3B111A40"/>
    <w:rsid w:val="3B3360B0"/>
    <w:rsid w:val="3B4B53E2"/>
    <w:rsid w:val="3B60677A"/>
    <w:rsid w:val="3B636954"/>
    <w:rsid w:val="3B6C2FD6"/>
    <w:rsid w:val="3B862684"/>
    <w:rsid w:val="3B967B1B"/>
    <w:rsid w:val="3B9E60AB"/>
    <w:rsid w:val="3BB15227"/>
    <w:rsid w:val="3BD11425"/>
    <w:rsid w:val="3BDD7DCA"/>
    <w:rsid w:val="3BEB698B"/>
    <w:rsid w:val="3BF515B8"/>
    <w:rsid w:val="3C2A0F73"/>
    <w:rsid w:val="3C552056"/>
    <w:rsid w:val="3C574020"/>
    <w:rsid w:val="3CA8662A"/>
    <w:rsid w:val="3CAA23A2"/>
    <w:rsid w:val="3CB7243C"/>
    <w:rsid w:val="3CB72D11"/>
    <w:rsid w:val="3CBA010B"/>
    <w:rsid w:val="3CC33464"/>
    <w:rsid w:val="3CF33D49"/>
    <w:rsid w:val="3D0870C9"/>
    <w:rsid w:val="3D1160FD"/>
    <w:rsid w:val="3D4A5E08"/>
    <w:rsid w:val="3D5B019B"/>
    <w:rsid w:val="3D6372EC"/>
    <w:rsid w:val="3D69400B"/>
    <w:rsid w:val="3D7724B9"/>
    <w:rsid w:val="3D8C7CFA"/>
    <w:rsid w:val="3DAC5CA6"/>
    <w:rsid w:val="3DC56D68"/>
    <w:rsid w:val="3DDF03A6"/>
    <w:rsid w:val="3E016501"/>
    <w:rsid w:val="3E10092B"/>
    <w:rsid w:val="3E18333B"/>
    <w:rsid w:val="3E29379B"/>
    <w:rsid w:val="3E3E7246"/>
    <w:rsid w:val="3E4B1963"/>
    <w:rsid w:val="3E75253C"/>
    <w:rsid w:val="3E774506"/>
    <w:rsid w:val="3E7C7D6E"/>
    <w:rsid w:val="3E8135D7"/>
    <w:rsid w:val="3E8978EB"/>
    <w:rsid w:val="3E9E1A93"/>
    <w:rsid w:val="3EB94B1E"/>
    <w:rsid w:val="3ECB6600"/>
    <w:rsid w:val="3ED74FA5"/>
    <w:rsid w:val="3EDB4A95"/>
    <w:rsid w:val="3EE218BB"/>
    <w:rsid w:val="3F150636"/>
    <w:rsid w:val="3F204B9E"/>
    <w:rsid w:val="3F367F1D"/>
    <w:rsid w:val="3F6525B0"/>
    <w:rsid w:val="3F6A7BC7"/>
    <w:rsid w:val="3F9133A5"/>
    <w:rsid w:val="3F980BD8"/>
    <w:rsid w:val="3FA806EF"/>
    <w:rsid w:val="3FB11C9A"/>
    <w:rsid w:val="3FCE0156"/>
    <w:rsid w:val="3FD31124"/>
    <w:rsid w:val="3FEE07F8"/>
    <w:rsid w:val="401B1A9A"/>
    <w:rsid w:val="401C35B7"/>
    <w:rsid w:val="40354679"/>
    <w:rsid w:val="404C3770"/>
    <w:rsid w:val="404E573A"/>
    <w:rsid w:val="40580367"/>
    <w:rsid w:val="406B009A"/>
    <w:rsid w:val="40703903"/>
    <w:rsid w:val="40833636"/>
    <w:rsid w:val="408D0011"/>
    <w:rsid w:val="40AF442B"/>
    <w:rsid w:val="40D43E92"/>
    <w:rsid w:val="40E0482E"/>
    <w:rsid w:val="40E109B7"/>
    <w:rsid w:val="40E67721"/>
    <w:rsid w:val="4101455B"/>
    <w:rsid w:val="410C362B"/>
    <w:rsid w:val="41456B3D"/>
    <w:rsid w:val="41662610"/>
    <w:rsid w:val="418F600A"/>
    <w:rsid w:val="41911D83"/>
    <w:rsid w:val="41AA69A0"/>
    <w:rsid w:val="41B25855"/>
    <w:rsid w:val="41C21F3C"/>
    <w:rsid w:val="41CA2B9F"/>
    <w:rsid w:val="41EA1493"/>
    <w:rsid w:val="41FF6CEC"/>
    <w:rsid w:val="421D7172"/>
    <w:rsid w:val="422B7AE1"/>
    <w:rsid w:val="425F3C2F"/>
    <w:rsid w:val="42786A9F"/>
    <w:rsid w:val="427C033D"/>
    <w:rsid w:val="42A87384"/>
    <w:rsid w:val="42B850ED"/>
    <w:rsid w:val="42E63A08"/>
    <w:rsid w:val="431762B8"/>
    <w:rsid w:val="43210EE4"/>
    <w:rsid w:val="432A0910"/>
    <w:rsid w:val="432A5FEB"/>
    <w:rsid w:val="43421586"/>
    <w:rsid w:val="43544E16"/>
    <w:rsid w:val="4374738E"/>
    <w:rsid w:val="43831019"/>
    <w:rsid w:val="43866F99"/>
    <w:rsid w:val="43B27D8E"/>
    <w:rsid w:val="43DD4E0B"/>
    <w:rsid w:val="43E738FD"/>
    <w:rsid w:val="43E77A38"/>
    <w:rsid w:val="43E93761"/>
    <w:rsid w:val="43EC32A0"/>
    <w:rsid w:val="43F62371"/>
    <w:rsid w:val="43FF1225"/>
    <w:rsid w:val="441B4262"/>
    <w:rsid w:val="444C01E3"/>
    <w:rsid w:val="447137A5"/>
    <w:rsid w:val="44727838"/>
    <w:rsid w:val="448C6831"/>
    <w:rsid w:val="449000D0"/>
    <w:rsid w:val="44BD69EB"/>
    <w:rsid w:val="44C24001"/>
    <w:rsid w:val="44DA57EF"/>
    <w:rsid w:val="44DC50C3"/>
    <w:rsid w:val="44EB79FC"/>
    <w:rsid w:val="45050ABD"/>
    <w:rsid w:val="4508235C"/>
    <w:rsid w:val="450D7972"/>
    <w:rsid w:val="45126D36"/>
    <w:rsid w:val="452623BD"/>
    <w:rsid w:val="452B4BB5"/>
    <w:rsid w:val="452B604A"/>
    <w:rsid w:val="45344C8A"/>
    <w:rsid w:val="454F3AE7"/>
    <w:rsid w:val="45504460"/>
    <w:rsid w:val="457B0D80"/>
    <w:rsid w:val="45A76173"/>
    <w:rsid w:val="45C06792"/>
    <w:rsid w:val="45D40490"/>
    <w:rsid w:val="45EF323D"/>
    <w:rsid w:val="45F14B9E"/>
    <w:rsid w:val="45F63CE4"/>
    <w:rsid w:val="45FD79E7"/>
    <w:rsid w:val="460D74FE"/>
    <w:rsid w:val="46144D30"/>
    <w:rsid w:val="46317690"/>
    <w:rsid w:val="46445615"/>
    <w:rsid w:val="46477F15"/>
    <w:rsid w:val="46511AE0"/>
    <w:rsid w:val="46755612"/>
    <w:rsid w:val="46A460B4"/>
    <w:rsid w:val="46B53E1D"/>
    <w:rsid w:val="46D5626E"/>
    <w:rsid w:val="47072D52"/>
    <w:rsid w:val="47134FE8"/>
    <w:rsid w:val="47460F19"/>
    <w:rsid w:val="475F3D89"/>
    <w:rsid w:val="47632D59"/>
    <w:rsid w:val="47857C94"/>
    <w:rsid w:val="478B4B7E"/>
    <w:rsid w:val="479223B1"/>
    <w:rsid w:val="47B02DD5"/>
    <w:rsid w:val="47B73BC5"/>
    <w:rsid w:val="47EB386F"/>
    <w:rsid w:val="47EC39BF"/>
    <w:rsid w:val="47FB1D04"/>
    <w:rsid w:val="47FE35A2"/>
    <w:rsid w:val="48396CD0"/>
    <w:rsid w:val="483D40CA"/>
    <w:rsid w:val="483E7E42"/>
    <w:rsid w:val="48660E58"/>
    <w:rsid w:val="48741AB6"/>
    <w:rsid w:val="488241D3"/>
    <w:rsid w:val="48961A2D"/>
    <w:rsid w:val="48B85E47"/>
    <w:rsid w:val="48D30B46"/>
    <w:rsid w:val="48EE2BC9"/>
    <w:rsid w:val="49364C33"/>
    <w:rsid w:val="495C4A24"/>
    <w:rsid w:val="49830203"/>
    <w:rsid w:val="49A44BB2"/>
    <w:rsid w:val="49B06B1E"/>
    <w:rsid w:val="49B72A97"/>
    <w:rsid w:val="49C425C9"/>
    <w:rsid w:val="49E54A1A"/>
    <w:rsid w:val="49E8275C"/>
    <w:rsid w:val="4A0B36CD"/>
    <w:rsid w:val="4A477482"/>
    <w:rsid w:val="4A4F4589"/>
    <w:rsid w:val="4A600544"/>
    <w:rsid w:val="4A630034"/>
    <w:rsid w:val="4A69564B"/>
    <w:rsid w:val="4A913A8A"/>
    <w:rsid w:val="4AA30431"/>
    <w:rsid w:val="4ABB39CC"/>
    <w:rsid w:val="4ACA1E61"/>
    <w:rsid w:val="4ACE1952"/>
    <w:rsid w:val="4AD66A58"/>
    <w:rsid w:val="4ADD3943"/>
    <w:rsid w:val="4B3A7B4E"/>
    <w:rsid w:val="4B3D2633"/>
    <w:rsid w:val="4B490FD8"/>
    <w:rsid w:val="4B555BCF"/>
    <w:rsid w:val="4B614574"/>
    <w:rsid w:val="4B6776B0"/>
    <w:rsid w:val="4B6B71A0"/>
    <w:rsid w:val="4B771FE9"/>
    <w:rsid w:val="4B9A5CD8"/>
    <w:rsid w:val="4BB451DE"/>
    <w:rsid w:val="4BCE772F"/>
    <w:rsid w:val="4C511FFD"/>
    <w:rsid w:val="4C516396"/>
    <w:rsid w:val="4C6A56AA"/>
    <w:rsid w:val="4C8A5D4C"/>
    <w:rsid w:val="4C8F3363"/>
    <w:rsid w:val="4CAD5597"/>
    <w:rsid w:val="4CCC0113"/>
    <w:rsid w:val="4CCE3E8B"/>
    <w:rsid w:val="4CDD5E7C"/>
    <w:rsid w:val="4CFB4554"/>
    <w:rsid w:val="4D365E4F"/>
    <w:rsid w:val="4D3A5B11"/>
    <w:rsid w:val="4D3D691B"/>
    <w:rsid w:val="4D6148E2"/>
    <w:rsid w:val="4D6B792C"/>
    <w:rsid w:val="4D7A36CB"/>
    <w:rsid w:val="4D891114"/>
    <w:rsid w:val="4DC44E80"/>
    <w:rsid w:val="4DD252B5"/>
    <w:rsid w:val="4DD74FC1"/>
    <w:rsid w:val="4DFC0584"/>
    <w:rsid w:val="4E0631B0"/>
    <w:rsid w:val="4E0B07C7"/>
    <w:rsid w:val="4E2A50F1"/>
    <w:rsid w:val="4E342F84"/>
    <w:rsid w:val="4E4F6905"/>
    <w:rsid w:val="4E4F7A0A"/>
    <w:rsid w:val="4E65214E"/>
    <w:rsid w:val="4E656129"/>
    <w:rsid w:val="4E8A5B90"/>
    <w:rsid w:val="4E9B7735"/>
    <w:rsid w:val="4EA76741"/>
    <w:rsid w:val="4ED17C62"/>
    <w:rsid w:val="4ED80FF1"/>
    <w:rsid w:val="4ED92673"/>
    <w:rsid w:val="4EE74D90"/>
    <w:rsid w:val="4EEB576A"/>
    <w:rsid w:val="4EFB4CDF"/>
    <w:rsid w:val="4F3302E1"/>
    <w:rsid w:val="4F391364"/>
    <w:rsid w:val="4F42290E"/>
    <w:rsid w:val="4F4C1097"/>
    <w:rsid w:val="4F5E4C79"/>
    <w:rsid w:val="4F7F321A"/>
    <w:rsid w:val="4F895E47"/>
    <w:rsid w:val="4F90367A"/>
    <w:rsid w:val="4F9D5D96"/>
    <w:rsid w:val="4FB725A9"/>
    <w:rsid w:val="4FC60E49"/>
    <w:rsid w:val="4FF9121F"/>
    <w:rsid w:val="50033E4B"/>
    <w:rsid w:val="50062B38"/>
    <w:rsid w:val="500D4CCA"/>
    <w:rsid w:val="50236859"/>
    <w:rsid w:val="50666188"/>
    <w:rsid w:val="507146DC"/>
    <w:rsid w:val="50744D49"/>
    <w:rsid w:val="50964CC0"/>
    <w:rsid w:val="50B52C6C"/>
    <w:rsid w:val="50BB64D4"/>
    <w:rsid w:val="50BD049E"/>
    <w:rsid w:val="50CF3D2E"/>
    <w:rsid w:val="50EE68AA"/>
    <w:rsid w:val="512322CB"/>
    <w:rsid w:val="5134567A"/>
    <w:rsid w:val="5139564B"/>
    <w:rsid w:val="516C62F1"/>
    <w:rsid w:val="51894824"/>
    <w:rsid w:val="51937451"/>
    <w:rsid w:val="51986815"/>
    <w:rsid w:val="51CD2963"/>
    <w:rsid w:val="51EB4B97"/>
    <w:rsid w:val="520774F7"/>
    <w:rsid w:val="526B3F2A"/>
    <w:rsid w:val="52775DEE"/>
    <w:rsid w:val="527E3C5D"/>
    <w:rsid w:val="527F3531"/>
    <w:rsid w:val="5290573F"/>
    <w:rsid w:val="52AF3E17"/>
    <w:rsid w:val="52BA27BB"/>
    <w:rsid w:val="52D95337"/>
    <w:rsid w:val="52DD4E28"/>
    <w:rsid w:val="52E02860"/>
    <w:rsid w:val="52E166C3"/>
    <w:rsid w:val="52E864CC"/>
    <w:rsid w:val="53035F10"/>
    <w:rsid w:val="531620E8"/>
    <w:rsid w:val="53226CDE"/>
    <w:rsid w:val="53285977"/>
    <w:rsid w:val="532E5683"/>
    <w:rsid w:val="53394B05"/>
    <w:rsid w:val="534C3D5B"/>
    <w:rsid w:val="5382152B"/>
    <w:rsid w:val="5385101B"/>
    <w:rsid w:val="538C23AA"/>
    <w:rsid w:val="53B17155"/>
    <w:rsid w:val="53B61F77"/>
    <w:rsid w:val="53BB59D4"/>
    <w:rsid w:val="53C5766A"/>
    <w:rsid w:val="53D210FD"/>
    <w:rsid w:val="53D77AC9"/>
    <w:rsid w:val="53E46B80"/>
    <w:rsid w:val="53E775E0"/>
    <w:rsid w:val="53EE2FD4"/>
    <w:rsid w:val="541A79B6"/>
    <w:rsid w:val="541B5774"/>
    <w:rsid w:val="543A6EAD"/>
    <w:rsid w:val="54422A68"/>
    <w:rsid w:val="544467E1"/>
    <w:rsid w:val="544E11C2"/>
    <w:rsid w:val="544E765F"/>
    <w:rsid w:val="54617548"/>
    <w:rsid w:val="5463310B"/>
    <w:rsid w:val="546E1AAF"/>
    <w:rsid w:val="54770964"/>
    <w:rsid w:val="54A51975"/>
    <w:rsid w:val="54BE3514"/>
    <w:rsid w:val="54E3249D"/>
    <w:rsid w:val="54F71AA5"/>
    <w:rsid w:val="551E7032"/>
    <w:rsid w:val="55432450"/>
    <w:rsid w:val="555E38D2"/>
    <w:rsid w:val="55747599"/>
    <w:rsid w:val="55985036"/>
    <w:rsid w:val="55AE2AAB"/>
    <w:rsid w:val="55C8122B"/>
    <w:rsid w:val="55CA0F67"/>
    <w:rsid w:val="55F304BE"/>
    <w:rsid w:val="563805C7"/>
    <w:rsid w:val="56694C24"/>
    <w:rsid w:val="566B1984"/>
    <w:rsid w:val="56950B3F"/>
    <w:rsid w:val="56A1160C"/>
    <w:rsid w:val="56B04601"/>
    <w:rsid w:val="56BD287A"/>
    <w:rsid w:val="56C43C09"/>
    <w:rsid w:val="56D57BC4"/>
    <w:rsid w:val="56DB78D0"/>
    <w:rsid w:val="56ED7603"/>
    <w:rsid w:val="56F3629C"/>
    <w:rsid w:val="56F72230"/>
    <w:rsid w:val="56FC7846"/>
    <w:rsid w:val="571444FF"/>
    <w:rsid w:val="571479EE"/>
    <w:rsid w:val="5721105B"/>
    <w:rsid w:val="57672F12"/>
    <w:rsid w:val="57741E27"/>
    <w:rsid w:val="57917F8F"/>
    <w:rsid w:val="579E776A"/>
    <w:rsid w:val="57AD737E"/>
    <w:rsid w:val="57B343A9"/>
    <w:rsid w:val="57C32112"/>
    <w:rsid w:val="57C57C38"/>
    <w:rsid w:val="57CC7219"/>
    <w:rsid w:val="57D1482F"/>
    <w:rsid w:val="57D63BF4"/>
    <w:rsid w:val="57EA3B43"/>
    <w:rsid w:val="5803016F"/>
    <w:rsid w:val="5818420C"/>
    <w:rsid w:val="5822508B"/>
    <w:rsid w:val="582708F3"/>
    <w:rsid w:val="583C7C96"/>
    <w:rsid w:val="584E7C2E"/>
    <w:rsid w:val="58711B6E"/>
    <w:rsid w:val="5875340D"/>
    <w:rsid w:val="58856AF7"/>
    <w:rsid w:val="588C69A8"/>
    <w:rsid w:val="589A2E73"/>
    <w:rsid w:val="589C308F"/>
    <w:rsid w:val="58BA19B2"/>
    <w:rsid w:val="58CD149A"/>
    <w:rsid w:val="58F72073"/>
    <w:rsid w:val="58FA6008"/>
    <w:rsid w:val="58FC3B2E"/>
    <w:rsid w:val="590D1897"/>
    <w:rsid w:val="593432C8"/>
    <w:rsid w:val="593C217C"/>
    <w:rsid w:val="5943175D"/>
    <w:rsid w:val="594D25DB"/>
    <w:rsid w:val="594E4DC3"/>
    <w:rsid w:val="59561490"/>
    <w:rsid w:val="5959467B"/>
    <w:rsid w:val="595C45CC"/>
    <w:rsid w:val="59705BA9"/>
    <w:rsid w:val="597E09E7"/>
    <w:rsid w:val="598D700C"/>
    <w:rsid w:val="598F04FE"/>
    <w:rsid w:val="59A0095D"/>
    <w:rsid w:val="59C77C98"/>
    <w:rsid w:val="59CC10D9"/>
    <w:rsid w:val="5A105AE3"/>
    <w:rsid w:val="5A2A0227"/>
    <w:rsid w:val="5A382944"/>
    <w:rsid w:val="5A3B4BCC"/>
    <w:rsid w:val="5A584D94"/>
    <w:rsid w:val="5A7B74D4"/>
    <w:rsid w:val="5A83592C"/>
    <w:rsid w:val="5A930F89"/>
    <w:rsid w:val="5AB9459A"/>
    <w:rsid w:val="5AD15BF9"/>
    <w:rsid w:val="5AEB20AC"/>
    <w:rsid w:val="5B1C66FD"/>
    <w:rsid w:val="5B2829B8"/>
    <w:rsid w:val="5B663971"/>
    <w:rsid w:val="5B9B5880"/>
    <w:rsid w:val="5BA67D81"/>
    <w:rsid w:val="5BC533DA"/>
    <w:rsid w:val="5BCD17B1"/>
    <w:rsid w:val="5BED775E"/>
    <w:rsid w:val="5BF907F8"/>
    <w:rsid w:val="5C162C69"/>
    <w:rsid w:val="5C403D4D"/>
    <w:rsid w:val="5C464A56"/>
    <w:rsid w:val="5C4E644E"/>
    <w:rsid w:val="5C502193"/>
    <w:rsid w:val="5C6A7000"/>
    <w:rsid w:val="5C7B120D"/>
    <w:rsid w:val="5C920267"/>
    <w:rsid w:val="5CAC13C7"/>
    <w:rsid w:val="5CB14C2F"/>
    <w:rsid w:val="5CCC1A69"/>
    <w:rsid w:val="5D2E4FDA"/>
    <w:rsid w:val="5D5201C0"/>
    <w:rsid w:val="5D7B36EF"/>
    <w:rsid w:val="5D9E4E29"/>
    <w:rsid w:val="5DB744C7"/>
    <w:rsid w:val="5DB84221"/>
    <w:rsid w:val="5E135D11"/>
    <w:rsid w:val="5E6E2F22"/>
    <w:rsid w:val="5E84014A"/>
    <w:rsid w:val="5E9B59CB"/>
    <w:rsid w:val="5EB10F16"/>
    <w:rsid w:val="5EC46E9C"/>
    <w:rsid w:val="5ECE6AE2"/>
    <w:rsid w:val="5EF07C91"/>
    <w:rsid w:val="5EFA0B0F"/>
    <w:rsid w:val="5EFB03E4"/>
    <w:rsid w:val="5F0977E5"/>
    <w:rsid w:val="5F0B4ACB"/>
    <w:rsid w:val="5F0C439F"/>
    <w:rsid w:val="5F1B5C08"/>
    <w:rsid w:val="5F313E05"/>
    <w:rsid w:val="5F385194"/>
    <w:rsid w:val="5F645F89"/>
    <w:rsid w:val="5F6C2999"/>
    <w:rsid w:val="5F824661"/>
    <w:rsid w:val="5F8D1984"/>
    <w:rsid w:val="5F961333"/>
    <w:rsid w:val="5FB52C88"/>
    <w:rsid w:val="5FC058B5"/>
    <w:rsid w:val="5FC30F01"/>
    <w:rsid w:val="5FC52ECB"/>
    <w:rsid w:val="5FE07D05"/>
    <w:rsid w:val="600F3677"/>
    <w:rsid w:val="602B6AA7"/>
    <w:rsid w:val="60363DC9"/>
    <w:rsid w:val="60433DF0"/>
    <w:rsid w:val="604C539B"/>
    <w:rsid w:val="60636240"/>
    <w:rsid w:val="6065645C"/>
    <w:rsid w:val="60681AA9"/>
    <w:rsid w:val="609F196E"/>
    <w:rsid w:val="60A26D69"/>
    <w:rsid w:val="60B62814"/>
    <w:rsid w:val="60BD3BA3"/>
    <w:rsid w:val="60DD6049"/>
    <w:rsid w:val="610C4B2A"/>
    <w:rsid w:val="6131633F"/>
    <w:rsid w:val="6171498D"/>
    <w:rsid w:val="618B118B"/>
    <w:rsid w:val="619012B7"/>
    <w:rsid w:val="619E438F"/>
    <w:rsid w:val="61A86601"/>
    <w:rsid w:val="61AD3E67"/>
    <w:rsid w:val="61B64F19"/>
    <w:rsid w:val="61CD7F83"/>
    <w:rsid w:val="61D7354F"/>
    <w:rsid w:val="61ED495B"/>
    <w:rsid w:val="61EE5FDE"/>
    <w:rsid w:val="61EF4230"/>
    <w:rsid w:val="61FA0313"/>
    <w:rsid w:val="6200643D"/>
    <w:rsid w:val="620D2908"/>
    <w:rsid w:val="62377985"/>
    <w:rsid w:val="623E6F65"/>
    <w:rsid w:val="62516C98"/>
    <w:rsid w:val="62522A10"/>
    <w:rsid w:val="625D388F"/>
    <w:rsid w:val="626F5370"/>
    <w:rsid w:val="627B5AC3"/>
    <w:rsid w:val="62A74B0A"/>
    <w:rsid w:val="62B249B4"/>
    <w:rsid w:val="62EA49F7"/>
    <w:rsid w:val="630930CF"/>
    <w:rsid w:val="630A6E47"/>
    <w:rsid w:val="632A1297"/>
    <w:rsid w:val="63462575"/>
    <w:rsid w:val="63513DAB"/>
    <w:rsid w:val="635E019B"/>
    <w:rsid w:val="63732C3E"/>
    <w:rsid w:val="637A221F"/>
    <w:rsid w:val="63804284"/>
    <w:rsid w:val="63A177AC"/>
    <w:rsid w:val="63CC234F"/>
    <w:rsid w:val="63E038EF"/>
    <w:rsid w:val="640D6BEF"/>
    <w:rsid w:val="64356146"/>
    <w:rsid w:val="646D1D84"/>
    <w:rsid w:val="647A41FA"/>
    <w:rsid w:val="649E3CEB"/>
    <w:rsid w:val="64A62BA0"/>
    <w:rsid w:val="64BB1BF4"/>
    <w:rsid w:val="64F77491"/>
    <w:rsid w:val="65046244"/>
    <w:rsid w:val="651A39E8"/>
    <w:rsid w:val="652A5B5F"/>
    <w:rsid w:val="653D3504"/>
    <w:rsid w:val="654B6723"/>
    <w:rsid w:val="654E5711"/>
    <w:rsid w:val="65554CF2"/>
    <w:rsid w:val="65741C3D"/>
    <w:rsid w:val="65907AD8"/>
    <w:rsid w:val="65982E30"/>
    <w:rsid w:val="65984BDE"/>
    <w:rsid w:val="65B23EF2"/>
    <w:rsid w:val="65E17F2C"/>
    <w:rsid w:val="65F6721C"/>
    <w:rsid w:val="66145EEA"/>
    <w:rsid w:val="6618187B"/>
    <w:rsid w:val="662B07CB"/>
    <w:rsid w:val="662D17CA"/>
    <w:rsid w:val="664B39FF"/>
    <w:rsid w:val="6659611C"/>
    <w:rsid w:val="66650F64"/>
    <w:rsid w:val="667E2026"/>
    <w:rsid w:val="66A15D14"/>
    <w:rsid w:val="66A219E9"/>
    <w:rsid w:val="66B25244"/>
    <w:rsid w:val="66BC2B4E"/>
    <w:rsid w:val="66C37A39"/>
    <w:rsid w:val="66CF2882"/>
    <w:rsid w:val="66E300DB"/>
    <w:rsid w:val="66FA497B"/>
    <w:rsid w:val="67226E55"/>
    <w:rsid w:val="672524A2"/>
    <w:rsid w:val="6759039D"/>
    <w:rsid w:val="67784CC7"/>
    <w:rsid w:val="67BF46A4"/>
    <w:rsid w:val="67D87514"/>
    <w:rsid w:val="67E60BCD"/>
    <w:rsid w:val="67FA1A5E"/>
    <w:rsid w:val="6804655B"/>
    <w:rsid w:val="68381AF2"/>
    <w:rsid w:val="683934CF"/>
    <w:rsid w:val="68525518"/>
    <w:rsid w:val="68686AEA"/>
    <w:rsid w:val="688A2F04"/>
    <w:rsid w:val="68907DEF"/>
    <w:rsid w:val="690A5DF3"/>
    <w:rsid w:val="69112CDD"/>
    <w:rsid w:val="69194288"/>
    <w:rsid w:val="69354EFB"/>
    <w:rsid w:val="6937396B"/>
    <w:rsid w:val="693966D8"/>
    <w:rsid w:val="697119CE"/>
    <w:rsid w:val="69BD0841"/>
    <w:rsid w:val="69C75B99"/>
    <w:rsid w:val="6A211646"/>
    <w:rsid w:val="6A3550F2"/>
    <w:rsid w:val="6A570BC4"/>
    <w:rsid w:val="6A627569"/>
    <w:rsid w:val="6A841BD5"/>
    <w:rsid w:val="6AA33862"/>
    <w:rsid w:val="6AB53B3C"/>
    <w:rsid w:val="6AF24D91"/>
    <w:rsid w:val="6B036F9E"/>
    <w:rsid w:val="6B1B6095"/>
    <w:rsid w:val="6B321631"/>
    <w:rsid w:val="6B562347"/>
    <w:rsid w:val="6B81562D"/>
    <w:rsid w:val="6B947BF6"/>
    <w:rsid w:val="6B9B71D6"/>
    <w:rsid w:val="6BD6020E"/>
    <w:rsid w:val="6C3F4006"/>
    <w:rsid w:val="6C4E4249"/>
    <w:rsid w:val="6C841DBF"/>
    <w:rsid w:val="6C8C6B1F"/>
    <w:rsid w:val="6CA83959"/>
    <w:rsid w:val="6CAB51F7"/>
    <w:rsid w:val="6CC62031"/>
    <w:rsid w:val="6CCF5389"/>
    <w:rsid w:val="6CE00AAF"/>
    <w:rsid w:val="6D0668D1"/>
    <w:rsid w:val="6D081BFA"/>
    <w:rsid w:val="6D0B03E1"/>
    <w:rsid w:val="6D142D9C"/>
    <w:rsid w:val="6D156B14"/>
    <w:rsid w:val="6D1E3C1B"/>
    <w:rsid w:val="6D2C27DC"/>
    <w:rsid w:val="6D2F7BD6"/>
    <w:rsid w:val="6D4573FA"/>
    <w:rsid w:val="6D4A4A10"/>
    <w:rsid w:val="6D5B4E6F"/>
    <w:rsid w:val="6D604233"/>
    <w:rsid w:val="6D785A21"/>
    <w:rsid w:val="6DAF51BB"/>
    <w:rsid w:val="6DD8026E"/>
    <w:rsid w:val="6DDB7D5E"/>
    <w:rsid w:val="6DEE7A91"/>
    <w:rsid w:val="6DF8446C"/>
    <w:rsid w:val="6E0252EB"/>
    <w:rsid w:val="6E1F649C"/>
    <w:rsid w:val="6E3B6A4F"/>
    <w:rsid w:val="6E4C47B8"/>
    <w:rsid w:val="6E751F61"/>
    <w:rsid w:val="6E9D3265"/>
    <w:rsid w:val="6EA6036C"/>
    <w:rsid w:val="6EA939B8"/>
    <w:rsid w:val="6EAA49ED"/>
    <w:rsid w:val="6EC47C66"/>
    <w:rsid w:val="6ED8604B"/>
    <w:rsid w:val="6EE829FC"/>
    <w:rsid w:val="6EF015E7"/>
    <w:rsid w:val="6F047DDC"/>
    <w:rsid w:val="6F060E0B"/>
    <w:rsid w:val="6F0B4673"/>
    <w:rsid w:val="6F0F4163"/>
    <w:rsid w:val="6F1B2B08"/>
    <w:rsid w:val="6F2A4AF9"/>
    <w:rsid w:val="6F4162E7"/>
    <w:rsid w:val="6F4B2CC1"/>
    <w:rsid w:val="6F5C6C7D"/>
    <w:rsid w:val="6F795A80"/>
    <w:rsid w:val="6F863CF9"/>
    <w:rsid w:val="6F9208F0"/>
    <w:rsid w:val="6F944668"/>
    <w:rsid w:val="6F9B37DF"/>
    <w:rsid w:val="6FAF18CA"/>
    <w:rsid w:val="6FB940CF"/>
    <w:rsid w:val="6FDF4162"/>
    <w:rsid w:val="6FE54EC4"/>
    <w:rsid w:val="6FE56C72"/>
    <w:rsid w:val="6FE729EA"/>
    <w:rsid w:val="7012394F"/>
    <w:rsid w:val="7020414E"/>
    <w:rsid w:val="70473489"/>
    <w:rsid w:val="70775C47"/>
    <w:rsid w:val="70791FDC"/>
    <w:rsid w:val="70BB28C7"/>
    <w:rsid w:val="70C64CF5"/>
    <w:rsid w:val="70CB230C"/>
    <w:rsid w:val="70EE7DA8"/>
    <w:rsid w:val="710D6480"/>
    <w:rsid w:val="71290DE0"/>
    <w:rsid w:val="71306613"/>
    <w:rsid w:val="714F4CEB"/>
    <w:rsid w:val="71526589"/>
    <w:rsid w:val="715916C6"/>
    <w:rsid w:val="71630796"/>
    <w:rsid w:val="716342F2"/>
    <w:rsid w:val="71685DAD"/>
    <w:rsid w:val="717A163C"/>
    <w:rsid w:val="71B44B4E"/>
    <w:rsid w:val="71B763EC"/>
    <w:rsid w:val="71C254BD"/>
    <w:rsid w:val="71C50B09"/>
    <w:rsid w:val="71D90A58"/>
    <w:rsid w:val="72231CD3"/>
    <w:rsid w:val="723C3FAF"/>
    <w:rsid w:val="72C9533D"/>
    <w:rsid w:val="72D54D7C"/>
    <w:rsid w:val="72D57472"/>
    <w:rsid w:val="72E90D7F"/>
    <w:rsid w:val="72FD42D3"/>
    <w:rsid w:val="73261A7B"/>
    <w:rsid w:val="733107D8"/>
    <w:rsid w:val="733B15C3"/>
    <w:rsid w:val="735D2FC3"/>
    <w:rsid w:val="737C169B"/>
    <w:rsid w:val="73974727"/>
    <w:rsid w:val="73A62BBC"/>
    <w:rsid w:val="73BB6668"/>
    <w:rsid w:val="73E51C2F"/>
    <w:rsid w:val="73E80675"/>
    <w:rsid w:val="73EA0CFB"/>
    <w:rsid w:val="73FE47A6"/>
    <w:rsid w:val="74030593"/>
    <w:rsid w:val="740873D3"/>
    <w:rsid w:val="740B2A1F"/>
    <w:rsid w:val="744321B9"/>
    <w:rsid w:val="745D6531"/>
    <w:rsid w:val="74600FBD"/>
    <w:rsid w:val="74640AAD"/>
    <w:rsid w:val="748A603A"/>
    <w:rsid w:val="74AE3AD6"/>
    <w:rsid w:val="74DD362F"/>
    <w:rsid w:val="74EE06F3"/>
    <w:rsid w:val="74FA2AD6"/>
    <w:rsid w:val="750E6C6B"/>
    <w:rsid w:val="751E11CC"/>
    <w:rsid w:val="758F1B5A"/>
    <w:rsid w:val="75BC66C7"/>
    <w:rsid w:val="75D91027"/>
    <w:rsid w:val="760342F6"/>
    <w:rsid w:val="761553FC"/>
    <w:rsid w:val="761E2EDE"/>
    <w:rsid w:val="76437692"/>
    <w:rsid w:val="764A5A81"/>
    <w:rsid w:val="7671125F"/>
    <w:rsid w:val="7671300D"/>
    <w:rsid w:val="76DD06A3"/>
    <w:rsid w:val="76E539FB"/>
    <w:rsid w:val="76EB7264"/>
    <w:rsid w:val="76FB321F"/>
    <w:rsid w:val="772067E2"/>
    <w:rsid w:val="77342D4E"/>
    <w:rsid w:val="77364257"/>
    <w:rsid w:val="775E5A5C"/>
    <w:rsid w:val="776112D4"/>
    <w:rsid w:val="77664B3C"/>
    <w:rsid w:val="777C4360"/>
    <w:rsid w:val="777D1373"/>
    <w:rsid w:val="77882D05"/>
    <w:rsid w:val="77BF7A05"/>
    <w:rsid w:val="77D45F4A"/>
    <w:rsid w:val="77E141C3"/>
    <w:rsid w:val="77E37F3B"/>
    <w:rsid w:val="77E431A6"/>
    <w:rsid w:val="77FA7033"/>
    <w:rsid w:val="78082C12"/>
    <w:rsid w:val="7819395D"/>
    <w:rsid w:val="785C1A9B"/>
    <w:rsid w:val="78746DE5"/>
    <w:rsid w:val="78782D79"/>
    <w:rsid w:val="78A376CA"/>
    <w:rsid w:val="78EA5EF2"/>
    <w:rsid w:val="79183C14"/>
    <w:rsid w:val="791A5BDE"/>
    <w:rsid w:val="791B3704"/>
    <w:rsid w:val="7924080B"/>
    <w:rsid w:val="79256331"/>
    <w:rsid w:val="794964C4"/>
    <w:rsid w:val="795A422D"/>
    <w:rsid w:val="795F5CE7"/>
    <w:rsid w:val="79823784"/>
    <w:rsid w:val="799314ED"/>
    <w:rsid w:val="79BA191D"/>
    <w:rsid w:val="79BA4CCB"/>
    <w:rsid w:val="79C1605A"/>
    <w:rsid w:val="79D12015"/>
    <w:rsid w:val="79E306C6"/>
    <w:rsid w:val="79F3642F"/>
    <w:rsid w:val="79F857F4"/>
    <w:rsid w:val="7A275176"/>
    <w:rsid w:val="7A320D06"/>
    <w:rsid w:val="7A664E53"/>
    <w:rsid w:val="7A6A04A0"/>
    <w:rsid w:val="7A765096"/>
    <w:rsid w:val="7A7C01D3"/>
    <w:rsid w:val="7AB23BF5"/>
    <w:rsid w:val="7ACF29F8"/>
    <w:rsid w:val="7AD149C3"/>
    <w:rsid w:val="7B0A68E9"/>
    <w:rsid w:val="7B18439F"/>
    <w:rsid w:val="7B220D7A"/>
    <w:rsid w:val="7B227779"/>
    <w:rsid w:val="7B31720F"/>
    <w:rsid w:val="7B334D35"/>
    <w:rsid w:val="7B3B1E3C"/>
    <w:rsid w:val="7B666459"/>
    <w:rsid w:val="7BB33FCE"/>
    <w:rsid w:val="7C0C5586"/>
    <w:rsid w:val="7C240B22"/>
    <w:rsid w:val="7C43544C"/>
    <w:rsid w:val="7C4F2043"/>
    <w:rsid w:val="7C694787"/>
    <w:rsid w:val="7C6E6F3C"/>
    <w:rsid w:val="7C7E0232"/>
    <w:rsid w:val="7CAB4D9F"/>
    <w:rsid w:val="7CBE4AD3"/>
    <w:rsid w:val="7CC55E61"/>
    <w:rsid w:val="7CCD4D16"/>
    <w:rsid w:val="7CD460A4"/>
    <w:rsid w:val="7D056BA5"/>
    <w:rsid w:val="7D08288D"/>
    <w:rsid w:val="7D252DA4"/>
    <w:rsid w:val="7D397EFB"/>
    <w:rsid w:val="7D3D5EB1"/>
    <w:rsid w:val="7D4F0E01"/>
    <w:rsid w:val="7D5471E5"/>
    <w:rsid w:val="7D586CD5"/>
    <w:rsid w:val="7D6722A4"/>
    <w:rsid w:val="7D692C90"/>
    <w:rsid w:val="7D853842"/>
    <w:rsid w:val="7D8555F0"/>
    <w:rsid w:val="7DA4016C"/>
    <w:rsid w:val="7DA77C5D"/>
    <w:rsid w:val="7DB859C6"/>
    <w:rsid w:val="7DB879A9"/>
    <w:rsid w:val="7DC9372F"/>
    <w:rsid w:val="7DE40569"/>
    <w:rsid w:val="7DEC4B84"/>
    <w:rsid w:val="7DF12C86"/>
    <w:rsid w:val="7DF74740"/>
    <w:rsid w:val="7E114D79"/>
    <w:rsid w:val="7E1939E8"/>
    <w:rsid w:val="7E1C7D03"/>
    <w:rsid w:val="7E1F3C97"/>
    <w:rsid w:val="7E2B6198"/>
    <w:rsid w:val="7E350DC4"/>
    <w:rsid w:val="7E4F632A"/>
    <w:rsid w:val="7E682F48"/>
    <w:rsid w:val="7E747B3F"/>
    <w:rsid w:val="7E7A2C7B"/>
    <w:rsid w:val="7E801D18"/>
    <w:rsid w:val="7E90249F"/>
    <w:rsid w:val="7EBC14E6"/>
    <w:rsid w:val="7EC108AA"/>
    <w:rsid w:val="7ED93E46"/>
    <w:rsid w:val="7EED306E"/>
    <w:rsid w:val="7F032C71"/>
    <w:rsid w:val="7F0D7F93"/>
    <w:rsid w:val="7F21759B"/>
    <w:rsid w:val="7F280963"/>
    <w:rsid w:val="7F511C2E"/>
    <w:rsid w:val="7F8567C3"/>
    <w:rsid w:val="7F86582B"/>
    <w:rsid w:val="7F8C516B"/>
    <w:rsid w:val="7FA77AA0"/>
    <w:rsid w:val="7FB328E9"/>
    <w:rsid w:val="7FDB599C"/>
    <w:rsid w:val="7FE72592"/>
    <w:rsid w:val="7FF64583"/>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38"/>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0"/>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9"/>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0"/>
    <w:unhideWhenUsed/>
    <w:qFormat/>
    <w:uiPriority w:val="9"/>
    <w:pPr>
      <w:keepNext/>
      <w:keepLines/>
      <w:spacing w:before="280" w:after="290" w:line="376" w:lineRule="auto"/>
      <w:outlineLvl w:val="3"/>
    </w:pPr>
    <w:rPr>
      <w:rFonts w:asciiTheme="majorHAnsi" w:hAnsiTheme="majorHAnsi" w:cstheme="majorBidi"/>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1440"/>
    </w:pPr>
    <w:rPr>
      <w:rFonts w:asciiTheme="minorHAnsi" w:eastAsiaTheme="minorHAnsi"/>
      <w:sz w:val="18"/>
      <w:szCs w:val="18"/>
    </w:rPr>
  </w:style>
  <w:style w:type="paragraph" w:styleId="7">
    <w:name w:val="Normal Indent"/>
    <w:basedOn w:val="1"/>
    <w:next w:val="1"/>
    <w:unhideWhenUsed/>
    <w:qFormat/>
    <w:uiPriority w:val="0"/>
    <w:pPr>
      <w:ind w:firstLine="420" w:firstLineChars="200"/>
    </w:pPr>
    <w:rPr>
      <w:rFonts w:ascii="Calibri" w:hAnsi="Calibri"/>
      <w:szCs w:val="22"/>
    </w:rPr>
  </w:style>
  <w:style w:type="paragraph" w:styleId="8">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9">
    <w:name w:val="annotation text"/>
    <w:basedOn w:val="1"/>
    <w:link w:val="47"/>
    <w:qFormat/>
    <w:uiPriority w:val="0"/>
    <w:pPr>
      <w:spacing w:line="240" w:lineRule="auto"/>
    </w:pPr>
    <w:rPr>
      <w:rFonts w:asciiTheme="minorHAnsi" w:hAnsiTheme="minorHAnsi" w:eastAsiaTheme="minorEastAsia"/>
      <w:sz w:val="21"/>
      <w:szCs w:val="24"/>
    </w:rPr>
  </w:style>
  <w:style w:type="paragraph" w:styleId="10">
    <w:name w:val="Body Text 3"/>
    <w:basedOn w:val="1"/>
    <w:link w:val="43"/>
    <w:semiHidden/>
    <w:unhideWhenUsed/>
    <w:qFormat/>
    <w:uiPriority w:val="99"/>
    <w:pPr>
      <w:spacing w:after="120"/>
    </w:pPr>
    <w:rPr>
      <w:sz w:val="16"/>
      <w:szCs w:val="16"/>
    </w:rPr>
  </w:style>
  <w:style w:type="paragraph" w:styleId="11">
    <w:name w:val="Body Text"/>
    <w:basedOn w:val="1"/>
    <w:next w:val="1"/>
    <w:link w:val="42"/>
    <w:unhideWhenUsed/>
    <w:qFormat/>
    <w:uiPriority w:val="99"/>
    <w:pPr>
      <w:spacing w:after="120" w:line="240" w:lineRule="auto"/>
      <w:jc w:val="both"/>
    </w:pPr>
    <w:rPr>
      <w:rFonts w:ascii="Times New Roman" w:hAnsi="Times New Roman" w:cs="Times New Roman"/>
      <w:kern w:val="0"/>
      <w:sz w:val="20"/>
      <w:szCs w:val="20"/>
    </w:rPr>
  </w:style>
  <w:style w:type="paragraph" w:styleId="12">
    <w:name w:val="Body Text Indent"/>
    <w:basedOn w:val="1"/>
    <w:unhideWhenUsed/>
    <w:qFormat/>
    <w:uiPriority w:val="0"/>
    <w:pPr>
      <w:ind w:firstLine="630"/>
    </w:pPr>
    <w:rPr>
      <w:rFonts w:eastAsia="仿宋_GB2312"/>
      <w:kern w:val="0"/>
      <w:sz w:val="32"/>
      <w:szCs w:val="20"/>
    </w:rPr>
  </w:style>
  <w:style w:type="paragraph" w:styleId="13">
    <w:name w:val="toc 5"/>
    <w:basedOn w:val="1"/>
    <w:next w:val="1"/>
    <w:autoRedefine/>
    <w:unhideWhenUsed/>
    <w:qFormat/>
    <w:uiPriority w:val="39"/>
    <w:pPr>
      <w:ind w:left="960"/>
    </w:pPr>
    <w:rPr>
      <w:rFonts w:asciiTheme="minorHAnsi" w:eastAsiaTheme="minorHAnsi"/>
      <w:sz w:val="18"/>
      <w:szCs w:val="18"/>
    </w:rPr>
  </w:style>
  <w:style w:type="paragraph" w:styleId="14">
    <w:name w:val="toc 3"/>
    <w:basedOn w:val="1"/>
    <w:next w:val="1"/>
    <w:autoRedefine/>
    <w:unhideWhenUsed/>
    <w:qFormat/>
    <w:uiPriority w:val="39"/>
    <w:pPr>
      <w:ind w:left="480"/>
    </w:pPr>
    <w:rPr>
      <w:rFonts w:asciiTheme="minorHAnsi" w:eastAsiaTheme="minorHAnsi"/>
      <w:i/>
      <w:iCs/>
      <w:sz w:val="20"/>
      <w:szCs w:val="20"/>
    </w:rPr>
  </w:style>
  <w:style w:type="paragraph" w:styleId="15">
    <w:name w:val="Plain Text"/>
    <w:basedOn w:val="1"/>
    <w:unhideWhenUsed/>
    <w:qFormat/>
    <w:uiPriority w:val="0"/>
    <w:rPr>
      <w:rFonts w:ascii="宋体" w:hAnsi="Courier New"/>
      <w:kern w:val="0"/>
      <w:sz w:val="20"/>
      <w:szCs w:val="20"/>
    </w:rPr>
  </w:style>
  <w:style w:type="paragraph" w:styleId="16">
    <w:name w:val="toc 8"/>
    <w:basedOn w:val="1"/>
    <w:next w:val="1"/>
    <w:autoRedefine/>
    <w:unhideWhenUsed/>
    <w:qFormat/>
    <w:uiPriority w:val="39"/>
    <w:pPr>
      <w:ind w:left="1680"/>
    </w:pPr>
    <w:rPr>
      <w:rFonts w:asciiTheme="minorHAnsi" w:eastAsiaTheme="minorHAnsi"/>
      <w:sz w:val="18"/>
      <w:szCs w:val="18"/>
    </w:rPr>
  </w:style>
  <w:style w:type="paragraph" w:styleId="17">
    <w:name w:val="footer"/>
    <w:basedOn w:val="1"/>
    <w:link w:val="37"/>
    <w:unhideWhenUsed/>
    <w:qFormat/>
    <w:uiPriority w:val="99"/>
    <w:pPr>
      <w:tabs>
        <w:tab w:val="center" w:pos="4153"/>
        <w:tab w:val="right" w:pos="8306"/>
      </w:tabs>
      <w:snapToGrid w:val="0"/>
    </w:pPr>
    <w:rPr>
      <w:sz w:val="18"/>
      <w:szCs w:val="18"/>
    </w:rPr>
  </w:style>
  <w:style w:type="paragraph" w:styleId="18">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0">
    <w:name w:val="toc 4"/>
    <w:basedOn w:val="1"/>
    <w:next w:val="1"/>
    <w:autoRedefine/>
    <w:unhideWhenUsed/>
    <w:qFormat/>
    <w:uiPriority w:val="39"/>
    <w:pPr>
      <w:ind w:left="720"/>
    </w:pPr>
    <w:rPr>
      <w:rFonts w:asciiTheme="minorHAnsi" w:eastAsiaTheme="minorHAnsi"/>
      <w:sz w:val="18"/>
      <w:szCs w:val="18"/>
    </w:rPr>
  </w:style>
  <w:style w:type="paragraph" w:styleId="21">
    <w:name w:val="footnote text"/>
    <w:basedOn w:val="1"/>
    <w:qFormat/>
    <w:uiPriority w:val="0"/>
    <w:pPr>
      <w:widowControl/>
      <w:jc w:val="left"/>
    </w:pPr>
    <w:rPr>
      <w:kern w:val="0"/>
      <w:sz w:val="20"/>
      <w:szCs w:val="20"/>
      <w:lang w:val="de-DE"/>
    </w:rPr>
  </w:style>
  <w:style w:type="paragraph" w:styleId="22">
    <w:name w:val="toc 6"/>
    <w:basedOn w:val="1"/>
    <w:next w:val="1"/>
    <w:autoRedefine/>
    <w:unhideWhenUsed/>
    <w:qFormat/>
    <w:uiPriority w:val="39"/>
    <w:pPr>
      <w:ind w:left="1200"/>
    </w:pPr>
    <w:rPr>
      <w:rFonts w:asciiTheme="minorHAnsi" w:eastAsiaTheme="minorHAnsi"/>
      <w:sz w:val="18"/>
      <w:szCs w:val="18"/>
    </w:rPr>
  </w:style>
  <w:style w:type="paragraph" w:styleId="23">
    <w:name w:val="toc 2"/>
    <w:basedOn w:val="1"/>
    <w:next w:val="1"/>
    <w:autoRedefine/>
    <w:unhideWhenUsed/>
    <w:qFormat/>
    <w:uiPriority w:val="39"/>
    <w:pPr>
      <w:ind w:left="240"/>
    </w:pPr>
    <w:rPr>
      <w:rFonts w:asciiTheme="minorHAnsi" w:eastAsiaTheme="minorHAnsi"/>
      <w:smallCaps/>
      <w:sz w:val="20"/>
      <w:szCs w:val="20"/>
    </w:rPr>
  </w:style>
  <w:style w:type="paragraph" w:styleId="24">
    <w:name w:val="toc 9"/>
    <w:basedOn w:val="1"/>
    <w:next w:val="1"/>
    <w:autoRedefine/>
    <w:unhideWhenUsed/>
    <w:qFormat/>
    <w:uiPriority w:val="39"/>
    <w:pPr>
      <w:ind w:left="1920"/>
    </w:pPr>
    <w:rPr>
      <w:rFonts w:asciiTheme="minorHAnsi" w:eastAsiaTheme="minorHAnsi"/>
      <w:sz w:val="18"/>
      <w:szCs w:val="18"/>
    </w:rPr>
  </w:style>
  <w:style w:type="paragraph" w:styleId="25">
    <w:name w:val="Normal (Web)"/>
    <w:basedOn w:val="1"/>
    <w:qFormat/>
    <w:uiPriority w:val="0"/>
    <w:pPr>
      <w:widowControl/>
      <w:spacing w:before="100" w:beforeAutospacing="1" w:after="100" w:afterAutospacing="1" w:line="240" w:lineRule="auto"/>
    </w:pPr>
    <w:rPr>
      <w:rFonts w:cs="宋体"/>
      <w:kern w:val="0"/>
      <w:szCs w:val="20"/>
    </w:rPr>
  </w:style>
  <w:style w:type="paragraph" w:styleId="26">
    <w:name w:val="annotation subject"/>
    <w:basedOn w:val="9"/>
    <w:next w:val="9"/>
    <w:link w:val="52"/>
    <w:semiHidden/>
    <w:unhideWhenUsed/>
    <w:qFormat/>
    <w:uiPriority w:val="99"/>
    <w:pPr>
      <w:spacing w:line="360" w:lineRule="auto"/>
    </w:pPr>
    <w:rPr>
      <w:rFonts w:ascii="宋体" w:hAnsi="宋体" w:eastAsia="宋体"/>
      <w:b/>
      <w:bCs/>
      <w:sz w:val="24"/>
      <w:szCs w:val="22"/>
    </w:rPr>
  </w:style>
  <w:style w:type="paragraph" w:styleId="27">
    <w:name w:val="Body Text First Indent 2"/>
    <w:basedOn w:val="12"/>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bCs/>
    </w:rPr>
  </w:style>
  <w:style w:type="character" w:styleId="32">
    <w:name w:val="Hyperlink"/>
    <w:basedOn w:val="30"/>
    <w:unhideWhenUsed/>
    <w:qFormat/>
    <w:uiPriority w:val="99"/>
    <w:rPr>
      <w:color w:val="0563C1" w:themeColor="hyperlink"/>
      <w:u w:val="single"/>
      <w14:textFill>
        <w14:solidFill>
          <w14:schemeClr w14:val="hlink"/>
        </w14:solidFill>
      </w14:textFill>
    </w:rPr>
  </w:style>
  <w:style w:type="character" w:styleId="33">
    <w:name w:val="annotation reference"/>
    <w:basedOn w:val="30"/>
    <w:semiHidden/>
    <w:unhideWhenUsed/>
    <w:qFormat/>
    <w:uiPriority w:val="99"/>
    <w:rPr>
      <w:sz w:val="21"/>
      <w:szCs w:val="21"/>
    </w:rPr>
  </w:style>
  <w:style w:type="character" w:styleId="34">
    <w:name w:val="HTML Sample"/>
    <w:basedOn w:val="30"/>
    <w:qFormat/>
    <w:uiPriority w:val="0"/>
    <w:rPr>
      <w:rFonts w:ascii="Courier New" w:hAnsi="Courier New"/>
    </w:rPr>
  </w:style>
  <w:style w:type="paragraph" w:customStyle="1" w:styleId="35">
    <w:name w:val="正文缩进2"/>
    <w:basedOn w:val="1"/>
    <w:qFormat/>
    <w:uiPriority w:val="0"/>
    <w:pPr>
      <w:wordWrap w:val="0"/>
      <w:ind w:firstLine="200" w:firstLineChars="200"/>
    </w:pPr>
  </w:style>
  <w:style w:type="character" w:customStyle="1" w:styleId="36">
    <w:name w:val="页眉 字符"/>
    <w:basedOn w:val="30"/>
    <w:link w:val="18"/>
    <w:qFormat/>
    <w:uiPriority w:val="99"/>
    <w:rPr>
      <w:rFonts w:eastAsia="宋体"/>
      <w:sz w:val="18"/>
      <w:szCs w:val="18"/>
    </w:rPr>
  </w:style>
  <w:style w:type="character" w:customStyle="1" w:styleId="37">
    <w:name w:val="页脚 字符"/>
    <w:basedOn w:val="30"/>
    <w:link w:val="17"/>
    <w:qFormat/>
    <w:uiPriority w:val="99"/>
    <w:rPr>
      <w:rFonts w:eastAsia="宋体"/>
      <w:sz w:val="18"/>
      <w:szCs w:val="18"/>
    </w:rPr>
  </w:style>
  <w:style w:type="character" w:customStyle="1" w:styleId="38">
    <w:name w:val="标题 1 字符"/>
    <w:basedOn w:val="30"/>
    <w:link w:val="2"/>
    <w:qFormat/>
    <w:uiPriority w:val="9"/>
    <w:rPr>
      <w:rFonts w:ascii="宋体" w:hAnsi="宋体" w:eastAsia="黑体"/>
      <w:b/>
      <w:bCs/>
      <w:kern w:val="44"/>
      <w:sz w:val="44"/>
      <w:szCs w:val="44"/>
    </w:rPr>
  </w:style>
  <w:style w:type="paragraph" w:styleId="39">
    <w:name w:val="List Paragraph"/>
    <w:basedOn w:val="1"/>
    <w:link w:val="48"/>
    <w:qFormat/>
    <w:uiPriority w:val="34"/>
    <w:pPr>
      <w:ind w:firstLine="420" w:firstLineChars="200"/>
    </w:pPr>
  </w:style>
  <w:style w:type="character" w:customStyle="1" w:styleId="40">
    <w:name w:val="标题 2 字符"/>
    <w:basedOn w:val="30"/>
    <w:link w:val="3"/>
    <w:qFormat/>
    <w:uiPriority w:val="9"/>
    <w:rPr>
      <w:rFonts w:eastAsia="宋体" w:asciiTheme="majorHAnsi" w:hAnsiTheme="majorHAnsi" w:cstheme="majorBidi"/>
      <w:b/>
      <w:bCs/>
      <w:sz w:val="32"/>
      <w:szCs w:val="32"/>
    </w:rPr>
  </w:style>
  <w:style w:type="character" w:customStyle="1" w:styleId="41">
    <w:name w:val="未处理的提及1"/>
    <w:basedOn w:val="30"/>
    <w:semiHidden/>
    <w:unhideWhenUsed/>
    <w:qFormat/>
    <w:uiPriority w:val="99"/>
    <w:rPr>
      <w:color w:val="605E5C"/>
      <w:shd w:val="clear" w:color="auto" w:fill="E1DFDD"/>
    </w:rPr>
  </w:style>
  <w:style w:type="character" w:customStyle="1" w:styleId="42">
    <w:name w:val="正文文本 字符"/>
    <w:basedOn w:val="30"/>
    <w:link w:val="11"/>
    <w:qFormat/>
    <w:uiPriority w:val="99"/>
    <w:rPr>
      <w:rFonts w:ascii="Times New Roman" w:hAnsi="Times New Roman" w:eastAsia="宋体" w:cs="Times New Roman"/>
      <w:kern w:val="0"/>
      <w:sz w:val="20"/>
      <w:szCs w:val="20"/>
    </w:rPr>
  </w:style>
  <w:style w:type="character" w:customStyle="1" w:styleId="43">
    <w:name w:val="正文文本 3 字符"/>
    <w:basedOn w:val="30"/>
    <w:link w:val="10"/>
    <w:semiHidden/>
    <w:qFormat/>
    <w:uiPriority w:val="99"/>
    <w:rPr>
      <w:rFonts w:ascii="宋体" w:hAnsi="宋体" w:eastAsia="宋体"/>
      <w:sz w:val="16"/>
      <w:szCs w:val="16"/>
    </w:rPr>
  </w:style>
  <w:style w:type="paragraph" w:customStyle="1" w:styleId="44">
    <w:name w:val="Default"/>
    <w:link w:val="45"/>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45">
    <w:name w:val="Default Char Char"/>
    <w:link w:val="44"/>
    <w:qFormat/>
    <w:uiPriority w:val="0"/>
    <w:rPr>
      <w:rFonts w:ascii=".." w:hAnsi="Times New Roman" w:eastAsia=".." w:cs="Times New Roman"/>
      <w:color w:val="000000"/>
      <w:kern w:val="0"/>
      <w:sz w:val="24"/>
      <w:szCs w:val="24"/>
    </w:rPr>
  </w:style>
  <w:style w:type="paragraph" w:styleId="46">
    <w:name w:val="No Spacing"/>
    <w:basedOn w:val="1"/>
    <w:link w:val="51"/>
    <w:qFormat/>
    <w:uiPriority w:val="1"/>
    <w:pPr>
      <w:widowControl w:val="0"/>
    </w:pPr>
    <w:rPr>
      <w:rFonts w:ascii="宋体" w:hAnsi="宋体" w:eastAsia="宋体" w:cstheme="minorBidi"/>
      <w:kern w:val="2"/>
      <w:sz w:val="21"/>
      <w:szCs w:val="22"/>
      <w:lang w:val="en-US" w:eastAsia="zh-CN" w:bidi="ar-SA"/>
    </w:rPr>
  </w:style>
  <w:style w:type="character" w:customStyle="1" w:styleId="47">
    <w:name w:val="批注文字 字符"/>
    <w:basedOn w:val="30"/>
    <w:link w:val="9"/>
    <w:qFormat/>
    <w:uiPriority w:val="0"/>
    <w:rPr>
      <w:szCs w:val="24"/>
    </w:rPr>
  </w:style>
  <w:style w:type="character" w:customStyle="1" w:styleId="48">
    <w:name w:val="列表段落 字符"/>
    <w:link w:val="39"/>
    <w:qFormat/>
    <w:uiPriority w:val="34"/>
    <w:rPr>
      <w:rFonts w:ascii="宋体" w:hAnsi="宋体" w:eastAsia="宋体"/>
      <w:sz w:val="24"/>
    </w:rPr>
  </w:style>
  <w:style w:type="character" w:customStyle="1" w:styleId="49">
    <w:name w:val="标题 3 字符"/>
    <w:basedOn w:val="30"/>
    <w:link w:val="4"/>
    <w:autoRedefine/>
    <w:qFormat/>
    <w:uiPriority w:val="9"/>
    <w:rPr>
      <w:rFonts w:ascii="宋体" w:hAnsi="宋体" w:eastAsia="宋体"/>
      <w:b/>
      <w:bCs/>
      <w:sz w:val="32"/>
      <w:szCs w:val="32"/>
    </w:rPr>
  </w:style>
  <w:style w:type="character" w:customStyle="1" w:styleId="50">
    <w:name w:val="标题 4 字符"/>
    <w:basedOn w:val="30"/>
    <w:link w:val="5"/>
    <w:autoRedefine/>
    <w:qFormat/>
    <w:uiPriority w:val="9"/>
    <w:rPr>
      <w:rFonts w:eastAsia="宋体" w:asciiTheme="majorHAnsi" w:hAnsiTheme="majorHAnsi" w:cstheme="majorBidi"/>
      <w:b/>
      <w:bCs/>
      <w:sz w:val="28"/>
      <w:szCs w:val="28"/>
    </w:rPr>
  </w:style>
  <w:style w:type="character" w:customStyle="1" w:styleId="51">
    <w:name w:val="无间隔 字符"/>
    <w:link w:val="46"/>
    <w:qFormat/>
    <w:uiPriority w:val="1"/>
    <w:rPr>
      <w:rFonts w:ascii="宋体" w:hAnsi="宋体" w:eastAsia="宋体"/>
    </w:rPr>
  </w:style>
  <w:style w:type="character" w:customStyle="1" w:styleId="52">
    <w:name w:val="批注主题 字符"/>
    <w:basedOn w:val="47"/>
    <w:link w:val="26"/>
    <w:semiHidden/>
    <w:qFormat/>
    <w:uiPriority w:val="99"/>
    <w:rPr>
      <w:rFonts w:ascii="宋体" w:hAnsi="宋体" w:eastAsia="宋体"/>
      <w:b/>
      <w:bCs/>
      <w:kern w:val="2"/>
      <w:sz w:val="24"/>
      <w:szCs w:val="22"/>
    </w:rPr>
  </w:style>
  <w:style w:type="paragraph" w:customStyle="1" w:styleId="5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4">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5">
    <w:name w:val="正文1"/>
    <w:autoRedefine/>
    <w:qFormat/>
    <w:uiPriority w:val="0"/>
    <w:pPr>
      <w:widowControl w:val="0"/>
      <w:jc w:val="both"/>
    </w:pPr>
    <w:rPr>
      <w:rFonts w:ascii="Calibri" w:hAnsi="Calibri" w:eastAsia="宋体" w:cs="Times New Roman"/>
      <w:lang w:val="en-US" w:eastAsia="zh-CN" w:bidi="ar-SA"/>
    </w:rPr>
  </w:style>
  <w:style w:type="paragraph" w:customStyle="1" w:styleId="56">
    <w:name w:val="正文_2"/>
    <w:autoRedefine/>
    <w:qFormat/>
    <w:uiPriority w:val="0"/>
    <w:pPr>
      <w:widowControl w:val="0"/>
      <w:jc w:val="both"/>
    </w:pPr>
    <w:rPr>
      <w:rFonts w:ascii="Calibri" w:hAnsi="Calibri" w:eastAsia="宋体" w:cs="Times New Roman"/>
      <w:lang w:val="en-US" w:eastAsia="zh-CN" w:bidi="ar-SA"/>
    </w:rPr>
  </w:style>
  <w:style w:type="paragraph" w:customStyle="1" w:styleId="57">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8">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60">
    <w:name w:val="列出段落1"/>
    <w:basedOn w:val="1"/>
    <w:autoRedefine/>
    <w:qFormat/>
    <w:uiPriority w:val="0"/>
    <w:pPr>
      <w:ind w:firstLine="420" w:firstLineChars="200"/>
    </w:pPr>
    <w:rPr>
      <w:szCs w:val="21"/>
    </w:rPr>
  </w:style>
  <w:style w:type="paragraph" w:customStyle="1" w:styleId="61">
    <w:name w:val="Normal_22"/>
    <w:autoRedefine/>
    <w:qFormat/>
    <w:uiPriority w:val="0"/>
    <w:rPr>
      <w:rFonts w:ascii="Times New Roman" w:hAnsi="Times New Roman" w:eastAsia="Times New Roman" w:cs="Times New Roman"/>
      <w:sz w:val="24"/>
      <w:szCs w:val="24"/>
      <w:lang w:bidi="ar-SA"/>
    </w:rPr>
  </w:style>
  <w:style w:type="paragraph" w:customStyle="1" w:styleId="62">
    <w:name w:val="Char Char Char Char Char Char Char1 Char"/>
    <w:basedOn w:val="1"/>
    <w:autoRedefine/>
    <w:qFormat/>
    <w:uiPriority w:val="0"/>
    <w:rPr>
      <w:rFonts w:ascii="Arial" w:hAnsi="Arial" w:eastAsia="宋体" w:cs="Arial"/>
      <w:sz w:val="24"/>
    </w:rPr>
  </w:style>
  <w:style w:type="paragraph" w:customStyle="1" w:styleId="63">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64">
    <w:name w:val="正文_0_0_0"/>
    <w:qFormat/>
    <w:uiPriority w:val="0"/>
    <w:pPr>
      <w:widowControl w:val="0"/>
      <w:jc w:val="both"/>
    </w:pPr>
    <w:rPr>
      <w:rFonts w:ascii="Calibri" w:hAnsi="Calibri"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118</Pages>
  <Words>16185</Words>
  <Characters>17235</Characters>
  <Lines>294</Lines>
  <Paragraphs>82</Paragraphs>
  <TotalTime>3</TotalTime>
  <ScaleCrop>false</ScaleCrop>
  <LinksUpToDate>false</LinksUpToDate>
  <CharactersWithSpaces>17953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2024-02-04T06:30:00Z</dcterms:created>
  <dc:creator>admin</dc:creator>
  <cp:lastModifiedBy>珍贞</cp:lastModifiedBy>
  <cp:lastPrinted>2025-03-18T03:27:00Z</cp:lastPrinted>
  <dcterms:modified xsi:type="dcterms:W3CDTF">2026-06-16T10:24:40Z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004F7C0D4A764284A8AE01A75DAA14D2_13</vt:lpwstr>
  </property>
  <property fmtid="{D5CDD505-2E9C-101B-9397-08002B2CF9AE}" pid="4" name="KSOTemplateDocerSaveRecord">
    <vt:lpwstr>eyJoZGlkIjoiNTNmOWQ1ZTlhMDJhMWEyYmQ5ZjQzNjAyYTFiM2VhOTUiLCJ1c2VySWQiOiI0NjI1MDI5MzMifQ==</vt:lpwstr>
  </property>
</Properties>
</file>