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6D83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2026年浙东南旅游联合体营销推广项目</w:t>
      </w:r>
    </w:p>
    <w:p w14:paraId="15EE185A">
      <w:pPr>
        <w:kinsoku/>
        <w:wordWrap w:val="0"/>
        <w:overflowPunct/>
        <w:topLinePunct w:val="0"/>
        <w:bidi w:val="0"/>
        <w:jc w:val="center"/>
        <w:outlineLvl w:val="0"/>
        <w:rPr>
          <w:rFonts w:hint="eastAsia" w:ascii="仿宋" w:hAnsi="仿宋" w:eastAsia="仿宋" w:cs="仿宋"/>
          <w:b/>
          <w:color w:val="auto"/>
          <w:sz w:val="72"/>
          <w:szCs w:val="72"/>
          <w:highlight w:val="none"/>
        </w:rPr>
      </w:pPr>
      <w:bookmarkStart w:id="157" w:name="_GoBack"/>
      <w:bookmarkEnd w:id="157"/>
    </w:p>
    <w:p w14:paraId="15963809">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DE0760A">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87288F3">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9C16F2E">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CD673DB">
      <w:pPr>
        <w:kinsoku/>
        <w:wordWrap w:val="0"/>
        <w:overflowPunct/>
        <w:topLinePunct w:val="0"/>
        <w:bidi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33589CC">
      <w:pPr>
        <w:kinsoku/>
        <w:wordWrap w:val="0"/>
        <w:overflowPunct/>
        <w:topLinePunct w:val="0"/>
        <w:bidi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3FA0145">
      <w:pPr>
        <w:kinsoku/>
        <w:wordWrap w:val="0"/>
        <w:overflowPunct/>
        <w:topLinePunct w:val="0"/>
        <w:bidi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F193CA1">
      <w:pPr>
        <w:pStyle w:val="4"/>
        <w:kinsoku/>
        <w:wordWrap w:val="0"/>
        <w:overflowPunct/>
        <w:topLinePunct w:val="0"/>
        <w:bidi w:val="0"/>
        <w:rPr>
          <w:rFonts w:hint="eastAsia" w:ascii="仿宋" w:hAnsi="仿宋" w:eastAsia="仿宋" w:cs="仿宋"/>
          <w:b/>
          <w:color w:val="auto"/>
          <w:sz w:val="44"/>
          <w:szCs w:val="44"/>
          <w:highlight w:val="none"/>
        </w:rPr>
      </w:pPr>
    </w:p>
    <w:p w14:paraId="5BC7C596">
      <w:pPr>
        <w:kinsoku/>
        <w:wordWrap w:val="0"/>
        <w:overflowPunct/>
        <w:topLinePunct w:val="0"/>
        <w:bidi w:val="0"/>
        <w:rPr>
          <w:rFonts w:hint="eastAsia" w:ascii="仿宋" w:hAnsi="仿宋" w:eastAsia="仿宋" w:cs="仿宋"/>
          <w:color w:val="auto"/>
          <w:highlight w:val="none"/>
        </w:rPr>
      </w:pPr>
    </w:p>
    <w:p w14:paraId="1A8C3383">
      <w:pPr>
        <w:kinsoku/>
        <w:wordWrap w:val="0"/>
        <w:overflowPunct/>
        <w:topLinePunct w:val="0"/>
        <w:bidi w:val="0"/>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仿宋" w:hAnsi="仿宋" w:eastAsia="仿宋" w:cs="仿宋"/>
          <w:b w:val="0"/>
          <w:bCs/>
          <w:color w:val="auto"/>
          <w:sz w:val="28"/>
          <w:szCs w:val="28"/>
          <w:highlight w:val="none"/>
          <w:lang w:eastAsia="zh-CN"/>
        </w:rPr>
        <w:t>招标编号:330600262690010000007-HC2026-05-07</w:t>
      </w:r>
    </w:p>
    <w:tbl>
      <w:tblPr>
        <w:tblStyle w:val="63"/>
        <w:tblW w:w="7801" w:type="dxa"/>
        <w:jc w:val="center"/>
        <w:tblLayout w:type="fixed"/>
        <w:tblCellMar>
          <w:top w:w="0" w:type="dxa"/>
          <w:left w:w="108" w:type="dxa"/>
          <w:bottom w:w="0" w:type="dxa"/>
          <w:right w:w="108" w:type="dxa"/>
        </w:tblCellMar>
      </w:tblPr>
      <w:tblGrid>
        <w:gridCol w:w="2356"/>
        <w:gridCol w:w="5445"/>
      </w:tblGrid>
      <w:tr w14:paraId="55EE7A56">
        <w:tblPrEx>
          <w:tblCellMar>
            <w:top w:w="0" w:type="dxa"/>
            <w:left w:w="108" w:type="dxa"/>
            <w:bottom w:w="0" w:type="dxa"/>
            <w:right w:w="108" w:type="dxa"/>
          </w:tblCellMar>
        </w:tblPrEx>
        <w:trPr>
          <w:trHeight w:val="443" w:hRule="atLeast"/>
          <w:jc w:val="center"/>
        </w:trPr>
        <w:tc>
          <w:tcPr>
            <w:tcW w:w="2356" w:type="dxa"/>
          </w:tcPr>
          <w:p w14:paraId="5866B82A">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8CAA50F">
            <w:pPr>
              <w:kinsoku/>
              <w:wordWrap w:val="0"/>
              <w:overflowPunct/>
              <w:topLinePunct w:val="0"/>
              <w:bidi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绍兴市文化广电旅游局</w:t>
            </w:r>
          </w:p>
        </w:tc>
      </w:tr>
      <w:tr w14:paraId="34A14B89">
        <w:tblPrEx>
          <w:tblCellMar>
            <w:top w:w="0" w:type="dxa"/>
            <w:left w:w="108" w:type="dxa"/>
            <w:bottom w:w="0" w:type="dxa"/>
            <w:right w:w="108" w:type="dxa"/>
          </w:tblCellMar>
        </w:tblPrEx>
        <w:trPr>
          <w:trHeight w:val="494" w:hRule="atLeast"/>
          <w:jc w:val="center"/>
        </w:trPr>
        <w:tc>
          <w:tcPr>
            <w:tcW w:w="2356" w:type="dxa"/>
          </w:tcPr>
          <w:p w14:paraId="464D6765">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811156363"/>
              </w:rPr>
              <w:t>采购代理机构</w:t>
            </w:r>
            <w:r>
              <w:rPr>
                <w:rFonts w:hint="eastAsia" w:ascii="仿宋" w:hAnsi="仿宋" w:eastAsia="仿宋" w:cs="仿宋"/>
                <w:color w:val="auto"/>
                <w:sz w:val="28"/>
                <w:szCs w:val="28"/>
                <w:highlight w:val="none"/>
              </w:rPr>
              <w:t>：</w:t>
            </w:r>
          </w:p>
        </w:tc>
        <w:tc>
          <w:tcPr>
            <w:tcW w:w="5445" w:type="dxa"/>
            <w:vAlign w:val="top"/>
          </w:tcPr>
          <w:p w14:paraId="0ADCB318">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浙江华诚工程管理有限公司</w:t>
            </w:r>
          </w:p>
        </w:tc>
      </w:tr>
      <w:tr w14:paraId="1591ED8F">
        <w:tblPrEx>
          <w:tblCellMar>
            <w:top w:w="0" w:type="dxa"/>
            <w:left w:w="108" w:type="dxa"/>
            <w:bottom w:w="0" w:type="dxa"/>
            <w:right w:w="108" w:type="dxa"/>
          </w:tblCellMar>
        </w:tblPrEx>
        <w:trPr>
          <w:trHeight w:val="490" w:hRule="atLeast"/>
          <w:jc w:val="center"/>
        </w:trPr>
        <w:tc>
          <w:tcPr>
            <w:tcW w:w="2356" w:type="dxa"/>
            <w:vAlign w:val="center"/>
          </w:tcPr>
          <w:p w14:paraId="43DB647A">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652623389"/>
              </w:rPr>
              <w:t>监督单</w:t>
            </w:r>
            <w:r>
              <w:rPr>
                <w:rFonts w:hint="eastAsia" w:ascii="仿宋" w:hAnsi="仿宋" w:eastAsia="仿宋" w:cs="仿宋"/>
                <w:color w:val="auto"/>
                <w:spacing w:val="1"/>
                <w:kern w:val="0"/>
                <w:sz w:val="28"/>
                <w:szCs w:val="28"/>
                <w:highlight w:val="none"/>
                <w:fitText w:val="1680" w:id="652623389"/>
              </w:rPr>
              <w:t>位</w:t>
            </w:r>
            <w:r>
              <w:rPr>
                <w:rFonts w:hint="eastAsia" w:ascii="仿宋" w:hAnsi="仿宋" w:eastAsia="仿宋" w:cs="仿宋"/>
                <w:color w:val="auto"/>
                <w:sz w:val="28"/>
                <w:szCs w:val="28"/>
                <w:highlight w:val="none"/>
              </w:rPr>
              <w:t>：</w:t>
            </w:r>
          </w:p>
        </w:tc>
        <w:tc>
          <w:tcPr>
            <w:tcW w:w="5445" w:type="dxa"/>
            <w:vAlign w:val="top"/>
          </w:tcPr>
          <w:p w14:paraId="3EE95BA2">
            <w:pPr>
              <w:kinsoku/>
              <w:wordWrap w:val="0"/>
              <w:overflowPunct/>
              <w:topLinePunct w:val="0"/>
              <w:bidi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F685B72">
        <w:tblPrEx>
          <w:tblCellMar>
            <w:top w:w="0" w:type="dxa"/>
            <w:left w:w="108" w:type="dxa"/>
            <w:bottom w:w="0" w:type="dxa"/>
            <w:right w:w="108" w:type="dxa"/>
          </w:tblCellMar>
        </w:tblPrEx>
        <w:trPr>
          <w:trHeight w:val="333" w:hRule="atLeast"/>
          <w:jc w:val="center"/>
        </w:trPr>
        <w:tc>
          <w:tcPr>
            <w:tcW w:w="7801" w:type="dxa"/>
            <w:gridSpan w:val="2"/>
          </w:tcPr>
          <w:p w14:paraId="1D59BA34">
            <w:pPr>
              <w:kinsoku/>
              <w:wordWrap w:val="0"/>
              <w:overflowPunct/>
              <w:topLinePunct w:val="0"/>
              <w:bidi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7621C3EC">
      <w:pPr>
        <w:pStyle w:val="636"/>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78E27EBD">
      <w:pPr>
        <w:pStyle w:val="636"/>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71E463D1">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184E7F8">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ACB686D">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6D99CB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BDC4E8B">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29A7D42">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70589E5">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D632F01">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6D619E2">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7C2E5D4">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23B3FF0">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9A27A6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559849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9701716">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E399D84">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D0ABC6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AB2FE02">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C8DCB54">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62FD8E2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80FCDA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AAC32FA">
      <w:pPr>
        <w:kinsoku/>
        <w:wordWrap w:val="0"/>
        <w:overflowPunct/>
        <w:topLinePunct w:val="0"/>
        <w:bidi w:val="0"/>
        <w:spacing w:line="360" w:lineRule="auto"/>
        <w:rPr>
          <w:rFonts w:hint="eastAsia" w:ascii="仿宋" w:hAnsi="仿宋" w:eastAsia="仿宋" w:cs="仿宋"/>
          <w:color w:val="auto"/>
          <w:sz w:val="24"/>
          <w:highlight w:val="none"/>
        </w:rPr>
      </w:pPr>
    </w:p>
    <w:bookmarkEnd w:id="1"/>
    <w:p w14:paraId="17A5DA63">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AFB1806">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01D3420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36E5DD87">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406FDA07">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2E4C541D">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2026年浙东南旅游联合体营销推广项目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w:t>
      </w:r>
      <w:r>
        <w:rPr>
          <w:rStyle w:val="77"/>
          <w:rFonts w:hint="eastAsia" w:ascii="仿宋_GB2312" w:hAnsi="仿宋_GB2312" w:eastAsia="仿宋_GB2312" w:cs="仿宋_GB2312"/>
          <w:snapToGrid/>
          <w:color w:val="auto"/>
          <w:kern w:val="2"/>
          <w:sz w:val="24"/>
          <w:szCs w:val="24"/>
          <w:highlight w:val="none"/>
          <w:lang w:val="en-US" w:eastAsia="zh-CN"/>
        </w:rPr>
        <w:t>6</w:t>
      </w:r>
      <w:r>
        <w:rPr>
          <w:rStyle w:val="77"/>
          <w:rFonts w:hint="eastAsia" w:ascii="仿宋_GB2312" w:hAnsi="仿宋_GB2312" w:eastAsia="仿宋_GB2312" w:cs="仿宋_GB2312"/>
          <w:snapToGrid/>
          <w:color w:val="auto"/>
          <w:kern w:val="2"/>
          <w:sz w:val="24"/>
          <w:szCs w:val="24"/>
          <w:highlight w:val="none"/>
        </w:rPr>
        <w:t>年</w:t>
      </w:r>
      <w:r>
        <w:rPr>
          <w:rStyle w:val="77"/>
          <w:rFonts w:hint="eastAsia" w:ascii="仿宋_GB2312" w:hAnsi="仿宋_GB2312" w:eastAsia="仿宋_GB2312" w:cs="仿宋_GB2312"/>
          <w:snapToGrid/>
          <w:color w:val="auto"/>
          <w:kern w:val="2"/>
          <w:sz w:val="24"/>
          <w:szCs w:val="24"/>
          <w:highlight w:val="none"/>
          <w:lang w:val="en-US" w:eastAsia="zh-CN"/>
        </w:rPr>
        <w:t>6</w:t>
      </w:r>
      <w:r>
        <w:rPr>
          <w:rStyle w:val="77"/>
          <w:rFonts w:hint="eastAsia" w:ascii="仿宋_GB2312" w:hAnsi="仿宋_GB2312" w:eastAsia="仿宋_GB2312" w:cs="仿宋_GB2312"/>
          <w:snapToGrid/>
          <w:color w:val="auto"/>
          <w:kern w:val="2"/>
          <w:sz w:val="24"/>
          <w:szCs w:val="24"/>
          <w:highlight w:val="none"/>
        </w:rPr>
        <w:t>月</w:t>
      </w:r>
      <w:r>
        <w:rPr>
          <w:rStyle w:val="77"/>
          <w:rFonts w:hint="eastAsia" w:ascii="仿宋_GB2312" w:hAnsi="仿宋_GB2312" w:eastAsia="仿宋_GB2312" w:cs="仿宋_GB2312"/>
          <w:snapToGrid/>
          <w:color w:val="auto"/>
          <w:kern w:val="2"/>
          <w:sz w:val="24"/>
          <w:szCs w:val="24"/>
          <w:highlight w:val="none"/>
          <w:lang w:val="en-US" w:eastAsia="zh-CN"/>
        </w:rPr>
        <w:t>1</w:t>
      </w:r>
      <w:r>
        <w:rPr>
          <w:rStyle w:val="77"/>
          <w:rFonts w:hint="eastAsia" w:ascii="仿宋_GB2312" w:hAnsi="仿宋_GB2312" w:eastAsia="仿宋_GB2312" w:cs="仿宋_GB2312"/>
          <w:snapToGrid/>
          <w:color w:val="auto"/>
          <w:kern w:val="2"/>
          <w:sz w:val="24"/>
          <w:szCs w:val="24"/>
          <w:highlight w:val="none"/>
        </w:rPr>
        <w:t>日</w:t>
      </w:r>
      <w:r>
        <w:rPr>
          <w:rStyle w:val="77"/>
          <w:rFonts w:hint="eastAsia" w:ascii="仿宋_GB2312" w:hAnsi="仿宋_GB2312" w:eastAsia="仿宋_GB2312" w:cs="仿宋_GB2312"/>
          <w:snapToGrid/>
          <w:color w:val="auto"/>
          <w:kern w:val="2"/>
          <w:sz w:val="24"/>
          <w:szCs w:val="24"/>
          <w:highlight w:val="none"/>
          <w:lang w:val="en-US" w:eastAsia="zh-CN"/>
        </w:rPr>
        <w:t>9</w:t>
      </w:r>
      <w:r>
        <w:rPr>
          <w:rStyle w:val="77"/>
          <w:rFonts w:hint="eastAsia" w:ascii="仿宋_GB2312" w:hAnsi="仿宋_GB2312" w:eastAsia="仿宋_GB2312" w:cs="仿宋_GB2312"/>
          <w:snapToGrid/>
          <w:color w:val="auto"/>
          <w:kern w:val="2"/>
          <w:sz w:val="24"/>
          <w:szCs w:val="24"/>
          <w:highlight w:val="none"/>
        </w:rPr>
        <w:t>点</w:t>
      </w:r>
      <w:r>
        <w:rPr>
          <w:rStyle w:val="77"/>
          <w:rFonts w:hint="eastAsia" w:ascii="仿宋_GB2312" w:hAnsi="仿宋_GB2312" w:eastAsia="仿宋_GB2312" w:cs="仿宋_GB2312"/>
          <w:snapToGrid/>
          <w:color w:val="auto"/>
          <w:kern w:val="2"/>
          <w:sz w:val="24"/>
          <w:szCs w:val="24"/>
          <w:highlight w:val="none"/>
          <w:lang w:val="en-US" w:eastAsia="zh-CN"/>
        </w:rPr>
        <w:t>00</w:t>
      </w:r>
      <w:r>
        <w:rPr>
          <w:rStyle w:val="77"/>
          <w:rFonts w:hint="eastAsia" w:ascii="仿宋_GB2312" w:hAnsi="仿宋_GB2312" w:eastAsia="仿宋_GB2312" w:cs="仿宋_GB2312"/>
          <w:snapToGrid/>
          <w:color w:val="auto"/>
          <w:kern w:val="2"/>
          <w:sz w:val="24"/>
          <w:szCs w:val="24"/>
          <w:highlight w:val="none"/>
        </w:rPr>
        <w:t>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611134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4C48E60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330600262690010000007-HC2026-05-07</w:t>
      </w:r>
    </w:p>
    <w:p w14:paraId="39E661BF">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2026年浙东南旅游联合体营销推广项目</w:t>
      </w:r>
      <w:r>
        <w:rPr>
          <w:rFonts w:hint="eastAsia" w:ascii="仿宋_GB2312" w:hAnsi="仿宋_GB2312" w:eastAsia="仿宋_GB2312" w:cs="仿宋_GB2312"/>
          <w:color w:val="auto"/>
          <w:sz w:val="24"/>
          <w:highlight w:val="none"/>
          <w:lang w:val="en-US" w:eastAsia="zh-CN"/>
        </w:rPr>
        <w:t xml:space="preserve"> </w:t>
      </w:r>
    </w:p>
    <w:p w14:paraId="23EAF6C7">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1420000</w:t>
      </w:r>
      <w:r>
        <w:rPr>
          <w:rFonts w:hint="eastAsia" w:ascii="仿宋_GB2312" w:hAnsi="仿宋_GB2312" w:eastAsia="仿宋_GB2312" w:cs="仿宋_GB2312"/>
          <w:b/>
          <w:color w:val="auto"/>
          <w:sz w:val="24"/>
          <w:highlight w:val="none"/>
        </w:rPr>
        <w:t xml:space="preserve"> </w:t>
      </w:r>
    </w:p>
    <w:p w14:paraId="46957A1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1420000</w:t>
      </w:r>
      <w:r>
        <w:rPr>
          <w:rFonts w:hint="eastAsia" w:ascii="仿宋_GB2312" w:hAnsi="仿宋_GB2312" w:eastAsia="仿宋_GB2312" w:cs="仿宋_GB2312"/>
          <w:b/>
          <w:color w:val="auto"/>
          <w:sz w:val="24"/>
          <w:highlight w:val="none"/>
        </w:rPr>
        <w:t xml:space="preserve"> </w:t>
      </w:r>
    </w:p>
    <w:p w14:paraId="4592541E">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3292E6C2">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11E05709">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2026年浙东南旅游联合体营销推广项目</w:t>
      </w:r>
    </w:p>
    <w:p w14:paraId="770457E3">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5120369D">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1420000</w:t>
      </w:r>
    </w:p>
    <w:p w14:paraId="4F123060">
      <w:pPr>
        <w:keepNext w:val="0"/>
        <w:keepLines w:val="0"/>
        <w:pageBreakBefore w:val="0"/>
        <w:widowControl w:val="0"/>
        <w:tabs>
          <w:tab w:val="left" w:pos="3150"/>
        </w:tabs>
        <w:kinsoku/>
        <w:wordWrap w:val="0"/>
        <w:overflowPunct/>
        <w:topLinePunct w:val="0"/>
        <w:autoSpaceDE/>
        <w:autoSpaceDN/>
        <w:bidi w:val="0"/>
        <w:adjustRightInd w:val="0"/>
        <w:snapToGrid/>
        <w:spacing w:line="40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38E83097">
      <w:pPr>
        <w:keepNext w:val="0"/>
        <w:keepLines w:val="0"/>
        <w:pageBreakBefore w:val="0"/>
        <w:widowControl w:val="0"/>
        <w:tabs>
          <w:tab w:val="left" w:pos="3150"/>
        </w:tabs>
        <w:kinsoku/>
        <w:wordWrap w:val="0"/>
        <w:overflowPunct/>
        <w:topLinePunct w:val="0"/>
        <w:autoSpaceDE/>
        <w:autoSpaceDN/>
        <w:bidi w:val="0"/>
        <w:adjustRightInd w:val="0"/>
        <w:snapToGrid/>
        <w:spacing w:after="313" w:afterLines="100" w:line="40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备注：无</w:t>
      </w:r>
    </w:p>
    <w:p w14:paraId="7BFB425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476ED27D">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b/>
              <w:color w:val="auto"/>
              <w:sz w:val="24"/>
              <w:highlight w:val="none"/>
            </w:rPr>
            <w:t>☐</w:t>
          </w:r>
        </w:sdtContent>
      </w:sdt>
      <w:r>
        <w:rPr>
          <w:rFonts w:hint="eastAsia" w:ascii="仿宋_GB2312" w:hAnsi="仿宋_GB2312" w:eastAsia="仿宋_GB2312" w:cs="仿宋_GB2312"/>
          <w:b/>
          <w:color w:val="auto"/>
          <w:sz w:val="24"/>
          <w:highlight w:val="none"/>
        </w:rPr>
        <w:t>是，</w:t>
      </w:r>
      <w:sdt>
        <w:sdtPr>
          <w:rPr>
            <w:rFonts w:hint="eastAsia" w:ascii="仿宋_GB2312" w:hAnsi="仿宋_GB2312" w:eastAsia="仿宋_GB2312" w:cs="仿宋_GB2312"/>
            <w:color w:val="auto"/>
            <w:kern w:val="0"/>
            <w:sz w:val="24"/>
            <w:highlight w:val="none"/>
          </w:rPr>
          <w:id w:val="147470291"/>
        </w:sdtPr>
        <w:sdtEndPr>
          <w:rPr>
            <w:rFonts w:hint="eastAsia" w:ascii="仿宋_GB2312" w:hAnsi="仿宋_GB2312" w:eastAsia="仿宋_GB2312" w:cs="仿宋_GB2312"/>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_GB2312" w:hAnsi="仿宋_GB2312" w:eastAsia="仿宋_GB2312" w:cs="仿宋_GB2312"/>
          <w:b/>
          <w:color w:val="auto"/>
          <w:sz w:val="24"/>
          <w:highlight w:val="none"/>
        </w:rPr>
        <w:t>否。</w:t>
      </w:r>
    </w:p>
    <w:p w14:paraId="7F5A1FB8">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09DA4CD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46322D3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138DE56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508090C3">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7926"/>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7472448"/>
            </w:sdtPr>
            <w:sdtEndPr>
              <w:rPr>
                <w:rFonts w:hint="eastAsia" w:ascii="仿宋_GB2312" w:hAnsi="仿宋_GB2312" w:eastAsia="仿宋_GB2312" w:cs="仿宋_GB2312"/>
                <w:color w:val="auto"/>
                <w:kern w:val="0"/>
                <w:sz w:val="24"/>
                <w:highlight w:val="none"/>
              </w:rPr>
            </w:sdtEndPr>
            <w:sdtContent>
              <w:r>
                <w:rPr>
                  <w:rFonts w:hint="eastAsia" w:ascii="仿宋" w:hAnsi="仿宋" w:eastAsia="仿宋" w:cs="仿宋"/>
                  <w:color w:val="auto"/>
                  <w:kern w:val="0"/>
                  <w:sz w:val="24"/>
                  <w:highlight w:val="none"/>
                  <w:lang w:eastAsia="zh-CN"/>
                </w:rPr>
                <w:t>□</w:t>
              </w:r>
            </w:sdtContent>
          </w:sdt>
        </w:sdtContent>
      </w:sdt>
      <w:r>
        <w:rPr>
          <w:rFonts w:hint="eastAsia" w:ascii="仿宋_GB2312" w:hAnsi="仿宋_GB2312" w:eastAsia="仿宋_GB2312" w:cs="仿宋_GB2312"/>
          <w:color w:val="auto"/>
          <w:sz w:val="24"/>
          <w:highlight w:val="none"/>
        </w:rPr>
        <w:t>无；</w:t>
      </w:r>
    </w:p>
    <w:p w14:paraId="07A567E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3162"/>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7473843"/>
            </w:sdtPr>
            <w:sdtEndPr>
              <w:rPr>
                <w:rFonts w:hint="eastAsia" w:ascii="仿宋_GB2312" w:hAnsi="仿宋_GB2312" w:eastAsia="仿宋_GB2312" w:cs="仿宋_GB2312"/>
                <w:color w:val="auto"/>
                <w:kern w:val="0"/>
                <w:sz w:val="24"/>
                <w:highlight w:val="none"/>
              </w:rPr>
            </w:sdtEndPr>
            <w:sdtContent>
              <w:r>
                <w:rPr>
                  <w:rFonts w:hint="eastAsia" w:ascii="仿宋" w:hAnsi="仿宋" w:eastAsia="仿宋" w:cs="仿宋"/>
                  <w:color w:val="auto"/>
                  <w:kern w:val="0"/>
                  <w:sz w:val="24"/>
                  <w:highlight w:val="none"/>
                  <w:lang w:eastAsia="zh-CN"/>
                </w:rPr>
                <w:t>☑</w:t>
              </w:r>
            </w:sdtContent>
          </w:sdt>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580AA596">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0135"/>
        </w:sdtPr>
        <w:sdtEndPr>
          <w:rPr>
            <w:rFonts w:hint="eastAsia" w:ascii="仿宋_GB2312" w:hAnsi="仿宋_GB2312" w:eastAsia="仿宋_GB2312" w:cs="仿宋_GB2312"/>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3EFCA630">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42BEE564">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23E3361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12B7AA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eastAsia="zh-CN"/>
        </w:rPr>
        <w:t>无</w:t>
      </w:r>
      <w:r>
        <w:rPr>
          <w:rFonts w:hint="eastAsia" w:ascii="仿宋_GB2312" w:hAnsi="仿宋_GB2312" w:eastAsia="仿宋_GB2312" w:cs="仿宋_GB2312"/>
          <w:color w:val="auto"/>
          <w:sz w:val="24"/>
          <w:highlight w:val="none"/>
        </w:rPr>
        <w:t>；</w:t>
      </w:r>
    </w:p>
    <w:p w14:paraId="24BE2F4C">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70369E9">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0FEC952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6AE8D5B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1E1128E8">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1E84CBF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339ADFBC">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47C74A6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796B4949">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4309F6A7">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年</w:t>
      </w:r>
      <w:r>
        <w:rPr>
          <w:rFonts w:hint="eastAsia" w:ascii="仿宋_GB2312" w:hAnsi="仿宋_GB2312" w:eastAsia="仿宋_GB2312" w:cs="仿宋_GB2312"/>
          <w:color w:val="auto"/>
          <w:sz w:val="24"/>
          <w:highlight w:val="none"/>
          <w:u w:val="single"/>
          <w:lang w:val="en-US" w:eastAsia="zh-CN"/>
        </w:rPr>
        <w:t>6</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9</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00</w:t>
      </w:r>
      <w:r>
        <w:rPr>
          <w:rFonts w:hint="eastAsia" w:ascii="仿宋_GB2312" w:hAnsi="仿宋_GB2312" w:eastAsia="仿宋_GB2312" w:cs="仿宋_GB2312"/>
          <w:color w:val="auto"/>
          <w:sz w:val="24"/>
          <w:highlight w:val="none"/>
          <w:u w:val="single"/>
        </w:rPr>
        <w:t>分00秒</w:t>
      </w:r>
      <w:r>
        <w:rPr>
          <w:rFonts w:hint="eastAsia" w:ascii="仿宋_GB2312" w:hAnsi="仿宋_GB2312" w:eastAsia="仿宋_GB2312" w:cs="仿宋_GB2312"/>
          <w:bCs/>
          <w:color w:val="auto"/>
          <w:sz w:val="24"/>
          <w:highlight w:val="none"/>
          <w:u w:val="single"/>
        </w:rPr>
        <w:t xml:space="preserve">  </w:t>
      </w:r>
    </w:p>
    <w:p w14:paraId="6E8DD87B">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5BA3B4F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0826BA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265CC8D1">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0352EC9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14:paraId="4645AC3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519E237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76021A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FA4E8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45710704">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6F9A76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绍兴市文化广电旅游局</w:t>
      </w:r>
    </w:p>
    <w:p w14:paraId="5A6E9A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址：绍兴市洋江西路530号 </w:t>
      </w:r>
    </w:p>
    <w:p w14:paraId="7A1C56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CBFA0FC">
      <w:pPr>
        <w:keepNext w:val="0"/>
        <w:keepLines w:val="0"/>
        <w:pageBreakBefore w:val="0"/>
        <w:widowControl/>
        <w:kinsoku/>
        <w:wordWrap/>
        <w:overflowPunct/>
        <w:topLinePunct w:val="0"/>
        <w:autoSpaceDE/>
        <w:autoSpaceDN/>
        <w:bidi w:val="0"/>
        <w:adjustRightInd/>
        <w:snapToGrid w:val="0"/>
        <w:spacing w:line="348" w:lineRule="auto"/>
        <w:ind w:firstLine="480" w:firstLineChars="200"/>
        <w:textAlignment w:val="auto"/>
        <w:rPr>
          <w:rFonts w:hint="eastAsia" w:ascii="仿宋" w:hAnsi="仿宋" w:eastAsia="仿宋" w:cs="仿宋"/>
          <w:color w:val="auto"/>
          <w:kern w:val="0"/>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kern w:val="0"/>
          <w:sz w:val="24"/>
          <w:highlight w:val="none"/>
        </w:rPr>
        <w:t>项目联系人（询问）：</w:t>
      </w:r>
      <w:r>
        <w:rPr>
          <w:rFonts w:hint="eastAsia" w:ascii="仿宋" w:hAnsi="仿宋" w:eastAsia="仿宋" w:cs="仿宋"/>
          <w:color w:val="auto"/>
          <w:sz w:val="24"/>
          <w:highlight w:val="none"/>
        </w:rPr>
        <w:t xml:space="preserve">龚丽丹 </w:t>
      </w:r>
    </w:p>
    <w:p w14:paraId="5CFC66F2">
      <w:pPr>
        <w:keepNext w:val="0"/>
        <w:keepLines w:val="0"/>
        <w:pageBreakBefore w:val="0"/>
        <w:widowControl/>
        <w:kinsoku/>
        <w:wordWrap/>
        <w:overflowPunct/>
        <w:topLinePunct w:val="0"/>
        <w:autoSpaceDE/>
        <w:autoSpaceDN/>
        <w:bidi w:val="0"/>
        <w:adjustRightInd/>
        <w:snapToGrid w:val="0"/>
        <w:spacing w:line="34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hint="eastAsia" w:ascii="宋体" w:hAnsi="宋体" w:eastAsia="宋体" w:cs="宋体"/>
          <w:color w:val="auto"/>
          <w:sz w:val="24"/>
          <w:szCs w:val="24"/>
          <w:highlight w:val="none"/>
        </w:rPr>
        <w:t>0575-89180879</w:t>
      </w:r>
      <w:r>
        <w:rPr>
          <w:rFonts w:hint="eastAsia" w:ascii="仿宋" w:hAnsi="仿宋" w:eastAsia="仿宋" w:cs="仿宋"/>
          <w:color w:val="auto"/>
          <w:sz w:val="24"/>
          <w:highlight w:val="none"/>
          <w:lang w:val="en-US" w:eastAsia="zh-CN"/>
        </w:rPr>
        <w:t xml:space="preserve"> </w:t>
      </w:r>
    </w:p>
    <w:p w14:paraId="7AAC1BA6">
      <w:pPr>
        <w:keepNext w:val="0"/>
        <w:keepLines w:val="0"/>
        <w:pageBreakBefore w:val="0"/>
        <w:widowControl/>
        <w:kinsoku/>
        <w:wordWrap/>
        <w:overflowPunct/>
        <w:topLinePunct w:val="0"/>
        <w:autoSpaceDE/>
        <w:autoSpaceDN/>
        <w:bidi w:val="0"/>
        <w:adjustRightInd/>
        <w:snapToGrid w:val="0"/>
        <w:spacing w:line="348" w:lineRule="auto"/>
        <w:ind w:firstLine="480" w:firstLineChars="200"/>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val="en-US" w:eastAsia="zh-CN"/>
        </w:rPr>
        <w:t>宁局</w:t>
      </w:r>
    </w:p>
    <w:p w14:paraId="6FD91F0F">
      <w:pPr>
        <w:pStyle w:val="396"/>
        <w:keepNext w:val="0"/>
        <w:keepLines w:val="0"/>
        <w:pageBreakBefore w:val="0"/>
        <w:shd w:val="clear" w:color="auto" w:fill="auto"/>
        <w:kinsoku/>
        <w:wordWrap/>
        <w:overflowPunct/>
        <w:topLinePunct w:val="0"/>
        <w:autoSpaceDE/>
        <w:autoSpaceDN/>
        <w:bidi w:val="0"/>
        <w:adjustRightInd/>
        <w:snapToGrid/>
        <w:spacing w:afterLines="0" w:line="348" w:lineRule="auto"/>
        <w:ind w:firstLine="48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rPr>
        <w:t>质疑联系方式：0575-85739288</w:t>
      </w:r>
    </w:p>
    <w:p w14:paraId="0BFE20F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48703A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13" w:name="_Toc28359098"/>
      <w:bookmarkStart w:id="14" w:name="_Toc35393808"/>
      <w:bookmarkStart w:id="15" w:name="_Toc35393639"/>
      <w:bookmarkStart w:id="16"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浙江华诚工程管理有限公司</w:t>
      </w:r>
      <w:r>
        <w:rPr>
          <w:rFonts w:hint="eastAsia" w:ascii="仿宋" w:hAnsi="仿宋" w:eastAsia="仿宋" w:cs="仿宋"/>
          <w:color w:val="auto"/>
          <w:sz w:val="24"/>
          <w:highlight w:val="none"/>
        </w:rPr>
        <w:t>       </w:t>
      </w:r>
    </w:p>
    <w:p w14:paraId="640627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绍兴市越城区中兴中路225号华丰大厦301</w:t>
      </w:r>
    </w:p>
    <w:p w14:paraId="44FF87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w:t>
      </w:r>
    </w:p>
    <w:p w14:paraId="44BC97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项目联系人（询问）：金兴江</w:t>
      </w:r>
    </w:p>
    <w:p w14:paraId="69FE30F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w:t>
      </w:r>
      <w:r>
        <w:rPr>
          <w:rFonts w:hint="eastAsia" w:ascii="仿宋" w:hAnsi="仿宋" w:eastAsia="仿宋" w:cs="仿宋"/>
          <w:color w:val="auto"/>
          <w:sz w:val="24"/>
          <w:highlight w:val="none"/>
          <w:lang w:val="en-US" w:eastAsia="zh-CN"/>
        </w:rPr>
        <w:t>3362555630</w:t>
      </w:r>
    </w:p>
    <w:p w14:paraId="042B248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质疑联系人：徐进</w:t>
      </w:r>
    </w:p>
    <w:p w14:paraId="3149FA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质疑联系方式：0575-88627035</w:t>
      </w:r>
    </w:p>
    <w:p w14:paraId="1D13879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205F0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75B4E7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673623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AC72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5D86F9A4">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 xml:space="preserve"> </w:t>
      </w:r>
    </w:p>
    <w:p w14:paraId="63C5B8D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BA3280F">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593D3EEC">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AC88DA">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A801C7F">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B02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A7793A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20CBF7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DF2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6B6845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0EE5F3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4D1BFA74">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229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15E60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783C8F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AE5E66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414E1C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851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378B76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BC10396">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240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CAE1C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272E09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7E1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25D615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BA2CC81">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1CC789D3">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5DA5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7AF18BE">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C7684A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A88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56CD093">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77F5DB9">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998D62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6E608D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0B8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42F854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1FAD11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87F966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8E27D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DA82F9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665023">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50988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CFF342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C970A1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AB3084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E477D1F">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377C0968">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6E66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C3B34A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17D4AE7">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E8AD89B">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66A9E66">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9C40AE0">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0FB2D702">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7CC5C4A">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4F4CEA8">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3033896E">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29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E3504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F48AFA4">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FD465D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1BA955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49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1BE4C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_GB2312" w:hAnsi="仿宋_GB2312" w:eastAsia="仿宋_GB2312" w:cs="仿宋_GB2312"/>
                <w:color w:val="auto"/>
                <w:sz w:val="24"/>
                <w:highlight w:val="none"/>
                <w:lang w:val="en-US" w:eastAsia="zh-CN"/>
              </w:rPr>
              <w:t>11</w:t>
            </w:r>
          </w:p>
        </w:tc>
        <w:tc>
          <w:tcPr>
            <w:tcW w:w="855" w:type="dxa"/>
            <w:vAlign w:val="center"/>
          </w:tcPr>
          <w:p w14:paraId="06C33E17">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本国</w:t>
            </w:r>
          </w:p>
          <w:p w14:paraId="1AE230A5">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_GB2312" w:hAnsi="仿宋_GB2312" w:eastAsia="仿宋_GB2312" w:cs="仿宋_GB2312"/>
                <w:b/>
                <w:color w:val="auto"/>
                <w:spacing w:val="-20"/>
                <w:sz w:val="24"/>
                <w:highlight w:val="none"/>
              </w:rPr>
              <w:t>产品</w:t>
            </w:r>
          </w:p>
        </w:tc>
        <w:tc>
          <w:tcPr>
            <w:tcW w:w="7515" w:type="dxa"/>
            <w:vAlign w:val="center"/>
          </w:tcPr>
          <w:p w14:paraId="6E7586B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406C1E9">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_GB2312" w:hAnsi="仿宋_GB2312" w:eastAsia="仿宋_GB2312" w:cs="仿宋_GB2312"/>
                <w:color w:val="auto"/>
                <w:kern w:val="0"/>
                <w:sz w:val="24"/>
                <w:highlight w:val="none"/>
              </w:rPr>
              <w:t>不适用。</w:t>
            </w:r>
          </w:p>
        </w:tc>
      </w:tr>
      <w:tr w14:paraId="5A2F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E1495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50F19510">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C178A1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29D54BF">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0B4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E1558B">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6E95DFB1">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74045D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宋体" w:eastAsia="仿宋_GB2312" w:cs="宋体"/>
                <w:color w:val="auto"/>
                <w:kern w:val="0"/>
                <w:sz w:val="24"/>
                <w:highlight w:val="none"/>
                <w:u w:val="single"/>
              </w:rPr>
              <w:t>其他未列明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7EF8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036911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1AB3928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B389D7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48E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FB58F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9EFA5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E2AAC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283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CA1EA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12995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94B492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 w:hAnsi="仿宋" w:eastAsia="仿宋" w:cs="仿宋"/>
                <w:color w:val="auto"/>
                <w:sz w:val="24"/>
                <w:highlight w:val="none"/>
              </w:rPr>
              <w:t>的投标人将被拒绝参与政府采购活动。</w:t>
            </w:r>
          </w:p>
          <w:p w14:paraId="6B81247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930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4593B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7F70450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904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885ECD1">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38FBFA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657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4EE54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5390E7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244F94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C84999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8C663A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115691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927539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50CE1DC">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56F1077">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F11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960BCE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2D7098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E86C20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598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7CC1746">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3EEF71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sdt>
              <w:sdtPr>
                <w:rPr>
                  <w:rFonts w:hint="eastAsia" w:ascii="仿宋_GB2312" w:hAnsi="仿宋_GB2312" w:eastAsia="仿宋_GB2312" w:cs="仿宋_GB2312"/>
                  <w:color w:val="auto"/>
                  <w:kern w:val="0"/>
                  <w:sz w:val="24"/>
                  <w:highlight w:val="none"/>
                </w:rPr>
                <w:id w:val="147463873"/>
              </w:sdtPr>
              <w:sdtEndPr>
                <w:rPr>
                  <w:rFonts w:hint="eastAsia" w:ascii="仿宋_GB2312" w:hAnsi="仿宋_GB2312" w:eastAsia="仿宋_GB2312" w:cs="仿宋_GB2312"/>
                  <w:color w:val="auto"/>
                  <w:kern w:val="0"/>
                  <w:sz w:val="24"/>
                  <w:highlight w:val="none"/>
                </w:rPr>
              </w:sdtEndPr>
              <w:sdtContent>
                <w:r>
                  <w:rPr>
                    <w:rFonts w:hint="eastAsia" w:ascii="仿宋" w:hAnsi="仿宋" w:eastAsia="仿宋" w:cs="仿宋"/>
                    <w:color w:val="auto"/>
                    <w:kern w:val="0"/>
                    <w:sz w:val="24"/>
                    <w:highlight w:val="none"/>
                    <w:lang w:eastAsia="zh-CN"/>
                  </w:rPr>
                  <w:t>□</w:t>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66DD72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F0F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BCD6FC">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4FBA2E72">
            <w:pPr>
              <w:keepNext w:val="0"/>
              <w:keepLines w:val="0"/>
              <w:pageBreakBefore w:val="0"/>
              <w:widowControl w:val="0"/>
              <w:kinsoku/>
              <w:wordWrap/>
              <w:overflowPunct/>
              <w:topLinePunct w:val="0"/>
              <w:bidi w:val="0"/>
              <w:adjustRightInd w:val="0"/>
              <w:snapToGrid w:val="0"/>
              <w:spacing w:line="360"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34F2643">
            <w:pPr>
              <w:keepNext w:val="0"/>
              <w:keepLines w:val="0"/>
              <w:pageBreakBefore w:val="0"/>
              <w:widowControl w:val="0"/>
              <w:kinsoku/>
              <w:wordWrap/>
              <w:overflowPunct/>
              <w:topLinePunct w:val="0"/>
              <w:bidi w:val="0"/>
              <w:adjustRightInd w:val="0"/>
              <w:snapToGrid w:val="0"/>
              <w:spacing w:line="360"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04E0703B">
            <w:pPr>
              <w:keepNext w:val="0"/>
              <w:keepLines w:val="0"/>
              <w:pageBreakBefore w:val="0"/>
              <w:widowControl w:val="0"/>
              <w:kinsoku/>
              <w:wordWrap/>
              <w:overflowPunct/>
              <w:topLinePunct w:val="0"/>
              <w:bidi w:val="0"/>
              <w:adjustRightInd w:val="0"/>
              <w:snapToGrid w:val="0"/>
              <w:spacing w:line="360"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①代理服务费收费标准：以中标通知书中确定的中标金额作为服务费的计算基数，具体比例100万</w:t>
            </w:r>
            <w:r>
              <w:rPr>
                <w:rFonts w:hint="eastAsia" w:ascii="仿宋" w:hAnsi="仿宋" w:eastAsia="仿宋" w:cs="仿宋"/>
                <w:color w:val="auto"/>
                <w:sz w:val="24"/>
                <w:highlight w:val="none"/>
                <w:lang w:eastAsia="zh-CN"/>
              </w:rPr>
              <w:t>元</w:t>
            </w:r>
            <w:r>
              <w:rPr>
                <w:rFonts w:hint="eastAsia" w:ascii="仿宋" w:hAnsi="仿宋" w:eastAsia="仿宋" w:cs="仿宋"/>
                <w:color w:val="auto"/>
                <w:sz w:val="24"/>
                <w:highlight w:val="none"/>
              </w:rPr>
              <w:t>以下部分为1.5%，</w:t>
            </w:r>
            <w:r>
              <w:rPr>
                <w:rFonts w:hint="eastAsia" w:ascii="仿宋" w:hAnsi="仿宋" w:eastAsia="仿宋" w:cs="仿宋"/>
                <w:color w:val="auto"/>
                <w:sz w:val="24"/>
                <w:highlight w:val="none"/>
                <w:lang w:val="en-US" w:eastAsia="zh-CN"/>
              </w:rPr>
              <w:t>101-500万元部分为0.8%</w:t>
            </w:r>
            <w:r>
              <w:rPr>
                <w:rFonts w:hint="eastAsia" w:ascii="仿宋" w:hAnsi="仿宋" w:eastAsia="仿宋" w:cs="仿宋"/>
                <w:color w:val="auto"/>
                <w:sz w:val="24"/>
                <w:highlight w:val="none"/>
              </w:rPr>
              <w:t>。</w:t>
            </w:r>
          </w:p>
          <w:p w14:paraId="7011A217">
            <w:pPr>
              <w:kinsoku/>
              <w:wordWrap w:val="0"/>
              <w:overflowPunct/>
              <w:topLinePunct w:val="0"/>
              <w:bidi w:val="0"/>
              <w:spacing w:line="360"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val="en-US" w:eastAsia="zh-CN"/>
              </w:rPr>
              <w:t>②</w:t>
            </w:r>
            <w:r>
              <w:rPr>
                <w:rFonts w:hint="eastAsia" w:ascii="仿宋" w:hAnsi="仿宋" w:eastAsia="仿宋" w:cs="仿宋"/>
                <w:color w:val="auto"/>
                <w:sz w:val="24"/>
                <w:highlight w:val="none"/>
              </w:rPr>
              <w:t>代理服务费的交纳时间：领取中标通知书前交纳。</w:t>
            </w:r>
          </w:p>
        </w:tc>
      </w:tr>
      <w:tr w14:paraId="5D24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AC14E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4DF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C8135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06DDE6A">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4372EDBE">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EA56A4D">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1DFB4FA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26E53B97">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70E2E9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27F361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3A18F95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6D2C3CA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01DF201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5850F69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054FEE5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4BCCCC2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15BE6BCC">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0188A64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6EC703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595587F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A6DB309">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7CD236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614A07B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6BFAB13">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6E03238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2CABE95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0445615">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59FFAF8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5FFB65C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119A0B1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5040F6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344BA1D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1FF8B999">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7A6D47ED">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101352C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EDA21A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6568AC8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09CE9E53">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09016E57">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27E87E7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3.6本国产品的支持政策</w:t>
      </w:r>
    </w:p>
    <w:p w14:paraId="35DCB4C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BDD0B1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5346D121">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60F1E4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1F98C53E">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6EFF920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3.6.4供应商提供虚假《声明函》、虚假证明文件谋取中标、成交的，依照《中华人民共和国政府采购法》等法律法规规定追究相应责任。</w:t>
      </w:r>
    </w:p>
    <w:p w14:paraId="020C3E9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3.6.5采购人、采购代理机构按规定随中标、成交结果同时公告中标、成交供应商提供的《声明函》或有关证明文件、承诺函。</w:t>
      </w:r>
    </w:p>
    <w:p w14:paraId="5A75130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3.7本国产品价格扣除与小微企业价格扣除叠加。具体计算公式为：参加评审价格=产品报价-产品报价*（小微企业价格扣除率+本国产品价格扣除率）。</w:t>
      </w:r>
    </w:p>
    <w:p w14:paraId="62A2BA26">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270AA72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60DAE01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06124048">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BDC838F">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26E3985F">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7FF081BE">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78237C9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27A2D964">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3BB93A7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2FE501CD">
      <w:pPr>
        <w:pStyle w:val="27"/>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7A126693">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15A1DA29">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5B56A88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2C198E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3CD6DE4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3C36F69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7260423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CCF4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4FBEDEE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279FF2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D905C3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28BED8F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F7C4913">
      <w:pPr>
        <w:pStyle w:val="2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4CE17AA3">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647332C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289C65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36E6E8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199A86A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58CD9EE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714B4B0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3156CD8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620408FF">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3B6A8C24">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18F66570">
      <w:pPr>
        <w:pStyle w:val="36"/>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4E988016">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3EAC5FDE">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65658E65">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6A579E4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strike/>
          <w:dstrike w:val="0"/>
          <w:color w:val="auto"/>
          <w:sz w:val="24"/>
          <w:highlight w:val="none"/>
          <w:lang w:eastAsia="zh-CN"/>
        </w:rPr>
      </w:pPr>
      <w:r>
        <w:rPr>
          <w:rFonts w:hint="eastAsia" w:ascii="仿宋_GB2312" w:hAnsi="仿宋_GB2312" w:eastAsia="仿宋_GB2312" w:cs="仿宋_GB2312"/>
          <w:strike/>
          <w:dstrike w:val="0"/>
          <w:color w:val="auto"/>
          <w:sz w:val="24"/>
          <w:highlight w:val="none"/>
          <w:lang w:eastAsia="zh-CN"/>
        </w:rPr>
        <w:t>2.1.2联合协议（如果有)；</w:t>
      </w:r>
    </w:p>
    <w:p w14:paraId="65301177">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strike/>
          <w:dstrike w:val="0"/>
          <w:color w:val="auto"/>
          <w:highlight w:val="none"/>
          <w:lang w:eastAsia="zh-CN"/>
        </w:rPr>
      </w:pPr>
      <w:r>
        <w:rPr>
          <w:rFonts w:hint="eastAsia" w:ascii="仿宋_GB2312" w:hAnsi="仿宋_GB2312" w:eastAsia="仿宋_GB2312" w:cs="仿宋_GB2312"/>
          <w:strike/>
          <w:dstrike w:val="0"/>
          <w:color w:val="auto"/>
          <w:sz w:val="24"/>
          <w:highlight w:val="none"/>
          <w:lang w:eastAsia="zh-CN"/>
        </w:rPr>
        <w:t>2</w:t>
      </w:r>
      <w:r>
        <w:rPr>
          <w:rFonts w:hint="eastAsia" w:ascii="仿宋_GB2312" w:hAnsi="仿宋_GB2312" w:eastAsia="仿宋_GB2312" w:cs="仿宋_GB2312"/>
          <w:strike/>
          <w:dstrike w:val="0"/>
          <w:color w:val="auto"/>
          <w:sz w:val="24"/>
          <w:highlight w:val="none"/>
        </w:rPr>
        <w:t>.</w:t>
      </w:r>
      <w:r>
        <w:rPr>
          <w:rFonts w:hint="eastAsia" w:ascii="仿宋_GB2312" w:hAnsi="仿宋_GB2312" w:eastAsia="仿宋_GB2312" w:cs="仿宋_GB2312"/>
          <w:strike/>
          <w:dstrike w:val="0"/>
          <w:color w:val="auto"/>
          <w:sz w:val="24"/>
          <w:highlight w:val="none"/>
          <w:lang w:val="en-US" w:eastAsia="zh-CN"/>
        </w:rPr>
        <w:t>1</w:t>
      </w:r>
      <w:r>
        <w:rPr>
          <w:rFonts w:hint="eastAsia" w:ascii="仿宋_GB2312" w:hAnsi="仿宋_GB2312" w:eastAsia="仿宋_GB2312" w:cs="仿宋_GB2312"/>
          <w:strike/>
          <w:dstrike w:val="0"/>
          <w:color w:val="auto"/>
          <w:sz w:val="24"/>
          <w:highlight w:val="none"/>
        </w:rPr>
        <w:t>.</w:t>
      </w:r>
      <w:r>
        <w:rPr>
          <w:rFonts w:hint="eastAsia" w:ascii="仿宋_GB2312" w:hAnsi="仿宋_GB2312" w:eastAsia="仿宋_GB2312" w:cs="仿宋_GB2312"/>
          <w:strike/>
          <w:dstrike w:val="0"/>
          <w:color w:val="auto"/>
          <w:sz w:val="24"/>
          <w:highlight w:val="none"/>
          <w:lang w:val="en-US" w:eastAsia="zh-CN"/>
        </w:rPr>
        <w:t>3</w:t>
      </w:r>
      <w:r>
        <w:rPr>
          <w:rFonts w:hint="eastAsia" w:ascii="仿宋_GB2312" w:hAnsi="仿宋_GB2312" w:eastAsia="仿宋_GB2312" w:cs="仿宋_GB2312"/>
          <w:strike/>
          <w:dstrike w:val="0"/>
          <w:color w:val="auto"/>
          <w:sz w:val="24"/>
          <w:highlight w:val="none"/>
        </w:rPr>
        <w:t>分包意向协议</w:t>
      </w:r>
      <w:r>
        <w:rPr>
          <w:rFonts w:hint="eastAsia" w:ascii="仿宋_GB2312" w:hAnsi="仿宋_GB2312" w:eastAsia="仿宋_GB2312" w:cs="仿宋_GB2312"/>
          <w:strike/>
          <w:dstrike w:val="0"/>
          <w:snapToGrid w:val="0"/>
          <w:color w:val="auto"/>
          <w:kern w:val="28"/>
          <w:sz w:val="24"/>
          <w:szCs w:val="20"/>
          <w:highlight w:val="none"/>
        </w:rPr>
        <w:t>（如果有)</w:t>
      </w:r>
      <w:r>
        <w:rPr>
          <w:rFonts w:hint="eastAsia" w:ascii="仿宋_GB2312" w:hAnsi="仿宋_GB2312" w:eastAsia="仿宋_GB2312" w:cs="仿宋_GB2312"/>
          <w:strike/>
          <w:dstrike w:val="0"/>
          <w:color w:val="auto"/>
          <w:sz w:val="24"/>
          <w:highlight w:val="none"/>
        </w:rPr>
        <w:t>；</w:t>
      </w:r>
    </w:p>
    <w:p w14:paraId="79E70FDC">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2E8BCF96">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72F3B658">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661DA52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1E4A6F1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2A4B6C7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9F5B82E">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36B315D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176D516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4DDB84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29501D5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36D73B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3F47C07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537C21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9C58A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B6273C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8B074A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6646C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7C38ED39">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8AE719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BC81C44">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0CA105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5AE507F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30EB599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17321CFA">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5FA3CD1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EBCF52E">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7AF7CAB9">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2.3.2报价说明（如有）</w:t>
      </w:r>
    </w:p>
    <w:p w14:paraId="2CE23A6D">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lang w:eastAsia="zh-CN"/>
        </w:rPr>
        <w:t>中小企业声明函（如有）；</w:t>
      </w:r>
    </w:p>
    <w:p w14:paraId="3DC6DF10">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 xml:space="preserve"> 残疾人福利性单位声明函（如有）。</w:t>
      </w:r>
    </w:p>
    <w:p w14:paraId="61E90022">
      <w:pPr>
        <w:kinsoku/>
        <w:wordWrap w:val="0"/>
        <w:overflowPunct/>
        <w:topLinePunct w:val="0"/>
        <w:bidi w:val="0"/>
        <w:adjustRightInd w:val="0"/>
        <w:snapToGrid w:val="0"/>
        <w:spacing w:line="440" w:lineRule="exact"/>
        <w:ind w:firstLine="480" w:firstLineChars="200"/>
        <w:jc w:val="both"/>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14:paraId="39B6E2F1">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2.3.6关于符合本国产品标准的成本占比的承诺函（如有）</w:t>
      </w:r>
    </w:p>
    <w:p w14:paraId="60D8E388">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4C946781">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7DA6A4ED">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22F00F20">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7FB4C5D0">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0DE408BC">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2BEE73">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E2E435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580E0C0B">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4E1A7425">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AEA5B2D">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7ECF79D9">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37DFC242">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30F3ED8">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167D207">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716BE1B">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195E9E45">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67C18018">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2BC967F0">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77BB3F3">
      <w:pPr>
        <w:pStyle w:val="131"/>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0A185F99">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0678E475">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77B1A89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6FFDCB4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5C68245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035C8C4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0FD521C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DF2441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6C296B2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64095806">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948A594">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21823D5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3CF809B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68DF739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3A45B4B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506A586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2DC95A9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8F70B2A">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3748F0A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F76434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4C74FAD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6731026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343B1E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F5725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1909D53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B883E9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2B4FA69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12C14CA4">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740B20A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3E57C43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308BD0C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4BABB86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85A39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F23CAA6">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3AA6FD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3C0AA2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22D1824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43FEBA6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02BA0C5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F1AEF63">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6B0BAA1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479BA20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AD84FA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7E46C52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69AAC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78F209B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5FAB6F3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32C16A7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6.7.1政府采购异常低价审查：</w:t>
      </w:r>
    </w:p>
    <w:p w14:paraId="4610BF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6.7.1.1政府采购评审中出现下列情形之一的，评审委员会应当启动异常低价投标（响应）审查程序：</w:t>
      </w:r>
    </w:p>
    <w:p w14:paraId="12FD87C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61A163B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0F24B74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3.投标（响应）报价低于采购项目最高限价45%的，即投标（响应）报价&lt;采购项目最高限价×45%；</w:t>
      </w:r>
    </w:p>
    <w:p w14:paraId="43581F8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4.评审委员会基于专业判断，认为供应商报价过低，有可能影响产品质量或者不能诚信履约的其他情形。</w:t>
      </w:r>
    </w:p>
    <w:p w14:paraId="4C32116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相关法律法规对供应商报价有规定的，从其规定。</w:t>
      </w:r>
    </w:p>
    <w:p w14:paraId="08547E1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2885F30">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1A2B2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7D6434E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6.7.2根据财政部发布的《政府采购促进中小企业发展管理办法》规定，对于非专门面向中小企业的项目，对小型和微型企业产品的价格给予一定的扣除，用扣除后的价格参与评审。</w:t>
      </w:r>
    </w:p>
    <w:p w14:paraId="568C9E6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096EBDA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281A331">
      <w:pPr>
        <w:pStyle w:val="16"/>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473A9E47">
      <w:pPr>
        <w:pStyle w:val="16"/>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D6735CF">
      <w:pPr>
        <w:pStyle w:val="36"/>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56B13543">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62EBF7A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0435B8E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51A9791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1BD9C22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403E638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20DDBD8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66A2A77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00CB89E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161C10F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7801916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3E8BB43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FA4DE7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5D2E98C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467B2880">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w:t>
      </w:r>
      <w:r>
        <w:rPr>
          <w:rFonts w:hint="eastAsia" w:ascii="仿宋_GB2312" w:hAnsi="仿宋_GB2312" w:eastAsia="仿宋_GB2312" w:cs="仿宋_GB2312"/>
          <w:b/>
          <w:color w:val="auto"/>
          <w:sz w:val="24"/>
          <w:highlight w:val="none"/>
          <w:lang w:val="en-US" w:eastAsia="zh-CN"/>
        </w:rPr>
        <w:t>投标人报价属于“政府采购异常低价审查”相关情形，未能按要求提供项目具体成本测算等与报价合理性相关的书面说明及必要的证明材料，或者提供的书面说明、证明材料不能证明其报价合理性的</w:t>
      </w:r>
      <w:r>
        <w:rPr>
          <w:rFonts w:hint="eastAsia" w:ascii="仿宋_GB2312" w:hAnsi="仿宋_GB2312" w:eastAsia="仿宋_GB2312" w:cs="仿宋_GB2312"/>
          <w:b/>
          <w:color w:val="auto"/>
          <w:sz w:val="24"/>
          <w:highlight w:val="none"/>
        </w:rPr>
        <w:t>;</w:t>
      </w:r>
    </w:p>
    <w:p w14:paraId="6F9124A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5108B09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w:t>
      </w:r>
      <w:r>
        <w:rPr>
          <w:rFonts w:hint="default" w:ascii="仿宋_GB2312" w:hAnsi="仿宋_GB2312" w:eastAsia="仿宋_GB2312" w:cs="仿宋_GB2312"/>
          <w:b/>
          <w:color w:val="auto"/>
          <w:sz w:val="24"/>
          <w:highlight w:val="none"/>
        </w:rPr>
        <w:t>“资格文件资料”或</w:t>
      </w:r>
      <w:r>
        <w:rPr>
          <w:rFonts w:hint="eastAsia" w:ascii="仿宋_GB2312" w:hAnsi="仿宋_GB2312" w:eastAsia="仿宋_GB2312" w:cs="仿宋_GB2312"/>
          <w:b/>
          <w:color w:val="auto"/>
          <w:sz w:val="24"/>
          <w:highlight w:val="none"/>
        </w:rPr>
        <w:t>“商务技术文件资料”部分中出现《开标一览表》相关内容的；</w:t>
      </w:r>
    </w:p>
    <w:p w14:paraId="3D96E5D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30B25AF">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0789BB4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207CDEA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5514BFC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07108DA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252B1A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23BB196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1CFDF47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5850DBB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6F91334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3D869A7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375ED32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69D4A79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23ECC67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1321DB3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A87DB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34F961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12EA39A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73D8198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5D2F849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59E8F4F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1EFCA10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6FF5FE6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36B1DBDC">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1E3B89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177F4F4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7B716D3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569FC1D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3640C23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11409C6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450CC4A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25976B0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6CB2187E">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395C8FB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D4F0A8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6CFBC1DB">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0AD9CA75">
      <w:pPr>
        <w:pStyle w:val="36"/>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68057669"/>
      <w:bookmarkEnd w:id="20"/>
      <w:bookmarkStart w:id="21" w:name="_Hlt75236101"/>
      <w:bookmarkEnd w:id="21"/>
      <w:bookmarkStart w:id="22" w:name="_Hlt68072990"/>
      <w:bookmarkEnd w:id="22"/>
      <w:bookmarkStart w:id="23" w:name="_Hlt68073093"/>
      <w:bookmarkEnd w:id="23"/>
      <w:bookmarkStart w:id="24" w:name="_Hlt74730295"/>
      <w:bookmarkEnd w:id="24"/>
      <w:bookmarkStart w:id="25" w:name="_Hlt75236011"/>
      <w:bookmarkEnd w:id="25"/>
      <w:bookmarkStart w:id="26" w:name="_Hlt75236290"/>
      <w:bookmarkEnd w:id="26"/>
      <w:bookmarkStart w:id="27" w:name="_Hlt68403820"/>
      <w:bookmarkEnd w:id="27"/>
      <w:bookmarkStart w:id="28" w:name="_Hlt74729768"/>
      <w:bookmarkEnd w:id="28"/>
      <w:bookmarkStart w:id="29" w:name="_Hlt74714665"/>
      <w:bookmarkEnd w:id="29"/>
      <w:bookmarkStart w:id="30" w:name="_Hlt68072998"/>
      <w:bookmarkEnd w:id="30"/>
      <w:bookmarkStart w:id="31" w:name="_Hlt74707468"/>
      <w:bookmarkEnd w:id="31"/>
      <w:bookmarkStart w:id="32" w:name="_Toc81372953"/>
      <w:bookmarkStart w:id="33" w:name="_Toc81372776"/>
      <w:bookmarkStart w:id="34" w:name="_Toc84325929"/>
      <w:r>
        <w:rPr>
          <w:rFonts w:hint="eastAsia" w:ascii="仿宋_GB2312" w:hAnsi="仿宋_GB2312" w:eastAsia="仿宋_GB2312" w:cs="仿宋_GB2312"/>
          <w:b/>
          <w:color w:val="auto"/>
          <w:sz w:val="32"/>
          <w:szCs w:val="32"/>
          <w:highlight w:val="none"/>
        </w:rPr>
        <w:t>五、授予合同</w:t>
      </w:r>
    </w:p>
    <w:bookmarkEnd w:id="32"/>
    <w:bookmarkEnd w:id="33"/>
    <w:bookmarkEnd w:id="34"/>
    <w:p w14:paraId="4F52B771">
      <w:pPr>
        <w:pStyle w:val="16"/>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48E688BF">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63F8B27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50C6AEA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264015D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56F02C7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3562EC99">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5E6F412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5032B48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19CF7EF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4A420962">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65D9A85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57EA675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7CA4A19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492DDB69">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727C010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DA0C6F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46D36AD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72DE64C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220E3B1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3217246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1312EFA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5D7AAA3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7F2BEE0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9985DF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9E8F5F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34CAB88">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52077B8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00EA7D4">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5517C4AC">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5223F284">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5F57645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A2E818">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240952E5">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7F87049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59FA9158">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2866950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3FDBF0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BBA49F2">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726AC0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41AE58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4E048C8">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15468CF7">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2E56FD9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BC87F89">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5FB7EDC6">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575AEE7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6053FC7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1C3DB28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0A3AE70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63E9667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71B2FA2">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1E8290C1">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63B18D5B">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4E84B6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A705644">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27FE3B2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8BA7BE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54974298">
      <w:pPr>
        <w:pStyle w:val="2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14:paraId="0F8B528F">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p w14:paraId="1E2019CB">
      <w:pPr>
        <w:bidi w:val="0"/>
        <w:rPr>
          <w:rFonts w:hint="eastAsia" w:ascii="Times New Roman" w:hAnsi="Times New Roman" w:eastAsia="宋体" w:cs="Times New Roman"/>
          <w:kern w:val="2"/>
          <w:sz w:val="21"/>
          <w:szCs w:val="24"/>
          <w:lang w:val="en-US" w:eastAsia="zh-CN" w:bidi="ar-SA"/>
        </w:rPr>
      </w:pPr>
    </w:p>
    <w:p w14:paraId="12BEE64A">
      <w:pPr>
        <w:spacing w:line="360" w:lineRule="auto"/>
        <w:jc w:val="left"/>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color w:val="auto"/>
          <w:kern w:val="0"/>
          <w:sz w:val="24"/>
          <w:szCs w:val="24"/>
          <w:highlight w:val="none"/>
          <w:lang w:val="en-US" w:eastAsia="zh-CN" w:bidi="ar-SA"/>
        </w:rPr>
        <w:t>一、项目依据</w:t>
      </w:r>
      <w:r>
        <w:rPr>
          <w:rFonts w:hint="eastAsia" w:ascii="仿宋" w:hAnsi="仿宋" w:eastAsia="仿宋" w:cs="仿宋"/>
          <w:b/>
          <w:bCs/>
          <w:color w:val="auto"/>
          <w:kern w:val="0"/>
          <w:sz w:val="24"/>
          <w:szCs w:val="24"/>
          <w:highlight w:val="none"/>
          <w:lang w:val="en-US" w:eastAsia="zh-CN" w:bidi="ar-SA"/>
        </w:rPr>
        <w:t>：</w:t>
      </w:r>
    </w:p>
    <w:p w14:paraId="6DF4E8EA">
      <w:pPr>
        <w:spacing w:line="360" w:lineRule="auto"/>
        <w:ind w:firstLine="480" w:firstLineChars="200"/>
        <w:jc w:val="lef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根据《浙东南旅游联合体管理办法》文件精神，绍兴市文化广电旅游局为2026年浙东南旅游联合轮值单位。</w:t>
      </w:r>
    </w:p>
    <w:p w14:paraId="11EE8FDE">
      <w:pPr>
        <w:spacing w:line="360" w:lineRule="auto"/>
        <w:jc w:val="left"/>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color w:val="auto"/>
          <w:kern w:val="0"/>
          <w:sz w:val="24"/>
          <w:szCs w:val="24"/>
          <w:highlight w:val="none"/>
          <w:lang w:val="en-US" w:eastAsia="zh-CN" w:bidi="ar-SA"/>
        </w:rPr>
        <w:t>二、项目目的</w:t>
      </w:r>
      <w:r>
        <w:rPr>
          <w:rFonts w:hint="eastAsia" w:ascii="仿宋" w:hAnsi="仿宋" w:eastAsia="仿宋" w:cs="仿宋"/>
          <w:b/>
          <w:bCs/>
          <w:color w:val="auto"/>
          <w:kern w:val="0"/>
          <w:sz w:val="24"/>
          <w:szCs w:val="24"/>
          <w:highlight w:val="none"/>
          <w:lang w:val="en-US" w:eastAsia="zh-CN" w:bidi="ar-SA"/>
        </w:rPr>
        <w:t>：</w:t>
      </w:r>
    </w:p>
    <w:p w14:paraId="24BE7C96">
      <w:pPr>
        <w:spacing w:line="360" w:lineRule="auto"/>
        <w:ind w:firstLine="480" w:firstLineChars="200"/>
        <w:jc w:val="left"/>
        <w:rPr>
          <w:rFonts w:hint="default" w:ascii="仿宋" w:hAnsi="仿宋" w:eastAsia="仿宋" w:cs="仿宋"/>
          <w:color w:val="auto"/>
          <w:kern w:val="0"/>
          <w:sz w:val="24"/>
          <w:szCs w:val="24"/>
          <w:highlight w:val="none"/>
          <w:lang w:val="en-US" w:eastAsia="zh-CN" w:bidi="ar-SA"/>
        </w:rPr>
      </w:pPr>
      <w:r>
        <w:rPr>
          <w:rFonts w:hint="default" w:ascii="仿宋" w:hAnsi="仿宋" w:eastAsia="仿宋" w:cs="仿宋"/>
          <w:color w:val="auto"/>
          <w:kern w:val="0"/>
          <w:sz w:val="24"/>
          <w:szCs w:val="24"/>
          <w:highlight w:val="none"/>
          <w:lang w:val="en-US" w:eastAsia="zh-CN" w:bidi="ar-SA"/>
        </w:rPr>
        <w:t>为充分发挥浙东南五市（绍兴、宁波、台州、温州、舟山）旅游产品优势、区域交通优势和同城旅游效应，深化温州、台州两地联动共建、协同发展合作机制，强化市域互通、资源共享、客源互送、市场共拓的区域旅游深度合作。2026浙东南旅游联合体营销推广以“1+3+5+X”为全年总体工作体系，开展“线上+线下”“境内+境外”文旅资源精准营销，持续提升“浙东南·醉美山海”旅游品牌的知名度和吸引力。</w:t>
      </w:r>
    </w:p>
    <w:p w14:paraId="73F27AF6">
      <w:pPr>
        <w:spacing w:line="360" w:lineRule="auto"/>
        <w:jc w:val="left"/>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color w:val="auto"/>
          <w:kern w:val="0"/>
          <w:sz w:val="24"/>
          <w:szCs w:val="24"/>
          <w:highlight w:val="none"/>
          <w:lang w:val="en-US" w:eastAsia="zh-CN" w:bidi="ar-SA"/>
        </w:rPr>
        <w:t>三、项目主题</w:t>
      </w:r>
      <w:r>
        <w:rPr>
          <w:rFonts w:hint="eastAsia" w:ascii="仿宋" w:hAnsi="仿宋" w:eastAsia="仿宋" w:cs="仿宋"/>
          <w:b/>
          <w:bCs/>
          <w:color w:val="auto"/>
          <w:kern w:val="0"/>
          <w:sz w:val="24"/>
          <w:szCs w:val="24"/>
          <w:highlight w:val="none"/>
          <w:lang w:val="en-US" w:eastAsia="zh-CN" w:bidi="ar-SA"/>
        </w:rPr>
        <w:t>：</w:t>
      </w:r>
    </w:p>
    <w:p w14:paraId="5CEEDB92">
      <w:pPr>
        <w:spacing w:line="360" w:lineRule="auto"/>
        <w:ind w:firstLine="480" w:firstLineChars="200"/>
        <w:jc w:val="left"/>
        <w:rPr>
          <w:rFonts w:hint="default" w:ascii="仿宋" w:hAnsi="仿宋" w:eastAsia="仿宋" w:cs="仿宋"/>
          <w:color w:val="auto"/>
          <w:kern w:val="0"/>
          <w:sz w:val="24"/>
          <w:szCs w:val="24"/>
          <w:highlight w:val="none"/>
          <w:lang w:val="en-US" w:eastAsia="zh-CN" w:bidi="ar-SA"/>
        </w:rPr>
      </w:pPr>
      <w:r>
        <w:rPr>
          <w:rFonts w:hint="default" w:ascii="仿宋" w:hAnsi="仿宋" w:eastAsia="仿宋" w:cs="仿宋"/>
          <w:color w:val="auto"/>
          <w:kern w:val="0"/>
          <w:sz w:val="24"/>
          <w:szCs w:val="24"/>
          <w:highlight w:val="none"/>
          <w:lang w:val="en-US" w:eastAsia="zh-CN" w:bidi="ar-SA"/>
        </w:rPr>
        <w:t>嗨游浙东南，不止于江南</w:t>
      </w:r>
    </w:p>
    <w:p w14:paraId="3B34DF33">
      <w:pPr>
        <w:spacing w:line="360" w:lineRule="auto"/>
        <w:jc w:val="left"/>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color w:val="auto"/>
          <w:kern w:val="0"/>
          <w:sz w:val="24"/>
          <w:szCs w:val="24"/>
          <w:highlight w:val="none"/>
          <w:lang w:val="en-US" w:eastAsia="zh-CN" w:bidi="ar-SA"/>
        </w:rPr>
        <w:t>四、项目时间</w:t>
      </w:r>
      <w:r>
        <w:rPr>
          <w:rFonts w:hint="eastAsia" w:ascii="仿宋" w:hAnsi="仿宋" w:eastAsia="仿宋" w:cs="仿宋"/>
          <w:b/>
          <w:bCs/>
          <w:color w:val="auto"/>
          <w:kern w:val="0"/>
          <w:sz w:val="24"/>
          <w:szCs w:val="24"/>
          <w:highlight w:val="none"/>
          <w:lang w:val="en-US" w:eastAsia="zh-CN" w:bidi="ar-SA"/>
        </w:rPr>
        <w:t>：</w:t>
      </w:r>
    </w:p>
    <w:p w14:paraId="31155EF9">
      <w:pPr>
        <w:spacing w:line="360" w:lineRule="auto"/>
        <w:ind w:firstLine="480" w:firstLineChars="200"/>
        <w:jc w:val="left"/>
        <w:rPr>
          <w:rFonts w:hint="default" w:ascii="仿宋" w:hAnsi="仿宋" w:eastAsia="仿宋" w:cs="仿宋"/>
          <w:color w:val="auto"/>
          <w:kern w:val="0"/>
          <w:sz w:val="24"/>
          <w:szCs w:val="24"/>
          <w:highlight w:val="none"/>
          <w:lang w:val="en-US" w:eastAsia="zh-CN" w:bidi="ar-SA"/>
        </w:rPr>
      </w:pPr>
      <w:r>
        <w:rPr>
          <w:rFonts w:hint="default" w:ascii="仿宋" w:hAnsi="仿宋" w:eastAsia="仿宋" w:cs="仿宋"/>
          <w:color w:val="auto"/>
          <w:kern w:val="0"/>
          <w:sz w:val="24"/>
          <w:szCs w:val="24"/>
          <w:highlight w:val="none"/>
          <w:lang w:val="en-US" w:eastAsia="zh-CN" w:bidi="ar-SA"/>
        </w:rPr>
        <w:t>2026年</w:t>
      </w:r>
      <w:r>
        <w:rPr>
          <w:rFonts w:hint="eastAsia" w:ascii="仿宋" w:hAnsi="仿宋" w:eastAsia="仿宋" w:cs="仿宋"/>
          <w:color w:val="auto"/>
          <w:kern w:val="0"/>
          <w:sz w:val="24"/>
          <w:szCs w:val="24"/>
          <w:highlight w:val="none"/>
          <w:lang w:val="en-US" w:eastAsia="zh-CN" w:bidi="ar-SA"/>
        </w:rPr>
        <w:t>6</w:t>
      </w:r>
      <w:r>
        <w:rPr>
          <w:rFonts w:hint="default" w:ascii="仿宋" w:hAnsi="仿宋" w:eastAsia="仿宋" w:cs="仿宋"/>
          <w:color w:val="auto"/>
          <w:kern w:val="0"/>
          <w:sz w:val="24"/>
          <w:szCs w:val="24"/>
          <w:highlight w:val="none"/>
          <w:lang w:val="en-US" w:eastAsia="zh-CN" w:bidi="ar-SA"/>
        </w:rPr>
        <w:t>月—10月（</w:t>
      </w:r>
      <w:r>
        <w:rPr>
          <w:rFonts w:hint="eastAsia" w:ascii="仿宋" w:hAnsi="仿宋" w:eastAsia="仿宋" w:cs="仿宋"/>
          <w:color w:val="auto"/>
          <w:kern w:val="0"/>
          <w:sz w:val="24"/>
          <w:szCs w:val="24"/>
          <w:highlight w:val="none"/>
          <w:lang w:val="en-US" w:eastAsia="zh-CN" w:bidi="ar-SA"/>
        </w:rPr>
        <w:t>具体时间以实际为准</w:t>
      </w:r>
      <w:r>
        <w:rPr>
          <w:rFonts w:hint="default" w:ascii="仿宋" w:hAnsi="仿宋" w:eastAsia="仿宋" w:cs="仿宋"/>
          <w:color w:val="auto"/>
          <w:kern w:val="0"/>
          <w:sz w:val="24"/>
          <w:szCs w:val="24"/>
          <w:highlight w:val="none"/>
          <w:lang w:val="en-US" w:eastAsia="zh-CN" w:bidi="ar-SA"/>
        </w:rPr>
        <w:t>）</w:t>
      </w:r>
    </w:p>
    <w:p w14:paraId="630C42E7">
      <w:pPr>
        <w:spacing w:line="360" w:lineRule="auto"/>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五、项目主要内容：</w:t>
      </w:r>
    </w:p>
    <w:p w14:paraId="12363244">
      <w:pPr>
        <w:keepNext w:val="0"/>
        <w:keepLines w:val="0"/>
        <w:pageBreakBefore w:val="0"/>
        <w:kinsoku/>
        <w:wordWrap/>
        <w:overflowPunct/>
        <w:topLinePunct w:val="0"/>
        <w:autoSpaceDE/>
        <w:autoSpaceDN/>
        <w:bidi w:val="0"/>
        <w:adjustRightInd w:val="0"/>
        <w:snapToGrid w:val="0"/>
        <w:spacing w:line="420" w:lineRule="exact"/>
        <w:ind w:left="0" w:leftChars="0" w:right="0" w:rightChars="0" w:firstLine="480"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color w:val="auto"/>
          <w:kern w:val="2"/>
          <w:sz w:val="24"/>
          <w:szCs w:val="24"/>
          <w:u w:color="000000"/>
          <w:lang w:val="en-US" w:eastAsia="zh-CN" w:bidi="ar-SA"/>
        </w:rPr>
        <w:t>开展“1”场综合性推介为核心，推动“3”场旅行商交流洽谈会，开展进商圈、进高校、进场站、进社区、进景区“5”进工作，拓展“X”个线上传播矩阵。</w:t>
      </w:r>
    </w:p>
    <w:p w14:paraId="6F39EA8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（一）组织“1”场综合性推介</w:t>
      </w:r>
    </w:p>
    <w:p w14:paraId="10A4F59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color w:val="auto"/>
          <w:kern w:val="2"/>
          <w:sz w:val="24"/>
          <w:szCs w:val="24"/>
          <w:u w:color="000000"/>
          <w:lang w:val="en-US" w:eastAsia="zh-CN" w:bidi="ar-SA"/>
        </w:rPr>
        <w:t>深耕长三角核心客源市场，赴南京老门东开展“浙东南·醉美山海”旅游品牌进商圈。通过浙东南五城市特色线路推介、温台协同发展成果展示、文旅综合体发布或首秀，面向南京市民游客实现精准营销，全面展现浙东南文旅资源魅力。</w:t>
      </w:r>
    </w:p>
    <w:p w14:paraId="2A3EF074">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绩效要求：</w:t>
      </w:r>
      <w:r>
        <w:rPr>
          <w:rFonts w:hint="eastAsia" w:ascii="仿宋" w:hAnsi="仿宋" w:eastAsia="仿宋" w:cs="仿宋"/>
          <w:color w:val="auto"/>
          <w:kern w:val="2"/>
          <w:sz w:val="24"/>
          <w:szCs w:val="24"/>
          <w:u w:color="000000"/>
          <w:lang w:val="en-US" w:eastAsia="zh-CN" w:bidi="ar-SA"/>
        </w:rPr>
        <w:t>完成1场高质量路演专场；推出家庭游、自驾游、研学游等面向长三角客源市场的短途旅游产品、线路不少于5条，推出面向港澳、东南亚等客源市场的入境游产品、线路不少于5条；线上媒体报道</w:t>
      </w:r>
      <w:r>
        <w:rPr>
          <w:rFonts w:hint="eastAsia" w:ascii="仿宋" w:hAnsi="仿宋" w:eastAsia="仿宋" w:cs="仿宋"/>
          <w:color w:val="auto"/>
          <w:kern w:val="2"/>
          <w:sz w:val="24"/>
          <w:szCs w:val="24"/>
          <w:u w:color="000000"/>
          <w:rtl w:val="0"/>
          <w:lang w:val="en-US" w:eastAsia="zh-CN" w:bidi="ar-SA"/>
        </w:rPr>
        <w:t>不少于20条；</w:t>
      </w:r>
      <w:r>
        <w:rPr>
          <w:rFonts w:hint="eastAsia" w:ascii="仿宋" w:hAnsi="仿宋" w:eastAsia="仿宋" w:cs="仿宋"/>
          <w:color w:val="auto"/>
          <w:kern w:val="2"/>
          <w:sz w:val="24"/>
          <w:szCs w:val="24"/>
          <w:highlight w:val="none"/>
          <w:u w:color="000000"/>
          <w:rtl w:val="0"/>
          <w:lang w:val="en-US" w:eastAsia="zh-CN" w:bidi="ar-SA"/>
        </w:rPr>
        <w:t>邀请长三角市场旅游类KOL、KOC、UGC在抖音、小红书、携</w:t>
      </w:r>
      <w:r>
        <w:rPr>
          <w:rFonts w:hint="eastAsia" w:ascii="仿宋" w:hAnsi="仿宋" w:eastAsia="仿宋" w:cs="仿宋"/>
          <w:color w:val="auto"/>
          <w:kern w:val="2"/>
          <w:sz w:val="24"/>
          <w:szCs w:val="24"/>
          <w:u w:color="000000"/>
          <w:rtl w:val="0"/>
          <w:lang w:val="en-US" w:eastAsia="zh-CN" w:bidi="ar-SA"/>
        </w:rPr>
        <w:t>程、飞猪等平台</w:t>
      </w:r>
      <w:r>
        <w:rPr>
          <w:rFonts w:hint="eastAsia" w:ascii="仿宋" w:hAnsi="仿宋" w:eastAsia="仿宋" w:cs="仿宋"/>
          <w:color w:val="auto"/>
          <w:kern w:val="2"/>
          <w:sz w:val="24"/>
          <w:szCs w:val="24"/>
          <w:highlight w:val="none"/>
          <w:u w:color="000000"/>
          <w:rtl w:val="0"/>
          <w:lang w:val="en-US" w:eastAsia="zh-CN" w:bidi="ar-SA"/>
        </w:rPr>
        <w:t>产出图文笔记、游玩攻略</w:t>
      </w:r>
      <w:r>
        <w:rPr>
          <w:rFonts w:hint="eastAsia" w:ascii="仿宋" w:hAnsi="仿宋" w:eastAsia="仿宋" w:cs="仿宋"/>
          <w:color w:val="auto"/>
          <w:kern w:val="2"/>
          <w:sz w:val="24"/>
          <w:szCs w:val="24"/>
          <w:u w:color="000000"/>
          <w:rtl w:val="0"/>
          <w:lang w:val="en-US" w:eastAsia="zh-CN" w:bidi="ar-SA"/>
        </w:rPr>
        <w:t>不少于300条，总话题传播量不少于1000万次；路演</w:t>
      </w:r>
      <w:r>
        <w:rPr>
          <w:rFonts w:hint="eastAsia" w:ascii="仿宋" w:hAnsi="仿宋" w:eastAsia="仿宋" w:cs="仿宋"/>
          <w:color w:val="auto"/>
          <w:kern w:val="2"/>
          <w:sz w:val="24"/>
          <w:szCs w:val="24"/>
          <w:u w:color="000000"/>
          <w:lang w:val="en-US" w:eastAsia="zh-CN" w:bidi="ar-SA"/>
        </w:rPr>
        <w:t>现场发出不少于100份满意度问卷，满意度不低于90%。</w:t>
      </w:r>
    </w:p>
    <w:p w14:paraId="222D98C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：2026年6-7月</w:t>
      </w:r>
    </w:p>
    <w:p w14:paraId="6D9564D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（二）召开“3”场旅行商洽谈会</w:t>
      </w:r>
    </w:p>
    <w:p w14:paraId="278956B2">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lang w:val="en-US" w:eastAsia="zh-CN" w:bidi="ar-SA"/>
        </w:rPr>
        <w:t>1.长三角入境旅行商交易会。</w:t>
      </w:r>
      <w:r>
        <w:rPr>
          <w:rFonts w:hint="eastAsia" w:ascii="仿宋" w:hAnsi="仿宋" w:eastAsia="仿宋" w:cs="仿宋"/>
          <w:color w:val="auto"/>
          <w:kern w:val="2"/>
          <w:sz w:val="24"/>
          <w:szCs w:val="24"/>
          <w:u w:color="000000"/>
          <w:rtl w:val="0"/>
          <w:lang w:val="en-US" w:eastAsia="zh-CN" w:bidi="ar-SA"/>
        </w:rPr>
        <w:t>在南京组织开展“1+1”旅行商交易会，通过搭建“1对1”交易洽谈现场，邀请长三角入境旅行商、重点旅行社与浙东南旅游联合体会员单位开展合作交流，促进双方特色旅游产品开发、客源互送。</w:t>
      </w:r>
    </w:p>
    <w:p w14:paraId="1CB9354A">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highlight w:val="none"/>
          <w:u w:color="000000"/>
          <w:lang w:val="en-US" w:eastAsia="zh-CN" w:bidi="ar-SA"/>
        </w:rPr>
        <w:t>绩效要求</w:t>
      </w:r>
      <w:r>
        <w:rPr>
          <w:rFonts w:hint="eastAsia" w:ascii="仿宋" w:hAnsi="仿宋" w:eastAsia="仿宋" w:cs="仿宋"/>
          <w:b/>
          <w:bCs/>
          <w:color w:val="auto"/>
          <w:kern w:val="2"/>
          <w:sz w:val="24"/>
          <w:szCs w:val="24"/>
          <w:u w:color="000000"/>
          <w:lang w:val="en-US" w:eastAsia="zh-CN" w:bidi="ar-SA"/>
        </w:rPr>
        <w:t>：</w:t>
      </w:r>
      <w:r>
        <w:rPr>
          <w:rFonts w:hint="eastAsia" w:ascii="仿宋" w:hAnsi="仿宋" w:eastAsia="仿宋" w:cs="仿宋"/>
          <w:color w:val="auto"/>
          <w:kern w:val="2"/>
          <w:sz w:val="24"/>
          <w:szCs w:val="24"/>
          <w:u w:color="000000"/>
          <w:rtl w:val="0"/>
          <w:lang w:val="en-US" w:eastAsia="zh-CN" w:bidi="ar-SA"/>
        </w:rPr>
        <w:t>召开1场旅行商交易会，邀请长三角入境旅行商、重点旅行社不少于50家参加（入境旅行商不少于15家）。</w:t>
      </w:r>
    </w:p>
    <w:p w14:paraId="75C059D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：2026年6月</w:t>
      </w:r>
    </w:p>
    <w:p w14:paraId="750B5279">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lang w:val="en-US" w:eastAsia="zh-CN" w:bidi="ar-SA"/>
        </w:rPr>
        <w:t>2.兰州西北区域旅行商洽谈会。</w:t>
      </w:r>
      <w:r>
        <w:rPr>
          <w:rFonts w:hint="eastAsia" w:ascii="仿宋" w:hAnsi="仿宋" w:eastAsia="仿宋" w:cs="仿宋"/>
          <w:color w:val="auto"/>
          <w:kern w:val="2"/>
          <w:sz w:val="24"/>
          <w:szCs w:val="24"/>
          <w:u w:color="000000"/>
          <w:rtl w:val="0"/>
          <w:lang w:val="en-US" w:eastAsia="zh-CN" w:bidi="ar-SA"/>
        </w:rPr>
        <w:t>开展以座谈交流与推介相结合的远程市场推广，同步发布浙东南旅游主题线路及专项旅游激励政策，推动两地客源互送与渠道共建，浙东南五地市分别推介当地旅游产品特色和相关政策。</w:t>
      </w:r>
    </w:p>
    <w:p w14:paraId="6A1EA7CF">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highlight w:val="none"/>
          <w:u w:color="000000"/>
          <w:lang w:val="en-US" w:eastAsia="zh-CN" w:bidi="ar-SA"/>
        </w:rPr>
        <w:t>绩效要求</w:t>
      </w:r>
      <w:r>
        <w:rPr>
          <w:rFonts w:hint="eastAsia" w:ascii="仿宋" w:hAnsi="仿宋" w:eastAsia="仿宋" w:cs="仿宋"/>
          <w:b/>
          <w:bCs/>
          <w:color w:val="auto"/>
          <w:kern w:val="2"/>
          <w:sz w:val="24"/>
          <w:szCs w:val="24"/>
          <w:u w:color="000000"/>
          <w:lang w:val="en-US" w:eastAsia="zh-CN" w:bidi="ar-SA"/>
        </w:rPr>
        <w:t>：</w:t>
      </w:r>
      <w:r>
        <w:rPr>
          <w:rFonts w:hint="eastAsia" w:ascii="仿宋" w:hAnsi="仿宋" w:eastAsia="仿宋" w:cs="仿宋"/>
          <w:color w:val="auto"/>
          <w:kern w:val="2"/>
          <w:sz w:val="24"/>
          <w:szCs w:val="24"/>
          <w:u w:color="000000"/>
          <w:rtl w:val="0"/>
          <w:lang w:val="en-US" w:eastAsia="zh-CN" w:bidi="ar-SA"/>
        </w:rPr>
        <w:t>完成1场旅行商交流洽谈会；邀请兰州及周边城市旅行社不少于30家参加；推出串联浙东南五地市的远途旅游产品、线路不少于5条</w:t>
      </w:r>
      <w:r>
        <w:rPr>
          <w:rFonts w:hint="eastAsia" w:ascii="仿宋" w:hAnsi="仿宋" w:eastAsia="仿宋" w:cs="仿宋"/>
          <w:color w:val="auto"/>
          <w:kern w:val="2"/>
          <w:sz w:val="24"/>
          <w:szCs w:val="24"/>
          <w:u w:color="000000"/>
          <w:lang w:val="en-US" w:eastAsia="zh-CN" w:bidi="ar-SA"/>
        </w:rPr>
        <w:t>；线上媒体报道</w:t>
      </w:r>
      <w:r>
        <w:rPr>
          <w:rFonts w:hint="eastAsia" w:ascii="仿宋" w:hAnsi="仿宋" w:eastAsia="仿宋" w:cs="仿宋"/>
          <w:color w:val="auto"/>
          <w:kern w:val="2"/>
          <w:sz w:val="24"/>
          <w:szCs w:val="24"/>
          <w:u w:color="000000"/>
          <w:rtl w:val="0"/>
          <w:lang w:val="en-US" w:eastAsia="zh-CN" w:bidi="ar-SA"/>
        </w:rPr>
        <w:t>不少于10条。</w:t>
      </w:r>
    </w:p>
    <w:p w14:paraId="535CA3E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：2026年9月</w:t>
      </w:r>
    </w:p>
    <w:p w14:paraId="3B4192B7">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lang w:val="en-US" w:eastAsia="zh-CN" w:bidi="ar-SA"/>
        </w:rPr>
        <w:t>3.银川西北研学旅行商洽谈会。</w:t>
      </w:r>
      <w:r>
        <w:rPr>
          <w:rFonts w:hint="eastAsia" w:ascii="仿宋" w:hAnsi="仿宋" w:eastAsia="仿宋" w:cs="仿宋"/>
          <w:color w:val="auto"/>
          <w:kern w:val="2"/>
          <w:sz w:val="24"/>
          <w:szCs w:val="24"/>
          <w:u w:color="000000"/>
          <w:rtl w:val="0"/>
          <w:lang w:val="en-US" w:eastAsia="zh-CN" w:bidi="ar-SA"/>
        </w:rPr>
        <w:t>开展以座谈交流与推介相结合的远程市场推广，同步发布浙东南旅游主题线路及专项旅游激励政策，推动两地客源互送与渠道共建，浙东南五地市分别推介当地旅游产品特色和相关政策。</w:t>
      </w:r>
    </w:p>
    <w:p w14:paraId="07342FA9">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u w:color="000000"/>
          <w:lang w:val="en-US" w:eastAsia="zh-CN" w:bidi="ar-SA"/>
        </w:rPr>
        <w:t>绩效要求：</w:t>
      </w:r>
      <w:r>
        <w:rPr>
          <w:rFonts w:hint="eastAsia" w:ascii="仿宋" w:hAnsi="仿宋" w:eastAsia="仿宋" w:cs="仿宋"/>
          <w:color w:val="auto"/>
          <w:kern w:val="2"/>
          <w:sz w:val="24"/>
          <w:szCs w:val="24"/>
          <w:u w:color="000000"/>
          <w:rtl w:val="0"/>
          <w:lang w:val="en-US" w:eastAsia="zh-CN" w:bidi="ar-SA"/>
        </w:rPr>
        <w:t>完成1场旅行商交流洽谈会；邀请银川及周边城市旅行社不少于20家参加；推出串联浙东南五地市的远途旅游产品、线路不少于5条；</w:t>
      </w:r>
      <w:r>
        <w:rPr>
          <w:rFonts w:hint="eastAsia" w:ascii="仿宋" w:hAnsi="仿宋" w:eastAsia="仿宋" w:cs="仿宋"/>
          <w:color w:val="auto"/>
          <w:kern w:val="2"/>
          <w:sz w:val="24"/>
          <w:szCs w:val="24"/>
          <w:u w:color="000000"/>
          <w:lang w:val="en-US" w:eastAsia="zh-CN" w:bidi="ar-SA"/>
        </w:rPr>
        <w:t>线上媒体报道</w:t>
      </w:r>
      <w:r>
        <w:rPr>
          <w:rFonts w:hint="eastAsia" w:ascii="仿宋" w:hAnsi="仿宋" w:eastAsia="仿宋" w:cs="仿宋"/>
          <w:color w:val="auto"/>
          <w:kern w:val="2"/>
          <w:sz w:val="24"/>
          <w:szCs w:val="24"/>
          <w:u w:color="000000"/>
          <w:rtl w:val="0"/>
          <w:lang w:val="en-US" w:eastAsia="zh-CN" w:bidi="ar-SA"/>
        </w:rPr>
        <w:t>不少于10条。</w:t>
      </w:r>
    </w:p>
    <w:p w14:paraId="6761DCB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color w:val="auto"/>
          <w:kern w:val="2"/>
          <w:sz w:val="24"/>
          <w:szCs w:val="24"/>
          <w:u w:color="000000"/>
          <w:rtl w:val="0"/>
          <w:lang w:val="en-US" w:eastAsia="zh-CN" w:bidi="ar-SA"/>
        </w:rPr>
        <w:t>预计开展时间：2026年9月</w:t>
      </w:r>
    </w:p>
    <w:p w14:paraId="4D769DFC">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rtl w:val="0"/>
          <w:lang w:val="en-US" w:eastAsia="zh-CN" w:bidi="ar-SA"/>
        </w:rPr>
        <w:t>4.重点客源地省市联动推广</w:t>
      </w:r>
      <w:r>
        <w:rPr>
          <w:rFonts w:hint="eastAsia" w:ascii="仿宋" w:hAnsi="仿宋" w:eastAsia="仿宋" w:cs="仿宋"/>
          <w:color w:val="auto"/>
          <w:kern w:val="2"/>
          <w:sz w:val="24"/>
          <w:szCs w:val="24"/>
          <w:u w:color="000000"/>
          <w:rtl w:val="0"/>
          <w:lang w:val="en-US" w:eastAsia="zh-CN" w:bidi="ar-SA"/>
        </w:rPr>
        <w:t>。紧密配合省厅2026年度推广计划，以“活力浙东南”为统一主题，在浙江省的重点客源城市（具体城市由省厅确定）同步开展借势借力的两场省市联动推广，展示浙东南的美景美食、非遗技艺，有效承接省级流量。</w:t>
      </w:r>
    </w:p>
    <w:p w14:paraId="1E68EAFB">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u w:color="000000"/>
          <w:rtl w:val="0"/>
          <w:lang w:val="en-US" w:eastAsia="zh-CN" w:bidi="ar-SA"/>
        </w:rPr>
        <w:t>绩效指标：</w:t>
      </w:r>
      <w:r>
        <w:rPr>
          <w:rFonts w:hint="eastAsia" w:ascii="仿宋" w:hAnsi="仿宋" w:eastAsia="仿宋" w:cs="仿宋"/>
          <w:color w:val="auto"/>
          <w:kern w:val="2"/>
          <w:sz w:val="24"/>
          <w:szCs w:val="24"/>
          <w:u w:color="000000"/>
          <w:rtl w:val="0"/>
          <w:lang w:val="en-US" w:eastAsia="zh-CN" w:bidi="ar-SA"/>
        </w:rPr>
        <w:t>与省厅联动完成2场浙东南联动主题展示</w:t>
      </w:r>
    </w:p>
    <w:p w14:paraId="2C19087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（三）策划“5进”营销推广工作</w:t>
      </w:r>
    </w:p>
    <w:p w14:paraId="520F9CD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kern w:val="2"/>
          <w:sz w:val="24"/>
          <w:szCs w:val="24"/>
          <w:highlight w:val="yellow"/>
          <w:u w:color="000000"/>
          <w:rtl w:val="0"/>
          <w:lang w:val="en-US" w:eastAsia="zh-CN" w:bidi="ar-SA"/>
        </w:rPr>
      </w:pPr>
      <w:r>
        <w:rPr>
          <w:rFonts w:hint="eastAsia" w:ascii="仿宋" w:hAnsi="仿宋" w:eastAsia="仿宋" w:cs="仿宋"/>
          <w:color w:val="auto"/>
          <w:kern w:val="2"/>
          <w:sz w:val="24"/>
          <w:szCs w:val="24"/>
          <w:u w:color="000000"/>
          <w:lang w:val="en-US" w:eastAsia="zh-CN" w:bidi="ar-SA"/>
        </w:rPr>
        <w:t>依托“五进”工作（进商圈、进高校、进场站、进社区、进景区），精准锚定Z世代客群需求，以潮玩体验、文化互动、数字传播为载体，构建全方位、沉浸式营销网络，精准触达不同客群</w:t>
      </w:r>
      <w:r>
        <w:rPr>
          <w:rFonts w:hint="eastAsia" w:ascii="仿宋" w:hAnsi="仿宋" w:eastAsia="仿宋" w:cs="仿宋"/>
          <w:color w:val="auto"/>
          <w:kern w:val="2"/>
          <w:sz w:val="24"/>
          <w:szCs w:val="24"/>
          <w:u w:color="000000"/>
          <w:rtl w:val="0"/>
          <w:lang w:val="en-US" w:eastAsia="zh-CN" w:bidi="ar-SA"/>
        </w:rPr>
        <w:t>，拓展跨区域市场辐射半径。</w:t>
      </w:r>
    </w:p>
    <w:p w14:paraId="2EEE577C">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b/>
          <w:bCs/>
          <w:color w:val="auto"/>
          <w:kern w:val="2"/>
          <w:sz w:val="24"/>
          <w:szCs w:val="24"/>
          <w:highlight w:val="none"/>
          <w:u w:color="000000"/>
          <w:rtl w:val="0"/>
          <w:lang w:val="en-US" w:eastAsia="zh-CN" w:bidi="ar-SA"/>
        </w:rPr>
        <w:t>1.进商圈：浙里喜市。</w:t>
      </w:r>
      <w:r>
        <w:rPr>
          <w:rFonts w:hint="eastAsia" w:ascii="仿宋" w:hAnsi="仿宋" w:eastAsia="仿宋" w:cs="仿宋"/>
          <w:color w:val="auto"/>
          <w:kern w:val="2"/>
          <w:sz w:val="24"/>
          <w:szCs w:val="24"/>
          <w:u w:color="000000"/>
          <w:rtl w:val="0"/>
          <w:lang w:val="en-US" w:eastAsia="zh-CN" w:bidi="ar-SA"/>
        </w:rPr>
        <w:t>在</w:t>
      </w:r>
      <w:r>
        <w:rPr>
          <w:rFonts w:hint="eastAsia" w:ascii="仿宋" w:hAnsi="仿宋" w:eastAsia="仿宋" w:cs="仿宋"/>
          <w:color w:val="auto"/>
          <w:kern w:val="2"/>
          <w:sz w:val="24"/>
          <w:szCs w:val="24"/>
          <w:u w:color="000000"/>
          <w:lang w:val="en-US" w:eastAsia="zh-CN" w:bidi="ar-SA"/>
        </w:rPr>
        <w:t>南京老门东</w:t>
      </w:r>
      <w:r>
        <w:rPr>
          <w:rFonts w:hint="eastAsia" w:ascii="仿宋" w:hAnsi="仿宋" w:eastAsia="仿宋" w:cs="仿宋"/>
          <w:color w:val="auto"/>
          <w:kern w:val="2"/>
          <w:sz w:val="24"/>
          <w:szCs w:val="24"/>
          <w:u w:color="000000"/>
          <w:rtl w:val="0"/>
          <w:lang w:val="en-US" w:eastAsia="zh-CN" w:bidi="ar-SA"/>
        </w:rPr>
        <w:t>集合五城市优质文旅产品、非遗特色产品现场销售，开展路演展</w:t>
      </w:r>
      <w:r>
        <w:rPr>
          <w:rFonts w:hint="eastAsia" w:ascii="仿宋" w:hAnsi="仿宋" w:eastAsia="仿宋" w:cs="仿宋"/>
          <w:color w:val="auto"/>
          <w:kern w:val="2"/>
          <w:sz w:val="24"/>
          <w:szCs w:val="24"/>
          <w:highlight w:val="none"/>
          <w:u w:color="000000"/>
          <w:rtl w:val="0"/>
          <w:lang w:val="en-US" w:eastAsia="zh-CN" w:bidi="ar-SA"/>
        </w:rPr>
        <w:t>示提升市集吸引力。</w:t>
      </w:r>
    </w:p>
    <w:p w14:paraId="765888C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lang w:val="en-US" w:eastAsia="zh-CN" w:bidi="ar-SA"/>
        </w:rPr>
        <w:t>绩效要求</w:t>
      </w:r>
      <w:r>
        <w:rPr>
          <w:rFonts w:hint="eastAsia" w:ascii="仿宋" w:hAnsi="仿宋" w:eastAsia="仿宋" w:cs="仿宋"/>
          <w:b/>
          <w:bCs/>
          <w:color w:val="auto"/>
          <w:kern w:val="2"/>
          <w:sz w:val="24"/>
          <w:szCs w:val="24"/>
          <w:rtl w:val="0"/>
          <w:lang w:val="en-US" w:eastAsia="zh-CN" w:bidi="ar-SA"/>
        </w:rPr>
        <w:t>：</w:t>
      </w:r>
      <w:r>
        <w:rPr>
          <w:rFonts w:hint="eastAsia" w:ascii="仿宋" w:hAnsi="仿宋" w:eastAsia="仿宋" w:cs="仿宋"/>
          <w:color w:val="auto"/>
          <w:kern w:val="2"/>
          <w:sz w:val="24"/>
          <w:szCs w:val="24"/>
          <w:highlight w:val="none"/>
          <w:u w:color="000000"/>
          <w:rtl w:val="0"/>
          <w:lang w:val="en-US" w:eastAsia="zh-CN" w:bidi="ar-SA"/>
        </w:rPr>
        <w:t>现场设置10个市集摊位，展示互动不少于3次</w:t>
      </w:r>
      <w:r>
        <w:rPr>
          <w:rFonts w:hint="eastAsia" w:ascii="仿宋" w:hAnsi="仿宋" w:eastAsia="仿宋" w:cs="仿宋"/>
          <w:color w:val="auto"/>
          <w:kern w:val="2"/>
          <w:sz w:val="24"/>
          <w:szCs w:val="24"/>
          <w:u w:color="000000"/>
          <w:rtl w:val="0"/>
          <w:lang w:val="en-US" w:eastAsia="zh-CN" w:bidi="ar-SA"/>
        </w:rPr>
        <w:t>。</w:t>
      </w:r>
    </w:p>
    <w:p w14:paraId="7D9C4DE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：2026年6-7月</w:t>
      </w:r>
    </w:p>
    <w:p w14:paraId="4888CD6E">
      <w:pPr>
        <w:pStyle w:val="554"/>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lang w:val="en-US" w:eastAsia="zh-CN" w:bidi="ar-SA"/>
        </w:rPr>
        <w:t>2.进高校：南京校园路演项目。</w:t>
      </w:r>
      <w:r>
        <w:rPr>
          <w:rFonts w:hint="eastAsia" w:ascii="仿宋" w:hAnsi="仿宋" w:eastAsia="仿宋" w:cs="仿宋"/>
          <w:b w:val="0"/>
          <w:bCs/>
          <w:color w:val="auto"/>
          <w:kern w:val="2"/>
          <w:sz w:val="24"/>
          <w:szCs w:val="24"/>
          <w:u w:color="000000"/>
          <w:lang w:val="en-US" w:eastAsia="zh-CN" w:bidi="ar-SA"/>
        </w:rPr>
        <w:t xml:space="preserve">拟在南京传媒学院（备选：南京艺术学院、南京师范大学）开展沉浸式体验。  </w:t>
      </w:r>
    </w:p>
    <w:p w14:paraId="7307C9D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绩效要求：</w:t>
      </w:r>
      <w:r>
        <w:rPr>
          <w:rFonts w:hint="eastAsia" w:ascii="仿宋" w:hAnsi="仿宋" w:eastAsia="仿宋" w:cs="仿宋"/>
          <w:color w:val="auto"/>
          <w:kern w:val="2"/>
          <w:sz w:val="24"/>
          <w:szCs w:val="24"/>
          <w:highlight w:val="none"/>
          <w:u w:color="000000"/>
          <w:lang w:val="en-US" w:eastAsia="zh-CN" w:bidi="ar-SA"/>
        </w:rPr>
        <w:t>完成高校路演1场</w:t>
      </w:r>
      <w:r>
        <w:rPr>
          <w:rFonts w:hint="eastAsia" w:ascii="仿宋" w:hAnsi="仿宋" w:eastAsia="仿宋" w:cs="仿宋"/>
          <w:color w:val="auto"/>
          <w:kern w:val="2"/>
          <w:sz w:val="24"/>
          <w:szCs w:val="24"/>
          <w:u w:color="000000"/>
          <w:rtl w:val="0"/>
          <w:lang w:val="en-US" w:eastAsia="zh-CN" w:bidi="ar-SA"/>
        </w:rPr>
        <w:t>，</w:t>
      </w:r>
      <w:r>
        <w:rPr>
          <w:rFonts w:hint="eastAsia" w:ascii="仿宋" w:hAnsi="仿宋" w:eastAsia="仿宋" w:cs="仿宋"/>
          <w:color w:val="auto"/>
          <w:kern w:val="2"/>
          <w:sz w:val="24"/>
          <w:szCs w:val="24"/>
          <w:highlight w:val="none"/>
          <w:u w:color="000000"/>
          <w:rtl w:val="0"/>
          <w:lang w:val="en-US" w:eastAsia="zh-CN" w:bidi="ar-SA"/>
        </w:rPr>
        <w:t>展示互动不少于3次</w:t>
      </w:r>
      <w:r>
        <w:rPr>
          <w:rFonts w:hint="eastAsia" w:ascii="仿宋" w:hAnsi="仿宋" w:eastAsia="仿宋" w:cs="仿宋"/>
          <w:color w:val="auto"/>
          <w:kern w:val="2"/>
          <w:sz w:val="24"/>
          <w:szCs w:val="24"/>
          <w:highlight w:val="none"/>
          <w:u w:color="000000"/>
          <w:lang w:val="en-US" w:eastAsia="zh-CN" w:bidi="ar-SA"/>
        </w:rPr>
        <w:t>；</w:t>
      </w:r>
      <w:r>
        <w:rPr>
          <w:rFonts w:hint="eastAsia" w:ascii="仿宋" w:hAnsi="仿宋" w:eastAsia="仿宋" w:cs="仿宋"/>
          <w:color w:val="auto"/>
          <w:kern w:val="2"/>
          <w:sz w:val="24"/>
          <w:szCs w:val="24"/>
          <w:u w:color="000000"/>
          <w:lang w:val="en-US" w:eastAsia="zh-CN" w:bidi="ar-SA"/>
        </w:rPr>
        <w:t>线上媒体报道</w:t>
      </w:r>
      <w:r>
        <w:rPr>
          <w:rFonts w:hint="eastAsia" w:ascii="仿宋" w:hAnsi="仿宋" w:eastAsia="仿宋" w:cs="仿宋"/>
          <w:color w:val="auto"/>
          <w:kern w:val="2"/>
          <w:sz w:val="24"/>
          <w:szCs w:val="24"/>
          <w:u w:color="000000"/>
          <w:rtl w:val="0"/>
          <w:lang w:val="en-US" w:eastAsia="zh-CN" w:bidi="ar-SA"/>
        </w:rPr>
        <w:t>不少于20条；针对高校</w:t>
      </w:r>
      <w:r>
        <w:rPr>
          <w:rFonts w:hint="eastAsia" w:ascii="仿宋" w:hAnsi="仿宋" w:eastAsia="仿宋" w:cs="仿宋"/>
          <w:color w:val="auto"/>
          <w:kern w:val="2"/>
          <w:sz w:val="24"/>
          <w:szCs w:val="24"/>
          <w:highlight w:val="none"/>
          <w:u w:color="000000"/>
          <w:rtl w:val="0"/>
          <w:lang w:val="en-US" w:eastAsia="zh-CN" w:bidi="ar-SA"/>
        </w:rPr>
        <w:t>开展精准营销曝光量</w:t>
      </w:r>
      <w:r>
        <w:rPr>
          <w:rFonts w:hint="eastAsia" w:ascii="仿宋" w:hAnsi="仿宋" w:eastAsia="仿宋" w:cs="仿宋"/>
          <w:color w:val="auto"/>
          <w:kern w:val="2"/>
          <w:sz w:val="24"/>
          <w:szCs w:val="24"/>
          <w:u w:color="000000"/>
          <w:rtl w:val="0"/>
          <w:lang w:val="en-US" w:eastAsia="zh-CN" w:bidi="ar-SA"/>
        </w:rPr>
        <w:t>不少于500万次</w:t>
      </w:r>
      <w:r>
        <w:rPr>
          <w:rFonts w:hint="eastAsia" w:ascii="仿宋" w:hAnsi="仿宋" w:eastAsia="仿宋" w:cs="仿宋"/>
          <w:color w:val="auto"/>
          <w:kern w:val="2"/>
          <w:sz w:val="24"/>
          <w:szCs w:val="24"/>
          <w:highlight w:val="none"/>
          <w:u w:color="000000"/>
          <w:rtl w:val="0"/>
          <w:lang w:val="en-US" w:eastAsia="zh-CN" w:bidi="ar-SA"/>
        </w:rPr>
        <w:t>；现场设置10个特色产品、推广物料展示平台；</w:t>
      </w:r>
      <w:r>
        <w:rPr>
          <w:rFonts w:hint="eastAsia" w:ascii="仿宋" w:hAnsi="仿宋" w:eastAsia="仿宋" w:cs="仿宋"/>
          <w:color w:val="auto"/>
          <w:kern w:val="2"/>
          <w:sz w:val="24"/>
          <w:szCs w:val="24"/>
          <w:highlight w:val="none"/>
          <w:u w:color="000000"/>
          <w:lang w:val="en-US" w:eastAsia="zh-CN" w:bidi="ar-SA"/>
        </w:rPr>
        <w:t>现场发出不少于100份满意度问卷，满意度不低于90%。</w:t>
      </w:r>
    </w:p>
    <w:p w14:paraId="7E4BA7E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：2026年6-7月</w:t>
      </w:r>
    </w:p>
    <w:p w14:paraId="37BE41EE">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u w:color="000000"/>
          <w:lang w:val="en-US" w:eastAsia="zh-CN" w:bidi="ar-SA"/>
        </w:rPr>
        <w:t>3.进场站：萧山机场入境传播矩阵。</w:t>
      </w:r>
      <w:r>
        <w:rPr>
          <w:rFonts w:hint="eastAsia" w:ascii="仿宋" w:hAnsi="仿宋" w:eastAsia="仿宋" w:cs="仿宋"/>
          <w:color w:val="auto"/>
          <w:kern w:val="2"/>
          <w:sz w:val="24"/>
          <w:szCs w:val="24"/>
          <w:u w:color="000000"/>
          <w:rtl w:val="0"/>
          <w:lang w:val="en-US" w:eastAsia="zh-CN" w:bidi="ar-SA"/>
        </w:rPr>
        <w:t>在杭州萧山国际机场T4航站楼内组合多点位LED大屏，投放浙东南双语广告，依托交通枢纽场景，构建“旅途即推广”的场景化营销网络，弥补入境市场推广空缺，提升品牌触达效率与转化效果。</w:t>
      </w:r>
    </w:p>
    <w:p w14:paraId="254C7F7F">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b/>
          <w:bCs/>
          <w:color w:val="auto"/>
          <w:kern w:val="2"/>
          <w:sz w:val="24"/>
          <w:szCs w:val="24"/>
          <w:highlight w:val="none"/>
          <w:u w:color="000000"/>
          <w:lang w:val="en-US" w:eastAsia="zh-CN" w:bidi="ar-SA"/>
        </w:rPr>
        <w:t>绩效要求：</w:t>
      </w:r>
      <w:r>
        <w:rPr>
          <w:rFonts w:hint="eastAsia" w:ascii="仿宋" w:hAnsi="仿宋" w:eastAsia="仿宋" w:cs="仿宋"/>
          <w:color w:val="auto"/>
          <w:kern w:val="2"/>
          <w:sz w:val="24"/>
          <w:szCs w:val="24"/>
          <w:highlight w:val="none"/>
          <w:u w:color="000000"/>
          <w:rtl w:val="0"/>
          <w:lang w:val="en-US" w:eastAsia="zh-CN" w:bidi="ar-SA"/>
        </w:rPr>
        <w:t>播放时长10秒每次，每天160次，投放时间段为每天8:00—24:00，投放1个月。</w:t>
      </w:r>
    </w:p>
    <w:p w14:paraId="3E21DC12">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2026年7-8月</w:t>
      </w:r>
    </w:p>
    <w:p w14:paraId="661C7228">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b/>
          <w:bCs/>
          <w:color w:val="auto"/>
          <w:kern w:val="2"/>
          <w:sz w:val="24"/>
          <w:szCs w:val="24"/>
          <w:lang w:val="en-US" w:eastAsia="zh-CN" w:bidi="ar-SA"/>
        </w:rPr>
        <w:t>4.进社区：入境游主题重点客源市场推广。</w:t>
      </w:r>
      <w:r>
        <w:rPr>
          <w:rFonts w:hint="eastAsia" w:ascii="仿宋" w:hAnsi="仿宋" w:eastAsia="仿宋" w:cs="仿宋"/>
          <w:color w:val="auto"/>
          <w:kern w:val="2"/>
          <w:sz w:val="24"/>
          <w:szCs w:val="24"/>
          <w:highlight w:val="none"/>
          <w:u w:color="000000"/>
          <w:rtl w:val="0"/>
          <w:lang w:val="en-US" w:eastAsia="zh-CN" w:bidi="ar-SA"/>
        </w:rPr>
        <w:t>在上海外国人居住聚集区电梯轿厢投放双语文旅广告，展示浙东南山海风光、非遗文化、入境旅游便利政策。</w:t>
      </w:r>
    </w:p>
    <w:p w14:paraId="47143C19">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b/>
          <w:bCs/>
          <w:color w:val="auto"/>
          <w:kern w:val="2"/>
          <w:sz w:val="24"/>
          <w:szCs w:val="24"/>
          <w:highlight w:val="none"/>
          <w:u w:color="000000"/>
          <w:rtl w:val="0"/>
          <w:lang w:val="en-US" w:eastAsia="zh-CN" w:bidi="ar-SA"/>
        </w:rPr>
        <w:t>绩效要求：</w:t>
      </w:r>
      <w:r>
        <w:rPr>
          <w:rFonts w:hint="eastAsia" w:ascii="仿宋" w:hAnsi="仿宋" w:eastAsia="仿宋" w:cs="仿宋"/>
          <w:color w:val="auto"/>
          <w:kern w:val="2"/>
          <w:sz w:val="24"/>
          <w:szCs w:val="24"/>
          <w:highlight w:val="none"/>
          <w:u w:color="000000"/>
          <w:rtl w:val="0"/>
          <w:lang w:val="en-US" w:eastAsia="zh-CN" w:bidi="ar-SA"/>
        </w:rPr>
        <w:t>1000个电梯屏（150次/天/屏）投放3周，单次播放时长不少于10秒。</w:t>
      </w:r>
    </w:p>
    <w:p w14:paraId="25121275">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lang w:val="en-US" w:eastAsia="zh-CN" w:bidi="ar-SA"/>
        </w:rPr>
        <w:t>预计开展时间：</w:t>
      </w:r>
      <w:r>
        <w:rPr>
          <w:rFonts w:hint="eastAsia" w:ascii="仿宋" w:hAnsi="仿宋" w:eastAsia="仿宋" w:cs="仿宋"/>
          <w:color w:val="auto"/>
          <w:kern w:val="2"/>
          <w:sz w:val="24"/>
          <w:szCs w:val="24"/>
          <w:u w:color="000000"/>
          <w:lang w:val="en-US" w:eastAsia="zh-CN" w:bidi="ar-SA"/>
        </w:rPr>
        <w:t>2026年7-8月</w:t>
      </w:r>
    </w:p>
    <w:p w14:paraId="20A72C2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b/>
          <w:bCs/>
          <w:color w:val="auto"/>
          <w:kern w:val="2"/>
          <w:sz w:val="24"/>
          <w:szCs w:val="24"/>
          <w:lang w:val="en-US" w:eastAsia="zh-CN" w:bidi="ar-SA"/>
        </w:rPr>
        <w:t>5.进景区：</w:t>
      </w:r>
      <w:r>
        <w:rPr>
          <w:rFonts w:hint="eastAsia" w:ascii="仿宋" w:hAnsi="仿宋" w:eastAsia="仿宋" w:cs="仿宋"/>
          <w:b/>
          <w:bCs/>
          <w:color w:val="auto"/>
          <w:kern w:val="2"/>
          <w:sz w:val="24"/>
          <w:szCs w:val="24"/>
          <w:rtl w:val="0"/>
          <w:lang w:val="en-US" w:eastAsia="zh-CN" w:bidi="ar-SA"/>
        </w:rPr>
        <w:t>浙东南五地市重点旅行商踩线交流。</w:t>
      </w:r>
      <w:r>
        <w:rPr>
          <w:rFonts w:hint="eastAsia" w:ascii="仿宋" w:hAnsi="仿宋" w:eastAsia="仿宋" w:cs="仿宋"/>
          <w:color w:val="auto"/>
          <w:kern w:val="2"/>
          <w:sz w:val="24"/>
          <w:szCs w:val="24"/>
          <w:highlight w:val="none"/>
          <w:u w:color="000000"/>
          <w:rtl w:val="0"/>
          <w:lang w:val="en-US" w:eastAsia="zh-CN" w:bidi="ar-SA"/>
        </w:rPr>
        <w:t>浙东南五地市重点旅行商开展旅游产品、线路踩线交流；组织开展浙东南旅游联合体会员交流。</w:t>
      </w:r>
    </w:p>
    <w:p w14:paraId="478AA0AD">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highlight w:val="none"/>
          <w:u w:color="000000"/>
          <w:rtl w:val="0"/>
          <w:lang w:val="en-US" w:eastAsia="zh-CN" w:bidi="ar-SA"/>
        </w:rPr>
        <w:t>绩效要求：</w:t>
      </w:r>
      <w:r>
        <w:rPr>
          <w:rFonts w:hint="eastAsia" w:ascii="仿宋" w:hAnsi="仿宋" w:eastAsia="仿宋" w:cs="仿宋"/>
          <w:color w:val="auto"/>
          <w:kern w:val="2"/>
          <w:sz w:val="24"/>
          <w:szCs w:val="24"/>
          <w:u w:color="000000"/>
          <w:rtl w:val="0"/>
          <w:lang w:val="en-US" w:eastAsia="zh-CN" w:bidi="ar-SA"/>
        </w:rPr>
        <w:t>完成旅行商踩线、交流各1次，</w:t>
      </w:r>
      <w:r>
        <w:rPr>
          <w:rFonts w:hint="eastAsia" w:ascii="仿宋" w:hAnsi="仿宋" w:eastAsia="仿宋" w:cs="仿宋"/>
          <w:color w:val="auto"/>
          <w:kern w:val="2"/>
          <w:sz w:val="24"/>
          <w:szCs w:val="24"/>
          <w:u w:color="000000"/>
          <w:lang w:val="en-US" w:eastAsia="zh-CN" w:bidi="ar-SA"/>
        </w:rPr>
        <w:t>线上媒体报道</w:t>
      </w:r>
      <w:r>
        <w:rPr>
          <w:rFonts w:hint="eastAsia" w:ascii="仿宋" w:hAnsi="仿宋" w:eastAsia="仿宋" w:cs="仿宋"/>
          <w:color w:val="auto"/>
          <w:kern w:val="2"/>
          <w:sz w:val="24"/>
          <w:szCs w:val="24"/>
          <w:u w:color="000000"/>
          <w:rtl w:val="0"/>
          <w:lang w:val="en-US" w:eastAsia="zh-CN" w:bidi="ar-SA"/>
        </w:rPr>
        <w:t>不少于20条。</w:t>
      </w:r>
    </w:p>
    <w:p w14:paraId="65B1741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rtl w:val="0"/>
          <w:lang w:val="en-US" w:eastAsia="zh-CN" w:bidi="ar-SA"/>
        </w:rPr>
      </w:pPr>
      <w:r>
        <w:rPr>
          <w:rFonts w:hint="eastAsia" w:ascii="仿宋" w:hAnsi="仿宋" w:eastAsia="仿宋" w:cs="仿宋"/>
          <w:b/>
          <w:bCs/>
          <w:color w:val="auto"/>
          <w:kern w:val="2"/>
          <w:sz w:val="24"/>
          <w:szCs w:val="24"/>
          <w:u w:color="000000"/>
          <w:rtl w:val="0"/>
          <w:lang w:val="en-US" w:eastAsia="zh-CN" w:bidi="ar-SA"/>
        </w:rPr>
        <w:t>预计开展时间：</w:t>
      </w:r>
      <w:r>
        <w:rPr>
          <w:rFonts w:hint="eastAsia" w:ascii="仿宋" w:hAnsi="仿宋" w:eastAsia="仿宋" w:cs="仿宋"/>
          <w:color w:val="auto"/>
          <w:kern w:val="2"/>
          <w:sz w:val="24"/>
          <w:szCs w:val="24"/>
          <w:u w:color="000000"/>
          <w:rtl w:val="0"/>
          <w:lang w:val="en-US" w:eastAsia="zh-CN" w:bidi="ar-SA"/>
        </w:rPr>
        <w:t>2026年10月</w:t>
      </w:r>
    </w:p>
    <w:p w14:paraId="5D2D7E8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（四）拓展“X”个线上传播矩阵</w:t>
      </w:r>
    </w:p>
    <w:p w14:paraId="47FCBC2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2"/>
          <w:sz w:val="24"/>
          <w:szCs w:val="24"/>
          <w:highlight w:val="none"/>
          <w:u w:color="000000"/>
          <w:rtl w:val="0"/>
          <w:lang w:val="en-US" w:eastAsia="zh-CN" w:bidi="ar-SA"/>
        </w:rPr>
      </w:pPr>
      <w:r>
        <w:rPr>
          <w:rFonts w:hint="eastAsia" w:ascii="仿宋" w:hAnsi="仿宋" w:eastAsia="仿宋" w:cs="仿宋"/>
          <w:color w:val="auto"/>
          <w:kern w:val="2"/>
          <w:sz w:val="24"/>
          <w:szCs w:val="24"/>
          <w:highlight w:val="none"/>
          <w:u w:color="000000"/>
          <w:rtl w:val="0"/>
          <w:lang w:val="en-US" w:eastAsia="zh-CN" w:bidi="ar-SA"/>
        </w:rPr>
        <w:t>聚焦浙东南五地市客源互送市场，构建小红书、抖音、携程、飞猪等平台为主题的四大线上传播矩阵。根据浙东南五城季节特点，设计应季体验潮玩路线，开展文旅达人潮玩创作季，分阶段引导KOL、KOC、UGC等产出高质量图文笔记、游玩攻略等内容，形成全年多轮次、多角度的全网传播矩阵，全面提升浙东南文旅的互联网推广影响力。</w:t>
      </w:r>
    </w:p>
    <w:p w14:paraId="076D498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highlight w:val="none"/>
          <w:u w:color="000000"/>
          <w:rtl w:val="0"/>
          <w:lang w:val="en-US" w:eastAsia="zh-CN" w:bidi="ar-SA"/>
        </w:rPr>
        <w:t>绩效要求：</w:t>
      </w:r>
      <w:r>
        <w:rPr>
          <w:rFonts w:hint="eastAsia" w:ascii="仿宋" w:hAnsi="仿宋" w:eastAsia="仿宋" w:cs="仿宋"/>
          <w:color w:val="auto"/>
          <w:kern w:val="2"/>
          <w:sz w:val="24"/>
          <w:szCs w:val="24"/>
          <w:u w:color="000000"/>
          <w:rtl w:val="0"/>
          <w:lang w:val="en-US" w:eastAsia="zh-CN" w:bidi="ar-SA"/>
        </w:rPr>
        <w:t>创作季期间邀请</w:t>
      </w:r>
      <w:r>
        <w:rPr>
          <w:rFonts w:hint="eastAsia" w:ascii="仿宋" w:hAnsi="仿宋" w:eastAsia="仿宋" w:cs="仿宋"/>
          <w:color w:val="auto"/>
          <w:kern w:val="2"/>
          <w:sz w:val="24"/>
          <w:szCs w:val="24"/>
          <w:highlight w:val="none"/>
          <w:u w:color="000000"/>
          <w:rtl w:val="0"/>
          <w:lang w:val="en-US" w:eastAsia="zh-CN" w:bidi="ar-SA"/>
        </w:rPr>
        <w:t>四大线上传播矩阵</w:t>
      </w:r>
      <w:r>
        <w:rPr>
          <w:rFonts w:hint="eastAsia" w:ascii="仿宋" w:hAnsi="仿宋" w:eastAsia="仿宋" w:cs="仿宋"/>
          <w:color w:val="auto"/>
          <w:kern w:val="2"/>
          <w:sz w:val="24"/>
          <w:szCs w:val="24"/>
          <w:u w:color="000000"/>
          <w:rtl w:val="0"/>
          <w:lang w:val="en-US" w:eastAsia="zh-CN" w:bidi="ar-SA"/>
        </w:rPr>
        <w:t>不少于300个平台，发布浙东南旅游等相关种草笔记、分享攻略不少于1000条，平台话题总传播不少于5000万次。</w:t>
      </w:r>
    </w:p>
    <w:p w14:paraId="7BCEAB6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color w:val="auto"/>
          <w:kern w:val="2"/>
          <w:sz w:val="24"/>
          <w:szCs w:val="24"/>
          <w:u w:color="000000"/>
          <w:lang w:val="en-US" w:eastAsia="zh-CN" w:bidi="ar-SA"/>
        </w:rPr>
      </w:pPr>
      <w:r>
        <w:rPr>
          <w:rFonts w:hint="eastAsia" w:ascii="仿宋" w:hAnsi="仿宋" w:eastAsia="仿宋" w:cs="仿宋"/>
          <w:b/>
          <w:bCs/>
          <w:color w:val="auto"/>
          <w:kern w:val="2"/>
          <w:sz w:val="24"/>
          <w:szCs w:val="24"/>
          <w:u w:color="000000"/>
          <w:rtl w:val="0"/>
          <w:lang w:val="en-US" w:eastAsia="zh-CN" w:bidi="ar-SA"/>
        </w:rPr>
        <w:t>预计开展时间：</w:t>
      </w:r>
      <w:r>
        <w:rPr>
          <w:rFonts w:hint="eastAsia" w:ascii="仿宋" w:hAnsi="仿宋" w:eastAsia="仿宋" w:cs="仿宋"/>
          <w:color w:val="auto"/>
          <w:kern w:val="2"/>
          <w:sz w:val="24"/>
          <w:szCs w:val="24"/>
          <w:u w:color="000000"/>
          <w:rtl w:val="0"/>
          <w:lang w:val="en-US" w:eastAsia="zh-CN" w:bidi="ar-SA"/>
        </w:rPr>
        <w:t>2026年6</w:t>
      </w:r>
      <w:r>
        <w:rPr>
          <w:rFonts w:hint="eastAsia" w:ascii="仿宋" w:hAnsi="仿宋" w:eastAsia="仿宋" w:cs="仿宋"/>
          <w:color w:val="auto"/>
          <w:kern w:val="2"/>
          <w:sz w:val="24"/>
          <w:szCs w:val="24"/>
          <w:u w:color="000000"/>
          <w:lang w:val="en-US" w:eastAsia="zh-CN" w:bidi="ar-SA"/>
        </w:rPr>
        <w:t>-10月</w:t>
      </w:r>
    </w:p>
    <w:p w14:paraId="2D6CD305">
      <w:pPr>
        <w:keepNext w:val="0"/>
        <w:keepLines w:val="0"/>
        <w:pageBreakBefore w:val="0"/>
        <w:kinsoku/>
        <w:wordWrap/>
        <w:overflowPunct/>
        <w:topLinePunct w:val="0"/>
        <w:autoSpaceDE/>
        <w:autoSpaceDN/>
        <w:bidi w:val="0"/>
        <w:adjustRightInd w:val="0"/>
        <w:snapToGrid w:val="0"/>
        <w:spacing w:line="420" w:lineRule="exact"/>
        <w:ind w:left="0" w:leftChars="0" w:right="0" w:rightChars="0"/>
        <w:textAlignment w:val="auto"/>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六、项目要求</w:t>
      </w:r>
    </w:p>
    <w:p w14:paraId="44736B5C">
      <w:pPr>
        <w:keepNext w:val="0"/>
        <w:keepLines w:val="0"/>
        <w:pageBreakBefore w:val="0"/>
        <w:kinsoku/>
        <w:wordWrap/>
        <w:overflowPunct/>
        <w:topLinePunct w:val="0"/>
        <w:autoSpaceDE/>
        <w:autoSpaceDN/>
        <w:bidi w:val="0"/>
        <w:adjustRightInd w:val="0"/>
        <w:snapToGrid/>
        <w:spacing w:line="420" w:lineRule="exact"/>
        <w:ind w:firstLine="480" w:firstLineChars="2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1.采购单位保留对本项目的最后确认、审查的权利。</w:t>
      </w:r>
    </w:p>
    <w:p w14:paraId="47142C72">
      <w:pPr>
        <w:keepNext w:val="0"/>
        <w:keepLines w:val="0"/>
        <w:pageBreakBefore w:val="0"/>
        <w:kinsoku/>
        <w:wordWrap/>
        <w:overflowPunct/>
        <w:topLinePunct w:val="0"/>
        <w:autoSpaceDE/>
        <w:autoSpaceDN/>
        <w:bidi w:val="0"/>
        <w:adjustRightInd w:val="0"/>
        <w:snapToGrid/>
        <w:spacing w:line="420" w:lineRule="exact"/>
        <w:ind w:firstLine="480" w:firstLineChars="2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2.中标单位须根据采购人时间和项目要求递交、细化具体方案并组织落实。并随时根据采购人的要求作进一步的修改。</w:t>
      </w:r>
    </w:p>
    <w:p w14:paraId="67D2A036">
      <w:pPr>
        <w:keepNext w:val="0"/>
        <w:keepLines w:val="0"/>
        <w:pageBreakBefore w:val="0"/>
        <w:kinsoku/>
        <w:wordWrap/>
        <w:overflowPunct/>
        <w:topLinePunct w:val="0"/>
        <w:autoSpaceDE/>
        <w:autoSpaceDN/>
        <w:bidi w:val="0"/>
        <w:adjustRightInd w:val="0"/>
        <w:snapToGrid/>
        <w:spacing w:line="420" w:lineRule="exact"/>
        <w:ind w:firstLine="480" w:firstLineChars="2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3.中标单位须按照采购单位的工期要求完成项目的相关工作（包括物料），确保活动安全、圆满、有序。未按工期要求及时完成或质量不合格，采购单位可以取消合同。造成经济损失的，采购单位有权追究责任。如果施工期间发生安全事故等原因引起事故，一切后果由中标单位负责。</w:t>
      </w:r>
    </w:p>
    <w:p w14:paraId="4A29EE5B">
      <w:pPr>
        <w:keepNext w:val="0"/>
        <w:keepLines w:val="0"/>
        <w:pageBreakBefore w:val="0"/>
        <w:kinsoku/>
        <w:wordWrap/>
        <w:overflowPunct/>
        <w:topLinePunct w:val="0"/>
        <w:autoSpaceDE/>
        <w:autoSpaceDN/>
        <w:bidi w:val="0"/>
        <w:adjustRightInd w:val="0"/>
        <w:snapToGrid/>
        <w:spacing w:line="420" w:lineRule="exact"/>
        <w:ind w:firstLine="480" w:firstLineChars="2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4.本项目涉及的一切费用均包含在投标报价中，请投标人自行考虑。</w:t>
      </w:r>
    </w:p>
    <w:p w14:paraId="6359C1A1">
      <w:pPr>
        <w:keepNext w:val="0"/>
        <w:keepLines w:val="0"/>
        <w:pageBreakBefore w:val="0"/>
        <w:kinsoku/>
        <w:wordWrap/>
        <w:overflowPunct/>
        <w:topLinePunct w:val="0"/>
        <w:autoSpaceDE/>
        <w:autoSpaceDN/>
        <w:bidi w:val="0"/>
        <w:adjustRightInd w:val="0"/>
        <w:snapToGrid/>
        <w:spacing w:line="420" w:lineRule="exact"/>
        <w:jc w:val="both"/>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七、付款方式</w:t>
      </w:r>
    </w:p>
    <w:p w14:paraId="3C9C0885">
      <w:pPr>
        <w:keepNext w:val="0"/>
        <w:keepLines w:val="0"/>
        <w:pageBreakBefore w:val="0"/>
        <w:kinsoku/>
        <w:wordWrap/>
        <w:overflowPunct/>
        <w:topLinePunct w:val="0"/>
        <w:autoSpaceDE/>
        <w:autoSpaceDN/>
        <w:bidi w:val="0"/>
        <w:adjustRightInd w:val="0"/>
        <w:snapToGrid/>
        <w:spacing w:line="420" w:lineRule="exact"/>
        <w:ind w:firstLine="480" w:firstLineChars="2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合同签订后且具备实施条件，采购人收到供应商提供的合法正式发票后向供应商支付合同总额的40%；在活动结束合同执行完毕后，中标供应商提供项目验收资料并合格通过，采购人收到供应商提供的合法正式发票后向供应商支付尾款。</w:t>
      </w:r>
    </w:p>
    <w:p w14:paraId="7D82B0B4">
      <w:pPr>
        <w:bidi w:val="0"/>
        <w:jc w:val="left"/>
        <w:rPr>
          <w:rFonts w:hint="eastAsia" w:ascii="Times New Roman" w:hAnsi="Times New Roman" w:eastAsia="宋体" w:cs="Times New Roman"/>
          <w:kern w:val="2"/>
          <w:sz w:val="21"/>
          <w:szCs w:val="24"/>
          <w:lang w:val="en-US" w:eastAsia="zh-CN" w:bidi="ar-SA"/>
        </w:rPr>
      </w:pPr>
    </w:p>
    <w:bookmarkEnd w:id="35"/>
    <w:p w14:paraId="02480D11">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五部分"/>
      <w:bookmarkStart w:id="37" w:name="_Toc86217003"/>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F798168">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B8971">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5BE4A93B">
      <w:pPr>
        <w:kinsoku/>
        <w:wordWrap w:val="0"/>
        <w:overflowPunct/>
        <w:topLinePunct w:val="0"/>
        <w:bidi w:val="0"/>
        <w:spacing w:line="480" w:lineRule="auto"/>
        <w:jc w:val="center"/>
        <w:rPr>
          <w:rFonts w:hint="eastAsia" w:ascii="仿宋" w:hAnsi="仿宋" w:eastAsia="仿宋" w:cs="仿宋"/>
          <w:b/>
          <w:color w:val="auto"/>
          <w:sz w:val="24"/>
          <w:highlight w:val="none"/>
        </w:rPr>
      </w:pPr>
    </w:p>
    <w:p w14:paraId="1BFB5081">
      <w:pPr>
        <w:kinsoku/>
        <w:wordWrap w:val="0"/>
        <w:overflowPunct/>
        <w:topLinePunct w:val="0"/>
        <w:bidi w:val="0"/>
        <w:spacing w:line="480" w:lineRule="auto"/>
        <w:jc w:val="center"/>
        <w:rPr>
          <w:rFonts w:hint="eastAsia" w:ascii="仿宋" w:hAnsi="仿宋" w:eastAsia="仿宋" w:cs="仿宋"/>
          <w:b/>
          <w:color w:val="auto"/>
          <w:sz w:val="24"/>
          <w:highlight w:val="none"/>
        </w:rPr>
      </w:pPr>
    </w:p>
    <w:p w14:paraId="166A678C">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C83A750">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7AC7F34">
      <w:pPr>
        <w:pStyle w:val="701"/>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41FF021">
      <w:pPr>
        <w:kinsoku/>
        <w:wordWrap w:val="0"/>
        <w:overflowPunct/>
        <w:topLinePunct w:val="0"/>
        <w:bidi w:val="0"/>
        <w:spacing w:before="120" w:line="22" w:lineRule="atLeast"/>
        <w:rPr>
          <w:rFonts w:hint="eastAsia" w:ascii="仿宋" w:hAnsi="仿宋" w:eastAsia="仿宋" w:cs="仿宋"/>
          <w:color w:val="auto"/>
          <w:sz w:val="24"/>
          <w:highlight w:val="none"/>
        </w:rPr>
      </w:pPr>
    </w:p>
    <w:p w14:paraId="43357297">
      <w:pPr>
        <w:pStyle w:val="4"/>
        <w:kinsoku/>
        <w:wordWrap w:val="0"/>
        <w:overflowPunct/>
        <w:topLinePunct w:val="0"/>
        <w:bidi w:val="0"/>
        <w:rPr>
          <w:rFonts w:hint="eastAsia" w:ascii="仿宋" w:hAnsi="仿宋" w:eastAsia="仿宋" w:cs="仿宋"/>
          <w:color w:val="auto"/>
          <w:highlight w:val="none"/>
        </w:rPr>
      </w:pPr>
    </w:p>
    <w:p w14:paraId="0E172431">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3B62095">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37D9A4D8">
      <w:pPr>
        <w:pStyle w:val="598"/>
        <w:kinsoku/>
        <w:wordWrap w:val="0"/>
        <w:overflowPunct/>
        <w:topLinePunct w:val="0"/>
        <w:bidi w:val="0"/>
        <w:spacing w:before="120" w:line="22" w:lineRule="atLeast"/>
        <w:rPr>
          <w:rFonts w:hint="eastAsia" w:ascii="仿宋" w:hAnsi="仿宋" w:eastAsia="仿宋" w:cs="仿宋"/>
          <w:color w:val="auto"/>
          <w:szCs w:val="24"/>
          <w:highlight w:val="none"/>
        </w:rPr>
      </w:pPr>
    </w:p>
    <w:p w14:paraId="6240BE4C">
      <w:pPr>
        <w:kinsoku/>
        <w:wordWrap w:val="0"/>
        <w:overflowPunct/>
        <w:topLinePunct w:val="0"/>
        <w:bidi w:val="0"/>
        <w:rPr>
          <w:rFonts w:hint="eastAsia" w:ascii="仿宋" w:hAnsi="仿宋" w:eastAsia="仿宋" w:cs="仿宋"/>
          <w:color w:val="auto"/>
          <w:sz w:val="24"/>
          <w:highlight w:val="none"/>
        </w:rPr>
      </w:pPr>
    </w:p>
    <w:p w14:paraId="661770F9">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5A8EAB5">
      <w:pPr>
        <w:kinsoku/>
        <w:wordWrap w:val="0"/>
        <w:overflowPunct/>
        <w:topLinePunct w:val="0"/>
        <w:bidi w:val="0"/>
        <w:spacing w:before="120" w:line="22" w:lineRule="atLeast"/>
        <w:rPr>
          <w:rFonts w:hint="eastAsia" w:ascii="仿宋" w:hAnsi="仿宋" w:eastAsia="仿宋" w:cs="仿宋"/>
          <w:color w:val="auto"/>
          <w:sz w:val="24"/>
          <w:highlight w:val="none"/>
        </w:rPr>
      </w:pPr>
    </w:p>
    <w:p w14:paraId="0B5E8F51">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A63976B">
      <w:pPr>
        <w:kinsoku/>
        <w:wordWrap w:val="0"/>
        <w:overflowPunct/>
        <w:topLinePunct w:val="0"/>
        <w:bidi w:val="0"/>
        <w:spacing w:before="120" w:line="22" w:lineRule="atLeast"/>
        <w:rPr>
          <w:rFonts w:hint="eastAsia" w:ascii="仿宋" w:hAnsi="仿宋" w:eastAsia="仿宋" w:cs="仿宋"/>
          <w:color w:val="auto"/>
          <w:sz w:val="24"/>
          <w:highlight w:val="none"/>
        </w:rPr>
      </w:pPr>
    </w:p>
    <w:p w14:paraId="468B9ED5">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7C3A20B">
      <w:pPr>
        <w:kinsoku/>
        <w:wordWrap w:val="0"/>
        <w:overflowPunct/>
        <w:topLinePunct w:val="0"/>
        <w:bidi w:val="0"/>
        <w:spacing w:before="120" w:line="22" w:lineRule="atLeast"/>
        <w:rPr>
          <w:rFonts w:hint="eastAsia" w:ascii="仿宋" w:hAnsi="仿宋" w:eastAsia="仿宋" w:cs="仿宋"/>
          <w:color w:val="auto"/>
          <w:sz w:val="24"/>
          <w:highlight w:val="none"/>
        </w:rPr>
      </w:pPr>
    </w:p>
    <w:p w14:paraId="762A874A">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9D7675B">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2B8B6D4E">
      <w:pPr>
        <w:kinsoku/>
        <w:wordWrap w:val="0"/>
        <w:overflowPunct/>
        <w:topLinePunct w:val="0"/>
        <w:bidi w:val="0"/>
        <w:rPr>
          <w:rFonts w:hint="eastAsia" w:ascii="仿宋" w:hAnsi="仿宋" w:eastAsia="仿宋" w:cs="仿宋"/>
          <w:b/>
          <w:color w:val="auto"/>
          <w:sz w:val="24"/>
          <w:highlight w:val="none"/>
        </w:rPr>
      </w:pPr>
    </w:p>
    <w:p w14:paraId="4049AC9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绍兴市文化广电旅游局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2026年浙东南旅游联合体营销推广项目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BB6B72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绍兴市文化广电旅游局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91E07EE">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15367"/>
      <w:bookmarkStart w:id="40" w:name="_Toc20421"/>
      <w:bookmarkStart w:id="41" w:name="_Toc19273"/>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31FE38F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9813A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8C9333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AF885A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FA840B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552815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74FDFA4">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2185"/>
      <w:bookmarkStart w:id="45" w:name="_Toc18585"/>
      <w:bookmarkStart w:id="46" w:name="_Toc6773"/>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471D898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BFBE2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FA6F7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6A64BCD">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FFD284">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A28428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5635"/>
      <w:bookmarkStart w:id="50" w:name="_Toc13918"/>
      <w:bookmarkStart w:id="51" w:name="_Toc21124"/>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1CD98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35F71A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E14BEA">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3E4DCDD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CC1C4E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484D7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C3E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428CAE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5ABE59F">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D73CF41">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E67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303F2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A8FC48B">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08132BA">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60F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F4FDCE">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47CDEC6">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E5055B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4A7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B2420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60355E7">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9506EB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CD9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0D3249">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1222E0">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62DC8F2">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C2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7BC52C3">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A3331DD">
            <w:pPr>
              <w:pStyle w:val="319"/>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360A03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654"/>
      <w:bookmarkStart w:id="55" w:name="_Toc14993"/>
      <w:bookmarkStart w:id="56" w:name="_Toc30506"/>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160D977">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2BA01F1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0340"/>
      <w:bookmarkStart w:id="59" w:name="_Toc1814"/>
      <w:bookmarkStart w:id="60" w:name="_Toc22618"/>
      <w:bookmarkStart w:id="61" w:name="_Toc11108"/>
      <w:bookmarkStart w:id="62" w:name="_Toc31421"/>
      <w:bookmarkStart w:id="63" w:name="_Toc8772"/>
      <w:bookmarkStart w:id="64" w:name="_Toc3625"/>
      <w:bookmarkStart w:id="65" w:name="_Toc4760"/>
      <w:r>
        <w:rPr>
          <w:rFonts w:hint="eastAsia" w:ascii="仿宋" w:hAnsi="仿宋" w:eastAsia="仿宋" w:cs="仿宋"/>
          <w:b/>
          <w:color w:val="auto"/>
          <w:highlight w:val="none"/>
        </w:rPr>
        <w:t>1.4履约保证金</w:t>
      </w:r>
    </w:p>
    <w:p w14:paraId="732838B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7F7811B">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5C32B">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4D467C1">
      <w:pPr>
        <w:pStyle w:val="4"/>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F050F3">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B87E81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391476B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883D70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C37423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DAE6362">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E6E2CA6">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2B47CE8">
      <w:pPr>
        <w:pStyle w:val="959"/>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2CB226F">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30D208">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65782A7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A581C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F59EC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3D0505D">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2375"/>
      <w:bookmarkStart w:id="68" w:name="_Toc3079"/>
      <w:bookmarkStart w:id="69" w:name="_Toc5698"/>
      <w:bookmarkStart w:id="70" w:name="_Toc8586"/>
      <w:r>
        <w:rPr>
          <w:rFonts w:hint="eastAsia" w:ascii="仿宋" w:hAnsi="仿宋" w:eastAsia="仿宋" w:cs="仿宋"/>
          <w:bCs/>
          <w:color w:val="auto"/>
          <w:sz w:val="24"/>
          <w:highlight w:val="none"/>
        </w:rPr>
        <w:t>1.7.4若服务涉及货物的，则货物的：</w:t>
      </w:r>
    </w:p>
    <w:p w14:paraId="1E6E8D0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7767F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AB00D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D00F16">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0B73357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EDEEAFA">
      <w:pPr>
        <w:pStyle w:val="4"/>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B873A94">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64A7B5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9497"/>
      <w:bookmarkStart w:id="72" w:name="_Toc30329"/>
      <w:bookmarkStart w:id="73" w:name="_Toc26807"/>
      <w:bookmarkStart w:id="74" w:name="_Toc32454"/>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3146CE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CE4E6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E0172A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6749358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51A89E1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A2A07E9">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14:paraId="65DDC96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4530C12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43ADFCE">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1A3FC2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635DF1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07F15CA">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8617AE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5821CA6">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728FC9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A552531">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87A397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3F7459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31723F7">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C416E62">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E91A43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0CE5871">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3E4B1881">
      <w:pPr>
        <w:pStyle w:val="701"/>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85E986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2" w:name="_Toc14021"/>
      <w:bookmarkStart w:id="83" w:name="_Toc19680"/>
      <w:bookmarkStart w:id="84" w:name="_Toc31297"/>
      <w:bookmarkStart w:id="85" w:name="_Toc5228"/>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3E57B04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9CCBD4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6ABB31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6003AE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AEB5D7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68AE61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7C2090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855A4F3">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7" w:name="_Toc23289"/>
      <w:bookmarkStart w:id="88" w:name="_Toc19539"/>
      <w:bookmarkStart w:id="89" w:name="_Toc3769"/>
      <w:bookmarkStart w:id="90" w:name="_Toc31402"/>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777AFA8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A54716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4133"/>
      <w:bookmarkStart w:id="95" w:name="_Toc27945"/>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5454C63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C79BDB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63335C">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0088BC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967084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C326B08">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32670"/>
      <w:bookmarkStart w:id="99" w:name="_Toc22011"/>
      <w:bookmarkStart w:id="100" w:name="_Toc26555"/>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1FF11BD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EFD35A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2" w:name="_Toc13467"/>
      <w:bookmarkStart w:id="103" w:name="_Toc16163"/>
      <w:bookmarkStart w:id="104" w:name="_Toc30507"/>
      <w:bookmarkStart w:id="105" w:name="_Toc13154"/>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7184FFB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4C063C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0D854C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18C1542">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665F559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DB2F72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714BB9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41F63CF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0A98E56">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38D6B0A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2354E3">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21830"/>
      <w:bookmarkStart w:id="112" w:name="_Toc42"/>
      <w:bookmarkStart w:id="113" w:name="_Toc10663"/>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30E1BAE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CE01A5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5" w:name="_Toc4720"/>
      <w:bookmarkStart w:id="116" w:name="_Toc14371"/>
      <w:bookmarkStart w:id="117" w:name="_Toc32494"/>
      <w:bookmarkStart w:id="118" w:name="_Toc26633"/>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10D5A7C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205DC22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835DCB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5448C6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BE3D8BE">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0" w:name="_Toc23854"/>
      <w:bookmarkStart w:id="121" w:name="_Toc24465"/>
      <w:bookmarkStart w:id="122" w:name="_Toc14115"/>
      <w:bookmarkStart w:id="123" w:name="_Toc3638"/>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2C1CAE2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5855601">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5" w:name="_Toc7315"/>
      <w:bookmarkStart w:id="126" w:name="_Toc25525"/>
      <w:bookmarkStart w:id="127" w:name="_Toc26883"/>
      <w:bookmarkStart w:id="128" w:name="_Toc14814"/>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14:paraId="195D74E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C0D9EC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7F6B06C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3D29B5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6F78AA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08968893">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53B63A8">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64246B3">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96DD68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31892"/>
      <w:bookmarkStart w:id="138" w:name="_Toc12666"/>
      <w:bookmarkStart w:id="139" w:name="_Toc98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0D59808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C25AF8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5469A59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8906"/>
      <w:bookmarkStart w:id="145" w:name="_Toc27644"/>
      <w:bookmarkStart w:id="146" w:name="_Toc5063"/>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5262322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95E2035">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303A11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30599"/>
      <w:bookmarkStart w:id="150" w:name="_Toc18540"/>
      <w:r>
        <w:rPr>
          <w:rFonts w:hint="eastAsia" w:ascii="仿宋" w:hAnsi="仿宋" w:eastAsia="仿宋" w:cs="仿宋"/>
          <w:b/>
          <w:color w:val="auto"/>
          <w:sz w:val="24"/>
          <w:highlight w:val="none"/>
        </w:rPr>
        <w:t>2.18 计量单位</w:t>
      </w:r>
      <w:bookmarkEnd w:id="148"/>
      <w:bookmarkEnd w:id="149"/>
      <w:bookmarkEnd w:id="150"/>
    </w:p>
    <w:p w14:paraId="3966CD4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6CC9FF">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3877E07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9397674">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1" w:name="_Toc331685784"/>
      <w:r>
        <w:rPr>
          <w:rFonts w:hint="eastAsia" w:ascii="仿宋" w:hAnsi="仿宋" w:eastAsia="仿宋" w:cs="仿宋"/>
          <w:b/>
          <w:color w:val="auto"/>
          <w:sz w:val="24"/>
          <w:highlight w:val="none"/>
        </w:rPr>
        <w:t xml:space="preserve"> </w:t>
      </w:r>
      <w:bookmarkEnd w:id="151"/>
      <w:r>
        <w:rPr>
          <w:rFonts w:hint="eastAsia" w:ascii="仿宋" w:hAnsi="仿宋" w:eastAsia="仿宋" w:cs="仿宋"/>
          <w:b/>
          <w:color w:val="auto"/>
          <w:kern w:val="2"/>
          <w:sz w:val="24"/>
          <w:szCs w:val="24"/>
          <w:highlight w:val="none"/>
          <w:lang w:val="en-US" w:eastAsia="zh-CN" w:bidi="ar-SA"/>
        </w:rPr>
        <w:t>第三部分  合同专用条款</w:t>
      </w:r>
    </w:p>
    <w:p w14:paraId="441D9002">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1757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AB1B0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06CBBE7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84C2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ABAF3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910114B">
            <w:pPr>
              <w:kinsoku/>
              <w:wordWrap w:val="0"/>
              <w:overflowPunct/>
              <w:topLinePunct w:val="0"/>
              <w:bidi w:val="0"/>
              <w:spacing w:line="360" w:lineRule="auto"/>
              <w:rPr>
                <w:rFonts w:hint="eastAsia" w:ascii="仿宋" w:hAnsi="仿宋" w:eastAsia="仿宋" w:cs="仿宋"/>
                <w:color w:val="auto"/>
                <w:sz w:val="24"/>
                <w:highlight w:val="none"/>
              </w:rPr>
            </w:pPr>
          </w:p>
        </w:tc>
      </w:tr>
      <w:tr w14:paraId="055C4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64BDD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86D4A98">
            <w:pPr>
              <w:kinsoku/>
              <w:wordWrap w:val="0"/>
              <w:overflowPunct/>
              <w:topLinePunct w:val="0"/>
              <w:bidi w:val="0"/>
              <w:spacing w:line="360" w:lineRule="auto"/>
              <w:rPr>
                <w:rFonts w:hint="eastAsia" w:ascii="仿宋" w:hAnsi="仿宋" w:eastAsia="仿宋" w:cs="仿宋"/>
                <w:color w:val="auto"/>
                <w:sz w:val="24"/>
                <w:highlight w:val="none"/>
              </w:rPr>
            </w:pPr>
          </w:p>
        </w:tc>
      </w:tr>
      <w:tr w14:paraId="3E1DD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A1E96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2E86F83A">
            <w:pPr>
              <w:kinsoku/>
              <w:wordWrap w:val="0"/>
              <w:overflowPunct/>
              <w:topLinePunct w:val="0"/>
              <w:bidi w:val="0"/>
              <w:spacing w:line="360" w:lineRule="auto"/>
              <w:rPr>
                <w:rFonts w:hint="eastAsia" w:ascii="仿宋" w:hAnsi="仿宋" w:eastAsia="仿宋" w:cs="仿宋"/>
                <w:color w:val="auto"/>
                <w:sz w:val="24"/>
                <w:highlight w:val="none"/>
              </w:rPr>
            </w:pPr>
          </w:p>
        </w:tc>
      </w:tr>
      <w:tr w14:paraId="5AB98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57BF4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8D77A75">
            <w:pPr>
              <w:kinsoku/>
              <w:wordWrap w:val="0"/>
              <w:overflowPunct/>
              <w:topLinePunct w:val="0"/>
              <w:bidi w:val="0"/>
              <w:spacing w:line="360" w:lineRule="auto"/>
              <w:rPr>
                <w:rFonts w:hint="eastAsia" w:ascii="仿宋" w:hAnsi="仿宋" w:eastAsia="仿宋" w:cs="仿宋"/>
                <w:color w:val="auto"/>
                <w:sz w:val="24"/>
                <w:highlight w:val="none"/>
              </w:rPr>
            </w:pPr>
          </w:p>
        </w:tc>
      </w:tr>
      <w:tr w14:paraId="67872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DCE4F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1FC6CB86">
            <w:pPr>
              <w:kinsoku/>
              <w:wordWrap w:val="0"/>
              <w:overflowPunct/>
              <w:topLinePunct w:val="0"/>
              <w:bidi w:val="0"/>
              <w:spacing w:line="360" w:lineRule="auto"/>
              <w:rPr>
                <w:rFonts w:hint="eastAsia" w:ascii="仿宋" w:hAnsi="仿宋" w:eastAsia="仿宋" w:cs="仿宋"/>
                <w:color w:val="auto"/>
                <w:sz w:val="24"/>
                <w:highlight w:val="none"/>
              </w:rPr>
            </w:pPr>
          </w:p>
        </w:tc>
      </w:tr>
      <w:tr w14:paraId="56877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8B481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EF086FF">
            <w:pPr>
              <w:kinsoku/>
              <w:wordWrap w:val="0"/>
              <w:overflowPunct/>
              <w:topLinePunct w:val="0"/>
              <w:bidi w:val="0"/>
              <w:spacing w:line="360" w:lineRule="auto"/>
              <w:rPr>
                <w:rFonts w:hint="eastAsia" w:ascii="仿宋" w:hAnsi="仿宋" w:eastAsia="仿宋" w:cs="仿宋"/>
                <w:color w:val="auto"/>
                <w:sz w:val="24"/>
                <w:highlight w:val="none"/>
              </w:rPr>
            </w:pPr>
          </w:p>
        </w:tc>
      </w:tr>
      <w:tr w14:paraId="5B70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C0066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226EB45">
            <w:pPr>
              <w:kinsoku/>
              <w:wordWrap w:val="0"/>
              <w:overflowPunct/>
              <w:topLinePunct w:val="0"/>
              <w:bidi w:val="0"/>
              <w:spacing w:line="360" w:lineRule="auto"/>
              <w:rPr>
                <w:rFonts w:hint="eastAsia" w:ascii="仿宋" w:hAnsi="仿宋" w:eastAsia="仿宋" w:cs="仿宋"/>
                <w:color w:val="auto"/>
                <w:sz w:val="24"/>
                <w:highlight w:val="none"/>
              </w:rPr>
            </w:pPr>
          </w:p>
        </w:tc>
      </w:tr>
      <w:tr w14:paraId="08F6D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1B898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896A93B">
            <w:pPr>
              <w:kinsoku/>
              <w:wordWrap w:val="0"/>
              <w:overflowPunct/>
              <w:topLinePunct w:val="0"/>
              <w:bidi w:val="0"/>
              <w:spacing w:line="360" w:lineRule="auto"/>
              <w:rPr>
                <w:rFonts w:hint="eastAsia" w:ascii="仿宋" w:hAnsi="仿宋" w:eastAsia="仿宋" w:cs="仿宋"/>
                <w:color w:val="auto"/>
                <w:sz w:val="24"/>
                <w:highlight w:val="none"/>
              </w:rPr>
            </w:pPr>
          </w:p>
        </w:tc>
      </w:tr>
      <w:tr w14:paraId="0E466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FAD08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4775559">
            <w:pPr>
              <w:kinsoku/>
              <w:wordWrap w:val="0"/>
              <w:overflowPunct/>
              <w:topLinePunct w:val="0"/>
              <w:bidi w:val="0"/>
              <w:spacing w:line="360" w:lineRule="auto"/>
              <w:rPr>
                <w:rFonts w:hint="eastAsia" w:ascii="仿宋" w:hAnsi="仿宋" w:eastAsia="仿宋" w:cs="仿宋"/>
                <w:color w:val="auto"/>
                <w:sz w:val="24"/>
                <w:highlight w:val="none"/>
              </w:rPr>
            </w:pPr>
          </w:p>
        </w:tc>
      </w:tr>
      <w:tr w14:paraId="23F88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38EDE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581FD38">
            <w:pPr>
              <w:kinsoku/>
              <w:wordWrap w:val="0"/>
              <w:overflowPunct/>
              <w:topLinePunct w:val="0"/>
              <w:bidi w:val="0"/>
              <w:spacing w:line="360" w:lineRule="auto"/>
              <w:rPr>
                <w:rFonts w:hint="eastAsia" w:ascii="仿宋" w:hAnsi="仿宋" w:eastAsia="仿宋" w:cs="仿宋"/>
                <w:color w:val="auto"/>
                <w:sz w:val="24"/>
                <w:highlight w:val="none"/>
              </w:rPr>
            </w:pPr>
          </w:p>
        </w:tc>
      </w:tr>
      <w:tr w14:paraId="12983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3454A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69F25D1">
            <w:pPr>
              <w:kinsoku/>
              <w:wordWrap w:val="0"/>
              <w:overflowPunct/>
              <w:topLinePunct w:val="0"/>
              <w:bidi w:val="0"/>
              <w:spacing w:line="360" w:lineRule="auto"/>
              <w:rPr>
                <w:rFonts w:hint="eastAsia" w:ascii="仿宋" w:hAnsi="仿宋" w:eastAsia="仿宋" w:cs="仿宋"/>
                <w:color w:val="auto"/>
                <w:sz w:val="24"/>
                <w:highlight w:val="none"/>
              </w:rPr>
            </w:pPr>
          </w:p>
        </w:tc>
      </w:tr>
      <w:tr w14:paraId="22D95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225B2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3862D1A">
            <w:pPr>
              <w:kinsoku/>
              <w:wordWrap w:val="0"/>
              <w:overflowPunct/>
              <w:topLinePunct w:val="0"/>
              <w:bidi w:val="0"/>
              <w:spacing w:line="360" w:lineRule="auto"/>
              <w:rPr>
                <w:rFonts w:hint="eastAsia" w:ascii="仿宋" w:hAnsi="仿宋" w:eastAsia="仿宋" w:cs="仿宋"/>
                <w:color w:val="auto"/>
                <w:sz w:val="24"/>
                <w:highlight w:val="none"/>
              </w:rPr>
            </w:pPr>
          </w:p>
        </w:tc>
      </w:tr>
      <w:tr w14:paraId="33E23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4D161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C914E75">
            <w:pPr>
              <w:kinsoku/>
              <w:wordWrap w:val="0"/>
              <w:overflowPunct/>
              <w:topLinePunct w:val="0"/>
              <w:bidi w:val="0"/>
              <w:spacing w:line="360" w:lineRule="auto"/>
              <w:rPr>
                <w:rFonts w:hint="eastAsia" w:ascii="仿宋" w:hAnsi="仿宋" w:eastAsia="仿宋" w:cs="仿宋"/>
                <w:color w:val="auto"/>
                <w:sz w:val="24"/>
                <w:highlight w:val="none"/>
              </w:rPr>
            </w:pPr>
          </w:p>
        </w:tc>
      </w:tr>
      <w:tr w14:paraId="16152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29EE59">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5F6CAA7">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1200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989BF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9CD7941">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9B44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4B58D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6F3D9F7">
            <w:pPr>
              <w:kinsoku/>
              <w:wordWrap w:val="0"/>
              <w:overflowPunct/>
              <w:topLinePunct w:val="0"/>
              <w:bidi w:val="0"/>
              <w:spacing w:line="360" w:lineRule="auto"/>
              <w:rPr>
                <w:rFonts w:hint="eastAsia" w:ascii="仿宋" w:hAnsi="仿宋" w:eastAsia="仿宋" w:cs="仿宋"/>
                <w:color w:val="auto"/>
                <w:sz w:val="24"/>
                <w:highlight w:val="none"/>
              </w:rPr>
            </w:pPr>
          </w:p>
        </w:tc>
      </w:tr>
      <w:tr w14:paraId="4E04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24B427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761874C">
            <w:pPr>
              <w:kinsoku/>
              <w:wordWrap w:val="0"/>
              <w:overflowPunct/>
              <w:topLinePunct w:val="0"/>
              <w:bidi w:val="0"/>
              <w:spacing w:line="360" w:lineRule="auto"/>
              <w:rPr>
                <w:rFonts w:hint="eastAsia" w:ascii="仿宋" w:hAnsi="仿宋" w:eastAsia="仿宋" w:cs="仿宋"/>
                <w:color w:val="auto"/>
                <w:sz w:val="24"/>
                <w:highlight w:val="none"/>
              </w:rPr>
            </w:pPr>
          </w:p>
        </w:tc>
      </w:tr>
      <w:tr w14:paraId="11905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4FC2A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7F651D6E">
            <w:pPr>
              <w:kinsoku/>
              <w:wordWrap w:val="0"/>
              <w:overflowPunct/>
              <w:topLinePunct w:val="0"/>
              <w:bidi w:val="0"/>
              <w:spacing w:line="360" w:lineRule="auto"/>
              <w:rPr>
                <w:rFonts w:hint="eastAsia" w:ascii="仿宋" w:hAnsi="仿宋" w:eastAsia="仿宋" w:cs="仿宋"/>
                <w:color w:val="auto"/>
                <w:sz w:val="24"/>
                <w:highlight w:val="none"/>
              </w:rPr>
            </w:pPr>
          </w:p>
        </w:tc>
      </w:tr>
      <w:tr w14:paraId="0D17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FE45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0BF97440">
            <w:pPr>
              <w:kinsoku/>
              <w:wordWrap w:val="0"/>
              <w:overflowPunct/>
              <w:topLinePunct w:val="0"/>
              <w:bidi w:val="0"/>
              <w:spacing w:line="360" w:lineRule="auto"/>
              <w:rPr>
                <w:rFonts w:hint="eastAsia" w:ascii="仿宋" w:hAnsi="仿宋" w:eastAsia="仿宋" w:cs="仿宋"/>
                <w:color w:val="auto"/>
                <w:sz w:val="24"/>
                <w:highlight w:val="none"/>
              </w:rPr>
            </w:pPr>
          </w:p>
        </w:tc>
      </w:tr>
      <w:tr w14:paraId="061DE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7CF80EB">
            <w:pPr>
              <w:kinsoku/>
              <w:wordWrap w:val="0"/>
              <w:overflowPunct/>
              <w:topLinePunct w:val="0"/>
              <w:bidi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19</w:t>
            </w:r>
          </w:p>
        </w:tc>
        <w:tc>
          <w:tcPr>
            <w:tcW w:w="8149" w:type="dxa"/>
          </w:tcPr>
          <w:p w14:paraId="73136F81">
            <w:pPr>
              <w:kinsoku/>
              <w:wordWrap w:val="0"/>
              <w:overflowPunct/>
              <w:topLinePunct w:val="0"/>
              <w:bidi w:val="0"/>
              <w:spacing w:line="360" w:lineRule="auto"/>
              <w:rPr>
                <w:rFonts w:hint="eastAsia" w:ascii="仿宋" w:hAnsi="仿宋" w:eastAsia="仿宋" w:cs="仿宋"/>
                <w:color w:val="auto"/>
                <w:sz w:val="24"/>
                <w:highlight w:val="none"/>
              </w:rPr>
            </w:pPr>
          </w:p>
        </w:tc>
      </w:tr>
    </w:tbl>
    <w:p w14:paraId="6F47F0F4">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14:paraId="076D94E3">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59CFE91">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F5F18D1">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5B75581">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7BA03F2">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93859A4">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59F89D3">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3EAEB2D">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96148EE">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4BDD9FB7">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63"/>
        <w:tblpPr w:leftFromText="180" w:rightFromText="180" w:vertAnchor="text" w:horzAnchor="page" w:tblpX="1598" w:tblpY="467"/>
        <w:tblOverlap w:val="never"/>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1200"/>
        <w:gridCol w:w="6320"/>
        <w:gridCol w:w="870"/>
      </w:tblGrid>
      <w:tr w14:paraId="57E9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48C7A4">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序号</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CD9A5D">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spacing w:val="0"/>
                <w:kern w:val="2"/>
                <w:sz w:val="24"/>
                <w:szCs w:val="24"/>
                <w:lang w:val="en-US" w:eastAsia="zh-CN" w:bidi="ar-SA"/>
              </w:rPr>
              <w:t>项目</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94D168">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spacing w:val="0"/>
                <w:kern w:val="2"/>
                <w:sz w:val="24"/>
                <w:szCs w:val="24"/>
                <w:lang w:val="en-US" w:eastAsia="zh-CN" w:bidi="ar-SA"/>
              </w:rPr>
              <w:t>评分内容和标准</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D53C2D">
            <w:pPr>
              <w:shd w:val="clear" w:color="auto" w:fill="auto"/>
              <w:adjustRightInd w:val="0"/>
              <w:spacing w:line="360" w:lineRule="auto"/>
              <w:jc w:val="center"/>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spacing w:val="0"/>
                <w:kern w:val="2"/>
                <w:sz w:val="24"/>
                <w:szCs w:val="24"/>
                <w:lang w:val="en-US" w:eastAsia="zh-CN" w:bidi="ar-SA"/>
              </w:rPr>
              <w:t>分值</w:t>
            </w:r>
          </w:p>
        </w:tc>
      </w:tr>
      <w:tr w14:paraId="0330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8" w:hRule="atLeast"/>
        </w:trPr>
        <w:tc>
          <w:tcPr>
            <w:tcW w:w="720" w:type="dxa"/>
            <w:tcBorders>
              <w:left w:val="single" w:color="auto" w:sz="4" w:space="0"/>
              <w:right w:val="single" w:color="auto" w:sz="4" w:space="0"/>
            </w:tcBorders>
            <w:shd w:val="clear" w:color="auto" w:fill="auto"/>
            <w:noWrap w:val="0"/>
            <w:vAlign w:val="center"/>
          </w:tcPr>
          <w:p w14:paraId="57CC38C9">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1</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62D2D">
            <w:pPr>
              <w:keepNext w:val="0"/>
              <w:keepLines w:val="0"/>
              <w:pageBreakBefore w:val="0"/>
              <w:kinsoku/>
              <w:wordWrap/>
              <w:overflowPunct/>
              <w:topLinePunct w:val="0"/>
              <w:autoSpaceDE/>
              <w:autoSpaceDN/>
              <w:bidi w:val="0"/>
              <w:snapToGrid/>
              <w:spacing w:line="400" w:lineRule="exact"/>
              <w:jc w:val="center"/>
              <w:textAlignment w:val="auto"/>
              <w:rPr>
                <w:rFonts w:hint="eastAsia" w:ascii="仿宋" w:hAnsi="仿宋" w:eastAsia="仿宋" w:cs="仿宋"/>
                <w:b w:val="0"/>
                <w:bCs w:val="0"/>
                <w:sz w:val="24"/>
                <w:szCs w:val="24"/>
                <w:lang w:val="zh-CN"/>
              </w:rPr>
            </w:pPr>
            <w:r>
              <w:rPr>
                <w:rFonts w:hint="eastAsia" w:ascii="仿宋" w:hAnsi="仿宋" w:eastAsia="仿宋" w:cs="仿宋"/>
                <w:b w:val="0"/>
                <w:bCs w:val="0"/>
                <w:sz w:val="24"/>
                <w:szCs w:val="24"/>
              </w:rPr>
              <w:t>相关业绩</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1C9FC4">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color w:val="auto"/>
                <w:sz w:val="24"/>
                <w:szCs w:val="24"/>
                <w:lang w:val="en-US" w:eastAsia="zh-CN"/>
              </w:rPr>
            </w:pPr>
            <w:r>
              <w:rPr>
                <w:rFonts w:hint="eastAsia" w:ascii="仿宋" w:hAnsi="仿宋" w:eastAsia="仿宋" w:cs="仿宋"/>
                <w:sz w:val="24"/>
                <w:szCs w:val="24"/>
                <w:lang w:val="en-US" w:eastAsia="zh-CN"/>
              </w:rPr>
              <w:t>供应商自2023年1月1日至投标截止时间止（以合同签订日期为准），承接过类似项目业绩（同一项目续签不重复计分）</w:t>
            </w:r>
            <w:r>
              <w:rPr>
                <w:rFonts w:hint="eastAsia" w:ascii="仿宋" w:hAnsi="仿宋" w:eastAsia="仿宋" w:cs="仿宋"/>
                <w:color w:val="auto"/>
                <w:sz w:val="24"/>
                <w:szCs w:val="24"/>
                <w:lang w:val="en-US" w:eastAsia="zh-CN"/>
              </w:rPr>
              <w:t>，每提供1个得0.5分；本项最高得1分。</w:t>
            </w:r>
          </w:p>
          <w:p w14:paraId="3C9605C5">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color w:val="auto"/>
                <w:sz w:val="24"/>
                <w:szCs w:val="24"/>
                <w:highlight w:val="none"/>
                <w:shd w:val="clear" w:color="auto" w:fill="auto"/>
                <w:lang w:val="en-US" w:eastAsia="zh-CN"/>
              </w:rPr>
              <w:t>注：投标文件中需提供活动合同扫描件或图片并加盖投标人电子公章。</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958DF7">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分</w:t>
            </w:r>
          </w:p>
        </w:tc>
      </w:tr>
      <w:tr w14:paraId="058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20" w:type="dxa"/>
            <w:tcBorders>
              <w:left w:val="single" w:color="auto" w:sz="4" w:space="0"/>
              <w:right w:val="single" w:color="auto" w:sz="4" w:space="0"/>
            </w:tcBorders>
            <w:shd w:val="clear" w:color="auto" w:fill="auto"/>
            <w:noWrap w:val="0"/>
            <w:vAlign w:val="center"/>
          </w:tcPr>
          <w:p w14:paraId="4DC7E953">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2</w:t>
            </w:r>
          </w:p>
        </w:tc>
        <w:tc>
          <w:tcPr>
            <w:tcW w:w="1200" w:type="dxa"/>
            <w:tcBorders>
              <w:left w:val="single" w:color="auto" w:sz="4" w:space="0"/>
              <w:right w:val="single" w:color="auto" w:sz="4" w:space="0"/>
            </w:tcBorders>
            <w:shd w:val="clear" w:color="auto" w:fill="auto"/>
            <w:noWrap w:val="0"/>
            <w:vAlign w:val="center"/>
          </w:tcPr>
          <w:p w14:paraId="35F96598">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lang w:val="en-US"/>
              </w:rPr>
            </w:pPr>
            <w:r>
              <w:rPr>
                <w:rFonts w:hint="eastAsia" w:ascii="仿宋" w:hAnsi="仿宋" w:eastAsia="仿宋" w:cs="仿宋"/>
                <w:b w:val="0"/>
                <w:bCs w:val="0"/>
                <w:sz w:val="24"/>
                <w:szCs w:val="24"/>
                <w:lang w:val="en-US" w:eastAsia="zh-CN"/>
              </w:rPr>
              <w:t>长三角市场推介活动策划方案</w:t>
            </w:r>
          </w:p>
        </w:tc>
        <w:tc>
          <w:tcPr>
            <w:tcW w:w="6320" w:type="dxa"/>
            <w:tcBorders>
              <w:top w:val="single" w:color="auto" w:sz="4" w:space="0"/>
              <w:left w:val="single" w:color="auto" w:sz="4" w:space="0"/>
              <w:right w:val="single" w:color="auto" w:sz="4" w:space="0"/>
            </w:tcBorders>
            <w:shd w:val="clear" w:color="auto" w:fill="auto"/>
            <w:noWrap w:val="0"/>
            <w:vAlign w:val="center"/>
          </w:tcPr>
          <w:p w14:paraId="79D330F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的选址布展、推介内容、路演活动策划、线路产品、线上传播等</w:t>
            </w:r>
            <w:r>
              <w:rPr>
                <w:rFonts w:hint="eastAsia" w:ascii="仿宋" w:hAnsi="仿宋" w:eastAsia="仿宋" w:cs="仿宋"/>
                <w:color w:val="auto"/>
                <w:sz w:val="24"/>
                <w:szCs w:val="24"/>
                <w:highlight w:val="none"/>
                <w:shd w:val="clear" w:color="auto" w:fill="auto"/>
                <w:lang w:eastAsia="zh-CN"/>
              </w:rPr>
              <w:t>五方面的方案（</w:t>
            </w:r>
            <w:r>
              <w:rPr>
                <w:rFonts w:hint="eastAsia" w:ascii="仿宋" w:hAnsi="仿宋" w:eastAsia="仿宋" w:cs="仿宋"/>
                <w:color w:val="auto"/>
                <w:sz w:val="24"/>
                <w:szCs w:val="24"/>
                <w:highlight w:val="none"/>
                <w:shd w:val="clear" w:color="auto" w:fill="auto"/>
                <w:lang w:val="en-US" w:eastAsia="zh-CN"/>
              </w:rPr>
              <w:t>包括但不限于总体策划、可行性、布展创意性、推介板块设计、路线设计、线上传播亮点、契合度等）</w:t>
            </w:r>
            <w:r>
              <w:rPr>
                <w:rFonts w:hint="eastAsia" w:ascii="仿宋" w:hAnsi="仿宋" w:eastAsia="仿宋" w:cs="仿宋"/>
                <w:color w:val="auto"/>
                <w:sz w:val="24"/>
                <w:szCs w:val="24"/>
                <w:highlight w:val="none"/>
                <w:shd w:val="clear" w:color="auto" w:fill="auto"/>
              </w:rPr>
              <w:t>进行综合评定。</w:t>
            </w:r>
          </w:p>
          <w:p w14:paraId="168A7ADD">
            <w:pPr>
              <w:keepNext w:val="0"/>
              <w:keepLines w:val="0"/>
              <w:pageBreakBefore w:val="0"/>
              <w:widowControl/>
              <w:numPr>
                <w:ilvl w:val="0"/>
                <w:numId w:val="1"/>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选址布展。</w:t>
            </w:r>
            <w:r>
              <w:rPr>
                <w:rFonts w:hint="eastAsia" w:ascii="仿宋" w:hAnsi="仿宋" w:eastAsia="仿宋" w:cs="仿宋"/>
                <w:color w:val="auto"/>
                <w:kern w:val="0"/>
                <w:sz w:val="24"/>
                <w:szCs w:val="24"/>
                <w:highlight w:val="none"/>
                <w:lang w:val="en-US" w:eastAsia="zh-CN"/>
              </w:rPr>
              <w:t>(本项分值设置为4,3,2,1,0.5,0分)。</w:t>
            </w:r>
          </w:p>
          <w:p w14:paraId="7A169FD1">
            <w:pPr>
              <w:keepNext w:val="0"/>
              <w:keepLines w:val="0"/>
              <w:pageBreakBefore w:val="0"/>
              <w:widowControl/>
              <w:numPr>
                <w:ilvl w:val="0"/>
                <w:numId w:val="1"/>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推介内容。</w:t>
            </w:r>
            <w:r>
              <w:rPr>
                <w:rFonts w:hint="eastAsia" w:ascii="仿宋" w:hAnsi="仿宋" w:eastAsia="仿宋" w:cs="仿宋"/>
                <w:color w:val="auto"/>
                <w:kern w:val="0"/>
                <w:sz w:val="24"/>
                <w:szCs w:val="24"/>
                <w:highlight w:val="none"/>
                <w:lang w:val="en-US" w:eastAsia="zh-CN"/>
              </w:rPr>
              <w:t>(本项分值设置为4,3,2,1,0.5,0分)</w:t>
            </w:r>
          </w:p>
          <w:p w14:paraId="72D941F0">
            <w:pPr>
              <w:keepNext w:val="0"/>
              <w:keepLines w:val="0"/>
              <w:pageBreakBefore w:val="0"/>
              <w:widowControl/>
              <w:numPr>
                <w:ilvl w:val="0"/>
                <w:numId w:val="1"/>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路演活动策划。</w:t>
            </w:r>
            <w:r>
              <w:rPr>
                <w:rFonts w:hint="eastAsia" w:ascii="仿宋" w:hAnsi="仿宋" w:eastAsia="仿宋" w:cs="仿宋"/>
                <w:color w:val="auto"/>
                <w:kern w:val="0"/>
                <w:sz w:val="24"/>
                <w:szCs w:val="24"/>
                <w:highlight w:val="none"/>
                <w:lang w:val="en-US" w:eastAsia="zh-CN"/>
              </w:rPr>
              <w:t>(本项分值设置为4,3,2,1,0.5,0分)</w:t>
            </w:r>
          </w:p>
          <w:p w14:paraId="119F3169">
            <w:pPr>
              <w:keepNext w:val="0"/>
              <w:keepLines w:val="0"/>
              <w:pageBreakBefore w:val="0"/>
              <w:widowControl/>
              <w:numPr>
                <w:ilvl w:val="0"/>
                <w:numId w:val="1"/>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线路产品。</w:t>
            </w:r>
            <w:r>
              <w:rPr>
                <w:rFonts w:hint="eastAsia" w:ascii="仿宋" w:hAnsi="仿宋" w:eastAsia="仿宋" w:cs="仿宋"/>
                <w:color w:val="auto"/>
                <w:kern w:val="0"/>
                <w:sz w:val="24"/>
                <w:szCs w:val="24"/>
                <w:highlight w:val="none"/>
                <w:lang w:val="en-US" w:eastAsia="zh-CN"/>
              </w:rPr>
              <w:t>(本项分值设置为4,3,2,1,0.5,0分)</w:t>
            </w:r>
          </w:p>
          <w:p w14:paraId="595213FE">
            <w:pPr>
              <w:keepNext w:val="0"/>
              <w:keepLines w:val="0"/>
              <w:pageBreakBefore w:val="0"/>
              <w:widowControl/>
              <w:numPr>
                <w:ilvl w:val="0"/>
                <w:numId w:val="1"/>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线上传播。</w:t>
            </w:r>
            <w:r>
              <w:rPr>
                <w:rFonts w:hint="eastAsia" w:ascii="仿宋" w:hAnsi="仿宋" w:eastAsia="仿宋" w:cs="仿宋"/>
                <w:color w:val="auto"/>
                <w:kern w:val="0"/>
                <w:sz w:val="24"/>
                <w:szCs w:val="24"/>
                <w:highlight w:val="none"/>
                <w:lang w:val="en-US" w:eastAsia="zh-CN"/>
              </w:rPr>
              <w:t>(本项分值设置为4,3,2,1,0.5,0分)</w:t>
            </w:r>
          </w:p>
        </w:tc>
        <w:tc>
          <w:tcPr>
            <w:tcW w:w="870" w:type="dxa"/>
            <w:tcBorders>
              <w:left w:val="single" w:color="auto" w:sz="4" w:space="0"/>
              <w:right w:val="single" w:color="auto" w:sz="4" w:space="0"/>
            </w:tcBorders>
            <w:shd w:val="clear" w:color="auto" w:fill="auto"/>
            <w:noWrap w:val="0"/>
            <w:vAlign w:val="center"/>
          </w:tcPr>
          <w:p w14:paraId="5F430E12">
            <w:pPr>
              <w:widowControl/>
              <w:snapToGrid/>
              <w:spacing w:line="240" w:lineRule="auto"/>
              <w:jc w:val="center"/>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20</w:t>
            </w:r>
            <w:r>
              <w:rPr>
                <w:rFonts w:hint="eastAsia" w:ascii="仿宋" w:hAnsi="仿宋" w:eastAsia="仿宋" w:cs="仿宋"/>
                <w:b w:val="0"/>
                <w:bCs w:val="0"/>
                <w:sz w:val="24"/>
                <w:szCs w:val="24"/>
              </w:rPr>
              <w:t>分</w:t>
            </w:r>
          </w:p>
        </w:tc>
      </w:tr>
      <w:tr w14:paraId="69E5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2" w:hRule="atLeast"/>
        </w:trPr>
        <w:tc>
          <w:tcPr>
            <w:tcW w:w="720" w:type="dxa"/>
            <w:tcBorders>
              <w:left w:val="single" w:color="auto" w:sz="4" w:space="0"/>
              <w:right w:val="single" w:color="auto" w:sz="4" w:space="0"/>
            </w:tcBorders>
            <w:shd w:val="clear" w:color="auto" w:fill="auto"/>
            <w:noWrap w:val="0"/>
            <w:vAlign w:val="center"/>
          </w:tcPr>
          <w:p w14:paraId="1AFDE8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3</w:t>
            </w:r>
          </w:p>
        </w:tc>
        <w:tc>
          <w:tcPr>
            <w:tcW w:w="1200" w:type="dxa"/>
            <w:tcBorders>
              <w:left w:val="single" w:color="auto" w:sz="4" w:space="0"/>
              <w:right w:val="single" w:color="auto" w:sz="4" w:space="0"/>
            </w:tcBorders>
            <w:shd w:val="clear" w:color="auto" w:fill="auto"/>
            <w:noWrap w:val="0"/>
            <w:vAlign w:val="center"/>
          </w:tcPr>
          <w:p w14:paraId="0EB815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sz w:val="24"/>
                <w:szCs w:val="24"/>
                <w:lang w:val="en-US" w:eastAsia="zh-CN"/>
              </w:rPr>
              <w:t>长三角</w:t>
            </w:r>
            <w:r>
              <w:rPr>
                <w:rFonts w:hint="eastAsia" w:ascii="仿宋" w:hAnsi="仿宋" w:eastAsia="仿宋" w:cs="仿宋"/>
                <w:color w:val="auto"/>
                <w:sz w:val="24"/>
                <w:szCs w:val="24"/>
                <w:highlight w:val="none"/>
                <w:shd w:val="clear" w:color="auto" w:fill="auto"/>
                <w:lang w:val="en-US" w:eastAsia="zh-CN"/>
              </w:rPr>
              <w:t>入境旅行商交易会方案</w:t>
            </w:r>
          </w:p>
        </w:tc>
        <w:tc>
          <w:tcPr>
            <w:tcW w:w="6320" w:type="dxa"/>
            <w:tcBorders>
              <w:top w:val="single" w:color="auto" w:sz="4" w:space="0"/>
              <w:left w:val="single" w:color="auto" w:sz="4" w:space="0"/>
              <w:right w:val="single" w:color="auto" w:sz="4" w:space="0"/>
            </w:tcBorders>
            <w:shd w:val="clear" w:color="auto" w:fill="auto"/>
            <w:noWrap w:val="0"/>
            <w:vAlign w:val="center"/>
          </w:tcPr>
          <w:p w14:paraId="33B554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根据投标人提供的交易会方案</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包括但不限于总体内容、可行性，布局及洽谈设计、与采购需求契合度等）进行综合评定。</w:t>
            </w:r>
            <w:r>
              <w:rPr>
                <w:rFonts w:hint="eastAsia" w:ascii="仿宋" w:hAnsi="仿宋" w:eastAsia="仿宋" w:cs="仿宋"/>
                <w:color w:val="auto"/>
                <w:kern w:val="0"/>
                <w:sz w:val="24"/>
                <w:szCs w:val="24"/>
                <w:highlight w:val="none"/>
                <w:lang w:val="en-US" w:eastAsia="zh-CN"/>
              </w:rPr>
              <w:t>(本项分值设置为10,9,8,7,6,5,4,3,2,1,0.5,0分)。</w:t>
            </w:r>
          </w:p>
        </w:tc>
        <w:tc>
          <w:tcPr>
            <w:tcW w:w="870" w:type="dxa"/>
            <w:tcBorders>
              <w:left w:val="single" w:color="auto" w:sz="4" w:space="0"/>
              <w:right w:val="single" w:color="auto" w:sz="4" w:space="0"/>
            </w:tcBorders>
            <w:shd w:val="clear" w:color="auto" w:fill="auto"/>
            <w:noWrap w:val="0"/>
            <w:vAlign w:val="center"/>
          </w:tcPr>
          <w:p w14:paraId="7B714E7B">
            <w:pPr>
              <w:widowControl/>
              <w:snapToGri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10分</w:t>
            </w:r>
          </w:p>
        </w:tc>
      </w:tr>
      <w:tr w14:paraId="3C9B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0" w:hRule="atLeast"/>
        </w:trPr>
        <w:tc>
          <w:tcPr>
            <w:tcW w:w="720" w:type="dxa"/>
            <w:tcBorders>
              <w:left w:val="single" w:color="auto" w:sz="4" w:space="0"/>
              <w:right w:val="single" w:color="auto" w:sz="4" w:space="0"/>
            </w:tcBorders>
            <w:shd w:val="clear" w:color="auto" w:fill="auto"/>
            <w:noWrap w:val="0"/>
            <w:vAlign w:val="center"/>
          </w:tcPr>
          <w:p w14:paraId="70794605">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4</w:t>
            </w:r>
          </w:p>
        </w:tc>
        <w:tc>
          <w:tcPr>
            <w:tcW w:w="1200" w:type="dxa"/>
            <w:tcBorders>
              <w:left w:val="single" w:color="auto" w:sz="4" w:space="0"/>
              <w:right w:val="single" w:color="auto" w:sz="4" w:space="0"/>
            </w:tcBorders>
            <w:shd w:val="clear" w:color="auto" w:fill="auto"/>
            <w:noWrap w:val="0"/>
            <w:vAlign w:val="center"/>
          </w:tcPr>
          <w:p w14:paraId="0864B44B">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lang w:val="en-US" w:eastAsia="zh-CN" w:bidi="ar-SA"/>
              </w:rPr>
            </w:pPr>
            <w:r>
              <w:rPr>
                <w:rFonts w:hint="eastAsia" w:ascii="仿宋" w:hAnsi="仿宋" w:eastAsia="仿宋" w:cs="仿宋"/>
                <w:b w:val="0"/>
                <w:bCs w:val="0"/>
                <w:kern w:val="0"/>
                <w:sz w:val="24"/>
                <w:szCs w:val="24"/>
                <w:lang w:val="en-US" w:eastAsia="zh-CN" w:bidi="ar-SA"/>
              </w:rPr>
              <w:t>远程市场旅行商洽谈会策划方案</w:t>
            </w:r>
          </w:p>
        </w:tc>
        <w:tc>
          <w:tcPr>
            <w:tcW w:w="6320" w:type="dxa"/>
            <w:tcBorders>
              <w:top w:val="single" w:color="auto" w:sz="4" w:space="0"/>
              <w:left w:val="single" w:color="auto" w:sz="4" w:space="0"/>
              <w:right w:val="single" w:color="auto" w:sz="4" w:space="0"/>
            </w:tcBorders>
            <w:shd w:val="clear" w:color="auto" w:fill="auto"/>
            <w:noWrap w:val="0"/>
            <w:vAlign w:val="center"/>
          </w:tcPr>
          <w:p w14:paraId="303704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的选址布展、推介内容、路演活动策划、线路产品、线上传播等</w:t>
            </w:r>
            <w:r>
              <w:rPr>
                <w:rFonts w:hint="eastAsia" w:ascii="仿宋" w:hAnsi="仿宋" w:eastAsia="仿宋" w:cs="仿宋"/>
                <w:color w:val="auto"/>
                <w:sz w:val="24"/>
                <w:szCs w:val="24"/>
                <w:highlight w:val="none"/>
                <w:shd w:val="clear" w:color="auto" w:fill="auto"/>
                <w:lang w:eastAsia="zh-CN"/>
              </w:rPr>
              <w:t>五方面的方案（</w:t>
            </w:r>
            <w:r>
              <w:rPr>
                <w:rFonts w:hint="eastAsia" w:ascii="仿宋" w:hAnsi="仿宋" w:eastAsia="仿宋" w:cs="仿宋"/>
                <w:color w:val="auto"/>
                <w:sz w:val="24"/>
                <w:szCs w:val="24"/>
                <w:highlight w:val="none"/>
                <w:shd w:val="clear" w:color="auto" w:fill="auto"/>
                <w:lang w:val="en-US" w:eastAsia="zh-CN"/>
              </w:rPr>
              <w:t>包括但不限于总体策划、可行性、布展创意性、推介板块设计、路线设计、线上传播亮点、契合度等）</w:t>
            </w:r>
            <w:r>
              <w:rPr>
                <w:rFonts w:hint="eastAsia" w:ascii="仿宋" w:hAnsi="仿宋" w:eastAsia="仿宋" w:cs="仿宋"/>
                <w:color w:val="auto"/>
                <w:sz w:val="24"/>
                <w:szCs w:val="24"/>
                <w:highlight w:val="none"/>
                <w:shd w:val="clear" w:color="auto" w:fill="auto"/>
              </w:rPr>
              <w:t>进行综合评定。</w:t>
            </w:r>
          </w:p>
          <w:p w14:paraId="45094185">
            <w:pPr>
              <w:keepNext w:val="0"/>
              <w:keepLines w:val="0"/>
              <w:pageBreakBefore w:val="0"/>
              <w:widowControl/>
              <w:numPr>
                <w:ilvl w:val="0"/>
                <w:numId w:val="2"/>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选址布展。</w:t>
            </w:r>
            <w:r>
              <w:rPr>
                <w:rFonts w:hint="eastAsia" w:ascii="仿宋" w:hAnsi="仿宋" w:eastAsia="仿宋" w:cs="仿宋"/>
                <w:color w:val="auto"/>
                <w:kern w:val="0"/>
                <w:sz w:val="24"/>
                <w:szCs w:val="24"/>
                <w:highlight w:val="none"/>
                <w:lang w:val="en-US" w:eastAsia="zh-CN"/>
              </w:rPr>
              <w:t>(本项分值设置为4,3,2,1,0.5,0分)。</w:t>
            </w:r>
          </w:p>
          <w:p w14:paraId="6147AB55">
            <w:pPr>
              <w:keepNext w:val="0"/>
              <w:keepLines w:val="0"/>
              <w:pageBreakBefore w:val="0"/>
              <w:widowControl/>
              <w:numPr>
                <w:ilvl w:val="0"/>
                <w:numId w:val="2"/>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推介内容。</w:t>
            </w:r>
            <w:r>
              <w:rPr>
                <w:rFonts w:hint="eastAsia" w:ascii="仿宋" w:hAnsi="仿宋" w:eastAsia="仿宋" w:cs="仿宋"/>
                <w:color w:val="auto"/>
                <w:kern w:val="0"/>
                <w:sz w:val="24"/>
                <w:szCs w:val="24"/>
                <w:highlight w:val="none"/>
                <w:lang w:val="en-US" w:eastAsia="zh-CN"/>
              </w:rPr>
              <w:t>(本项分值设置为4,3,2,1,0.5,0分)</w:t>
            </w:r>
          </w:p>
          <w:p w14:paraId="3D087785">
            <w:pPr>
              <w:keepNext w:val="0"/>
              <w:keepLines w:val="0"/>
              <w:pageBreakBefore w:val="0"/>
              <w:widowControl/>
              <w:numPr>
                <w:ilvl w:val="0"/>
                <w:numId w:val="2"/>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路演活动策划。</w:t>
            </w:r>
            <w:r>
              <w:rPr>
                <w:rFonts w:hint="eastAsia" w:ascii="仿宋" w:hAnsi="仿宋" w:eastAsia="仿宋" w:cs="仿宋"/>
                <w:color w:val="auto"/>
                <w:kern w:val="0"/>
                <w:sz w:val="24"/>
                <w:szCs w:val="24"/>
                <w:highlight w:val="none"/>
                <w:lang w:val="en-US" w:eastAsia="zh-CN"/>
              </w:rPr>
              <w:t>(本项分值设置为4,3,2,1,0.5,0分)</w:t>
            </w:r>
          </w:p>
          <w:p w14:paraId="34CE26E9">
            <w:pPr>
              <w:keepNext w:val="0"/>
              <w:keepLines w:val="0"/>
              <w:pageBreakBefore w:val="0"/>
              <w:widowControl/>
              <w:numPr>
                <w:ilvl w:val="0"/>
                <w:numId w:val="2"/>
              </w:numPr>
              <w:kinsoku/>
              <w:wordWrap/>
              <w:overflowPunct/>
              <w:topLinePunct w:val="0"/>
              <w:autoSpaceDE/>
              <w:autoSpaceDN/>
              <w:bidi w:val="0"/>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线路产品。</w:t>
            </w:r>
            <w:r>
              <w:rPr>
                <w:rFonts w:hint="eastAsia" w:ascii="仿宋" w:hAnsi="仿宋" w:eastAsia="仿宋" w:cs="仿宋"/>
                <w:color w:val="auto"/>
                <w:kern w:val="0"/>
                <w:sz w:val="24"/>
                <w:szCs w:val="24"/>
                <w:highlight w:val="none"/>
                <w:lang w:val="en-US" w:eastAsia="zh-CN"/>
              </w:rPr>
              <w:t>(本项分值设置为4,3,2,1,0.5,0分)</w:t>
            </w:r>
          </w:p>
          <w:p w14:paraId="7E7DE8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5、线上传播。</w:t>
            </w:r>
            <w:r>
              <w:rPr>
                <w:rFonts w:hint="eastAsia" w:ascii="仿宋" w:hAnsi="仿宋" w:eastAsia="仿宋" w:cs="仿宋"/>
                <w:color w:val="auto"/>
                <w:kern w:val="0"/>
                <w:sz w:val="24"/>
                <w:szCs w:val="24"/>
                <w:highlight w:val="none"/>
                <w:lang w:val="en-US" w:eastAsia="zh-CN"/>
              </w:rPr>
              <w:t>(本项分值设置为4,3,2,1,0.5,0分)</w:t>
            </w:r>
          </w:p>
        </w:tc>
        <w:tc>
          <w:tcPr>
            <w:tcW w:w="870" w:type="dxa"/>
            <w:tcBorders>
              <w:left w:val="single" w:color="auto" w:sz="4" w:space="0"/>
              <w:right w:val="single" w:color="auto" w:sz="4" w:space="0"/>
            </w:tcBorders>
            <w:shd w:val="clear" w:color="auto" w:fill="auto"/>
            <w:noWrap w:val="0"/>
            <w:vAlign w:val="center"/>
          </w:tcPr>
          <w:p w14:paraId="50C064E6">
            <w:pPr>
              <w:widowControl/>
              <w:snapToGri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20分</w:t>
            </w:r>
          </w:p>
        </w:tc>
      </w:tr>
      <w:tr w14:paraId="038C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20" w:type="dxa"/>
            <w:tcBorders>
              <w:left w:val="single" w:color="auto" w:sz="4" w:space="0"/>
              <w:right w:val="single" w:color="auto" w:sz="4" w:space="0"/>
            </w:tcBorders>
            <w:shd w:val="clear" w:color="auto" w:fill="auto"/>
            <w:noWrap w:val="0"/>
            <w:vAlign w:val="center"/>
          </w:tcPr>
          <w:p w14:paraId="7F0B741D">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5</w:t>
            </w:r>
          </w:p>
        </w:tc>
        <w:tc>
          <w:tcPr>
            <w:tcW w:w="1200" w:type="dxa"/>
            <w:tcBorders>
              <w:left w:val="single" w:color="auto" w:sz="4" w:space="0"/>
              <w:right w:val="single" w:color="auto" w:sz="4" w:space="0"/>
            </w:tcBorders>
            <w:shd w:val="clear" w:color="auto" w:fill="auto"/>
            <w:noWrap w:val="0"/>
            <w:vAlign w:val="center"/>
          </w:tcPr>
          <w:p w14:paraId="7588BD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sz w:val="24"/>
                <w:szCs w:val="24"/>
                <w:lang w:val="en-US" w:eastAsia="zh-CN" w:bidi="ar-SA"/>
              </w:rPr>
            </w:pPr>
            <w:r>
              <w:rPr>
                <w:rFonts w:hint="eastAsia" w:ascii="仿宋" w:hAnsi="仿宋" w:eastAsia="仿宋" w:cs="仿宋"/>
                <w:b w:val="0"/>
                <w:bCs w:val="0"/>
                <w:sz w:val="24"/>
                <w:szCs w:val="24"/>
                <w:lang w:val="en-US" w:eastAsia="zh-CN" w:bidi="ar-SA"/>
              </w:rPr>
              <w:t>省市联动推广方案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1B3A38">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的推广</w:t>
            </w:r>
            <w:r>
              <w:rPr>
                <w:rFonts w:hint="eastAsia" w:ascii="仿宋" w:hAnsi="仿宋" w:eastAsia="仿宋" w:cs="仿宋"/>
                <w:color w:val="auto"/>
                <w:sz w:val="24"/>
                <w:szCs w:val="24"/>
                <w:highlight w:val="none"/>
                <w:shd w:val="clear" w:color="auto" w:fill="auto"/>
              </w:rPr>
              <w:t>方案</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包括但不限于</w:t>
            </w:r>
            <w:r>
              <w:rPr>
                <w:rFonts w:hint="eastAsia" w:ascii="仿宋" w:hAnsi="仿宋" w:eastAsia="仿宋" w:cs="仿宋"/>
                <w:color w:val="auto"/>
                <w:sz w:val="24"/>
                <w:szCs w:val="24"/>
                <w:highlight w:val="none"/>
                <w:lang w:val="en-US" w:eastAsia="zh-CN"/>
              </w:rPr>
              <w:t>方案设计完整性，借势引流措施、可行性等）</w:t>
            </w:r>
            <w:r>
              <w:rPr>
                <w:rFonts w:hint="eastAsia" w:ascii="仿宋" w:hAnsi="仿宋" w:eastAsia="仿宋" w:cs="仿宋"/>
                <w:color w:val="auto"/>
                <w:sz w:val="24"/>
                <w:szCs w:val="24"/>
                <w:highlight w:val="none"/>
                <w:shd w:val="clear" w:color="auto" w:fill="auto"/>
              </w:rPr>
              <w:t>进行综合评定。</w:t>
            </w:r>
            <w:r>
              <w:rPr>
                <w:rFonts w:hint="eastAsia" w:ascii="仿宋" w:hAnsi="仿宋" w:eastAsia="仿宋" w:cs="仿宋"/>
                <w:color w:val="auto"/>
                <w:kern w:val="0"/>
                <w:sz w:val="24"/>
                <w:szCs w:val="24"/>
                <w:highlight w:val="none"/>
                <w:lang w:val="en-US" w:eastAsia="zh-CN"/>
              </w:rPr>
              <w:t>(本项分值设置为5,4,3,2,1,0.5,0分)。</w:t>
            </w:r>
          </w:p>
        </w:tc>
        <w:tc>
          <w:tcPr>
            <w:tcW w:w="870" w:type="dxa"/>
            <w:tcBorders>
              <w:top w:val="single" w:color="auto" w:sz="4" w:space="0"/>
              <w:left w:val="single" w:color="auto" w:sz="4" w:space="0"/>
              <w:right w:val="single" w:color="auto" w:sz="4" w:space="0"/>
            </w:tcBorders>
            <w:shd w:val="clear" w:color="auto" w:fill="auto"/>
            <w:noWrap w:val="0"/>
            <w:vAlign w:val="center"/>
          </w:tcPr>
          <w:p w14:paraId="6DB28AB4">
            <w:pPr>
              <w:widowControl/>
              <w:spacing w:line="240"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5分</w:t>
            </w:r>
          </w:p>
        </w:tc>
      </w:tr>
      <w:tr w14:paraId="1926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9" w:hRule="atLeast"/>
        </w:trPr>
        <w:tc>
          <w:tcPr>
            <w:tcW w:w="720" w:type="dxa"/>
            <w:tcBorders>
              <w:left w:val="single" w:color="auto" w:sz="4" w:space="0"/>
              <w:right w:val="single" w:color="auto" w:sz="4" w:space="0"/>
            </w:tcBorders>
            <w:shd w:val="clear" w:color="auto" w:fill="auto"/>
            <w:noWrap w:val="0"/>
            <w:vAlign w:val="center"/>
          </w:tcPr>
          <w:p w14:paraId="36B29F0A">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6</w:t>
            </w:r>
          </w:p>
        </w:tc>
        <w:tc>
          <w:tcPr>
            <w:tcW w:w="1200" w:type="dxa"/>
            <w:tcBorders>
              <w:left w:val="single" w:color="auto" w:sz="4" w:space="0"/>
              <w:right w:val="single" w:color="auto" w:sz="4" w:space="0"/>
            </w:tcBorders>
            <w:shd w:val="clear" w:color="auto" w:fill="auto"/>
            <w:noWrap w:val="0"/>
            <w:vAlign w:val="center"/>
          </w:tcPr>
          <w:p w14:paraId="52BF16BA">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进商圈活动方案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6FE345">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的进商圈</w:t>
            </w:r>
            <w:r>
              <w:rPr>
                <w:rFonts w:hint="eastAsia" w:ascii="仿宋" w:hAnsi="仿宋" w:eastAsia="仿宋" w:cs="仿宋"/>
                <w:color w:val="auto"/>
                <w:sz w:val="24"/>
                <w:szCs w:val="24"/>
                <w:highlight w:val="none"/>
                <w:shd w:val="clear" w:color="auto" w:fill="auto"/>
              </w:rPr>
              <w:t>方案</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包括但不限于</w:t>
            </w:r>
            <w:r>
              <w:rPr>
                <w:rFonts w:hint="eastAsia" w:ascii="仿宋" w:hAnsi="仿宋" w:eastAsia="仿宋" w:cs="仿宋"/>
                <w:sz w:val="24"/>
                <w:szCs w:val="24"/>
                <w:lang w:val="en-US" w:eastAsia="zh-CN"/>
              </w:rPr>
              <w:t>方案主题策划、活动贴合度、布置设计是否完整、合理、有创意等）</w:t>
            </w:r>
            <w:r>
              <w:rPr>
                <w:rFonts w:hint="eastAsia" w:ascii="仿宋" w:hAnsi="仿宋" w:eastAsia="仿宋" w:cs="仿宋"/>
                <w:color w:val="auto"/>
                <w:sz w:val="24"/>
                <w:szCs w:val="24"/>
                <w:highlight w:val="none"/>
                <w:shd w:val="clear" w:color="auto" w:fill="auto"/>
              </w:rPr>
              <w:t>进行综合评定</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kern w:val="0"/>
                <w:sz w:val="24"/>
                <w:szCs w:val="24"/>
                <w:highlight w:val="none"/>
                <w:lang w:val="en-US" w:eastAsia="zh-CN"/>
              </w:rPr>
              <w:t>(本项分值设置为5,4,3,2,1,0.5,0分)。</w:t>
            </w:r>
          </w:p>
        </w:tc>
        <w:tc>
          <w:tcPr>
            <w:tcW w:w="870" w:type="dxa"/>
            <w:tcBorders>
              <w:top w:val="single" w:color="auto" w:sz="4" w:space="0"/>
              <w:left w:val="single" w:color="auto" w:sz="4" w:space="0"/>
              <w:right w:val="single" w:color="auto" w:sz="4" w:space="0"/>
            </w:tcBorders>
            <w:shd w:val="clear" w:color="auto" w:fill="auto"/>
            <w:noWrap w:val="0"/>
            <w:vAlign w:val="center"/>
          </w:tcPr>
          <w:p w14:paraId="435FCCD7">
            <w:pPr>
              <w:widowControl/>
              <w:spacing w:line="240"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5分</w:t>
            </w:r>
          </w:p>
        </w:tc>
      </w:tr>
      <w:tr w14:paraId="4321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2" w:hRule="atLeast"/>
        </w:trPr>
        <w:tc>
          <w:tcPr>
            <w:tcW w:w="720" w:type="dxa"/>
            <w:tcBorders>
              <w:left w:val="single" w:color="auto" w:sz="4" w:space="0"/>
              <w:right w:val="single" w:color="auto" w:sz="4" w:space="0"/>
            </w:tcBorders>
            <w:shd w:val="clear" w:color="auto" w:fill="auto"/>
            <w:noWrap w:val="0"/>
            <w:vAlign w:val="center"/>
          </w:tcPr>
          <w:p w14:paraId="67CBF308">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7</w:t>
            </w:r>
          </w:p>
        </w:tc>
        <w:tc>
          <w:tcPr>
            <w:tcW w:w="1200" w:type="dxa"/>
            <w:tcBorders>
              <w:left w:val="single" w:color="auto" w:sz="4" w:space="0"/>
              <w:right w:val="single" w:color="auto" w:sz="4" w:space="0"/>
            </w:tcBorders>
            <w:shd w:val="clear" w:color="auto" w:fill="auto"/>
            <w:noWrap w:val="0"/>
            <w:vAlign w:val="center"/>
          </w:tcPr>
          <w:p w14:paraId="4AF6E3AF">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lang w:val="en-US" w:eastAsia="zh-CN"/>
              </w:rPr>
              <w:t>进校园活动方案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BDBEF9">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的进校园</w:t>
            </w:r>
            <w:r>
              <w:rPr>
                <w:rFonts w:hint="eastAsia" w:ascii="仿宋" w:hAnsi="仿宋" w:eastAsia="仿宋" w:cs="仿宋"/>
                <w:color w:val="auto"/>
                <w:sz w:val="24"/>
                <w:szCs w:val="24"/>
                <w:highlight w:val="none"/>
                <w:shd w:val="clear" w:color="auto" w:fill="auto"/>
              </w:rPr>
              <w:t>方案</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包括但不限于方案完整性、</w:t>
            </w:r>
            <w:r>
              <w:rPr>
                <w:rFonts w:hint="eastAsia" w:ascii="仿宋" w:hAnsi="仿宋" w:eastAsia="仿宋" w:cs="仿宋"/>
                <w:sz w:val="24"/>
                <w:szCs w:val="24"/>
                <w:lang w:val="en-US" w:eastAsia="zh-CN"/>
              </w:rPr>
              <w:t>选址科学性、摊位及路演环节设计、安全与落地性等）</w:t>
            </w:r>
            <w:r>
              <w:rPr>
                <w:rFonts w:hint="eastAsia" w:ascii="仿宋" w:hAnsi="仿宋" w:eastAsia="仿宋" w:cs="仿宋"/>
                <w:color w:val="auto"/>
                <w:sz w:val="24"/>
                <w:szCs w:val="24"/>
                <w:highlight w:val="none"/>
                <w:shd w:val="clear" w:color="auto" w:fill="auto"/>
              </w:rPr>
              <w:t>进行综合评定</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kern w:val="0"/>
                <w:sz w:val="24"/>
                <w:szCs w:val="24"/>
                <w:highlight w:val="none"/>
                <w:lang w:val="en-US" w:eastAsia="zh-CN"/>
              </w:rPr>
              <w:t>(本项分值设置为5,4,3,2,1,0.5,0分)。</w:t>
            </w:r>
          </w:p>
        </w:tc>
        <w:tc>
          <w:tcPr>
            <w:tcW w:w="870" w:type="dxa"/>
            <w:tcBorders>
              <w:left w:val="single" w:color="auto" w:sz="4" w:space="0"/>
              <w:right w:val="single" w:color="auto" w:sz="4" w:space="0"/>
            </w:tcBorders>
            <w:shd w:val="clear" w:color="auto" w:fill="auto"/>
            <w:noWrap w:val="0"/>
            <w:vAlign w:val="center"/>
          </w:tcPr>
          <w:p w14:paraId="5C7371DD">
            <w:pPr>
              <w:widowControl/>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5分</w:t>
            </w:r>
          </w:p>
        </w:tc>
      </w:tr>
      <w:tr w14:paraId="2590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720" w:type="dxa"/>
            <w:tcBorders>
              <w:left w:val="single" w:color="auto" w:sz="4" w:space="0"/>
              <w:right w:val="single" w:color="auto" w:sz="4" w:space="0"/>
            </w:tcBorders>
            <w:shd w:val="clear" w:color="auto" w:fill="auto"/>
            <w:noWrap w:val="0"/>
            <w:vAlign w:val="center"/>
          </w:tcPr>
          <w:p w14:paraId="6A63864C">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8</w:t>
            </w:r>
          </w:p>
        </w:tc>
        <w:tc>
          <w:tcPr>
            <w:tcW w:w="1200" w:type="dxa"/>
            <w:tcBorders>
              <w:left w:val="single" w:color="auto" w:sz="4" w:space="0"/>
              <w:right w:val="single" w:color="auto" w:sz="4" w:space="0"/>
            </w:tcBorders>
            <w:shd w:val="clear" w:color="auto" w:fill="auto"/>
            <w:noWrap w:val="0"/>
            <w:vAlign w:val="center"/>
          </w:tcPr>
          <w:p w14:paraId="20EA6536">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b w:val="0"/>
                <w:bCs w:val="0"/>
                <w:sz w:val="24"/>
                <w:szCs w:val="24"/>
                <w:lang w:val="en-US" w:eastAsia="zh-CN"/>
              </w:rPr>
              <w:t>进社区投放方案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E8E027">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的进社区投放方案（包括但不限于覆盖数量、目标社区国际化程度、点位精准性等）进行</w:t>
            </w:r>
            <w:r>
              <w:rPr>
                <w:rFonts w:hint="eastAsia" w:ascii="仿宋" w:hAnsi="仿宋" w:eastAsia="仿宋" w:cs="仿宋"/>
                <w:color w:val="auto"/>
                <w:sz w:val="24"/>
                <w:szCs w:val="24"/>
                <w:highlight w:val="none"/>
                <w:shd w:val="clear" w:color="auto" w:fill="auto"/>
              </w:rPr>
              <w:t>综合评定</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kern w:val="0"/>
                <w:sz w:val="24"/>
                <w:szCs w:val="24"/>
                <w:highlight w:val="none"/>
                <w:lang w:val="en-US" w:eastAsia="zh-CN"/>
              </w:rPr>
              <w:t>(本项分值设置为3,2,1,0.5,0分)。</w:t>
            </w:r>
          </w:p>
        </w:tc>
        <w:tc>
          <w:tcPr>
            <w:tcW w:w="870" w:type="dxa"/>
            <w:tcBorders>
              <w:left w:val="single" w:color="auto" w:sz="4" w:space="0"/>
              <w:right w:val="single" w:color="auto" w:sz="4" w:space="0"/>
            </w:tcBorders>
            <w:shd w:val="clear" w:color="auto" w:fill="auto"/>
            <w:noWrap w:val="0"/>
            <w:vAlign w:val="center"/>
          </w:tcPr>
          <w:p w14:paraId="1A724192">
            <w:pPr>
              <w:widowControl/>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r>
      <w:tr w14:paraId="72EE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2" w:hRule="atLeast"/>
        </w:trPr>
        <w:tc>
          <w:tcPr>
            <w:tcW w:w="720" w:type="dxa"/>
            <w:tcBorders>
              <w:left w:val="single" w:color="auto" w:sz="4" w:space="0"/>
              <w:right w:val="single" w:color="auto" w:sz="4" w:space="0"/>
            </w:tcBorders>
            <w:shd w:val="clear" w:color="auto" w:fill="auto"/>
            <w:noWrap w:val="0"/>
            <w:vAlign w:val="center"/>
          </w:tcPr>
          <w:p w14:paraId="0E143363">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9</w:t>
            </w:r>
          </w:p>
        </w:tc>
        <w:tc>
          <w:tcPr>
            <w:tcW w:w="1200" w:type="dxa"/>
            <w:tcBorders>
              <w:left w:val="single" w:color="auto" w:sz="4" w:space="0"/>
              <w:right w:val="single" w:color="auto" w:sz="4" w:space="0"/>
            </w:tcBorders>
            <w:shd w:val="clear" w:color="auto" w:fill="auto"/>
            <w:noWrap w:val="0"/>
            <w:vAlign w:val="center"/>
          </w:tcPr>
          <w:p w14:paraId="1A59967C">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进场站投放方案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4C8C96">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rPr>
              <w:t>根据投标人提供</w:t>
            </w:r>
            <w:r>
              <w:rPr>
                <w:rFonts w:hint="eastAsia" w:ascii="仿宋" w:hAnsi="仿宋" w:eastAsia="仿宋" w:cs="仿宋"/>
                <w:color w:val="auto"/>
                <w:sz w:val="24"/>
                <w:szCs w:val="24"/>
                <w:highlight w:val="none"/>
                <w:shd w:val="clear" w:color="auto" w:fill="auto"/>
                <w:lang w:val="en-US" w:eastAsia="zh-CN"/>
              </w:rPr>
              <w:t>的进场站投放方案</w:t>
            </w:r>
            <w:r>
              <w:rPr>
                <w:rFonts w:hint="eastAsia" w:ascii="仿宋" w:hAnsi="仿宋" w:eastAsia="仿宋" w:cs="仿宋"/>
                <w:color w:val="auto"/>
                <w:kern w:val="0"/>
                <w:sz w:val="24"/>
                <w:szCs w:val="24"/>
                <w:highlight w:val="none"/>
                <w:shd w:val="clear" w:color="auto" w:fill="auto"/>
                <w:rtl w:val="0"/>
                <w:lang w:val="en-US" w:eastAsia="zh-CN" w:bidi="ar-SA"/>
              </w:rPr>
              <w:t>（包括但不限于选择的机场国际化程度、投放点位科学性、时长合理性等）</w:t>
            </w:r>
            <w:r>
              <w:rPr>
                <w:rFonts w:hint="eastAsia" w:ascii="仿宋" w:hAnsi="仿宋" w:eastAsia="仿宋" w:cs="仿宋"/>
                <w:color w:val="auto"/>
                <w:sz w:val="24"/>
                <w:szCs w:val="24"/>
                <w:highlight w:val="none"/>
                <w:shd w:val="clear" w:color="auto" w:fill="auto"/>
              </w:rPr>
              <w:t>进行综合评定</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kern w:val="0"/>
                <w:sz w:val="24"/>
                <w:szCs w:val="24"/>
                <w:highlight w:val="none"/>
                <w:lang w:val="en-US" w:eastAsia="zh-CN"/>
              </w:rPr>
              <w:t>(本项分值设置为3,2,1,0.5,0分)。</w:t>
            </w:r>
          </w:p>
        </w:tc>
        <w:tc>
          <w:tcPr>
            <w:tcW w:w="870" w:type="dxa"/>
            <w:tcBorders>
              <w:left w:val="single" w:color="auto" w:sz="4" w:space="0"/>
              <w:right w:val="single" w:color="auto" w:sz="4" w:space="0"/>
            </w:tcBorders>
            <w:shd w:val="clear" w:color="auto" w:fill="auto"/>
            <w:noWrap w:val="0"/>
            <w:vAlign w:val="center"/>
          </w:tcPr>
          <w:p w14:paraId="34909F37">
            <w:pPr>
              <w:widowControl/>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r>
      <w:tr w14:paraId="04E2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2" w:hRule="atLeast"/>
        </w:trPr>
        <w:tc>
          <w:tcPr>
            <w:tcW w:w="720" w:type="dxa"/>
            <w:tcBorders>
              <w:left w:val="single" w:color="auto" w:sz="4" w:space="0"/>
              <w:right w:val="single" w:color="auto" w:sz="4" w:space="0"/>
            </w:tcBorders>
            <w:shd w:val="clear" w:color="auto" w:fill="auto"/>
            <w:noWrap w:val="0"/>
            <w:vAlign w:val="center"/>
          </w:tcPr>
          <w:p w14:paraId="227794BF">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10</w:t>
            </w:r>
          </w:p>
        </w:tc>
        <w:tc>
          <w:tcPr>
            <w:tcW w:w="1200" w:type="dxa"/>
            <w:tcBorders>
              <w:left w:val="single" w:color="auto" w:sz="4" w:space="0"/>
              <w:right w:val="single" w:color="auto" w:sz="4" w:space="0"/>
            </w:tcBorders>
            <w:shd w:val="clear" w:color="auto" w:fill="auto"/>
            <w:noWrap w:val="0"/>
            <w:vAlign w:val="center"/>
          </w:tcPr>
          <w:p w14:paraId="513DC351">
            <w:pPr>
              <w:keepNext w:val="0"/>
              <w:keepLines w:val="0"/>
              <w:pageBreakBefore w:val="0"/>
              <w:widowControl/>
              <w:kinsoku/>
              <w:wordWrap/>
              <w:overflowPunct/>
              <w:topLinePunct w:val="0"/>
              <w:autoSpaceDE/>
              <w:autoSpaceDN/>
              <w:bidi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进景区活动方案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2642D5">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color w:val="auto"/>
                <w:sz w:val="24"/>
                <w:szCs w:val="24"/>
                <w:highlight w:val="none"/>
                <w:shd w:val="clear" w:color="auto" w:fill="auto"/>
                <w:lang w:val="en-US" w:eastAsia="zh-CN" w:bidi="ar-SA"/>
              </w:rPr>
            </w:pPr>
            <w:r>
              <w:rPr>
                <w:rFonts w:hint="eastAsia" w:ascii="仿宋" w:hAnsi="仿宋" w:eastAsia="仿宋" w:cs="仿宋"/>
                <w:color w:val="auto"/>
                <w:sz w:val="24"/>
                <w:szCs w:val="24"/>
                <w:highlight w:val="none"/>
                <w:shd w:val="clear" w:color="auto" w:fill="auto"/>
                <w:lang w:val="en-US" w:eastAsia="zh-CN" w:bidi="ar-SA"/>
              </w:rPr>
              <w:t>根据投标人提供的</w:t>
            </w:r>
            <w:r>
              <w:rPr>
                <w:rFonts w:hint="eastAsia" w:ascii="仿宋" w:hAnsi="仿宋" w:eastAsia="仿宋" w:cs="仿宋"/>
                <w:b w:val="0"/>
                <w:bCs w:val="0"/>
                <w:color w:val="auto"/>
                <w:kern w:val="0"/>
                <w:sz w:val="24"/>
                <w:szCs w:val="24"/>
                <w:highlight w:val="none"/>
                <w:shd w:val="clear" w:color="auto" w:fill="auto"/>
                <w:rtl w:val="0"/>
                <w:lang w:val="en-US" w:eastAsia="zh-CN" w:bidi="ar-SA"/>
              </w:rPr>
              <w:t>浙东南五地市重点旅行商踩线交流方案（包括但不限于内容完整性、踩线行程安排科学性、与采购需求契合度、服务保障等）进行综合评</w:t>
            </w:r>
            <w:r>
              <w:rPr>
                <w:rFonts w:hint="eastAsia" w:ascii="仿宋" w:hAnsi="仿宋" w:eastAsia="仿宋" w:cs="仿宋"/>
                <w:color w:val="auto"/>
                <w:sz w:val="24"/>
                <w:szCs w:val="24"/>
                <w:highlight w:val="none"/>
                <w:shd w:val="clear" w:color="auto" w:fill="auto"/>
                <w:lang w:val="en-US" w:eastAsia="zh-CN" w:bidi="ar-SA"/>
              </w:rPr>
              <w:t>定。</w:t>
            </w:r>
            <w:r>
              <w:rPr>
                <w:rFonts w:hint="eastAsia" w:ascii="仿宋" w:hAnsi="仿宋" w:eastAsia="仿宋" w:cs="仿宋"/>
                <w:color w:val="auto"/>
                <w:kern w:val="0"/>
                <w:sz w:val="24"/>
                <w:szCs w:val="24"/>
                <w:highlight w:val="none"/>
                <w:lang w:val="en-US" w:eastAsia="zh-CN"/>
              </w:rPr>
              <w:t>(本项分值设置为4,3,2,1,0.5,0分)。</w:t>
            </w:r>
          </w:p>
        </w:tc>
        <w:tc>
          <w:tcPr>
            <w:tcW w:w="870" w:type="dxa"/>
            <w:tcBorders>
              <w:left w:val="single" w:color="auto" w:sz="4" w:space="0"/>
              <w:right w:val="single" w:color="auto" w:sz="4" w:space="0"/>
            </w:tcBorders>
            <w:shd w:val="clear" w:color="auto" w:fill="auto"/>
            <w:noWrap w:val="0"/>
            <w:vAlign w:val="center"/>
          </w:tcPr>
          <w:p w14:paraId="5574ADBF">
            <w:pPr>
              <w:widowControl/>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4分</w:t>
            </w:r>
          </w:p>
        </w:tc>
      </w:tr>
      <w:tr w14:paraId="5FD9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72" w:hRule="atLeast"/>
        </w:trPr>
        <w:tc>
          <w:tcPr>
            <w:tcW w:w="720" w:type="dxa"/>
            <w:vMerge w:val="restart"/>
            <w:tcBorders>
              <w:left w:val="single" w:color="auto" w:sz="4" w:space="0"/>
              <w:right w:val="single" w:color="auto" w:sz="4" w:space="0"/>
            </w:tcBorders>
            <w:shd w:val="clear" w:color="auto" w:fill="auto"/>
            <w:noWrap w:val="0"/>
            <w:vAlign w:val="center"/>
          </w:tcPr>
          <w:p w14:paraId="0CDAA8E5">
            <w:pPr>
              <w:keepNext w:val="0"/>
              <w:keepLines w:val="0"/>
              <w:pageBreakBefore w:val="0"/>
              <w:widowControl/>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11</w:t>
            </w:r>
          </w:p>
        </w:tc>
        <w:tc>
          <w:tcPr>
            <w:tcW w:w="1200" w:type="dxa"/>
            <w:vMerge w:val="restart"/>
            <w:tcBorders>
              <w:left w:val="single" w:color="auto" w:sz="4" w:space="0"/>
              <w:right w:val="single" w:color="auto" w:sz="4" w:space="0"/>
            </w:tcBorders>
            <w:shd w:val="clear" w:color="auto" w:fill="auto"/>
            <w:noWrap w:val="0"/>
            <w:vAlign w:val="center"/>
          </w:tcPr>
          <w:p w14:paraId="184AEA16">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线上传播矩阵搭建方案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0E1D6C">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shd w:val="clear" w:color="auto" w:fill="auto"/>
                <w:lang w:val="en-US" w:eastAsia="zh-CN" w:bidi="ar-SA"/>
              </w:rPr>
              <w:t>根据投标人提供的</w:t>
            </w:r>
            <w:r>
              <w:rPr>
                <w:rFonts w:hint="eastAsia" w:ascii="仿宋" w:hAnsi="仿宋" w:eastAsia="仿宋" w:cs="仿宋"/>
                <w:sz w:val="24"/>
                <w:szCs w:val="24"/>
                <w:lang w:val="en-US" w:eastAsia="zh-CN"/>
              </w:rPr>
              <w:t>线上传播</w:t>
            </w:r>
            <w:r>
              <w:rPr>
                <w:rFonts w:hint="eastAsia" w:ascii="仿宋" w:hAnsi="仿宋" w:eastAsia="仿宋" w:cs="仿宋"/>
                <w:color w:val="auto"/>
                <w:sz w:val="24"/>
                <w:szCs w:val="24"/>
                <w:highlight w:val="none"/>
                <w:shd w:val="clear" w:color="auto" w:fill="auto"/>
                <w:lang w:val="en-US" w:eastAsia="zh-CN" w:bidi="ar-SA"/>
              </w:rPr>
              <w:t>方案（包括但不限于</w:t>
            </w:r>
            <w:r>
              <w:rPr>
                <w:rFonts w:hint="eastAsia" w:ascii="仿宋" w:hAnsi="仿宋" w:eastAsia="仿宋" w:cs="仿宋"/>
                <w:b w:val="0"/>
                <w:bCs w:val="0"/>
                <w:kern w:val="0"/>
                <w:sz w:val="24"/>
                <w:szCs w:val="24"/>
                <w:lang w:val="en-US" w:eastAsia="zh-CN" w:bidi="ar-SA"/>
              </w:rPr>
              <w:t>小红书、抖音等核心平台，</w:t>
            </w:r>
            <w:r>
              <w:rPr>
                <w:rFonts w:hint="eastAsia" w:ascii="仿宋" w:hAnsi="仿宋" w:eastAsia="仿宋" w:cs="仿宋"/>
                <w:sz w:val="24"/>
                <w:szCs w:val="24"/>
                <w:lang w:val="en-US" w:eastAsia="zh-CN"/>
              </w:rPr>
              <w:t>达人选择贴合文旅属性KOL/KOC/UGC分层合作体系设计完善性，传播数量等方面)</w:t>
            </w:r>
            <w:r>
              <w:rPr>
                <w:rFonts w:hint="eastAsia" w:ascii="仿宋" w:hAnsi="仿宋" w:eastAsia="仿宋" w:cs="仿宋"/>
                <w:color w:val="auto"/>
                <w:sz w:val="24"/>
                <w:szCs w:val="24"/>
                <w:highlight w:val="none"/>
                <w:shd w:val="clear" w:color="auto" w:fill="auto"/>
                <w:lang w:val="en-US" w:eastAsia="zh-CN" w:bidi="ar-SA"/>
              </w:rPr>
              <w:t>进行综合评定</w:t>
            </w:r>
            <w:r>
              <w:rPr>
                <w:rFonts w:hint="eastAsia" w:ascii="仿宋" w:hAnsi="仿宋" w:eastAsia="仿宋" w:cs="仿宋"/>
                <w:color w:val="auto"/>
                <w:kern w:val="0"/>
                <w:sz w:val="24"/>
                <w:szCs w:val="24"/>
                <w:highlight w:val="none"/>
                <w:shd w:val="clear" w:color="auto" w:fill="auto"/>
                <w:rtl w:val="0"/>
                <w:lang w:val="en-US" w:eastAsia="zh-CN" w:bidi="ar-SA"/>
              </w:rPr>
              <w:t>。</w:t>
            </w:r>
            <w:r>
              <w:rPr>
                <w:rFonts w:hint="eastAsia" w:ascii="仿宋" w:hAnsi="仿宋" w:eastAsia="仿宋" w:cs="仿宋"/>
                <w:color w:val="auto"/>
                <w:kern w:val="0"/>
                <w:sz w:val="24"/>
                <w:szCs w:val="24"/>
                <w:highlight w:val="none"/>
                <w:lang w:val="en-US" w:eastAsia="zh-CN"/>
              </w:rPr>
              <w:t>(本项分值设置为3,2,1,0.5,0分)。</w:t>
            </w:r>
          </w:p>
        </w:tc>
        <w:tc>
          <w:tcPr>
            <w:tcW w:w="870" w:type="dxa"/>
            <w:tcBorders>
              <w:left w:val="single" w:color="auto" w:sz="4" w:space="0"/>
              <w:bottom w:val="single" w:color="auto" w:sz="4" w:space="0"/>
              <w:right w:val="single" w:color="auto" w:sz="4" w:space="0"/>
            </w:tcBorders>
            <w:shd w:val="clear" w:color="auto" w:fill="auto"/>
            <w:noWrap w:val="0"/>
            <w:vAlign w:val="center"/>
          </w:tcPr>
          <w:p w14:paraId="3866A425">
            <w:pPr>
              <w:widowControl/>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3分</w:t>
            </w:r>
          </w:p>
        </w:tc>
      </w:tr>
      <w:tr w14:paraId="27E8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720" w:type="dxa"/>
            <w:vMerge w:val="continue"/>
            <w:tcBorders>
              <w:left w:val="single" w:color="auto" w:sz="4" w:space="0"/>
              <w:right w:val="single" w:color="auto" w:sz="4" w:space="0"/>
            </w:tcBorders>
            <w:shd w:val="clear" w:color="auto" w:fill="auto"/>
            <w:noWrap w:val="0"/>
            <w:vAlign w:val="center"/>
          </w:tcPr>
          <w:p w14:paraId="20BE32E0">
            <w:pPr>
              <w:keepNext w:val="0"/>
              <w:keepLines w:val="0"/>
              <w:pageBreakBefore w:val="0"/>
              <w:shd w:val="clear" w:color="auto" w:fill="auto"/>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color w:val="auto"/>
                <w:kern w:val="2"/>
                <w:sz w:val="24"/>
                <w:szCs w:val="24"/>
                <w:lang w:val="en-US" w:eastAsia="zh-CN" w:bidi="ar-SA"/>
              </w:rPr>
            </w:pPr>
          </w:p>
        </w:tc>
        <w:tc>
          <w:tcPr>
            <w:tcW w:w="1200" w:type="dxa"/>
            <w:vMerge w:val="continue"/>
            <w:tcBorders>
              <w:left w:val="single" w:color="auto" w:sz="4" w:space="0"/>
              <w:right w:val="single" w:color="auto" w:sz="4" w:space="0"/>
            </w:tcBorders>
            <w:shd w:val="clear" w:color="auto" w:fill="auto"/>
            <w:noWrap w:val="0"/>
            <w:vAlign w:val="center"/>
          </w:tcPr>
          <w:p w14:paraId="7EC2922E">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val="0"/>
                <w:sz w:val="24"/>
                <w:szCs w:val="24"/>
              </w:rPr>
            </w:pP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C7EEFD">
            <w:pPr>
              <w:keepNext w:val="0"/>
              <w:keepLines w:val="0"/>
              <w:pageBreakBefore w:val="0"/>
              <w:widowControl/>
              <w:kinsoku/>
              <w:wordWrap/>
              <w:overflowPunct/>
              <w:topLinePunct w:val="0"/>
              <w:autoSpaceDE/>
              <w:autoSpaceDN/>
              <w:bidi w:val="0"/>
              <w:snapToGrid/>
              <w:spacing w:line="400" w:lineRule="exact"/>
              <w:jc w:val="left"/>
              <w:textAlignment w:val="auto"/>
              <w:rPr>
                <w:rFonts w:hint="eastAsia" w:ascii="仿宋" w:hAnsi="仿宋" w:eastAsia="仿宋" w:cs="仿宋"/>
                <w:sz w:val="24"/>
                <w:szCs w:val="24"/>
                <w:lang w:val="en-US" w:eastAsia="zh-CN" w:bidi="ar-SA"/>
              </w:rPr>
            </w:pPr>
            <w:r>
              <w:rPr>
                <w:rFonts w:hint="eastAsia" w:ascii="仿宋" w:hAnsi="仿宋" w:eastAsia="仿宋" w:cs="仿宋"/>
                <w:color w:val="auto"/>
                <w:sz w:val="24"/>
                <w:szCs w:val="24"/>
                <w:highlight w:val="none"/>
                <w:shd w:val="clear" w:color="auto" w:fill="auto"/>
                <w:lang w:val="en-US" w:eastAsia="zh-CN" w:bidi="ar-SA"/>
              </w:rPr>
              <w:t>根据投标人提供的</w:t>
            </w:r>
            <w:r>
              <w:rPr>
                <w:rFonts w:hint="eastAsia" w:ascii="仿宋" w:hAnsi="仿宋" w:eastAsia="仿宋" w:cs="仿宋"/>
                <w:b w:val="0"/>
                <w:bCs w:val="0"/>
                <w:kern w:val="0"/>
                <w:sz w:val="24"/>
                <w:szCs w:val="24"/>
                <w:lang w:val="en-US" w:eastAsia="zh-CN" w:bidi="ar-SA"/>
              </w:rPr>
              <w:t>线上传播</w:t>
            </w:r>
            <w:r>
              <w:rPr>
                <w:rFonts w:hint="eastAsia" w:ascii="仿宋" w:hAnsi="仿宋" w:eastAsia="仿宋" w:cs="仿宋"/>
                <w:kern w:val="0"/>
                <w:sz w:val="24"/>
                <w:szCs w:val="24"/>
                <w:highlight w:val="none"/>
                <w:lang w:val="en-US" w:eastAsia="zh-CN"/>
              </w:rPr>
              <w:t>渠道是否完整（包括但不限于专业文旅媒体、主流媒体级别与数量等方面进行综合打分</w:t>
            </w:r>
            <w:r>
              <w:rPr>
                <w:rFonts w:hint="eastAsia" w:ascii="仿宋" w:hAnsi="仿宋" w:eastAsia="仿宋" w:cs="仿宋"/>
                <w:color w:val="auto"/>
                <w:kern w:val="0"/>
                <w:sz w:val="24"/>
                <w:szCs w:val="24"/>
                <w:highlight w:val="none"/>
                <w:shd w:val="clear" w:color="auto" w:fill="auto"/>
                <w:rtl w:val="0"/>
                <w:lang w:val="en-US" w:eastAsia="zh-CN" w:bidi="ar-SA"/>
              </w:rPr>
              <w:t>。</w:t>
            </w:r>
            <w:r>
              <w:rPr>
                <w:rFonts w:hint="eastAsia" w:ascii="仿宋" w:hAnsi="仿宋" w:eastAsia="仿宋" w:cs="仿宋"/>
                <w:color w:val="auto"/>
                <w:kern w:val="0"/>
                <w:sz w:val="24"/>
                <w:szCs w:val="24"/>
                <w:highlight w:val="none"/>
                <w:lang w:val="en-US" w:eastAsia="zh-CN"/>
              </w:rPr>
              <w:t>(本项分值设置为（3,2,1,0.5,0分)。</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06A2EF">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3分</w:t>
            </w:r>
          </w:p>
        </w:tc>
      </w:tr>
      <w:tr w14:paraId="5E46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0" w:hRule="atLeast"/>
        </w:trPr>
        <w:tc>
          <w:tcPr>
            <w:tcW w:w="720" w:type="dxa"/>
            <w:tcBorders>
              <w:left w:val="single" w:color="auto" w:sz="4" w:space="0"/>
              <w:right w:val="single" w:color="auto" w:sz="4" w:space="0"/>
            </w:tcBorders>
            <w:shd w:val="clear" w:color="auto" w:fill="auto"/>
            <w:noWrap w:val="0"/>
            <w:vAlign w:val="center"/>
          </w:tcPr>
          <w:p w14:paraId="1FE6B500">
            <w:pPr>
              <w:keepNext w:val="0"/>
              <w:keepLines w:val="0"/>
              <w:pageBreakBefore w:val="0"/>
              <w:widowControl/>
              <w:shd w:val="clear" w:color="auto" w:fill="auto"/>
              <w:kinsoku/>
              <w:wordWrap/>
              <w:overflowPunct/>
              <w:topLinePunct w:val="0"/>
              <w:autoSpaceDE/>
              <w:autoSpaceDN/>
              <w:bidi w:val="0"/>
              <w:adjustRightInd w:val="0"/>
              <w:snapToGrid/>
              <w:spacing w:line="400" w:lineRule="exact"/>
              <w:ind w:leftChars="0"/>
              <w:jc w:val="center"/>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12</w:t>
            </w:r>
          </w:p>
        </w:tc>
        <w:tc>
          <w:tcPr>
            <w:tcW w:w="1200" w:type="dxa"/>
            <w:tcBorders>
              <w:left w:val="single" w:color="auto" w:sz="4" w:space="0"/>
              <w:right w:val="single" w:color="auto" w:sz="4" w:space="0"/>
            </w:tcBorders>
            <w:shd w:val="clear" w:color="auto" w:fill="auto"/>
            <w:noWrap w:val="0"/>
            <w:vAlign w:val="center"/>
          </w:tcPr>
          <w:p w14:paraId="13836EC8">
            <w:pPr>
              <w:keepNext w:val="0"/>
              <w:keepLines w:val="0"/>
              <w:pageBreakBefore w:val="0"/>
              <w:widowControl/>
              <w:kinsoku/>
              <w:wordWrap/>
              <w:overflowPunct/>
              <w:topLinePunct w:val="0"/>
              <w:autoSpaceDE/>
              <w:autoSpaceDN/>
              <w:bidi w:val="0"/>
              <w:snapToGrid/>
              <w:spacing w:line="400" w:lineRule="exact"/>
              <w:ind w:leftChars="0"/>
              <w:jc w:val="center"/>
              <w:textAlignment w:val="auto"/>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rPr>
              <w:t>应急预案</w:t>
            </w:r>
          </w:p>
        </w:tc>
        <w:tc>
          <w:tcPr>
            <w:tcW w:w="6320"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5800A1C">
            <w:pPr>
              <w:keepNext w:val="0"/>
              <w:keepLines w:val="0"/>
              <w:pageBreakBefore w:val="0"/>
              <w:widowControl/>
              <w:numPr>
                <w:ilvl w:val="0"/>
                <w:numId w:val="0"/>
              </w:numPr>
              <w:kinsoku/>
              <w:wordWrap/>
              <w:overflowPunct/>
              <w:topLinePunct w:val="0"/>
              <w:autoSpaceDE/>
              <w:autoSpaceDN/>
              <w:bidi w:val="0"/>
              <w:snapToGrid/>
              <w:spacing w:line="400" w:lineRule="exact"/>
              <w:ind w:left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kern w:val="0"/>
                <w:sz w:val="24"/>
                <w:szCs w:val="24"/>
                <w:highlight w:val="none"/>
                <w:lang w:val="en-US" w:eastAsia="zh-CN"/>
              </w:rPr>
              <w:t>根据活动方案提供相应的应急、安全预案等各方面进行综合打分。</w:t>
            </w:r>
            <w:r>
              <w:rPr>
                <w:rFonts w:hint="eastAsia" w:ascii="仿宋" w:hAnsi="仿宋" w:eastAsia="仿宋" w:cs="仿宋"/>
                <w:color w:val="auto"/>
                <w:kern w:val="0"/>
                <w:sz w:val="24"/>
                <w:szCs w:val="24"/>
                <w:highlight w:val="none"/>
                <w:lang w:val="en-US" w:eastAsia="zh-CN"/>
              </w:rPr>
              <w:t>(本项分值设置为3,2,1,0.5,0分)。</w:t>
            </w:r>
          </w:p>
        </w:tc>
        <w:tc>
          <w:tcPr>
            <w:tcW w:w="870" w:type="dxa"/>
            <w:tcBorders>
              <w:left w:val="single" w:color="auto" w:sz="4" w:space="0"/>
              <w:bottom w:val="single" w:color="auto" w:sz="4" w:space="0"/>
              <w:right w:val="single" w:color="auto" w:sz="4" w:space="0"/>
            </w:tcBorders>
            <w:shd w:val="clear" w:color="auto" w:fill="auto"/>
            <w:noWrap w:val="0"/>
            <w:vAlign w:val="center"/>
          </w:tcPr>
          <w:p w14:paraId="2FA74C90">
            <w:pPr>
              <w:widowControl/>
              <w:snapToGrid/>
              <w:spacing w:line="240" w:lineRule="auto"/>
              <w:ind w:leftChars="0"/>
              <w:jc w:val="center"/>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3分</w:t>
            </w:r>
          </w:p>
        </w:tc>
      </w:tr>
    </w:tbl>
    <w:p w14:paraId="7A6633FB">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18608CF">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06B4D88B">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EB67A02">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A59A7D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29C933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15 </w:t>
      </w:r>
    </w:p>
    <w:p w14:paraId="5A6BC4D7">
      <w:pPr>
        <w:pStyle w:val="27"/>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14:paraId="7A3EAB75">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41684296">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25162E0E">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E75D8BE">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DE541A">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40F778F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805BEFA">
      <w:pPr>
        <w:kinsoku/>
        <w:wordWrap w:val="0"/>
        <w:overflowPunct/>
        <w:topLinePunct w:val="0"/>
        <w:bidi w:val="0"/>
        <w:snapToGrid w:val="0"/>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szCs w:val="20"/>
          <w:highlight w:val="none"/>
        </w:rPr>
        <w:t>（2）联合协议</w:t>
      </w:r>
      <w:r>
        <w:rPr>
          <w:rFonts w:hint="eastAsia" w:ascii="仿宋" w:hAnsi="仿宋" w:eastAsia="仿宋" w:cs="仿宋"/>
          <w:strike/>
          <w:dstrike w:val="0"/>
          <w:color w:val="auto"/>
          <w:sz w:val="24"/>
          <w:highlight w:val="none"/>
        </w:rPr>
        <w:t>………………………………………………………………（页码）</w:t>
      </w:r>
    </w:p>
    <w:p w14:paraId="332A9313">
      <w:pPr>
        <w:pStyle w:val="24"/>
        <w:kinsoku/>
        <w:wordWrap w:val="0"/>
        <w:overflowPunct/>
        <w:topLinePunct w:val="0"/>
        <w:bidi w:val="0"/>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sz w:val="24"/>
          <w:highlight w:val="none"/>
        </w:rPr>
        <w:t>（3）</w:t>
      </w:r>
      <w:r>
        <w:rPr>
          <w:rFonts w:hint="eastAsia" w:ascii="仿宋" w:hAnsi="仿宋" w:eastAsia="仿宋" w:cs="仿宋"/>
          <w:strike/>
          <w:dstrike w:val="0"/>
          <w:color w:val="auto"/>
          <w:sz w:val="24"/>
          <w:highlight w:val="none"/>
          <w:lang w:eastAsia="zh-CN"/>
        </w:rPr>
        <w:t>分包协议</w:t>
      </w:r>
      <w:r>
        <w:rPr>
          <w:rFonts w:hint="eastAsia" w:ascii="仿宋" w:hAnsi="仿宋" w:eastAsia="仿宋" w:cs="仿宋"/>
          <w:strike/>
          <w:dstrike w:val="0"/>
          <w:color w:val="auto"/>
          <w:sz w:val="24"/>
          <w:highlight w:val="none"/>
        </w:rPr>
        <w:t>………………………………………………………………（页码）</w:t>
      </w:r>
    </w:p>
    <w:p w14:paraId="3BCA3C6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F9F987D">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5612D9">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3A1AC359">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2FA3655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1DDD06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绍兴市文化广电旅游局</w:t>
      </w:r>
      <w:r>
        <w:rPr>
          <w:rFonts w:hint="eastAsia" w:ascii="仿宋" w:hAnsi="仿宋" w:eastAsia="仿宋" w:cs="仿宋"/>
          <w:color w:val="auto"/>
          <w:sz w:val="24"/>
          <w:highlight w:val="none"/>
        </w:rPr>
        <w:t>：</w:t>
      </w:r>
    </w:p>
    <w:p w14:paraId="0498C51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2026年浙东南旅游联合体营销推广项目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330600262690010000007-HC2026-05-07</w:t>
      </w:r>
      <w:r>
        <w:rPr>
          <w:rFonts w:hint="eastAsia" w:ascii="仿宋" w:hAnsi="仿宋" w:eastAsia="仿宋" w:cs="仿宋"/>
          <w:color w:val="auto"/>
          <w:sz w:val="24"/>
          <w:highlight w:val="none"/>
        </w:rPr>
        <w:t>】政府采购活动，郑重承诺：</w:t>
      </w:r>
    </w:p>
    <w:p w14:paraId="59204776">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BC7DE5A">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5F183C9">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7E83B8B">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858F1D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5D2CC7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DC90324">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CCC409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w:t>
      </w:r>
      <w:r>
        <w:rPr>
          <w:rFonts w:hint="eastAsia" w:ascii="仿宋_GB2312" w:hAnsi="仿宋_GB2312" w:eastAsia="仿宋_GB2312" w:cs="仿宋_GB2312"/>
          <w:color w:val="auto"/>
          <w:sz w:val="24"/>
          <w:highlight w:val="none"/>
        </w:rPr>
        <w:t>列入失信被执行人、重大税收违法失信主体、政府采购严重违法失信行为记录名单</w:t>
      </w:r>
      <w:r>
        <w:rPr>
          <w:rFonts w:hint="eastAsia" w:ascii="仿宋" w:hAnsi="仿宋" w:eastAsia="仿宋" w:cs="仿宋"/>
          <w:color w:val="auto"/>
          <w:sz w:val="24"/>
          <w:highlight w:val="none"/>
        </w:rPr>
        <w:t>。</w:t>
      </w:r>
    </w:p>
    <w:p w14:paraId="2DA87EF1">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225836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4203C8F">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356A99A">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821AF24">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0C4A6B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28D0A49">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834797A">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F3E9D12">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5F73D13">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CC3B8C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C359F53">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39B68AE">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69D358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5B4044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7A8E0B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C3DB1AE">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3C7A104">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20923B">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AFAD553">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1671C9BA">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6933F819">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0C59CE1">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35F0FC7B">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E5BEB15">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14:paraId="412468B9">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D814993">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C295A7D">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6FB0977">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4CC549C8">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16B4301">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2CBC29F">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8CD1A47">
      <w:pPr>
        <w:pStyle w:val="905"/>
        <w:numPr>
          <w:ilvl w:val="0"/>
          <w:numId w:val="3"/>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34BDCE8B">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6C20132">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C23AE7">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B155E65">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49C5D35">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FEEE596">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D5C9DE">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CC5725">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FE5876">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8115716">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8C43A49">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F1237B4">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22175631">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39F89F0B">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40055B90">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4E49E40C">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B65997B">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0922BF6">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绍兴市文化广电旅游局</w:t>
      </w:r>
    </w:p>
    <w:p w14:paraId="128AA12E">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6AD815FB">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050BE12">
      <w:pPr>
        <w:pStyle w:val="14"/>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046FD141">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C32A063">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09D79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EE8A086">
      <w:pPr>
        <w:pStyle w:val="14"/>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C6BBA0C">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7B204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CBFADA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B4004B">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E50E434">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15D1788A">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1A2ADFD">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350F63F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5BC5AB3">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AF51EDB">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C907496">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0D60F65">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3252BE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6346F2B9">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12387D2">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3F8815E">
      <w:pPr>
        <w:kinsoku/>
        <w:wordWrap w:val="0"/>
        <w:overflowPunct/>
        <w:topLinePunct w:val="0"/>
        <w:bidi w:val="0"/>
        <w:jc w:val="center"/>
        <w:rPr>
          <w:rFonts w:hint="eastAsia" w:ascii="仿宋" w:hAnsi="仿宋" w:eastAsia="仿宋" w:cs="仿宋"/>
          <w:b/>
          <w:color w:val="auto"/>
          <w:sz w:val="24"/>
          <w:highlight w:val="none"/>
        </w:rPr>
      </w:pPr>
    </w:p>
    <w:p w14:paraId="04C98E4C">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绍兴市文化广电旅游局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2026年浙东南旅游联合体营销推广项目（招标编号:330600262690010000007-HC2026-05-07）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32DA56D">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75AC22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33C779">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52D128A2">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64FC5A">
      <w:pPr>
        <w:kinsoku/>
        <w:wordWrap w:val="0"/>
        <w:overflowPunct/>
        <w:topLinePunct w:val="0"/>
        <w:bidi w:val="0"/>
        <w:spacing w:line="360" w:lineRule="exact"/>
        <w:rPr>
          <w:rFonts w:hint="eastAsia" w:ascii="仿宋" w:hAnsi="仿宋" w:eastAsia="仿宋" w:cs="仿宋"/>
          <w:color w:val="auto"/>
          <w:sz w:val="24"/>
          <w:highlight w:val="none"/>
        </w:rPr>
      </w:pPr>
    </w:p>
    <w:p w14:paraId="22233958">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6FB86B">
      <w:pPr>
        <w:kinsoku/>
        <w:wordWrap w:val="0"/>
        <w:overflowPunct/>
        <w:topLinePunct w:val="0"/>
        <w:bidi w:val="0"/>
        <w:spacing w:line="360" w:lineRule="exact"/>
        <w:rPr>
          <w:rFonts w:hint="eastAsia" w:ascii="仿宋" w:hAnsi="仿宋" w:eastAsia="仿宋" w:cs="仿宋"/>
          <w:color w:val="auto"/>
          <w:sz w:val="24"/>
          <w:highlight w:val="none"/>
        </w:rPr>
      </w:pPr>
    </w:p>
    <w:p w14:paraId="580DBE5F">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421470">
      <w:pPr>
        <w:kinsoku/>
        <w:wordWrap w:val="0"/>
        <w:overflowPunct/>
        <w:topLinePunct w:val="0"/>
        <w:bidi w:val="0"/>
        <w:spacing w:line="360" w:lineRule="exact"/>
        <w:rPr>
          <w:rFonts w:hint="eastAsia" w:ascii="仿宋" w:hAnsi="仿宋" w:eastAsia="仿宋" w:cs="仿宋"/>
          <w:color w:val="auto"/>
          <w:sz w:val="24"/>
          <w:highlight w:val="none"/>
        </w:rPr>
      </w:pPr>
    </w:p>
    <w:p w14:paraId="17E32C49">
      <w:pPr>
        <w:kinsoku/>
        <w:wordWrap w:val="0"/>
        <w:overflowPunct/>
        <w:topLinePunct w:val="0"/>
        <w:bidi w:val="0"/>
        <w:spacing w:line="360" w:lineRule="exact"/>
        <w:rPr>
          <w:rFonts w:hint="eastAsia" w:ascii="仿宋" w:hAnsi="仿宋" w:eastAsia="仿宋" w:cs="仿宋"/>
          <w:color w:val="auto"/>
          <w:sz w:val="24"/>
          <w:highlight w:val="none"/>
        </w:rPr>
      </w:pPr>
    </w:p>
    <w:p w14:paraId="6D391356">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72A9C9B">
      <w:pPr>
        <w:kinsoku/>
        <w:wordWrap w:val="0"/>
        <w:overflowPunct/>
        <w:topLinePunct w:val="0"/>
        <w:bidi w:val="0"/>
        <w:spacing w:line="360" w:lineRule="exact"/>
        <w:rPr>
          <w:rFonts w:hint="eastAsia" w:ascii="仿宋" w:hAnsi="仿宋" w:eastAsia="仿宋" w:cs="仿宋"/>
          <w:color w:val="auto"/>
          <w:sz w:val="24"/>
          <w:highlight w:val="none"/>
        </w:rPr>
      </w:pPr>
    </w:p>
    <w:p w14:paraId="07E1E48A">
      <w:pPr>
        <w:kinsoku/>
        <w:wordWrap w:val="0"/>
        <w:overflowPunct/>
        <w:topLinePunct w:val="0"/>
        <w:bidi w:val="0"/>
        <w:spacing w:line="360" w:lineRule="exact"/>
        <w:rPr>
          <w:rFonts w:hint="eastAsia" w:ascii="仿宋" w:hAnsi="仿宋" w:eastAsia="仿宋" w:cs="仿宋"/>
          <w:color w:val="auto"/>
          <w:sz w:val="24"/>
          <w:highlight w:val="none"/>
        </w:rPr>
      </w:pPr>
    </w:p>
    <w:p w14:paraId="71906E07">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50B114B">
      <w:pPr>
        <w:kinsoku/>
        <w:wordWrap w:val="0"/>
        <w:overflowPunct/>
        <w:topLinePunct w:val="0"/>
        <w:bidi w:val="0"/>
        <w:spacing w:line="360" w:lineRule="exact"/>
        <w:rPr>
          <w:rFonts w:hint="eastAsia" w:ascii="仿宋" w:hAnsi="仿宋" w:eastAsia="仿宋" w:cs="仿宋"/>
          <w:color w:val="auto"/>
          <w:sz w:val="24"/>
          <w:highlight w:val="none"/>
        </w:rPr>
      </w:pPr>
    </w:p>
    <w:p w14:paraId="3D0740A3">
      <w:pPr>
        <w:kinsoku/>
        <w:wordWrap w:val="0"/>
        <w:overflowPunct/>
        <w:topLinePunct w:val="0"/>
        <w:bidi w:val="0"/>
        <w:spacing w:line="360" w:lineRule="exact"/>
        <w:rPr>
          <w:rFonts w:hint="eastAsia" w:ascii="仿宋" w:hAnsi="仿宋" w:eastAsia="仿宋" w:cs="仿宋"/>
          <w:color w:val="auto"/>
          <w:sz w:val="24"/>
          <w:highlight w:val="none"/>
        </w:rPr>
      </w:pPr>
    </w:p>
    <w:p w14:paraId="18E987D1">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60A8D60">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392E9EC0">
      <w:pPr>
        <w:kinsoku/>
        <w:wordWrap w:val="0"/>
        <w:overflowPunct/>
        <w:topLinePunct w:val="0"/>
        <w:bidi w:val="0"/>
        <w:spacing w:line="800" w:lineRule="exact"/>
        <w:rPr>
          <w:rFonts w:hint="eastAsia" w:ascii="仿宋" w:hAnsi="仿宋" w:eastAsia="仿宋" w:cs="仿宋"/>
          <w:b/>
          <w:color w:val="auto"/>
          <w:sz w:val="24"/>
          <w:highlight w:val="none"/>
        </w:rPr>
      </w:pPr>
    </w:p>
    <w:p w14:paraId="7D480231">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A9BA88B">
      <w:pPr>
        <w:kinsoku/>
        <w:wordWrap w:val="0"/>
        <w:overflowPunct/>
        <w:topLinePunct w:val="0"/>
        <w:bidi w:val="0"/>
        <w:jc w:val="center"/>
        <w:rPr>
          <w:rFonts w:hint="eastAsia" w:ascii="仿宋" w:hAnsi="仿宋" w:eastAsia="仿宋" w:cs="仿宋"/>
          <w:b/>
          <w:color w:val="auto"/>
          <w:sz w:val="24"/>
          <w:highlight w:val="none"/>
        </w:rPr>
      </w:pPr>
    </w:p>
    <w:p w14:paraId="3B9467BA">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C51863B">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绍兴市文化广电旅游局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2026年浙东南旅游联合体营销推广项目（招标编号:330600262690010000007-HC2026-05-07）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D53530">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E1BE4DA">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43E31A">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12E10BF0">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C364E8C">
      <w:pPr>
        <w:kinsoku/>
        <w:wordWrap w:val="0"/>
        <w:overflowPunct/>
        <w:topLinePunct w:val="0"/>
        <w:bidi w:val="0"/>
        <w:spacing w:line="360" w:lineRule="exact"/>
        <w:rPr>
          <w:rFonts w:hint="eastAsia" w:ascii="仿宋" w:hAnsi="仿宋" w:eastAsia="仿宋" w:cs="仿宋"/>
          <w:color w:val="auto"/>
          <w:sz w:val="24"/>
          <w:highlight w:val="none"/>
        </w:rPr>
      </w:pPr>
    </w:p>
    <w:p w14:paraId="325FB93D">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5E348D1">
      <w:pPr>
        <w:kinsoku/>
        <w:wordWrap w:val="0"/>
        <w:overflowPunct/>
        <w:topLinePunct w:val="0"/>
        <w:bidi w:val="0"/>
        <w:spacing w:line="360" w:lineRule="exact"/>
        <w:rPr>
          <w:rFonts w:hint="eastAsia" w:ascii="仿宋" w:hAnsi="仿宋" w:eastAsia="仿宋" w:cs="仿宋"/>
          <w:color w:val="auto"/>
          <w:sz w:val="24"/>
          <w:highlight w:val="none"/>
        </w:rPr>
      </w:pPr>
    </w:p>
    <w:p w14:paraId="2B607DC6">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8B5DFEB">
      <w:pPr>
        <w:kinsoku/>
        <w:wordWrap w:val="0"/>
        <w:overflowPunct/>
        <w:topLinePunct w:val="0"/>
        <w:bidi w:val="0"/>
        <w:spacing w:line="360" w:lineRule="exact"/>
        <w:rPr>
          <w:rFonts w:hint="eastAsia" w:ascii="仿宋" w:hAnsi="仿宋" w:eastAsia="仿宋" w:cs="仿宋"/>
          <w:color w:val="auto"/>
          <w:sz w:val="24"/>
          <w:highlight w:val="none"/>
        </w:rPr>
      </w:pPr>
    </w:p>
    <w:p w14:paraId="22D72EAB">
      <w:pPr>
        <w:kinsoku/>
        <w:wordWrap w:val="0"/>
        <w:overflowPunct/>
        <w:topLinePunct w:val="0"/>
        <w:bidi w:val="0"/>
        <w:spacing w:line="360" w:lineRule="exact"/>
        <w:rPr>
          <w:rFonts w:hint="eastAsia" w:ascii="仿宋" w:hAnsi="仿宋" w:eastAsia="仿宋" w:cs="仿宋"/>
          <w:color w:val="auto"/>
          <w:sz w:val="24"/>
          <w:highlight w:val="none"/>
        </w:rPr>
      </w:pPr>
    </w:p>
    <w:p w14:paraId="42562ED3">
      <w:pPr>
        <w:kinsoku/>
        <w:wordWrap w:val="0"/>
        <w:overflowPunct/>
        <w:topLinePunct w:val="0"/>
        <w:bidi w:val="0"/>
        <w:jc w:val="center"/>
        <w:rPr>
          <w:rFonts w:hint="eastAsia" w:ascii="仿宋" w:hAnsi="仿宋" w:eastAsia="仿宋" w:cs="仿宋"/>
          <w:b/>
          <w:color w:val="auto"/>
          <w:kern w:val="0"/>
          <w:sz w:val="32"/>
          <w:szCs w:val="32"/>
          <w:highlight w:val="none"/>
        </w:rPr>
      </w:pPr>
    </w:p>
    <w:p w14:paraId="3C5C2B7E">
      <w:pPr>
        <w:kinsoku/>
        <w:wordWrap w:val="0"/>
        <w:overflowPunct/>
        <w:topLinePunct w:val="0"/>
        <w:bidi w:val="0"/>
        <w:rPr>
          <w:rFonts w:hint="eastAsia" w:ascii="仿宋" w:hAnsi="仿宋" w:eastAsia="仿宋" w:cs="仿宋"/>
          <w:color w:val="auto"/>
          <w:highlight w:val="none"/>
        </w:rPr>
      </w:pPr>
    </w:p>
    <w:p w14:paraId="4331C97D">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034C88D">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4AA543">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031834">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7401B11">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4803D0E7">
      <w:pPr>
        <w:kinsoku/>
        <w:wordWrap w:val="0"/>
        <w:overflowPunct/>
        <w:topLinePunct w:val="0"/>
        <w:autoSpaceDE w:val="0"/>
        <w:autoSpaceDN w:val="0"/>
        <w:bidi w:val="0"/>
        <w:spacing w:line="360" w:lineRule="auto"/>
        <w:jc w:val="both"/>
        <w:rPr>
          <w:rFonts w:hint="eastAsia" w:ascii="仿宋" w:hAnsi="仿宋" w:eastAsia="仿宋" w:cs="仿宋"/>
          <w:b/>
          <w:color w:val="auto"/>
          <w:kern w:val="0"/>
          <w:sz w:val="32"/>
          <w:szCs w:val="32"/>
          <w:highlight w:val="none"/>
          <w:lang w:val="zh-CN"/>
        </w:rPr>
      </w:pPr>
    </w:p>
    <w:p w14:paraId="67D3D425">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5ED18B64">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EE202E7">
      <w:pPr>
        <w:kinsoku/>
        <w:wordWrap w:val="0"/>
        <w:overflowPunct/>
        <w:topLinePunct w:val="0"/>
        <w:bidi w:val="0"/>
        <w:spacing w:line="800" w:lineRule="exact"/>
        <w:rPr>
          <w:rFonts w:hint="eastAsia" w:ascii="仿宋" w:hAnsi="仿宋" w:eastAsia="仿宋" w:cs="仿宋"/>
          <w:b/>
          <w:color w:val="auto"/>
          <w:sz w:val="24"/>
          <w:highlight w:val="none"/>
        </w:rPr>
      </w:pPr>
    </w:p>
    <w:p w14:paraId="3DE6F512">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2F55416">
      <w:pPr>
        <w:kinsoku/>
        <w:wordWrap w:val="0"/>
        <w:overflowPunct/>
        <w:topLinePunct w:val="0"/>
        <w:bidi w:val="0"/>
        <w:spacing w:line="800" w:lineRule="exact"/>
        <w:rPr>
          <w:rFonts w:hint="eastAsia" w:ascii="仿宋" w:hAnsi="仿宋" w:eastAsia="仿宋" w:cs="仿宋"/>
          <w:b/>
          <w:color w:val="auto"/>
          <w:sz w:val="24"/>
          <w:highlight w:val="none"/>
        </w:rPr>
      </w:pPr>
    </w:p>
    <w:p w14:paraId="64AAAD9B">
      <w:pPr>
        <w:kinsoku/>
        <w:wordWrap w:val="0"/>
        <w:overflowPunct/>
        <w:topLinePunct w:val="0"/>
        <w:bidi w:val="0"/>
        <w:spacing w:line="800" w:lineRule="exact"/>
        <w:rPr>
          <w:rFonts w:hint="eastAsia" w:ascii="仿宋" w:hAnsi="仿宋" w:eastAsia="仿宋" w:cs="仿宋"/>
          <w:b/>
          <w:color w:val="auto"/>
          <w:sz w:val="24"/>
          <w:highlight w:val="none"/>
        </w:rPr>
      </w:pPr>
    </w:p>
    <w:p w14:paraId="1FC39DE7">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4A97905C">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12EBA24">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38E9772">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AC30805">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935E61F">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D100389">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039F71F">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CDF2711">
      <w:pPr>
        <w:kinsoku/>
        <w:wordWrap w:val="0"/>
        <w:overflowPunct/>
        <w:topLinePunct w:val="0"/>
        <w:bidi w:val="0"/>
        <w:spacing w:line="440" w:lineRule="exact"/>
        <w:rPr>
          <w:rFonts w:hint="eastAsia" w:ascii="仿宋" w:hAnsi="仿宋" w:eastAsia="仿宋" w:cs="仿宋"/>
          <w:color w:val="auto"/>
          <w:sz w:val="24"/>
          <w:highlight w:val="none"/>
        </w:rPr>
      </w:pPr>
    </w:p>
    <w:p w14:paraId="691942BB">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23241FF7">
      <w:pPr>
        <w:kinsoku/>
        <w:wordWrap w:val="0"/>
        <w:overflowPunct/>
        <w:topLinePunct w:val="0"/>
        <w:bidi w:val="0"/>
        <w:spacing w:line="440" w:lineRule="exact"/>
        <w:ind w:right="480"/>
        <w:rPr>
          <w:rFonts w:hint="eastAsia" w:ascii="仿宋" w:hAnsi="仿宋" w:eastAsia="仿宋" w:cs="仿宋"/>
          <w:color w:val="auto"/>
          <w:sz w:val="24"/>
          <w:highlight w:val="none"/>
        </w:rPr>
      </w:pPr>
    </w:p>
    <w:p w14:paraId="56350ED3">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EDCA99D">
      <w:pPr>
        <w:kinsoku/>
        <w:wordWrap w:val="0"/>
        <w:overflowPunct/>
        <w:topLinePunct w:val="0"/>
        <w:bidi w:val="0"/>
        <w:jc w:val="center"/>
        <w:rPr>
          <w:rFonts w:hint="eastAsia" w:ascii="仿宋" w:hAnsi="仿宋" w:eastAsia="仿宋" w:cs="仿宋"/>
          <w:b/>
          <w:color w:val="auto"/>
          <w:kern w:val="0"/>
          <w:sz w:val="32"/>
          <w:szCs w:val="32"/>
          <w:highlight w:val="none"/>
        </w:rPr>
      </w:pPr>
    </w:p>
    <w:p w14:paraId="5DA3D4B4">
      <w:pPr>
        <w:kinsoku/>
        <w:wordWrap w:val="0"/>
        <w:overflowPunct/>
        <w:topLinePunct w:val="0"/>
        <w:bidi w:val="0"/>
        <w:jc w:val="center"/>
        <w:rPr>
          <w:rFonts w:hint="eastAsia" w:ascii="仿宋" w:hAnsi="仿宋" w:eastAsia="仿宋" w:cs="仿宋"/>
          <w:b/>
          <w:color w:val="auto"/>
          <w:kern w:val="0"/>
          <w:sz w:val="32"/>
          <w:szCs w:val="32"/>
          <w:highlight w:val="none"/>
        </w:rPr>
      </w:pPr>
    </w:p>
    <w:p w14:paraId="35110850">
      <w:pPr>
        <w:kinsoku/>
        <w:wordWrap w:val="0"/>
        <w:overflowPunct/>
        <w:topLinePunct w:val="0"/>
        <w:bidi w:val="0"/>
        <w:jc w:val="both"/>
        <w:rPr>
          <w:rFonts w:hint="eastAsia" w:ascii="仿宋" w:hAnsi="仿宋" w:eastAsia="仿宋" w:cs="仿宋"/>
          <w:b/>
          <w:color w:val="auto"/>
          <w:kern w:val="0"/>
          <w:sz w:val="32"/>
          <w:szCs w:val="32"/>
          <w:highlight w:val="none"/>
        </w:rPr>
      </w:pPr>
    </w:p>
    <w:p w14:paraId="2642F082">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657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C8E3BC">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54A8E6C">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2D32C48">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641BD6F">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A5A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29ED30">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C0DA5FE">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31CF70E5">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28B70F34">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25A3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47446C">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B2F276E">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48D6669C">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E216CA4">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38D0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1B1D16">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3CF54AB">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054DB353">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1FA80B8D">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5640507F">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63D3A78">
      <w:pPr>
        <w:kinsoku/>
        <w:wordWrap w:val="0"/>
        <w:overflowPunct/>
        <w:topLinePunct w:val="0"/>
        <w:bidi w:val="0"/>
        <w:jc w:val="center"/>
        <w:rPr>
          <w:rFonts w:hint="eastAsia" w:ascii="仿宋" w:hAnsi="仿宋" w:eastAsia="仿宋" w:cs="仿宋"/>
          <w:b/>
          <w:color w:val="auto"/>
          <w:kern w:val="0"/>
          <w:sz w:val="32"/>
          <w:szCs w:val="32"/>
          <w:highlight w:val="none"/>
        </w:rPr>
      </w:pPr>
    </w:p>
    <w:p w14:paraId="4935A280">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DDCD028">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5F8D44AC">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2C63C5D">
      <w:pPr>
        <w:kinsoku/>
        <w:wordWrap w:val="0"/>
        <w:overflowPunct/>
        <w:topLinePunct w:val="0"/>
        <w:bidi w:val="0"/>
        <w:snapToGrid w:val="0"/>
        <w:spacing w:line="360" w:lineRule="auto"/>
        <w:rPr>
          <w:rFonts w:hint="eastAsia" w:ascii="仿宋" w:hAnsi="仿宋" w:eastAsia="仿宋" w:cs="仿宋"/>
          <w:color w:val="auto"/>
          <w:sz w:val="24"/>
          <w:highlight w:val="none"/>
        </w:rPr>
      </w:pPr>
    </w:p>
    <w:p w14:paraId="32A6560A">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绍兴市文化广电旅游局</w:t>
      </w:r>
      <w:r>
        <w:rPr>
          <w:rFonts w:hint="eastAsia" w:ascii="仿宋" w:hAnsi="仿宋" w:eastAsia="仿宋" w:cs="仿宋"/>
          <w:color w:val="auto"/>
          <w:kern w:val="0"/>
          <w:sz w:val="24"/>
          <w:highlight w:val="none"/>
          <w:lang w:val="zh-CN"/>
        </w:rPr>
        <w:t>：</w:t>
      </w:r>
    </w:p>
    <w:p w14:paraId="6A5DD6AB">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AD9DB78">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C76902">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68E002C">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70F6EFE">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66A6CCC">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3DE9DA6">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8DBC742">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23CFC42">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5D25AA4">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9B7B506">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691F749">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145625D5">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3AE9C4B3">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EDF1764">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371F840">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1E29A759">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C604A0C">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5EAEDEF7">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5FC5968">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40195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07CE90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87BC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687303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43D16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FAA148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5B9B5C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7581B6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3237F0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C02440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F1705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77F5C3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210BF7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BB155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0466A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39E3B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61B27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8360F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97D45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23357FB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DD7F2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CEA39B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9F5FD2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63EFDB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16E044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B5020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BD7B22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4397B25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8DF752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D90757">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E12981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8133F5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904E2D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A7F89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93AFFD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41FA159D">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33C7F0F">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14:paraId="26A9B5F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14:paraId="71AA1416">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EB100D">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28AB22">
      <w:pPr>
        <w:pStyle w:val="648"/>
        <w:kinsoku/>
        <w:wordWrap w:val="0"/>
        <w:overflowPunct/>
        <w:topLinePunct w:val="0"/>
        <w:bidi w:val="0"/>
        <w:ind w:firstLine="0"/>
        <w:jc w:val="both"/>
        <w:rPr>
          <w:rFonts w:hAnsi="仿宋_GB2312" w:cs="仿宋_GB2312"/>
          <w:color w:val="auto"/>
          <w:highlight w:val="none"/>
        </w:rPr>
      </w:pPr>
    </w:p>
    <w:p w14:paraId="394B3E67">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011138D">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6313684">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1306806E">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D2E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B6BF9A">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63689A9">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FFDE918">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E47001">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DA6B1FC">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C72A166">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9A3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ADBFEAA">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BD8BB45">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ECB6AF8">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1B7C1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07F0539">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425E74A5">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5D8E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76ADA2">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E68B139">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4117FC">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3B19147">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7793967A">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5CA65129">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67B9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F9D332B">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4FD9C60">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0856371">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4FAF1B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C9CB96B">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1D8772D">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577F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EA4FEC">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CA13ADB">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A9E66C0">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BDEBF7">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9DD5E28">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76F847C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1BDA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AF1311">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E48269E">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7336C5">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93E59B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606061D4">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56074D1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14:paraId="6CB5983D">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FEEF75A">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365026F">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116A9E89">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14:paraId="1665B6E0">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98A4E0">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79DE8C">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25B21FC">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F00A59E">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21FC128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0BDE39A">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F1A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983CEEE">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874155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E5A60FC">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E144C8">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381C99E">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692FEC4">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0650EF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634EE0C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E2FF758">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AB6D87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8562DC1">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751845">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3AF346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5B474ED">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AE536B">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BA9DEA1">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EFAF0A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7BD0410">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069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1422C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120724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812399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69AF9A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5499E4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563D94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B5C312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8030C2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529DA5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47D5CC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B586C2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1041A5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F435DD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9860C4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9B7A76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851EF5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160F9BF">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5E0D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8369B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8BC16E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40EE3B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D85D40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3B6C64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C15DF3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BBADB7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395C61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662F1C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677D8E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D00FB2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493D5B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D385A7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D09B8A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288A38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346963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AE1A4E3">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6B57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8B31E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45DCD9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FB381A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5564D6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D1E121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D05FA3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9CA52C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4BF374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B14ADF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F20A2B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CD1B30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D4FCD9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DCE5BE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676E74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B65F01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5BBF00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E8A1A6C">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14:paraId="063138DF">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20205BF">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C1E9F1">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ADDE4C">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67FBF41C">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92880F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4F85B38">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BC6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F273AA9">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D0D8697">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1CCED4E">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E999020">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8040D78">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58D6369">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C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BB5A6D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222F62B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7BD8F1F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52DDC25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2906015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5E03675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3AB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69D72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594728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2897577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031EDE7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738FDC4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0AA7067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00D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A6196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587F194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59F8E37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76A4151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6FE68A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3323752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1D0C31F5">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F111B23">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D5CB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C6EB062">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D9354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B41B7E9">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FABAB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78D4ED">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5845724">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1C4288">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067180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86985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8BA8D2">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8BD7786">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77D0E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9A18B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058288F">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E2ABC4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82D6D3">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1EC29B">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83EA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F7BDE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40400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D4C59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500EC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1EDC1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7D3C57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295AB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7E1E74">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B20B61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786C9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85024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1022A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C013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0F08B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B9CA4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04875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3ED35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591FE4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C01D16">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594D3E">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4B4C18A">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8B3E8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46087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113DF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79E69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7A582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FAD4C9">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A3CE9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0DD0A2">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14:paraId="2A9A0656">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14:paraId="4327848E">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5022523">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EF8B7B">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61E496D0">
      <w:pPr>
        <w:pStyle w:val="80"/>
        <w:kinsoku/>
        <w:wordWrap w:val="0"/>
        <w:overflowPunct/>
        <w:topLinePunct w:val="0"/>
        <w:bidi w:val="0"/>
        <w:rPr>
          <w:rFonts w:hint="eastAsia"/>
          <w:color w:val="auto"/>
          <w:highlight w:val="none"/>
          <w:lang w:eastAsia="zh-CN"/>
        </w:rPr>
      </w:pPr>
    </w:p>
    <w:p w14:paraId="0A36D8E9">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4B210B0">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7CE10F42">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1705A580">
      <w:pPr>
        <w:pStyle w:val="80"/>
        <w:kinsoku/>
        <w:wordWrap w:val="0"/>
        <w:overflowPunct/>
        <w:topLinePunct w:val="0"/>
        <w:bidi w:val="0"/>
        <w:rPr>
          <w:rFonts w:hint="eastAsia"/>
          <w:color w:val="auto"/>
          <w:highlight w:val="none"/>
        </w:rPr>
      </w:pPr>
    </w:p>
    <w:p w14:paraId="182696AB">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297895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1D5E52">
      <w:pPr>
        <w:pStyle w:val="80"/>
        <w:kinsoku/>
        <w:wordWrap w:val="0"/>
        <w:overflowPunct/>
        <w:topLinePunct w:val="0"/>
        <w:bidi w:val="0"/>
        <w:rPr>
          <w:color w:val="auto"/>
          <w:highlight w:val="none"/>
        </w:rPr>
      </w:pPr>
    </w:p>
    <w:p w14:paraId="19B40A8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10D733">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9009C8F">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FDDB4D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D762D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FE60F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3210C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CDC4CA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150ED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DFE24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9AA75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5F8DF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725A22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5A3DE96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E388A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1C3A3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B79F8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A10A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3A736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56424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7ACEA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92DA6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D4AEE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FC658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2724D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3599A1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ECD51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DBA43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0B757FE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1D60D5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05067A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CD623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F5446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2949FA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0BA1C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14B05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E1DE4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9CA03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65D7D11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D4EB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2F5A18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402C2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54305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F28FF9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70A28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E13853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8B430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5709F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0FB9F66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FDA7F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64FD4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54C93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E4097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75A8591F">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559C739">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057E79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81650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BFD5E9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85F51C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C77F5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D70582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9C787E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693F7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540A2C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9DC43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6467A3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747A25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94D7B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AD4EA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2A61B8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DAFD25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6BB5E8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6A12C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116A5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DE8463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D5EE5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E54FA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1C0ED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E1D7B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D9B68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0EC5C3A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0D5EA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EF4BE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05A01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4E32CE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ED95F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B891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8A2CA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D03E75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4F667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FD19C8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74E074BA">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4062877">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C3890C6">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7C71B294">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EBD7CA2">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5B28EF">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14:paraId="2022AC2E">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A9F5486">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1835233">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27BE46E">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14:paraId="023CB0C4">
      <w:pPr>
        <w:pStyle w:val="80"/>
        <w:kinsoku/>
        <w:wordWrap w:val="0"/>
        <w:overflowPunct/>
        <w:topLinePunct w:val="0"/>
        <w:bidi w:val="0"/>
        <w:rPr>
          <w:color w:val="auto"/>
          <w:highlight w:val="none"/>
        </w:rPr>
      </w:pPr>
    </w:p>
    <w:p w14:paraId="65F141FC">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6D182E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A461F2">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14:paraId="69DB513C">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28872C1B">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7DE87318">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6412B1C9">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486870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B010C4F">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0DD3FA32">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68E1DBD9">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482AB8">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D910E3">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7339D76B">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5F532BB0">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7C80F85">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83CADB6">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49E597F">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AEC4422">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BEF8E9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0CEDFF">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0CA2094">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8F59031">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83EEC89">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10E1F5D">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1494849">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40A5944">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948DC2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8248F7">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7242659">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E1C9911">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47BE91E4">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3D56E5A">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0152135">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964B853">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120EAD3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BBB9D12">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FA4E6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23FA1A6">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0F28863">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05F8112">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ACFC60F">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F6493BB">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25BB82E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60235C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280138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14EA5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BDDCDE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80F115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FEF136D">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598F79C">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14BB9A6">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31A91407">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1938E6E">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D34129">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462F0EB2">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DD9A0F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78C199AA">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FEB336">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5B7520">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6BE7152C">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3F160169">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7B8555CB">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78F083E9">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732FD42">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1B0E54">
      <w:pPr>
        <w:kinsoku/>
        <w:wordWrap w:val="0"/>
        <w:overflowPunct/>
        <w:topLinePunct w:val="0"/>
        <w:bidi w:val="0"/>
        <w:spacing w:line="360" w:lineRule="auto"/>
        <w:rPr>
          <w:rFonts w:ascii="仿宋_GB2312" w:hAnsi="仿宋_GB2312" w:eastAsia="仿宋_GB2312" w:cs="仿宋_GB2312"/>
          <w:color w:val="auto"/>
          <w:sz w:val="24"/>
          <w:highlight w:val="none"/>
        </w:rPr>
      </w:pPr>
    </w:p>
    <w:p w14:paraId="19274B64">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09886F">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35A38D">
      <w:pPr>
        <w:pStyle w:val="81"/>
        <w:kinsoku/>
        <w:wordWrap w:val="0"/>
        <w:overflowPunct/>
        <w:topLinePunct w:val="0"/>
        <w:bidi w:val="0"/>
        <w:rPr>
          <w:rFonts w:hint="eastAsia"/>
          <w:color w:val="auto"/>
          <w:highlight w:val="none"/>
        </w:rPr>
        <w:sectPr>
          <w:headerReference r:id="rId12" w:type="first"/>
          <w:footerReference r:id="rId14" w:type="first"/>
          <w:footerReference r:id="rId13" w:type="default"/>
          <w:pgSz w:w="11906" w:h="16838"/>
          <w:pgMar w:top="1276" w:right="1418" w:bottom="1247" w:left="1418" w:header="851" w:footer="992" w:gutter="0"/>
          <w:pgNumType w:fmt="decimal"/>
          <w:cols w:space="720" w:num="1"/>
          <w:titlePg/>
          <w:docGrid w:linePitch="312" w:charSpace="0"/>
        </w:sectPr>
      </w:pPr>
    </w:p>
    <w:p w14:paraId="3791EDA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085E699">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1131D96">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69EBCDA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2C3A87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14:paraId="0823D869">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3B2A8246">
      <w:pPr>
        <w:pStyle w:val="24"/>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76E451D1">
      <w:pPr>
        <w:kinsoku/>
        <w:wordWrap w:val="0"/>
        <w:overflowPunct/>
        <w:topLinePunct w:val="0"/>
        <w:bidi w:val="0"/>
        <w:snapToGrid w:val="0"/>
        <w:spacing w:line="360" w:lineRule="auto"/>
        <w:ind w:right="48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p>
    <w:p w14:paraId="655D427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14:paraId="3E1738E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866226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C071817">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47B83A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9C5C50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C7E999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C0FE7E0">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EC9ED3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7A010D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57B338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266AB9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9CF708E">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5D311DB">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498ECB9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pgNumType w:fmt="decimal"/>
          <w:cols w:space="720" w:num="1"/>
          <w:titlePg/>
          <w:docGrid w:linePitch="312" w:charSpace="0"/>
        </w:sectPr>
      </w:pPr>
    </w:p>
    <w:p w14:paraId="066BD572">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3A0E30B">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绍兴市文化广电旅游局</w:t>
      </w:r>
      <w:r>
        <w:rPr>
          <w:rFonts w:hint="eastAsia" w:ascii="仿宋" w:hAnsi="仿宋" w:eastAsia="仿宋" w:cs="仿宋"/>
          <w:color w:val="auto"/>
          <w:kern w:val="0"/>
          <w:sz w:val="24"/>
          <w:highlight w:val="none"/>
          <w:lang w:val="zh-CN"/>
        </w:rPr>
        <w:t>：</w:t>
      </w:r>
    </w:p>
    <w:p w14:paraId="7DFE4429">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2026年浙东南旅游联合体营销推广项目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330600262690010000007-HC2026-05-07</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22C1D6D">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5432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B66C18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4" w:type="dxa"/>
            <w:vAlign w:val="center"/>
          </w:tcPr>
          <w:p w14:paraId="6AF03854">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0B6A627D">
            <w:pPr>
              <w:kinsoku/>
              <w:wordWrap w:val="0"/>
              <w:overflowPunct/>
              <w:topLinePunct w:val="0"/>
              <w:bidi w:val="0"/>
              <w:spacing w:line="360" w:lineRule="auto"/>
              <w:jc w:val="center"/>
              <w:rPr>
                <w:rFonts w:hint="eastAsia" w:ascii="仿宋" w:hAnsi="仿宋" w:eastAsia="仿宋" w:cs="仿宋"/>
                <w:b/>
                <w:color w:val="auto"/>
                <w:sz w:val="24"/>
                <w:highlight w:val="none"/>
              </w:rPr>
            </w:pPr>
          </w:p>
          <w:p w14:paraId="068793E8">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47D078C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47DE38E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688606F7">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503276DF">
            <w:pPr>
              <w:kinsoku/>
              <w:wordWrap w:val="0"/>
              <w:overflowPunct/>
              <w:topLinePunct w:val="0"/>
              <w:bidi w:val="0"/>
              <w:spacing w:line="360" w:lineRule="auto"/>
              <w:jc w:val="center"/>
              <w:rPr>
                <w:rFonts w:hint="eastAsia" w:ascii="仿宋" w:hAnsi="仿宋" w:eastAsia="仿宋" w:cs="仿宋"/>
                <w:b/>
                <w:color w:val="auto"/>
                <w:sz w:val="24"/>
                <w:highlight w:val="none"/>
              </w:rPr>
            </w:pPr>
          </w:p>
          <w:p w14:paraId="2CD287F3">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90" w:type="dxa"/>
            <w:vAlign w:val="center"/>
          </w:tcPr>
          <w:p w14:paraId="6DB519F9">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1787" w:type="dxa"/>
            <w:vAlign w:val="center"/>
          </w:tcPr>
          <w:p w14:paraId="60F7AA2B">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5B4F13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D84E89C">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2D9E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74CA56DB">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4" w:type="dxa"/>
            <w:vAlign w:val="center"/>
          </w:tcPr>
          <w:p w14:paraId="0E12B8D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49547BB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21E7756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A1D639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37A3E0C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7A3797C7">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3321157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1F5C625D">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13E1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12D26D93">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4" w:type="dxa"/>
            <w:vAlign w:val="center"/>
          </w:tcPr>
          <w:p w14:paraId="4EDB7A5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60571327">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028DD43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ACD9EE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3F27E24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3323A5D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1DA6B45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38D11E11">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9DD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74934C74">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34" w:type="dxa"/>
            <w:vAlign w:val="center"/>
          </w:tcPr>
          <w:p w14:paraId="6C7D7F0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5E86E4B5">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191C25E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6672D45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19F5CEB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0886865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31FA77D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0694F885">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C5D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521998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14:paraId="08AEB57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56C99D1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2D7207A9">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329EED4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0285A1B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2D305ECE">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3CD65F3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1BC70E93">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2C95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AF1AB4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834" w:type="dxa"/>
            <w:vAlign w:val="center"/>
          </w:tcPr>
          <w:p w14:paraId="7034358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4FFCBD9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2031" w:type="dxa"/>
            <w:vAlign w:val="center"/>
          </w:tcPr>
          <w:p w14:paraId="4CD7457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909" w:type="dxa"/>
            <w:vAlign w:val="center"/>
          </w:tcPr>
          <w:p w14:paraId="5FA4D45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787" w:type="dxa"/>
            <w:vAlign w:val="center"/>
          </w:tcPr>
          <w:p w14:paraId="2C16D38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tcPr>
          <w:p w14:paraId="707EECC6">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90" w:type="dxa"/>
            <w:vAlign w:val="center"/>
          </w:tcPr>
          <w:p w14:paraId="1A3B6F32">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vAlign w:val="center"/>
          </w:tcPr>
          <w:p w14:paraId="0F4275A0">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748B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2AFA3F0D">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6" w:type="dxa"/>
            <w:gridSpan w:val="4"/>
          </w:tcPr>
          <w:p w14:paraId="607C5DDA">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14:paraId="559E15F7">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4F0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228A256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6" w:type="dxa"/>
            <w:gridSpan w:val="4"/>
          </w:tcPr>
          <w:p w14:paraId="0B305C8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787" w:type="dxa"/>
          </w:tcPr>
          <w:p w14:paraId="608A4259">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06DC30AF">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1CC8A9BC">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458B210B">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280ABD5">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B13E739">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16F4C7D">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6C0B1B7">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B45B265">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7C50A25">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36EFDE67">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7A73D4BA">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8110F9B">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2DCF5A30">
      <w:pPr>
        <w:pStyle w:val="692"/>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w:t>
      </w:r>
      <w:r>
        <w:rPr>
          <w:rFonts w:hint="default" w:ascii="仿宋" w:hAnsi="仿宋" w:eastAsia="仿宋" w:cs="仿宋"/>
          <w:b w:val="0"/>
          <w:bCs/>
          <w:color w:val="auto"/>
          <w:kern w:val="2"/>
          <w:sz w:val="24"/>
          <w:szCs w:val="24"/>
          <w:highlight w:val="none"/>
          <w:lang w:val="en-US" w:eastAsia="zh-CN"/>
        </w:rPr>
        <w:t>投标（响应）报价低于采购项目最高限价45%的，即投标（响应）报价&lt;采购项目最高限价×45%</w:t>
      </w:r>
      <w:r>
        <w:rPr>
          <w:rFonts w:hint="eastAsia" w:ascii="仿宋" w:hAnsi="仿宋" w:eastAsia="仿宋" w:cs="仿宋"/>
          <w:b w:val="0"/>
          <w:bCs/>
          <w:color w:val="auto"/>
          <w:kern w:val="2"/>
          <w:sz w:val="24"/>
          <w:szCs w:val="24"/>
          <w:highlight w:val="none"/>
          <w:lang w:val="en-US" w:eastAsia="zh-CN"/>
        </w:rPr>
        <w:t>，提供项目具体成本测算等与报价合理性相关的书面说明及必要的证明材料，包括但不限于原材料成本、人工成本、制造费用等。）</w:t>
      </w:r>
    </w:p>
    <w:p w14:paraId="05D86408">
      <w:pPr>
        <w:pStyle w:val="692"/>
        <w:keepNext w:val="0"/>
        <w:keepLines w:val="0"/>
        <w:pageBreakBefore/>
        <w:widowControl w:val="0"/>
        <w:tabs>
          <w:tab w:val="clear" w:pos="720"/>
        </w:tabs>
        <w:kinsoku/>
        <w:wordWrap w:val="0"/>
        <w:overflowPunct/>
        <w:topLinePunct w:val="0"/>
        <w:autoSpaceDE/>
        <w:autoSpaceDN/>
        <w:bidi w:val="0"/>
        <w:adjustRightInd w:val="0"/>
        <w:snapToGrid w:val="0"/>
        <w:spacing w:before="120" w:after="120"/>
        <w:ind w:firstLine="641"/>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中小企业声明函（如有）</w:t>
      </w:r>
    </w:p>
    <w:p w14:paraId="2D321938">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1AFA43B">
      <w:pPr>
        <w:pStyle w:val="80"/>
        <w:kinsoku/>
        <w:wordWrap w:val="0"/>
        <w:overflowPunct/>
        <w:topLinePunct w:val="0"/>
        <w:bidi w:val="0"/>
        <w:rPr>
          <w:rFonts w:hint="eastAsia" w:ascii="仿宋" w:hAnsi="仿宋" w:eastAsia="仿宋" w:cs="仿宋"/>
          <w:b/>
          <w:color w:val="auto"/>
          <w:sz w:val="24"/>
          <w:highlight w:val="none"/>
        </w:rPr>
      </w:pPr>
    </w:p>
    <w:p w14:paraId="0EFAB09E">
      <w:pPr>
        <w:pStyle w:val="81"/>
        <w:kinsoku/>
        <w:wordWrap w:val="0"/>
        <w:overflowPunct/>
        <w:topLinePunct w:val="0"/>
        <w:bidi w:val="0"/>
        <w:rPr>
          <w:rFonts w:hint="eastAsia" w:ascii="仿宋" w:hAnsi="仿宋" w:eastAsia="仿宋" w:cs="仿宋"/>
          <w:b/>
          <w:color w:val="auto"/>
          <w:sz w:val="24"/>
          <w:highlight w:val="none"/>
        </w:rPr>
      </w:pPr>
    </w:p>
    <w:p w14:paraId="4167E23E">
      <w:pPr>
        <w:kinsoku/>
        <w:wordWrap w:val="0"/>
        <w:overflowPunct/>
        <w:topLinePunct w:val="0"/>
        <w:bidi w:val="0"/>
        <w:rPr>
          <w:rFonts w:hint="eastAsia" w:ascii="仿宋" w:hAnsi="仿宋" w:eastAsia="仿宋" w:cs="仿宋"/>
          <w:b/>
          <w:color w:val="auto"/>
          <w:sz w:val="24"/>
          <w:highlight w:val="none"/>
        </w:rPr>
      </w:pPr>
    </w:p>
    <w:p w14:paraId="412FA526">
      <w:pPr>
        <w:pStyle w:val="80"/>
        <w:kinsoku/>
        <w:wordWrap w:val="0"/>
        <w:overflowPunct/>
        <w:topLinePunct w:val="0"/>
        <w:bidi w:val="0"/>
        <w:rPr>
          <w:rFonts w:hint="eastAsia" w:ascii="仿宋" w:hAnsi="仿宋" w:eastAsia="仿宋" w:cs="仿宋"/>
          <w:b/>
          <w:color w:val="auto"/>
          <w:sz w:val="24"/>
          <w:highlight w:val="none"/>
        </w:rPr>
      </w:pPr>
    </w:p>
    <w:p w14:paraId="067B6AEB">
      <w:pPr>
        <w:pStyle w:val="81"/>
        <w:kinsoku/>
        <w:wordWrap w:val="0"/>
        <w:overflowPunct/>
        <w:topLinePunct w:val="0"/>
        <w:bidi w:val="0"/>
        <w:rPr>
          <w:rFonts w:hint="eastAsia" w:ascii="仿宋" w:hAnsi="仿宋" w:eastAsia="仿宋" w:cs="仿宋"/>
          <w:b/>
          <w:color w:val="auto"/>
          <w:sz w:val="24"/>
          <w:highlight w:val="none"/>
        </w:rPr>
      </w:pPr>
    </w:p>
    <w:p w14:paraId="219EBA4B">
      <w:pPr>
        <w:kinsoku/>
        <w:wordWrap w:val="0"/>
        <w:overflowPunct/>
        <w:topLinePunct w:val="0"/>
        <w:bidi w:val="0"/>
        <w:rPr>
          <w:rFonts w:hint="eastAsia"/>
          <w:color w:val="auto"/>
          <w:highlight w:val="none"/>
          <w:lang w:eastAsia="zh-CN"/>
        </w:rPr>
      </w:pPr>
    </w:p>
    <w:p w14:paraId="73A6CA83">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、残疾人福利性单位声明函（如有）</w:t>
      </w:r>
    </w:p>
    <w:p w14:paraId="7253EC32">
      <w:pPr>
        <w:pStyle w:val="24"/>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D42DC11">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14:paraId="69120ED5">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546B3568">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41534DA8">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56065DD0">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332571C8">
      <w:pPr>
        <w:rPr>
          <w:rFonts w:hint="eastAsia" w:ascii="仿宋" w:hAnsi="仿宋" w:eastAsia="仿宋" w:cs="仿宋"/>
          <w:b/>
          <w:color w:val="auto"/>
          <w:sz w:val="24"/>
          <w:highlight w:val="none"/>
        </w:rPr>
      </w:pPr>
    </w:p>
    <w:p w14:paraId="04C064A6">
      <w:pPr>
        <w:pStyle w:val="4"/>
        <w:rPr>
          <w:rFonts w:hint="eastAsia"/>
          <w:color w:val="auto"/>
          <w:highlight w:val="none"/>
        </w:rPr>
      </w:pPr>
    </w:p>
    <w:p w14:paraId="0076CFD8">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0B107217">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default"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5F757838">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06D6B453">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248E4C63">
      <w:pPr>
        <w:pStyle w:val="3"/>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AECAB26">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C65460D">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B558FA7">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42B5CFF">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14EA4A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24EB25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556D2B">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D7B94C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BFADB2">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FBFC182">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F878CD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F32F85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EA190D0">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36CE94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E158C3E">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276E6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33D2F0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3E0B9E">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1292F88">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795763">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2C567C6">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8B744A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A5633E">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45221B9">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69B0EF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DCD0F7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B69F61">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1B641021">
      <w:pPr>
        <w:kinsoku/>
        <w:wordWrap w:val="0"/>
        <w:overflowPunct/>
        <w:topLinePunct w:val="0"/>
        <w:bidi w:val="0"/>
        <w:spacing w:line="360" w:lineRule="auto"/>
        <w:rPr>
          <w:rFonts w:hint="eastAsia" w:ascii="仿宋" w:hAnsi="仿宋" w:eastAsia="仿宋" w:cs="仿宋"/>
          <w:b/>
          <w:color w:val="auto"/>
          <w:sz w:val="24"/>
          <w:highlight w:val="none"/>
        </w:rPr>
      </w:pPr>
    </w:p>
    <w:p w14:paraId="27C8CC1D">
      <w:pPr>
        <w:kinsoku/>
        <w:wordWrap w:val="0"/>
        <w:overflowPunct/>
        <w:topLinePunct w:val="0"/>
        <w:bidi w:val="0"/>
        <w:spacing w:line="360" w:lineRule="auto"/>
        <w:rPr>
          <w:rFonts w:hint="eastAsia" w:ascii="仿宋" w:hAnsi="仿宋" w:eastAsia="仿宋" w:cs="仿宋"/>
          <w:b/>
          <w:color w:val="auto"/>
          <w:sz w:val="24"/>
          <w:highlight w:val="none"/>
        </w:rPr>
      </w:pPr>
    </w:p>
    <w:p w14:paraId="549966FC">
      <w:pPr>
        <w:kinsoku/>
        <w:wordWrap w:val="0"/>
        <w:overflowPunct/>
        <w:topLinePunct w:val="0"/>
        <w:bidi w:val="0"/>
        <w:spacing w:line="360" w:lineRule="auto"/>
        <w:rPr>
          <w:rFonts w:hint="eastAsia" w:ascii="仿宋" w:hAnsi="仿宋" w:eastAsia="仿宋" w:cs="仿宋"/>
          <w:b/>
          <w:color w:val="auto"/>
          <w:sz w:val="24"/>
          <w:highlight w:val="none"/>
        </w:rPr>
      </w:pPr>
    </w:p>
    <w:p w14:paraId="6B695FF0">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987163">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5BB1E1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336115C">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553B7A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C5DD67F">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631A9D7">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19B0581">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76822837">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41C0B8EA">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72951C2E">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51C84187">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5CEFF05D">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11D9D957">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5D65345">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0297E019">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26AAE47F">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551642EA">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7FBA5314">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D912802">
      <w:pPr>
        <w:kinsoku/>
        <w:wordWrap w:val="0"/>
        <w:overflowPunct/>
        <w:topLinePunct w:val="0"/>
        <w:bidi w:val="0"/>
        <w:spacing w:line="360" w:lineRule="auto"/>
        <w:jc w:val="center"/>
        <w:rPr>
          <w:rFonts w:hint="eastAsia" w:ascii="仿宋" w:hAnsi="仿宋" w:eastAsia="仿宋" w:cs="仿宋"/>
          <w:b/>
          <w:color w:val="auto"/>
          <w:sz w:val="24"/>
          <w:highlight w:val="none"/>
        </w:rPr>
      </w:pPr>
    </w:p>
    <w:p w14:paraId="7749392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580257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FD17A5">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C63FEE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9272FC">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3B6620">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2380660">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CB64B85">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626FAB2">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7A4C4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5EE55C">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9CF8A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5C7EB9D">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7D3BA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BB872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5E7DF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FE8C8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00A4FE7">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BB15D25">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EC395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AA468C">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C9C7924">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2ED1251">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146A19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8EEADE7">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79A987D">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32821D">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078D8A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EE5D2B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16B184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2D53157">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82135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2584808">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09BF1C">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59A6401">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F8DB19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7BD1DE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9FBD68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60E7E3">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AE0EA8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C73DDA6">
      <w:pPr>
        <w:kinsoku/>
        <w:wordWrap w:val="0"/>
        <w:overflowPunct/>
        <w:topLinePunct w:val="0"/>
        <w:bidi w:val="0"/>
        <w:spacing w:line="360" w:lineRule="auto"/>
        <w:rPr>
          <w:rFonts w:hint="eastAsia" w:ascii="仿宋" w:hAnsi="仿宋" w:eastAsia="仿宋" w:cs="仿宋"/>
          <w:b/>
          <w:color w:val="auto"/>
          <w:sz w:val="24"/>
          <w:highlight w:val="none"/>
        </w:rPr>
      </w:pPr>
    </w:p>
    <w:p w14:paraId="4110672E">
      <w:pPr>
        <w:kinsoku/>
        <w:wordWrap w:val="0"/>
        <w:overflowPunct/>
        <w:topLinePunct w:val="0"/>
        <w:bidi w:val="0"/>
        <w:spacing w:line="360" w:lineRule="auto"/>
        <w:rPr>
          <w:rFonts w:hint="eastAsia" w:ascii="仿宋" w:hAnsi="仿宋" w:eastAsia="仿宋" w:cs="仿宋"/>
          <w:b/>
          <w:color w:val="auto"/>
          <w:sz w:val="24"/>
          <w:highlight w:val="none"/>
        </w:rPr>
      </w:pPr>
    </w:p>
    <w:p w14:paraId="521D08C9">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A860B34">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5D34E7B">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A262636">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8A505E2">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B3072F0">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89E70E1">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1B22E40">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E98113B">
      <w:pPr>
        <w:kinsoku/>
        <w:wordWrap w:val="0"/>
        <w:overflowPunct/>
        <w:topLinePunct w:val="0"/>
        <w:bidi w:val="0"/>
        <w:spacing w:line="360" w:lineRule="auto"/>
        <w:rPr>
          <w:rFonts w:hint="eastAsia" w:ascii="仿宋" w:hAnsi="仿宋" w:eastAsia="仿宋" w:cs="仿宋"/>
          <w:b/>
          <w:color w:val="auto"/>
          <w:sz w:val="24"/>
          <w:highlight w:val="none"/>
        </w:rPr>
      </w:pPr>
    </w:p>
    <w:p w14:paraId="68F27FCF">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06FFC16">
      <w:pPr>
        <w:kinsoku/>
        <w:wordWrap w:val="0"/>
        <w:overflowPunct/>
        <w:topLinePunct w:val="0"/>
        <w:bidi w:val="0"/>
        <w:spacing w:line="360" w:lineRule="auto"/>
        <w:rPr>
          <w:rFonts w:hint="eastAsia" w:ascii="仿宋" w:hAnsi="仿宋" w:eastAsia="仿宋" w:cs="仿宋"/>
          <w:color w:val="auto"/>
          <w:sz w:val="24"/>
          <w:highlight w:val="none"/>
          <w:u w:val="single"/>
        </w:rPr>
      </w:pPr>
    </w:p>
    <w:p w14:paraId="79F06187">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绍兴市文化广电旅游局</w:t>
      </w:r>
      <w:r>
        <w:rPr>
          <w:rFonts w:hint="eastAsia" w:ascii="仿宋" w:hAnsi="仿宋" w:eastAsia="仿宋" w:cs="仿宋"/>
          <w:color w:val="auto"/>
          <w:sz w:val="24"/>
          <w:highlight w:val="none"/>
          <w:u w:val="single"/>
        </w:rPr>
        <w:t>：</w:t>
      </w:r>
    </w:p>
    <w:p w14:paraId="0C9B3F5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2026年浙东南旅游联合体营销推广项目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330600262690010000007-HC2026-05-07</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1DBE85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FF57AB">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272B2983">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49BB0F74">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6919C55D">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1CEBF45">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997F176">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41D838">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134C819">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86B588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357AC1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D20A2B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E28412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3BAC3B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8C278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8A9F37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34E923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D4D15C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B184BB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05A667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CD4C59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7511A5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111767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AA97A7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689C8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B8209E">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FB6853A">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21101F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2026年浙东南旅游联合体营销推广项目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330600262690010000007-HC2026-05-07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3DABA5C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604F962">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3C4497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C2BBACF">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2D7A9B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0BD4B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298975D">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067019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2" w:name="_Hlk101131882"/>
      <w:r>
        <w:rPr>
          <w:rFonts w:hint="eastAsia" w:ascii="仿宋" w:hAnsi="仿宋" w:eastAsia="仿宋" w:cs="仿宋"/>
          <w:color w:val="auto"/>
          <w:kern w:val="0"/>
          <w:sz w:val="24"/>
          <w:highlight w:val="none"/>
          <w:u w:val="single"/>
        </w:rPr>
        <w:t>联合体成员X,……</w:t>
      </w:r>
      <w:bookmarkEnd w:id="15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3"/>
      <w:r>
        <w:rPr>
          <w:rFonts w:hint="eastAsia" w:ascii="仿宋" w:hAnsi="仿宋" w:eastAsia="仿宋" w:cs="仿宋"/>
          <w:b/>
          <w:color w:val="auto"/>
          <w:kern w:val="0"/>
          <w:sz w:val="24"/>
          <w:highlight w:val="none"/>
          <w:lang w:val="zh-CN"/>
        </w:rPr>
        <w:t>）</w:t>
      </w:r>
    </w:p>
    <w:p w14:paraId="47387C90">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4"/>
    </w:p>
    <w:p w14:paraId="1E6E83F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535DED2">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223C424">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537BE47">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F138503">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FEB701">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D77C91">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9CE37B">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E9DC540">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853D2B">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63FDD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34B297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FE904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3FB4A7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3610B0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72AA48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D12A48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4A7BFD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D41012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E59D29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A4C4B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DD5680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1249AC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420E21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AC91D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321BF9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263385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EBC80B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E104DB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F5DDB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7BEB6E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C5C482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FE1D80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79CF33">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52738FC0">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6EC6A26">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1165CBE">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3FC556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2026年浙东南旅游联合体营销推广项目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330600262690010000007-HC2026-05-07</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108075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864515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3FF6AA9">
      <w:pPr>
        <w:pStyle w:val="4"/>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9C9471B">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2869D4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98B3A0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C24ECDF">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C9A6400">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0187B6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E8ED81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3694D45">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C96F8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76E635">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3A78CBC">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2F258F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C95319B">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13571D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204D66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6E9ED7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088A432">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5761629">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1F7D58B">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28F405">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5580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7D2BAB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F3D0A2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4647AFD">
      <w:pPr>
        <w:pStyle w:val="80"/>
        <w:kinsoku/>
        <w:wordWrap w:val="0"/>
        <w:overflowPunct/>
        <w:topLinePunct w:val="0"/>
        <w:bidi w:val="0"/>
        <w:rPr>
          <w:rFonts w:hint="eastAsia" w:ascii="仿宋" w:hAnsi="仿宋" w:eastAsia="仿宋" w:cs="仿宋"/>
          <w:b/>
          <w:color w:val="auto"/>
          <w:spacing w:val="6"/>
          <w:sz w:val="32"/>
          <w:szCs w:val="32"/>
          <w:highlight w:val="none"/>
        </w:rPr>
      </w:pPr>
    </w:p>
    <w:p w14:paraId="75165066">
      <w:pPr>
        <w:pStyle w:val="81"/>
        <w:kinsoku/>
        <w:wordWrap w:val="0"/>
        <w:overflowPunct/>
        <w:topLinePunct w:val="0"/>
        <w:bidi w:val="0"/>
        <w:rPr>
          <w:rFonts w:hint="eastAsia" w:ascii="仿宋" w:hAnsi="仿宋" w:eastAsia="仿宋" w:cs="仿宋"/>
          <w:b/>
          <w:color w:val="auto"/>
          <w:spacing w:val="6"/>
          <w:sz w:val="32"/>
          <w:szCs w:val="32"/>
          <w:highlight w:val="none"/>
        </w:rPr>
      </w:pPr>
    </w:p>
    <w:p w14:paraId="3C9F5982">
      <w:pPr>
        <w:kinsoku/>
        <w:wordWrap w:val="0"/>
        <w:overflowPunct/>
        <w:topLinePunct w:val="0"/>
        <w:bidi w:val="0"/>
        <w:rPr>
          <w:rFonts w:hint="eastAsia" w:ascii="仿宋" w:hAnsi="仿宋" w:eastAsia="仿宋" w:cs="仿宋"/>
          <w:b/>
          <w:color w:val="auto"/>
          <w:spacing w:val="6"/>
          <w:sz w:val="32"/>
          <w:szCs w:val="32"/>
          <w:highlight w:val="none"/>
        </w:rPr>
      </w:pPr>
    </w:p>
    <w:p w14:paraId="43E0E2AB">
      <w:pPr>
        <w:pStyle w:val="80"/>
        <w:kinsoku/>
        <w:wordWrap w:val="0"/>
        <w:overflowPunct/>
        <w:topLinePunct w:val="0"/>
        <w:bidi w:val="0"/>
        <w:rPr>
          <w:rFonts w:hint="eastAsia" w:ascii="仿宋" w:hAnsi="仿宋" w:eastAsia="仿宋" w:cs="仿宋"/>
          <w:b/>
          <w:color w:val="auto"/>
          <w:spacing w:val="6"/>
          <w:sz w:val="32"/>
          <w:szCs w:val="32"/>
          <w:highlight w:val="none"/>
        </w:rPr>
      </w:pPr>
    </w:p>
    <w:p w14:paraId="7C2545FA">
      <w:pPr>
        <w:pStyle w:val="81"/>
        <w:kinsoku/>
        <w:wordWrap w:val="0"/>
        <w:overflowPunct/>
        <w:topLinePunct w:val="0"/>
        <w:bidi w:val="0"/>
        <w:rPr>
          <w:rFonts w:hint="eastAsia" w:ascii="仿宋" w:hAnsi="仿宋" w:eastAsia="仿宋" w:cs="仿宋"/>
          <w:b/>
          <w:color w:val="auto"/>
          <w:spacing w:val="6"/>
          <w:sz w:val="32"/>
          <w:szCs w:val="32"/>
          <w:highlight w:val="none"/>
        </w:rPr>
      </w:pPr>
    </w:p>
    <w:p w14:paraId="1E50FE98">
      <w:pPr>
        <w:kinsoku/>
        <w:wordWrap w:val="0"/>
        <w:overflowPunct/>
        <w:topLinePunct w:val="0"/>
        <w:bidi w:val="0"/>
        <w:rPr>
          <w:rFonts w:hint="eastAsia" w:ascii="仿宋" w:hAnsi="仿宋" w:eastAsia="仿宋" w:cs="仿宋"/>
          <w:b/>
          <w:color w:val="auto"/>
          <w:spacing w:val="6"/>
          <w:sz w:val="32"/>
          <w:szCs w:val="32"/>
          <w:highlight w:val="none"/>
        </w:rPr>
      </w:pPr>
    </w:p>
    <w:p w14:paraId="6F0E035E">
      <w:pPr>
        <w:pStyle w:val="80"/>
        <w:kinsoku/>
        <w:wordWrap w:val="0"/>
        <w:overflowPunct/>
        <w:topLinePunct w:val="0"/>
        <w:bidi w:val="0"/>
        <w:rPr>
          <w:rFonts w:hint="eastAsia" w:ascii="仿宋" w:hAnsi="仿宋" w:eastAsia="仿宋" w:cs="仿宋"/>
          <w:b/>
          <w:color w:val="auto"/>
          <w:spacing w:val="6"/>
          <w:sz w:val="32"/>
          <w:szCs w:val="32"/>
          <w:highlight w:val="none"/>
        </w:rPr>
      </w:pPr>
    </w:p>
    <w:p w14:paraId="593FB5BD">
      <w:pPr>
        <w:pStyle w:val="81"/>
        <w:kinsoku/>
        <w:wordWrap w:val="0"/>
        <w:overflowPunct/>
        <w:topLinePunct w:val="0"/>
        <w:bidi w:val="0"/>
        <w:rPr>
          <w:rFonts w:hint="eastAsia" w:ascii="仿宋" w:hAnsi="仿宋" w:eastAsia="仿宋" w:cs="仿宋"/>
          <w:b/>
          <w:color w:val="auto"/>
          <w:spacing w:val="6"/>
          <w:sz w:val="32"/>
          <w:szCs w:val="32"/>
          <w:highlight w:val="none"/>
        </w:rPr>
      </w:pPr>
    </w:p>
    <w:p w14:paraId="2E0BBFFF">
      <w:pPr>
        <w:kinsoku/>
        <w:wordWrap w:val="0"/>
        <w:overflowPunct/>
        <w:topLinePunct w:val="0"/>
        <w:bidi w:val="0"/>
        <w:rPr>
          <w:rFonts w:hint="eastAsia" w:ascii="仿宋" w:hAnsi="仿宋" w:eastAsia="仿宋" w:cs="仿宋"/>
          <w:b/>
          <w:color w:val="auto"/>
          <w:spacing w:val="6"/>
          <w:sz w:val="32"/>
          <w:szCs w:val="32"/>
          <w:highlight w:val="none"/>
        </w:rPr>
      </w:pPr>
    </w:p>
    <w:p w14:paraId="6F18B35F">
      <w:pPr>
        <w:pStyle w:val="80"/>
        <w:kinsoku/>
        <w:wordWrap w:val="0"/>
        <w:overflowPunct/>
        <w:topLinePunct w:val="0"/>
        <w:bidi w:val="0"/>
        <w:rPr>
          <w:rFonts w:hint="eastAsia" w:ascii="仿宋" w:hAnsi="仿宋" w:eastAsia="仿宋" w:cs="仿宋"/>
          <w:b/>
          <w:color w:val="auto"/>
          <w:spacing w:val="6"/>
          <w:sz w:val="32"/>
          <w:szCs w:val="32"/>
          <w:highlight w:val="none"/>
        </w:rPr>
      </w:pPr>
    </w:p>
    <w:p w14:paraId="3BB39886">
      <w:pPr>
        <w:pStyle w:val="81"/>
        <w:kinsoku/>
        <w:wordWrap w:val="0"/>
        <w:overflowPunct/>
        <w:topLinePunct w:val="0"/>
        <w:bidi w:val="0"/>
        <w:rPr>
          <w:rFonts w:hint="eastAsia" w:ascii="仿宋" w:hAnsi="仿宋" w:eastAsia="仿宋" w:cs="仿宋"/>
          <w:b/>
          <w:color w:val="auto"/>
          <w:spacing w:val="6"/>
          <w:sz w:val="32"/>
          <w:szCs w:val="32"/>
          <w:highlight w:val="none"/>
        </w:rPr>
      </w:pPr>
    </w:p>
    <w:p w14:paraId="7F964530">
      <w:pPr>
        <w:kinsoku/>
        <w:wordWrap w:val="0"/>
        <w:overflowPunct/>
        <w:topLinePunct w:val="0"/>
        <w:bidi w:val="0"/>
        <w:rPr>
          <w:rFonts w:hint="eastAsia" w:ascii="仿宋" w:hAnsi="仿宋" w:eastAsia="仿宋" w:cs="仿宋"/>
          <w:b/>
          <w:color w:val="auto"/>
          <w:spacing w:val="6"/>
          <w:sz w:val="32"/>
          <w:szCs w:val="32"/>
          <w:highlight w:val="none"/>
        </w:rPr>
      </w:pPr>
    </w:p>
    <w:p w14:paraId="1799F10B">
      <w:pPr>
        <w:pStyle w:val="80"/>
        <w:kinsoku/>
        <w:wordWrap w:val="0"/>
        <w:overflowPunct/>
        <w:topLinePunct w:val="0"/>
        <w:bidi w:val="0"/>
        <w:rPr>
          <w:rFonts w:hint="eastAsia" w:ascii="仿宋" w:hAnsi="仿宋" w:eastAsia="仿宋" w:cs="仿宋"/>
          <w:b/>
          <w:color w:val="auto"/>
          <w:spacing w:val="6"/>
          <w:sz w:val="32"/>
          <w:szCs w:val="32"/>
          <w:highlight w:val="none"/>
        </w:rPr>
      </w:pPr>
    </w:p>
    <w:p w14:paraId="7B0B0A16">
      <w:pPr>
        <w:pStyle w:val="81"/>
        <w:kinsoku/>
        <w:wordWrap w:val="0"/>
        <w:overflowPunct/>
        <w:topLinePunct w:val="0"/>
        <w:bidi w:val="0"/>
        <w:rPr>
          <w:rFonts w:hint="eastAsia" w:ascii="仿宋" w:hAnsi="仿宋" w:eastAsia="仿宋" w:cs="仿宋"/>
          <w:b/>
          <w:color w:val="auto"/>
          <w:spacing w:val="6"/>
          <w:sz w:val="32"/>
          <w:szCs w:val="32"/>
          <w:highlight w:val="none"/>
        </w:rPr>
      </w:pPr>
    </w:p>
    <w:p w14:paraId="23D94E95">
      <w:pPr>
        <w:kinsoku/>
        <w:wordWrap w:val="0"/>
        <w:overflowPunct/>
        <w:topLinePunct w:val="0"/>
        <w:bidi w:val="0"/>
        <w:rPr>
          <w:rFonts w:hint="eastAsia" w:ascii="仿宋" w:hAnsi="仿宋" w:eastAsia="仿宋" w:cs="仿宋"/>
          <w:b/>
          <w:color w:val="auto"/>
          <w:spacing w:val="6"/>
          <w:sz w:val="32"/>
          <w:szCs w:val="32"/>
          <w:highlight w:val="none"/>
        </w:rPr>
      </w:pPr>
    </w:p>
    <w:p w14:paraId="4513EABD">
      <w:pPr>
        <w:pStyle w:val="80"/>
        <w:kinsoku/>
        <w:wordWrap w:val="0"/>
        <w:overflowPunct/>
        <w:topLinePunct w:val="0"/>
        <w:bidi w:val="0"/>
        <w:rPr>
          <w:rFonts w:hint="eastAsia" w:ascii="仿宋" w:hAnsi="仿宋" w:eastAsia="仿宋" w:cs="仿宋"/>
          <w:b/>
          <w:color w:val="auto"/>
          <w:spacing w:val="6"/>
          <w:sz w:val="32"/>
          <w:szCs w:val="32"/>
          <w:highlight w:val="none"/>
        </w:rPr>
      </w:pPr>
    </w:p>
    <w:p w14:paraId="6026BF43">
      <w:pPr>
        <w:pStyle w:val="81"/>
        <w:kinsoku/>
        <w:wordWrap w:val="0"/>
        <w:overflowPunct/>
        <w:topLinePunct w:val="0"/>
        <w:bidi w:val="0"/>
        <w:rPr>
          <w:rFonts w:hint="eastAsia" w:ascii="仿宋" w:hAnsi="仿宋" w:eastAsia="仿宋" w:cs="仿宋"/>
          <w:b/>
          <w:color w:val="auto"/>
          <w:spacing w:val="6"/>
          <w:sz w:val="32"/>
          <w:szCs w:val="32"/>
          <w:highlight w:val="none"/>
        </w:rPr>
      </w:pPr>
    </w:p>
    <w:p w14:paraId="7467DF76">
      <w:pPr>
        <w:kinsoku/>
        <w:wordWrap w:val="0"/>
        <w:overflowPunct/>
        <w:topLinePunct w:val="0"/>
        <w:bidi w:val="0"/>
        <w:rPr>
          <w:rFonts w:hint="eastAsia" w:ascii="仿宋" w:hAnsi="仿宋" w:eastAsia="仿宋" w:cs="仿宋"/>
          <w:b/>
          <w:color w:val="auto"/>
          <w:spacing w:val="6"/>
          <w:sz w:val="32"/>
          <w:szCs w:val="32"/>
          <w:highlight w:val="none"/>
        </w:rPr>
      </w:pPr>
    </w:p>
    <w:p w14:paraId="5E278FAB">
      <w:pPr>
        <w:pStyle w:val="80"/>
        <w:kinsoku/>
        <w:wordWrap w:val="0"/>
        <w:overflowPunct/>
        <w:topLinePunct w:val="0"/>
        <w:bidi w:val="0"/>
        <w:rPr>
          <w:rFonts w:hint="eastAsia"/>
          <w:color w:val="auto"/>
          <w:highlight w:val="none"/>
        </w:rPr>
      </w:pPr>
    </w:p>
    <w:p w14:paraId="55BC1647">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55" w:name="OLE_LINK13"/>
      <w:bookmarkStart w:id="156" w:name="OLE_LINK14"/>
      <w:r>
        <w:rPr>
          <w:rFonts w:hint="eastAsia" w:ascii="仿宋" w:hAnsi="仿宋" w:eastAsia="仿宋" w:cs="仿宋"/>
          <w:b/>
          <w:color w:val="auto"/>
          <w:spacing w:val="6"/>
          <w:sz w:val="32"/>
          <w:szCs w:val="32"/>
          <w:highlight w:val="none"/>
        </w:rPr>
        <w:t>残疾人福利性单位声明函</w:t>
      </w:r>
    </w:p>
    <w:bookmarkEnd w:id="155"/>
    <w:bookmarkEnd w:id="156"/>
    <w:p w14:paraId="5F530602">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3ABEED3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绍兴市文化广电旅游局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2026年浙东南旅游联合体营销推广项目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1CDD73B9">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81B8970">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7103E7BC">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3DC60E54">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98EA6DD">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C055B3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0E8E94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87FB9D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C0546C7">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36B5159E">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785CAD41">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AB9E8AF">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绍兴市文化广电旅游局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2026年浙东南旅游联合体营销推广项目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307A16">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9AF7F82">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4CB0C75">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445CDC9">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BFF5E3C">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4021D04">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108A035">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658D0B0">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D52543C">
      <w:pPr>
        <w:kinsoku/>
        <w:wordWrap w:val="0"/>
        <w:overflowPunct/>
        <w:topLinePunct w:val="0"/>
        <w:bidi w:val="0"/>
        <w:spacing w:line="360" w:lineRule="auto"/>
        <w:ind w:right="420"/>
        <w:rPr>
          <w:rFonts w:hint="eastAsia" w:ascii="仿宋" w:hAnsi="仿宋" w:eastAsia="仿宋" w:cs="仿宋"/>
          <w:color w:val="auto"/>
          <w:sz w:val="24"/>
          <w:highlight w:val="none"/>
        </w:rPr>
      </w:pPr>
    </w:p>
    <w:p w14:paraId="276EEF71">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A678203">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D345A4B">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77676BC">
      <w:pPr>
        <w:pStyle w:val="4"/>
        <w:kinsoku/>
        <w:wordWrap w:val="0"/>
        <w:overflowPunct/>
        <w:topLinePunct w:val="0"/>
        <w:bidi w:val="0"/>
        <w:rPr>
          <w:rFonts w:hint="eastAsia" w:ascii="仿宋" w:hAnsi="仿宋" w:eastAsia="仿宋" w:cs="仿宋"/>
          <w:color w:val="auto"/>
          <w:highlight w:val="none"/>
          <w:lang w:val="en-US"/>
        </w:rPr>
      </w:pPr>
    </w:p>
    <w:p w14:paraId="799CB294">
      <w:pPr>
        <w:rPr>
          <w:rFonts w:hint="eastAsia" w:ascii="仿宋" w:hAnsi="仿宋" w:eastAsia="仿宋" w:cs="仿宋"/>
          <w:color w:val="auto"/>
          <w:highlight w:val="none"/>
          <w:lang w:val="en-US"/>
        </w:rPr>
      </w:pPr>
    </w:p>
    <w:p w14:paraId="414741D6">
      <w:pPr>
        <w:pStyle w:val="4"/>
        <w:rPr>
          <w:rFonts w:hint="eastAsia" w:ascii="仿宋" w:hAnsi="仿宋" w:eastAsia="仿宋" w:cs="仿宋"/>
          <w:color w:val="auto"/>
          <w:highlight w:val="none"/>
          <w:lang w:val="en-US"/>
        </w:rPr>
      </w:pPr>
    </w:p>
    <w:p w14:paraId="37F86A0E">
      <w:pPr>
        <w:rPr>
          <w:rFonts w:hint="eastAsia" w:ascii="仿宋" w:hAnsi="仿宋" w:eastAsia="仿宋" w:cs="仿宋"/>
          <w:color w:val="auto"/>
          <w:highlight w:val="none"/>
          <w:lang w:val="en-US"/>
        </w:rPr>
      </w:pPr>
    </w:p>
    <w:p w14:paraId="264CAC61">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7731C23E">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41FF0972">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p>
    <w:p w14:paraId="3141049C">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16CEDFE7">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1.</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1</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（厂名）</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2</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3</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4</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5</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07116C72">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2.</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（厂名）</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582E253A">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w:t>
      </w:r>
    </w:p>
    <w:p w14:paraId="142B0BFE">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本公司（单位）对上述声明内容的真实性负责。如有虚假，愿承担相应法律责任。</w:t>
      </w:r>
    </w:p>
    <w:p w14:paraId="68FAE926">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公司（单位）名称（盖章）：      </w:t>
      </w:r>
    </w:p>
    <w:p w14:paraId="1EBB0969">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日期：　　　　　年　　月　日  </w:t>
      </w:r>
    </w:p>
    <w:p w14:paraId="1ADD8547">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_______________________________________________________________</w:t>
      </w:r>
    </w:p>
    <w:p w14:paraId="4D69D26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1.产品如有型号，请在“产品名称”栏一并填写。</w:t>
      </w:r>
    </w:p>
    <w:p w14:paraId="563673F9">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2.生产厂名与厂址应与生产厂营业执照载明的相关信息保持一致。</w:t>
      </w:r>
    </w:p>
    <w:p w14:paraId="63F3A887">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3.该产品的中国境内生产的组件成本占比相关要求实施前，“规定比例”栏可不填，下同。</w:t>
      </w:r>
    </w:p>
    <w:p w14:paraId="48A0A876">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4.该产品的关键组件要求实施前，“关键组件”栏可不填，下同。</w:t>
      </w:r>
    </w:p>
    <w:p w14:paraId="699DB6D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5.该产品的关键工序要求实施前，“关键工序”栏可不填，下同。</w:t>
      </w:r>
    </w:p>
    <w:p w14:paraId="0A9CD76C">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54533BFA">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78A937E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p>
    <w:p w14:paraId="5BC1099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5E0EECD4">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14:paraId="216C8AF7">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5F734D77">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14:paraId="0D76965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lang w:val="en-US"/>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14:paraId="5B3CED2E">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2BCED2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6CDF25D">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CEF2140">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0B46AC4">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CC88EEA">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168F8DF">
      <w:pPr>
        <w:pStyle w:val="24"/>
        <w:kinsoku/>
        <w:wordWrap w:val="0"/>
        <w:overflowPunct/>
        <w:topLinePunct w:val="0"/>
        <w:bidi w:val="0"/>
        <w:rPr>
          <w:rFonts w:hint="eastAsia"/>
          <w:color w:val="auto"/>
          <w:highlight w:val="none"/>
          <w:lang w:val="en-US" w:eastAsia="zh-CN"/>
        </w:rPr>
      </w:pPr>
    </w:p>
    <w:p w14:paraId="0C5C50B0">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128391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1849E5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C1F8C3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76E60A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790058D">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5B2892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7ECA2D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79DA192">
      <w:pPr>
        <w:widowControl/>
        <w:kinsoku/>
        <w:wordWrap w:val="0"/>
        <w:overflowPunct/>
        <w:topLinePunct w:val="0"/>
        <w:bidi w:val="0"/>
        <w:jc w:val="left"/>
        <w:rPr>
          <w:rFonts w:hint="eastAsia" w:ascii="仿宋" w:hAnsi="仿宋" w:eastAsia="仿宋" w:cs="仿宋"/>
          <w:color w:val="auto"/>
          <w:kern w:val="0"/>
          <w:sz w:val="24"/>
          <w:highlight w:val="none"/>
        </w:rPr>
      </w:pPr>
    </w:p>
    <w:p w14:paraId="7B22A2AA">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884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7F595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B420A1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14F263E">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F2CBDA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5149C9D">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B74F54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4D7FE4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8006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E524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02858E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327EF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99E0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AB5AF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000CDF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344EA2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F9E8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C7AA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59C46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43CB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FCAE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6B1B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106B5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73601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B3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C883B0">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A1E94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1E08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EA4EB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3FCBC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5AD6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54476D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982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C557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C6225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3A270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8630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DA5DF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A928A4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45CE1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48CD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4D1DF0">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FBF5F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98D301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E1AD9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A729B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DC2A0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44EE5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86C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74CE4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98D4B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C69E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04EA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92C5D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FBDB2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6A3098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E00E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0BAD47">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22F8E0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04633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47CC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29633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D31F5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16A7E3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A62D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94A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532D4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0E00B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9014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354D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EFAA4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172D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7C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4F4D5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F8018E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632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1145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B5C162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87102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7AFF8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8A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B3E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3A6AD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6587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EBFE2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0CF83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DB456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0B428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C2E7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7EC0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D616BE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4F641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BDE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B87E4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DF4F3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40663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5C6B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353A3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DA7FA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759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21BA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6D9EB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0F159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6155AC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A3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BFE4A3">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0AE0F2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4A981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753F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60DDB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98DD1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D144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A18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1F2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DE5C1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29034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7E94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111CA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F260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9DBB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34B8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7F264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1E633E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A9CA2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608B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E350D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EB5297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F48B4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251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2A8F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83ABDF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089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2450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45660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B709D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60C5F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398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F77FE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BC0FF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E2B6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FD2C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42A72D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EC35D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84D58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901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BA1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1FB9E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BAB5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270A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024A5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67C7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9C5CE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B28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EACFB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190B0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091D3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C23C7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98805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F337E7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EB68A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3C13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50C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C3377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563F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92D66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6CB2A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A8A7FE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8623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25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EB4A0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15402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1A28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0CFC7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B3A09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75F12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C5933B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1D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3C9E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FE5BE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0B217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34D4B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C6DD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E1B6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372D7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04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9D142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C778C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CFC4F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995C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875752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ABE70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07EC9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0BF9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6AFD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D5AC8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9955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2BDA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C78E63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31CD84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D4CAF7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9E2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601D4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A7F64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61518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1EE5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738FD7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C7F5D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6DD5B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3817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AA81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CE5F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FC3A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788C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36A3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9608A0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F4796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615E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1C776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54AB41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2742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B20B7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41F21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8F3C67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F5B6F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0CF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E57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43501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A40EF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0D779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747056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EC7E3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0DBC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D06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D7EB4">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09E95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3BF3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5976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AEE53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912F2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51DCA1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371F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F9AE8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96D4D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4460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7391C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DB4E7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FE82E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CA57E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BDFF56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92B191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19AE379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E4906E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2EC0318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D18D17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450F0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51B4B14">
      <w:pPr>
        <w:widowControl/>
        <w:kinsoku/>
        <w:wordWrap w:val="0"/>
        <w:overflowPunct/>
        <w:topLinePunct w:val="0"/>
        <w:bidi w:val="0"/>
        <w:jc w:val="left"/>
        <w:rPr>
          <w:rFonts w:hint="eastAsia" w:ascii="仿宋" w:hAnsi="仿宋" w:eastAsia="仿宋" w:cs="仿宋"/>
          <w:color w:val="auto"/>
          <w:kern w:val="0"/>
          <w:sz w:val="24"/>
          <w:highlight w:val="none"/>
        </w:rPr>
      </w:pPr>
    </w:p>
    <w:p w14:paraId="00E4E1C5">
      <w:pPr>
        <w:widowControl/>
        <w:kinsoku/>
        <w:wordWrap w:val="0"/>
        <w:overflowPunct/>
        <w:topLinePunct w:val="0"/>
        <w:bidi w:val="0"/>
        <w:jc w:val="left"/>
        <w:rPr>
          <w:rFonts w:hint="eastAsia" w:ascii="仿宋" w:hAnsi="仿宋" w:eastAsia="仿宋" w:cs="仿宋"/>
          <w:color w:val="auto"/>
          <w:kern w:val="0"/>
          <w:sz w:val="24"/>
          <w:highlight w:val="none"/>
        </w:rPr>
      </w:pPr>
    </w:p>
    <w:p w14:paraId="6F45EEA1">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38CA2B3">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02390F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3DEF7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409D18D">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521DD9C3">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37DC83F">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0E9BFF1">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1BD29A3">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38B5DFEE">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0A16DB8E">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336EAFF9">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2559CE8">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BFAB311">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CDF3F1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E2177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55761DE">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88CF6B0">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A3A41A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18AB02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4087B75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5B0D08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FE9765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73E8CD7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32B16E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770B54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57C05B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C2EEA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FA1382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3382AB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D6AC94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EC52E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EBABF6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7C8287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556E7BE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01E03B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7AD39C0F">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351EC06A">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17602A4">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0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B3BA04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B280730">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3754BB3">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BE5E914">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160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821B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FEDE1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D3D7C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2E0F2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5852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A709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F2B454">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AFC37E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40F3431">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8B85F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89B03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9C09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810853">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D90631D">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B9B3AD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42F8D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F670A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2B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857C3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0D0544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C532C2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20AA9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99BE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B0A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0BA101">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6C52DE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976B55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1A479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D562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8B2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9FCB8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D88BE1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4DA03B5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EAF6E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ED43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396A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B83E4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8008D0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772C9E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F12FB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61FF3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531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23580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CFCFB5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F485C9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FFB505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24311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807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673908">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5C8D4C0">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65513AF">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F2F87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72AD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6E7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AD7229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6FEBEE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60835D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808B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8956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7D968D">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6348883">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99BC1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2E50D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4D11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B98464">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865EFB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B2D0A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FC8EE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9B2F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7E269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079BC9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CF7246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C4AA9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CF30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2FBA7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0AC3E1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564CE5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801D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4CBB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BC19C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998502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28A82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064AF8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E6D6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4AC902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8DED4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834DA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A921C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AB27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6830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2CF73A">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5E6FEA2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75B183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CD2A2F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CC210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0CBD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B4946">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A64B3B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A43A8BE">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DC658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54E9E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6D8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A7CE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69958CC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606B4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D6CEF2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2F4CC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D612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7249E">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591937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37DBC6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F44975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34B3C0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85A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34D6D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A05C62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0032BDD2">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D52E5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E9B48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3788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2FD2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5DB620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11247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4A43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8869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5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E270B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7931B1C3">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B1CCD31">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52493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643F9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2D7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93D1F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CC002A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3DAA3F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E76D8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9A5F4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2DD18FF">
      <w:pPr>
        <w:kinsoku/>
        <w:wordWrap w:val="0"/>
        <w:overflowPunct/>
        <w:topLinePunct w:val="0"/>
        <w:bidi w:val="0"/>
        <w:rPr>
          <w:rFonts w:hint="eastAsia" w:ascii="仿宋" w:hAnsi="仿宋" w:eastAsia="仿宋" w:cs="仿宋"/>
          <w:color w:val="auto"/>
          <w:sz w:val="24"/>
          <w:highlight w:val="none"/>
        </w:rPr>
      </w:pPr>
    </w:p>
    <w:p w14:paraId="35F5A74B">
      <w:pPr>
        <w:kinsoku/>
        <w:wordWrap w:val="0"/>
        <w:overflowPunct/>
        <w:topLinePunct w:val="0"/>
        <w:bidi w:val="0"/>
        <w:ind w:firstLine="420" w:firstLineChars="200"/>
        <w:rPr>
          <w:rFonts w:hint="eastAsia" w:ascii="仿宋" w:hAnsi="仿宋" w:eastAsia="仿宋" w:cs="仿宋"/>
          <w:color w:val="auto"/>
          <w:highlight w:val="none"/>
        </w:rPr>
      </w:pPr>
    </w:p>
    <w:p w14:paraId="6DBF2DDB">
      <w:pPr>
        <w:kinsoku/>
        <w:wordWrap w:val="0"/>
        <w:overflowPunct/>
        <w:topLinePunct w:val="0"/>
        <w:bidi w:val="0"/>
        <w:spacing w:line="360" w:lineRule="auto"/>
        <w:ind w:right="420"/>
        <w:rPr>
          <w:rFonts w:hint="eastAsia" w:ascii="仿宋" w:hAnsi="仿宋" w:eastAsia="仿宋" w:cs="仿宋"/>
          <w:color w:val="auto"/>
          <w:highlight w:val="none"/>
        </w:rPr>
      </w:pPr>
    </w:p>
    <w:p w14:paraId="3BA0DF59">
      <w:pPr>
        <w:kinsoku/>
        <w:wordWrap w:val="0"/>
        <w:overflowPunct/>
        <w:topLinePunct w:val="0"/>
        <w:bidi w:val="0"/>
        <w:spacing w:line="360" w:lineRule="auto"/>
        <w:rPr>
          <w:rFonts w:ascii="宋体" w:hAnsi="宋体" w:cs="宋体"/>
          <w:bCs/>
          <w:color w:val="auto"/>
          <w:sz w:val="24"/>
          <w:highlight w:val="none"/>
        </w:rPr>
      </w:pPr>
    </w:p>
    <w:sectPr>
      <w:footerReference r:id="rId20" w:type="firs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苹方 中等"/>
    <w:panose1 w:val="00000000000000000000"/>
    <w:charset w:val="00"/>
    <w:family w:val="roman"/>
    <w:pitch w:val="default"/>
    <w:sig w:usb0="00000000" w:usb1="00000000" w:usb2="00000000" w:usb3="00000000" w:csb0="00040001" w:csb1="00000000"/>
  </w:font>
  <w:font w:name="苹方 中等">
    <w:panose1 w:val="020B0400000000000000"/>
    <w:charset w:val="86"/>
    <w:family w:val="auto"/>
    <w:pitch w:val="default"/>
    <w:sig w:usb0="A00002FF" w:usb1="7ACFFCFB"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苹方 中等"/>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苹方 中等"/>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A4EF8">
    <w:pPr>
      <w:pStyle w:val="4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8BB39">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A88BB39">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F18C">
    <w:pPr>
      <w:pStyle w:val="43"/>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DE0F6">
                          <w:pPr>
                            <w:pStyle w:val="43"/>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65DE0F6">
                    <w:pPr>
                      <w:pStyle w:val="43"/>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ADB3A">
    <w:pPr>
      <w:pStyle w:val="43"/>
      <w:framePr w:wrap="around" w:vAnchor="text" w:hAnchor="margin" w:xAlign="right" w:y="1"/>
      <w:rPr>
        <w:rStyle w:val="73"/>
      </w:rPr>
    </w:pPr>
    <w:r>
      <w:fldChar w:fldCharType="begin"/>
    </w:r>
    <w:r>
      <w:rPr>
        <w:rStyle w:val="73"/>
      </w:rPr>
      <w:instrText xml:space="preserve">PAGE  </w:instrText>
    </w:r>
    <w:r>
      <w:fldChar w:fldCharType="end"/>
    </w:r>
  </w:p>
  <w:p w14:paraId="1C46A974">
    <w:pPr>
      <w:pStyle w:val="4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43418">
    <w:pPr>
      <w:pStyle w:val="4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64279">
                          <w:pPr>
                            <w:pStyle w:val="4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0E64279">
                    <w:pPr>
                      <w:pStyle w:val="43"/>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1F90F">
    <w:pPr>
      <w:pStyle w:val="43"/>
      <w:framePr w:wrap="around" w:vAnchor="text" w:hAnchor="margin" w:xAlign="right" w:y="1"/>
      <w:rPr>
        <w:rStyle w:val="73"/>
      </w:rPr>
    </w:pPr>
    <w:r>
      <w:fldChar w:fldCharType="begin"/>
    </w:r>
    <w:r>
      <w:rPr>
        <w:rStyle w:val="73"/>
      </w:rPr>
      <w:instrText xml:space="preserve">PAGE  </w:instrText>
    </w:r>
    <w:r>
      <w:fldChar w:fldCharType="end"/>
    </w:r>
  </w:p>
  <w:p w14:paraId="6356B82F">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9C96">
    <w:pPr>
      <w:pStyle w:val="4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4517B">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DA4517B">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4BFCD">
    <w:pPr>
      <w:pStyle w:val="4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AEB98">
    <w:pPr>
      <w:pStyle w:val="4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B2292">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6B2292">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0685">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54F42">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9E54F42">
                    <w:pPr>
                      <w:pStyle w:val="43"/>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6EAD1E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B37A8">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E68BB">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99E68BB">
                    <w:pPr>
                      <w:pStyle w:val="43"/>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3256A70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4954">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4C22D">
                          <w:pPr>
                            <w:pStyle w:val="4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034C22D">
                    <w:pPr>
                      <w:pStyle w:val="4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CA28BE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D0817">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A85AE">
                          <w:pPr>
                            <w:pStyle w:val="4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F1A85AE">
                    <w:pPr>
                      <w:pStyle w:val="43"/>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7BE930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819ED">
    <w:pPr>
      <w:pStyle w:val="44"/>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招标编号:330600262690010000007-HC2026-05-07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A262">
    <w:pPr>
      <w:pStyle w:val="44"/>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4011">
    <w:pPr>
      <w:pStyle w:val="44"/>
      <w:jc w:val="center"/>
      <w:rPr>
        <w:lang w:val="en-US"/>
      </w:rPr>
    </w:pPr>
    <w:r>
      <w:rPr>
        <w:rFonts w:hint="eastAsia" w:ascii="仿宋" w:hAnsi="仿宋" w:eastAsia="仿宋" w:cs="仿宋"/>
        <w:sz w:val="20"/>
        <w:szCs w:val="20"/>
        <w:lang w:val="en-US" w:eastAsia="zh-CN"/>
      </w:rPr>
      <w:t xml:space="preserve">浙江华诚工程管理有限公司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招标编号:330600262690010000007-HC2026-05-07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00B2D">
    <w:pPr>
      <w:pStyle w:val="44"/>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F5B48">
    <w:pPr>
      <w:pStyle w:val="44"/>
      <w:jc w:val="center"/>
      <w:rPr>
        <w:lang w:val="en-US"/>
      </w:rPr>
    </w:pPr>
    <w:r>
      <w:rPr>
        <w:rFonts w:hint="eastAsia" w:ascii="仿宋" w:hAnsi="仿宋" w:eastAsia="仿宋" w:cs="仿宋"/>
        <w:sz w:val="20"/>
        <w:szCs w:val="20"/>
        <w:lang w:val="en-US" w:eastAsia="zh-CN"/>
      </w:rPr>
      <w:t xml:space="preserve">浙江华诚工程管理有限公司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招标编号:330600262690010000007-HC2026-05-07</w:t>
    </w:r>
  </w:p>
  <w:p w14:paraId="4DC38433">
    <w:pPr>
      <w:pStyle w:val="44"/>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16435">
    <w:pPr>
      <w:pStyle w:val="44"/>
      <w:jc w:val="center"/>
      <w:rPr>
        <w:rFonts w:ascii="仿宋_GB2312" w:eastAsia="仿宋_GB2312"/>
        <w:b/>
        <w:i/>
        <w:sz w:val="18"/>
        <w:u w:val="single"/>
      </w:rPr>
    </w:pPr>
    <w:r>
      <w:rPr>
        <w:rFonts w:hint="eastAsia" w:ascii="仿宋" w:hAnsi="仿宋" w:eastAsia="仿宋" w:cs="仿宋"/>
        <w:sz w:val="20"/>
        <w:szCs w:val="20"/>
        <w:lang w:val="en-US" w:eastAsia="zh-CN"/>
      </w:rPr>
      <w:t xml:space="preserve">浙江华诚工程管理有限公司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招标编号:330600262690010000007-HC2026-05-07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37052"/>
    <w:multiLevelType w:val="singleLevel"/>
    <w:tmpl w:val="D2B37052"/>
    <w:lvl w:ilvl="0" w:tentative="0">
      <w:start w:val="1"/>
      <w:numFmt w:val="decimal"/>
      <w:suff w:val="nothing"/>
      <w:lvlText w:val="%1、"/>
      <w:lvlJc w:val="left"/>
    </w:lvl>
  </w:abstractNum>
  <w:abstractNum w:abstractNumId="1">
    <w:nsid w:val="F6EBBC95"/>
    <w:multiLevelType w:val="singleLevel"/>
    <w:tmpl w:val="F6EBBC95"/>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9E128F"/>
    <w:rsid w:val="00B34AC1"/>
    <w:rsid w:val="01D80770"/>
    <w:rsid w:val="028228BE"/>
    <w:rsid w:val="035BEF8B"/>
    <w:rsid w:val="037B54CB"/>
    <w:rsid w:val="038D1A6F"/>
    <w:rsid w:val="0431202E"/>
    <w:rsid w:val="04581CB1"/>
    <w:rsid w:val="061775F4"/>
    <w:rsid w:val="082F1C5E"/>
    <w:rsid w:val="08685156"/>
    <w:rsid w:val="0CC316B7"/>
    <w:rsid w:val="0D4E3754"/>
    <w:rsid w:val="0EE16D7A"/>
    <w:rsid w:val="0F096B8F"/>
    <w:rsid w:val="0F63063F"/>
    <w:rsid w:val="10FF71F8"/>
    <w:rsid w:val="16026BD5"/>
    <w:rsid w:val="17163A31"/>
    <w:rsid w:val="18E60774"/>
    <w:rsid w:val="19031D93"/>
    <w:rsid w:val="190B6E9A"/>
    <w:rsid w:val="1D2F1C3B"/>
    <w:rsid w:val="1DF223D6"/>
    <w:rsid w:val="1FBFFEB0"/>
    <w:rsid w:val="2300000B"/>
    <w:rsid w:val="236D48D7"/>
    <w:rsid w:val="23D470B6"/>
    <w:rsid w:val="247656D0"/>
    <w:rsid w:val="247963AF"/>
    <w:rsid w:val="275DFFED"/>
    <w:rsid w:val="29D82DC8"/>
    <w:rsid w:val="2C3A38C6"/>
    <w:rsid w:val="2D024C8F"/>
    <w:rsid w:val="2D7A4871"/>
    <w:rsid w:val="2DF65B2A"/>
    <w:rsid w:val="2F0C0A43"/>
    <w:rsid w:val="2FF95846"/>
    <w:rsid w:val="302A4802"/>
    <w:rsid w:val="30676C54"/>
    <w:rsid w:val="30CD01D9"/>
    <w:rsid w:val="31E50D92"/>
    <w:rsid w:val="326F4556"/>
    <w:rsid w:val="35531555"/>
    <w:rsid w:val="3AC27952"/>
    <w:rsid w:val="3ACD3B57"/>
    <w:rsid w:val="3B774EF2"/>
    <w:rsid w:val="3BEE613C"/>
    <w:rsid w:val="3CD0131A"/>
    <w:rsid w:val="3E6DF6DC"/>
    <w:rsid w:val="3FC51567"/>
    <w:rsid w:val="3FCFDA4A"/>
    <w:rsid w:val="3FE46D1E"/>
    <w:rsid w:val="402416BC"/>
    <w:rsid w:val="408A5972"/>
    <w:rsid w:val="41DB4DAC"/>
    <w:rsid w:val="426C70B2"/>
    <w:rsid w:val="427E60E8"/>
    <w:rsid w:val="44DE245E"/>
    <w:rsid w:val="46414C6D"/>
    <w:rsid w:val="46FC63F7"/>
    <w:rsid w:val="49516258"/>
    <w:rsid w:val="4A430DF1"/>
    <w:rsid w:val="4A54394D"/>
    <w:rsid w:val="4BC07A55"/>
    <w:rsid w:val="4C3D6D8F"/>
    <w:rsid w:val="4D9A75D6"/>
    <w:rsid w:val="4F315D7E"/>
    <w:rsid w:val="4F4B3D85"/>
    <w:rsid w:val="4F807FCA"/>
    <w:rsid w:val="4F981E95"/>
    <w:rsid w:val="50822516"/>
    <w:rsid w:val="54A0435F"/>
    <w:rsid w:val="56BB75CD"/>
    <w:rsid w:val="56F20776"/>
    <w:rsid w:val="59E24A40"/>
    <w:rsid w:val="5B5961F8"/>
    <w:rsid w:val="5B73EE39"/>
    <w:rsid w:val="5C124F86"/>
    <w:rsid w:val="5C582DD1"/>
    <w:rsid w:val="5C5842CD"/>
    <w:rsid w:val="5CFAC9C4"/>
    <w:rsid w:val="5F561B6F"/>
    <w:rsid w:val="5F57E5CA"/>
    <w:rsid w:val="5FE443CF"/>
    <w:rsid w:val="60B1275B"/>
    <w:rsid w:val="62822575"/>
    <w:rsid w:val="64AFCBD0"/>
    <w:rsid w:val="66094A55"/>
    <w:rsid w:val="669C35D3"/>
    <w:rsid w:val="66BB07E1"/>
    <w:rsid w:val="671E0E48"/>
    <w:rsid w:val="6AD13D4B"/>
    <w:rsid w:val="6AFF2A6C"/>
    <w:rsid w:val="6B4A3CB0"/>
    <w:rsid w:val="6B646AB2"/>
    <w:rsid w:val="6D4C26F5"/>
    <w:rsid w:val="6D5A4776"/>
    <w:rsid w:val="6EBAEEF7"/>
    <w:rsid w:val="6ECF634D"/>
    <w:rsid w:val="6EDB13D0"/>
    <w:rsid w:val="6FC37AD4"/>
    <w:rsid w:val="6FE07923"/>
    <w:rsid w:val="725C1C17"/>
    <w:rsid w:val="735F78E6"/>
    <w:rsid w:val="73824B1F"/>
    <w:rsid w:val="773E2C06"/>
    <w:rsid w:val="778CFDC4"/>
    <w:rsid w:val="77B749DB"/>
    <w:rsid w:val="77EDE09C"/>
    <w:rsid w:val="78AD1F79"/>
    <w:rsid w:val="78BB59A6"/>
    <w:rsid w:val="797914AA"/>
    <w:rsid w:val="7A842082"/>
    <w:rsid w:val="7DFF3A1B"/>
    <w:rsid w:val="7E7B214F"/>
    <w:rsid w:val="7F2A5316"/>
    <w:rsid w:val="7F3A632E"/>
    <w:rsid w:val="7FCE9F2A"/>
    <w:rsid w:val="7FFA6A5B"/>
    <w:rsid w:val="7FFEB1EA"/>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p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0"/>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next w:val="28"/>
    <w:link w:val="264"/>
    <w:qFormat/>
    <w:uiPriority w:val="0"/>
    <w:pPr>
      <w:spacing w:line="480" w:lineRule="exact"/>
      <w:ind w:firstLine="480" w:firstLineChars="200"/>
    </w:pPr>
    <w:rPr>
      <w:rFonts w:ascii="宋体" w:hAnsi="宋体"/>
      <w:sz w:val="24"/>
    </w:rPr>
  </w:style>
  <w:style w:type="paragraph" w:styleId="28">
    <w:name w:val="Body Text First Indent 2"/>
    <w:basedOn w:val="27"/>
    <w:next w:val="24"/>
    <w:link w:val="121"/>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5"/>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1"/>
    <w:qFormat/>
    <w:uiPriority w:val="0"/>
    <w:pPr>
      <w:ind w:left="100" w:leftChars="2500"/>
    </w:pPr>
    <w:rPr>
      <w:rFonts w:ascii="宋体"/>
      <w:sz w:val="24"/>
      <w:szCs w:val="21"/>
      <w:lang w:val="zh-CN"/>
    </w:rPr>
  </w:style>
  <w:style w:type="paragraph" w:styleId="40">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1">
    <w:name w:val="endnote text"/>
    <w:basedOn w:val="1"/>
    <w:link w:val="931"/>
    <w:qFormat/>
    <w:uiPriority w:val="0"/>
    <w:rPr>
      <w:lang w:val="zh-CN"/>
    </w:rPr>
  </w:style>
  <w:style w:type="paragraph" w:styleId="42">
    <w:name w:val="Balloon Text"/>
    <w:basedOn w:val="1"/>
    <w:link w:val="188"/>
    <w:qFormat/>
    <w:uiPriority w:val="0"/>
    <w:rPr>
      <w:sz w:val="18"/>
      <w:szCs w:val="18"/>
    </w:rPr>
  </w:style>
  <w:style w:type="paragraph" w:styleId="43">
    <w:name w:val="footer"/>
    <w:basedOn w:val="1"/>
    <w:link w:val="382"/>
    <w:qFormat/>
    <w:uiPriority w:val="99"/>
    <w:pPr>
      <w:tabs>
        <w:tab w:val="center" w:pos="4153"/>
        <w:tab w:val="right" w:pos="8306"/>
      </w:tabs>
      <w:snapToGrid w:val="0"/>
      <w:jc w:val="left"/>
    </w:pPr>
    <w:rPr>
      <w:sz w:val="18"/>
      <w:szCs w:val="18"/>
    </w:rPr>
  </w:style>
  <w:style w:type="paragraph" w:styleId="44">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6"/>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8"/>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0"/>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9"/>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2"/>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3"/>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7"/>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9"/>
    <w:qFormat/>
    <w:uiPriority w:val="0"/>
    <w:rPr>
      <w:rFonts w:ascii="黑体" w:hAnsi="Courier New" w:eastAsia="黑体"/>
    </w:rPr>
  </w:style>
  <w:style w:type="character" w:customStyle="1" w:styleId="301">
    <w:name w:val="正文文本 2 Char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40"/>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3"/>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5"/>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3"/>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4"/>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1"/>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6">
    <w:name w:val="列出段落11"/>
    <w:basedOn w:val="1"/>
    <w:qFormat/>
    <w:uiPriority w:val="0"/>
    <w:pPr>
      <w:adjustRightInd/>
      <w:spacing w:line="360" w:lineRule="auto"/>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94</Pages>
  <Words>1919</Words>
  <Characters>2180</Characters>
  <Paragraphs>1943</Paragraphs>
  <TotalTime>2</TotalTime>
  <ScaleCrop>false</ScaleCrop>
  <LinksUpToDate>false</LinksUpToDate>
  <CharactersWithSpaces>2283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HUAWEI</cp:lastModifiedBy>
  <cp:lastPrinted>2026-02-09T01:31:00Z</cp:lastPrinted>
  <dcterms:modified xsi:type="dcterms:W3CDTF">2026-05-11T09:00:40Z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FAB15322C7B044CF920C3489527E3EA2_13</vt:lpwstr>
  </property>
  <property fmtid="{D5CDD505-2E9C-101B-9397-08002B2CF9AE}" pid="5" name="KSOTemplateDocerSaveRecord">
    <vt:lpwstr>eyJoZGlkIjoiZmFhZjIyOWU1MjA2MDk4ZGRmNDRlYzc0Y2U3MTZjMjQiLCJ1c2VySWQiOiI3Mjk0NzYxMDUifQ==</vt:lpwstr>
  </property>
</Properties>
</file>