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C1E80">
      <w:pPr>
        <w:spacing w:beforeLines="0" w:afterLines="0"/>
        <w:jc w:val="center"/>
        <w:rPr>
          <w:rFonts w:hint="eastAsia" w:ascii="黑体" w:hAnsi="黑体" w:eastAsia="黑体"/>
          <w:b/>
          <w:sz w:val="32"/>
          <w:szCs w:val="24"/>
          <w:lang w:val="zh-CN"/>
        </w:rPr>
      </w:pPr>
      <w:r>
        <w:rPr>
          <w:rFonts w:hint="eastAsia" w:ascii="黑体" w:hAnsi="黑体" w:eastAsia="黑体"/>
          <w:b/>
          <w:sz w:val="32"/>
          <w:szCs w:val="24"/>
          <w:lang w:val="zh-CN"/>
        </w:rPr>
        <w:t>浙江师范大学附中校园老教学楼修缮项目</w:t>
      </w:r>
    </w:p>
    <w:p w14:paraId="1B8C5F9E">
      <w:pPr>
        <w:spacing w:beforeLines="0" w:afterLines="0"/>
        <w:jc w:val="center"/>
        <w:rPr>
          <w:rFonts w:hint="eastAsia" w:ascii="黑体" w:hAnsi="黑体" w:eastAsia="黑体"/>
          <w:b/>
          <w:sz w:val="32"/>
          <w:szCs w:val="24"/>
          <w:lang w:val="zh-CN"/>
        </w:rPr>
      </w:pPr>
      <w:r>
        <w:rPr>
          <w:rFonts w:hint="eastAsia" w:ascii="黑体" w:hAnsi="黑体" w:eastAsia="黑体"/>
          <w:b/>
          <w:sz w:val="32"/>
          <w:szCs w:val="24"/>
          <w:lang w:val="zh-CN"/>
        </w:rPr>
        <w:t>招标控制价编制说明</w:t>
      </w:r>
    </w:p>
    <w:p w14:paraId="205CFF2F">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一、工程概况</w:t>
      </w:r>
    </w:p>
    <w:p w14:paraId="082045C9">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（一）工程名称：浙江师范大学附中校园老教学楼修缮项目</w:t>
      </w:r>
    </w:p>
    <w:p w14:paraId="4F757694">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（二）建设单位：浙江师范大学附属中学</w:t>
      </w:r>
    </w:p>
    <w:p w14:paraId="19E8AE8C">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（三）设计单位：上海开艺设计集团有限公司</w:t>
      </w:r>
    </w:p>
    <w:p w14:paraId="24D5E3B3">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（四）建设地点：浙江师范大学附中老教学楼</w:t>
      </w:r>
    </w:p>
    <w:p w14:paraId="7A5CB1C1">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二、编制范围</w:t>
      </w:r>
    </w:p>
    <w:p w14:paraId="35B77A9E">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浙江师范大学附中校园老教学楼修缮项目施工图纸范围内的装修及安装工程。</w:t>
      </w:r>
    </w:p>
    <w:p w14:paraId="36B343E7">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三、编制依据</w:t>
      </w:r>
    </w:p>
    <w:p w14:paraId="6807D66C">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（一）建设单位提供的编制口径、设计图纸及所涉及的施工图集等。</w:t>
      </w:r>
    </w:p>
    <w:p w14:paraId="4789656C">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（二）建设单位、设计单位的问题回复及与建设项目相关的标准规范。</w:t>
      </w:r>
    </w:p>
    <w:p w14:paraId="0FDCF527">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（三）清单依据：</w:t>
      </w:r>
    </w:p>
    <w:p w14:paraId="4145A5B9">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1、《建筑工程建筑面积计算规范》GB/T50353-2013；</w:t>
      </w:r>
    </w:p>
    <w:p w14:paraId="3448D28C">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2、《建设工程工程量清单计价规范》（GB50500—2013）及浙江省有关补充规定；</w:t>
      </w:r>
    </w:p>
    <w:p w14:paraId="170585BB">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3、《房屋建筑与装饰工程工程量计算规范》（GB50854—2013）；</w:t>
      </w:r>
    </w:p>
    <w:p w14:paraId="1B6F4BE8">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4、《通用安装工程工程量计算规范》（GB50856—2013）；</w:t>
      </w:r>
    </w:p>
    <w:p w14:paraId="154FB835">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5、《市政工程工程量计算规范》（GB50857—2013）；</w:t>
      </w:r>
    </w:p>
    <w:p w14:paraId="227F79E1">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（四）定额依据：</w:t>
      </w:r>
    </w:p>
    <w:p w14:paraId="7ED73626">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1、《浙江省建设工程计价规则》（2018版）；</w:t>
      </w:r>
    </w:p>
    <w:p w14:paraId="0A2E5F46">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2、《浙江省房屋建筑与装饰工程预算定额》（2018版）；</w:t>
      </w:r>
    </w:p>
    <w:p w14:paraId="17FA861B">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3、《浙江省通用安装工程预算定额》（2018版）；</w:t>
      </w:r>
    </w:p>
    <w:p w14:paraId="3E2CC709">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4、《浙江省市政工程预算定额》（2018版）；</w:t>
      </w:r>
    </w:p>
    <w:p w14:paraId="7067363E">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5、《浙江省建设工程施工机械台班费用定额》（2018版）；</w:t>
      </w:r>
    </w:p>
    <w:p w14:paraId="4333D3C5">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（五）相关政策文件：</w:t>
      </w:r>
    </w:p>
    <w:p w14:paraId="79AA624E">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1、《关于颁发浙江省建设工程计价依据（2018版）的通知》浙建建[2018]61号；</w:t>
      </w:r>
    </w:p>
    <w:p w14:paraId="021099F6">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2、《关于增值税调整后我省建设工程计价依据增值税税率及有关计价调整的通知》浙建建发【2019】92 号；</w:t>
      </w:r>
    </w:p>
    <w:p w14:paraId="032937DC">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3、浙江省、金华市有关文件及法律法规和省造价管理总站的有关定额解释。</w:t>
      </w:r>
    </w:p>
    <w:p w14:paraId="4DD7429B">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四、编制说明</w:t>
      </w:r>
    </w:p>
    <w:p w14:paraId="6F529B02">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（一）工程量：根据2013版清单计价规范工程量计算规则，建设单位提供的图纸结合现场实际情况计算。</w:t>
      </w:r>
    </w:p>
    <w:p w14:paraId="6CD2D6D0">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（二）材料价格：根据《金华造价信息》（2026年第3期）及《浙江造价信息》2026年第3期，材料均为除税价。</w:t>
      </w:r>
    </w:p>
    <w:p w14:paraId="18AF162A">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（三）人工价格：根据2026年第3期金华市建设工程人工市场信息价：一类人工136元/工日，二类人工149元/工日，三类人工172元/工日。</w:t>
      </w:r>
    </w:p>
    <w:p w14:paraId="10A2F63F">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（四）取费标准：</w:t>
      </w:r>
    </w:p>
    <w:p w14:paraId="621130EB">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1、建筑工程按单独装饰工程中值计取：管理费15.16%、利润7.62%，安全文明施工费按单独装饰工程市区工程中值5.71%计取，规费按13.96%（即标准规费27.92%的50%计取）。</w:t>
      </w:r>
    </w:p>
    <w:p w14:paraId="09DD764F">
      <w:p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2、安装工程按水、电、暖通、消防、智能、自控及通信安装工程中值计取：管理费21.72%、利润10.40%，安全文明施工费按通用安装工程市区工程中值7.1 %计取，规费按15.32%（即按标准规费中值30.63%的50%计取）。</w:t>
      </w:r>
    </w:p>
    <w:p w14:paraId="4FF5C7D4">
      <w:pPr>
        <w:numPr>
          <w:ilvl w:val="0"/>
          <w:numId w:val="1"/>
        </w:numPr>
        <w:spacing w:beforeLines="0" w:afterLines="0"/>
        <w:jc w:val="both"/>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主要材料推荐品牌汇总表：</w:t>
      </w:r>
    </w:p>
    <w:tbl>
      <w:tblPr>
        <w:tblStyle w:val="2"/>
        <w:tblW w:w="9789" w:type="dxa"/>
        <w:tblInd w:w="-15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 w:type="dxa"/>
          <w:bottom w:w="0" w:type="dxa"/>
          <w:right w:w="10" w:type="dxa"/>
        </w:tblCellMar>
      </w:tblPr>
      <w:tblGrid>
        <w:gridCol w:w="20"/>
        <w:gridCol w:w="837"/>
        <w:gridCol w:w="3271"/>
        <w:gridCol w:w="4290"/>
        <w:gridCol w:w="1361"/>
        <w:gridCol w:w="10"/>
      </w:tblGrid>
      <w:tr w14:paraId="0D2B279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After w:val="1"/>
          <w:wAfter w:w="10" w:type="dxa"/>
        </w:trPr>
        <w:tc>
          <w:tcPr>
            <w:tcW w:w="85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05AB20">
            <w:pPr>
              <w:spacing w:beforeLines="0" w:afterLines="0" w:line="460" w:lineRule="exact"/>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序号</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9CDA72">
            <w:pPr>
              <w:spacing w:beforeLines="0" w:afterLines="0" w:line="460" w:lineRule="exact"/>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材料</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FC6B8F">
            <w:pPr>
              <w:spacing w:beforeLines="0" w:afterLines="0" w:line="460" w:lineRule="exact"/>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招标人推荐品牌</w:t>
            </w:r>
          </w:p>
        </w:tc>
        <w:tc>
          <w:tcPr>
            <w:tcW w:w="136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A026CA">
            <w:pPr>
              <w:spacing w:beforeLines="0" w:afterLines="0" w:line="460" w:lineRule="exact"/>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备注</w:t>
            </w:r>
          </w:p>
        </w:tc>
      </w:tr>
      <w:tr w14:paraId="2F989FE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After w:val="1"/>
          <w:wAfter w:w="10" w:type="dxa"/>
        </w:trPr>
        <w:tc>
          <w:tcPr>
            <w:tcW w:w="9779"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BE9C66">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一、建筑部分</w:t>
            </w:r>
          </w:p>
        </w:tc>
      </w:tr>
      <w:tr w14:paraId="6F868F5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After w:val="1"/>
          <w:wAfter w:w="10" w:type="dxa"/>
        </w:trPr>
        <w:tc>
          <w:tcPr>
            <w:tcW w:w="85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0EC194">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1</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D6E1DAB">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防水涂料、防水卷材</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788EAB">
            <w:pPr>
              <w:spacing w:beforeLines="0" w:afterLines="0"/>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kern w:val="0"/>
                <w:sz w:val="24"/>
                <w:szCs w:val="24"/>
                <w:lang w:val="en-US"/>
              </w:rPr>
              <w:t>东方雨虹、卓宝、德高</w:t>
            </w:r>
          </w:p>
        </w:tc>
        <w:tc>
          <w:tcPr>
            <w:tcW w:w="136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B372B5">
            <w:pPr>
              <w:spacing w:beforeLines="0" w:afterLines="0" w:line="360" w:lineRule="auto"/>
              <w:jc w:val="center"/>
              <w:rPr>
                <w:rFonts w:hint="eastAsia" w:asciiTheme="minorEastAsia" w:hAnsiTheme="minorEastAsia" w:eastAsiaTheme="minorEastAsia" w:cstheme="minorEastAsia"/>
                <w:b w:val="0"/>
                <w:bCs/>
                <w:sz w:val="24"/>
                <w:szCs w:val="24"/>
                <w:lang w:val="en-US"/>
              </w:rPr>
            </w:pPr>
          </w:p>
        </w:tc>
      </w:tr>
      <w:tr w14:paraId="6D60424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Pr>
        <w:tc>
          <w:tcPr>
            <w:tcW w:w="8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A6B86E">
            <w:pPr>
              <w:spacing w:beforeLines="0" w:afterLines="0" w:line="288"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2</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985C46">
            <w:pPr>
              <w:spacing w:beforeLines="0" w:afterLines="0" w:line="288"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内外墙涂料</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EB984B">
            <w:pPr>
              <w:spacing w:beforeLines="0" w:afterLines="0" w:line="360" w:lineRule="auto"/>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kern w:val="0"/>
                <w:sz w:val="24"/>
                <w:szCs w:val="24"/>
                <w:lang w:val="en-US"/>
              </w:rPr>
              <w:t>立邦、多乐士、三棵树、嘉宝莉</w:t>
            </w:r>
          </w:p>
        </w:tc>
        <w:tc>
          <w:tcPr>
            <w:tcW w:w="137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CF869B">
            <w:pPr>
              <w:spacing w:beforeLines="0" w:afterLines="0" w:line="288" w:lineRule="auto"/>
              <w:jc w:val="center"/>
              <w:rPr>
                <w:rFonts w:hint="eastAsia" w:asciiTheme="minorEastAsia" w:hAnsiTheme="minorEastAsia" w:eastAsiaTheme="minorEastAsia" w:cstheme="minorEastAsia"/>
                <w:b w:val="0"/>
                <w:bCs/>
                <w:sz w:val="24"/>
                <w:szCs w:val="24"/>
                <w:lang w:val="en-US"/>
              </w:rPr>
            </w:pPr>
          </w:p>
        </w:tc>
      </w:tr>
      <w:tr w14:paraId="117D178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Pr>
        <w:tc>
          <w:tcPr>
            <w:tcW w:w="8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8ECC7D">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3</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242041">
            <w:pPr>
              <w:spacing w:beforeLines="0" w:afterLines="0"/>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瓷砖</w:t>
            </w:r>
          </w:p>
          <w:p w14:paraId="36A59D7A">
            <w:pPr>
              <w:spacing w:beforeLines="0" w:afterLines="0"/>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（地砖、墙砖、抛光砖、玻化砖）</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E18663">
            <w:pPr>
              <w:spacing w:beforeLines="0" w:afterLines="0"/>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东鹏、诺贝尔、马可波罗、蒙娜丽莎</w:t>
            </w:r>
          </w:p>
        </w:tc>
        <w:tc>
          <w:tcPr>
            <w:tcW w:w="137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79C7E1">
            <w:pPr>
              <w:spacing w:beforeLines="0" w:afterLines="0"/>
              <w:jc w:val="center"/>
              <w:rPr>
                <w:rFonts w:hint="eastAsia" w:asciiTheme="minorEastAsia" w:hAnsiTheme="minorEastAsia" w:eastAsiaTheme="minorEastAsia" w:cstheme="minorEastAsia"/>
                <w:b w:val="0"/>
                <w:bCs/>
                <w:sz w:val="24"/>
                <w:szCs w:val="24"/>
                <w:lang w:val="en-US"/>
              </w:rPr>
            </w:pPr>
          </w:p>
        </w:tc>
      </w:tr>
      <w:tr w14:paraId="5D5F731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Pr>
        <w:tc>
          <w:tcPr>
            <w:tcW w:w="8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CA4997">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4</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3C1E55">
            <w:pPr>
              <w:spacing w:beforeLines="0" w:afterLines="0" w:line="288"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zh-CN"/>
              </w:rPr>
              <w:t>成品钢制防盗门</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93C1E4">
            <w:pPr>
              <w:spacing w:beforeLines="0" w:afterLines="0" w:line="288" w:lineRule="auto"/>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kern w:val="0"/>
                <w:sz w:val="24"/>
                <w:szCs w:val="24"/>
                <w:lang w:val="en-US"/>
              </w:rPr>
              <w:t>步阳、王力、群升</w:t>
            </w:r>
          </w:p>
        </w:tc>
        <w:tc>
          <w:tcPr>
            <w:tcW w:w="137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D4DD5B">
            <w:pPr>
              <w:spacing w:beforeLines="0" w:afterLines="0" w:line="360" w:lineRule="auto"/>
              <w:jc w:val="center"/>
              <w:rPr>
                <w:rFonts w:hint="eastAsia" w:asciiTheme="minorEastAsia" w:hAnsiTheme="minorEastAsia" w:eastAsiaTheme="minorEastAsia" w:cstheme="minorEastAsia"/>
                <w:b w:val="0"/>
                <w:bCs/>
                <w:kern w:val="0"/>
                <w:sz w:val="24"/>
                <w:szCs w:val="24"/>
                <w:lang w:val="en-US"/>
              </w:rPr>
            </w:pPr>
          </w:p>
        </w:tc>
      </w:tr>
      <w:tr w14:paraId="0BEFACC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Pr>
        <w:tc>
          <w:tcPr>
            <w:tcW w:w="8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998868">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5</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D8FBDD">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石塑地板</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78E1990">
            <w:pPr>
              <w:spacing w:beforeLines="0" w:afterLines="0" w:line="360" w:lineRule="auto"/>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华丽、天振、金鼠、海象</w:t>
            </w:r>
            <w:bookmarkStart w:id="0" w:name="_GoBack"/>
            <w:bookmarkEnd w:id="0"/>
          </w:p>
        </w:tc>
        <w:tc>
          <w:tcPr>
            <w:tcW w:w="137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27E6F734">
            <w:pPr>
              <w:spacing w:beforeLines="0" w:afterLines="0" w:line="360" w:lineRule="auto"/>
              <w:jc w:val="center"/>
              <w:rPr>
                <w:rFonts w:hint="eastAsia" w:asciiTheme="minorEastAsia" w:hAnsiTheme="minorEastAsia" w:eastAsiaTheme="minorEastAsia" w:cstheme="minorEastAsia"/>
                <w:b w:val="0"/>
                <w:bCs/>
                <w:kern w:val="0"/>
                <w:sz w:val="24"/>
                <w:szCs w:val="24"/>
                <w:lang w:val="en-US"/>
              </w:rPr>
            </w:pPr>
          </w:p>
        </w:tc>
      </w:tr>
      <w:tr w14:paraId="4FD485E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Pr>
        <w:tc>
          <w:tcPr>
            <w:tcW w:w="8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F2B006F">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6</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C308B2">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石膏板（轻钢龙骨）</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556C0B3">
            <w:pPr>
              <w:spacing w:beforeLines="0" w:afterLines="0"/>
              <w:jc w:val="left"/>
              <w:rPr>
                <w:rFonts w:hint="eastAsia" w:asciiTheme="minorEastAsia" w:hAnsiTheme="minorEastAsia" w:eastAsiaTheme="minorEastAsia" w:cstheme="minorEastAsia"/>
                <w:b w:val="0"/>
                <w:bCs/>
                <w:kern w:val="0"/>
                <w:sz w:val="24"/>
                <w:szCs w:val="24"/>
                <w:lang w:val="en-US"/>
              </w:rPr>
            </w:pPr>
            <w:r>
              <w:rPr>
                <w:rFonts w:hint="eastAsia" w:asciiTheme="minorEastAsia" w:hAnsiTheme="minorEastAsia" w:eastAsiaTheme="minorEastAsia" w:cstheme="minorEastAsia"/>
                <w:b w:val="0"/>
                <w:bCs/>
                <w:kern w:val="0"/>
                <w:sz w:val="24"/>
                <w:szCs w:val="24"/>
                <w:lang w:val="en-US"/>
              </w:rPr>
              <w:t>龙牌、泰山、可耐福、千年舟</w:t>
            </w:r>
          </w:p>
        </w:tc>
        <w:tc>
          <w:tcPr>
            <w:tcW w:w="137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BB614D">
            <w:pPr>
              <w:spacing w:beforeLines="0" w:afterLines="0" w:line="360" w:lineRule="auto"/>
              <w:jc w:val="center"/>
              <w:rPr>
                <w:rFonts w:hint="eastAsia" w:asciiTheme="minorEastAsia" w:hAnsiTheme="minorEastAsia" w:eastAsiaTheme="minorEastAsia" w:cstheme="minorEastAsia"/>
                <w:b w:val="0"/>
                <w:bCs/>
                <w:kern w:val="0"/>
                <w:sz w:val="24"/>
                <w:szCs w:val="24"/>
                <w:lang w:val="en-US"/>
              </w:rPr>
            </w:pPr>
          </w:p>
        </w:tc>
      </w:tr>
      <w:tr w14:paraId="30AAF47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After w:val="1"/>
          <w:wAfter w:w="10" w:type="dxa"/>
          <w:trHeight w:val="482" w:hRule="atLeast"/>
        </w:trPr>
        <w:tc>
          <w:tcPr>
            <w:tcW w:w="9779"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3D5CDE">
            <w:pPr>
              <w:spacing w:beforeLines="0" w:afterLines="0"/>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二、安装部分</w:t>
            </w:r>
          </w:p>
        </w:tc>
      </w:tr>
      <w:tr w14:paraId="013D269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After w:val="1"/>
          <w:wAfter w:w="10" w:type="dxa"/>
          <w:trHeight w:val="444" w:hRule="atLeast"/>
        </w:trPr>
        <w:tc>
          <w:tcPr>
            <w:tcW w:w="85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4F5488">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1</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A124D9">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电线、电缆</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192667">
            <w:pPr>
              <w:spacing w:beforeLines="0" w:afterLines="0" w:line="360" w:lineRule="auto"/>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kern w:val="0"/>
                <w:sz w:val="24"/>
                <w:szCs w:val="24"/>
                <w:lang w:val="en-US"/>
              </w:rPr>
              <w:t>中策、蓝天、菊花、六环、上上</w:t>
            </w:r>
          </w:p>
        </w:tc>
        <w:tc>
          <w:tcPr>
            <w:tcW w:w="136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CDDAB3">
            <w:pPr>
              <w:spacing w:beforeLines="0" w:afterLines="0" w:line="360" w:lineRule="auto"/>
              <w:jc w:val="center"/>
              <w:rPr>
                <w:rFonts w:hint="eastAsia" w:asciiTheme="minorEastAsia" w:hAnsiTheme="minorEastAsia" w:eastAsiaTheme="minorEastAsia" w:cstheme="minorEastAsia"/>
                <w:b w:val="0"/>
                <w:bCs/>
                <w:kern w:val="0"/>
                <w:sz w:val="24"/>
                <w:szCs w:val="24"/>
                <w:lang w:val="en-US"/>
              </w:rPr>
            </w:pPr>
          </w:p>
        </w:tc>
      </w:tr>
      <w:tr w14:paraId="32C4FC8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After w:val="1"/>
          <w:wAfter w:w="10" w:type="dxa"/>
        </w:trPr>
        <w:tc>
          <w:tcPr>
            <w:tcW w:w="857"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B2C152">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2</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4EE9F9F">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非金属管材</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C9629E">
            <w:pPr>
              <w:spacing w:beforeLines="0" w:afterLines="0" w:line="360" w:lineRule="auto"/>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kern w:val="0"/>
                <w:sz w:val="24"/>
                <w:szCs w:val="24"/>
                <w:lang w:val="en-US"/>
              </w:rPr>
              <w:t>中财、冠益、伟星、公元、联塑</w:t>
            </w:r>
          </w:p>
        </w:tc>
        <w:tc>
          <w:tcPr>
            <w:tcW w:w="136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0AA2E9">
            <w:pPr>
              <w:spacing w:beforeLines="0" w:afterLines="0" w:line="360" w:lineRule="auto"/>
              <w:jc w:val="center"/>
              <w:rPr>
                <w:rFonts w:hint="eastAsia" w:asciiTheme="minorEastAsia" w:hAnsiTheme="minorEastAsia" w:eastAsiaTheme="minorEastAsia" w:cstheme="minorEastAsia"/>
                <w:b w:val="0"/>
                <w:bCs/>
                <w:kern w:val="0"/>
                <w:sz w:val="24"/>
                <w:szCs w:val="24"/>
                <w:lang w:val="en-US"/>
              </w:rPr>
            </w:pPr>
          </w:p>
        </w:tc>
      </w:tr>
      <w:tr w14:paraId="43FCD64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Pr>
        <w:tc>
          <w:tcPr>
            <w:tcW w:w="8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180664">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3</w:t>
            </w: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C43732">
            <w:pPr>
              <w:spacing w:beforeLines="0" w:afterLines="0" w:line="360" w:lineRule="auto"/>
              <w:jc w:val="center"/>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镀锌管、衬塑管</w:t>
            </w: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E5174F">
            <w:pPr>
              <w:spacing w:beforeLines="0" w:afterLines="0" w:line="360" w:lineRule="auto"/>
              <w:jc w:val="left"/>
              <w:rPr>
                <w:rFonts w:hint="eastAsia" w:asciiTheme="minorEastAsia" w:hAnsiTheme="minorEastAsia" w:eastAsiaTheme="minorEastAsia" w:cstheme="minorEastAsia"/>
                <w:b w:val="0"/>
                <w:bCs/>
                <w:sz w:val="24"/>
                <w:szCs w:val="24"/>
                <w:lang w:val="en-US"/>
              </w:rPr>
            </w:pPr>
            <w:r>
              <w:rPr>
                <w:rFonts w:hint="eastAsia" w:asciiTheme="minorEastAsia" w:hAnsiTheme="minorEastAsia" w:eastAsiaTheme="minorEastAsia" w:cstheme="minorEastAsia"/>
                <w:b w:val="0"/>
                <w:bCs/>
                <w:sz w:val="24"/>
                <w:szCs w:val="24"/>
                <w:lang w:val="en-US"/>
              </w:rPr>
              <w:t>金洲、增洲、友发、华岐、利达</w:t>
            </w:r>
          </w:p>
        </w:tc>
        <w:tc>
          <w:tcPr>
            <w:tcW w:w="137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84B1FF">
            <w:pPr>
              <w:spacing w:beforeLines="0" w:afterLines="0" w:line="360" w:lineRule="auto"/>
              <w:jc w:val="center"/>
              <w:rPr>
                <w:rFonts w:hint="eastAsia" w:asciiTheme="minorEastAsia" w:hAnsiTheme="minorEastAsia" w:eastAsiaTheme="minorEastAsia" w:cstheme="minorEastAsia"/>
                <w:b w:val="0"/>
                <w:bCs/>
                <w:kern w:val="0"/>
                <w:sz w:val="24"/>
                <w:szCs w:val="24"/>
                <w:lang w:val="en-US"/>
              </w:rPr>
            </w:pPr>
          </w:p>
        </w:tc>
      </w:tr>
      <w:tr w14:paraId="560CEE2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Height w:val="364" w:hRule="atLeast"/>
        </w:trPr>
        <w:tc>
          <w:tcPr>
            <w:tcW w:w="8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8DD19E">
            <w:pPr>
              <w:spacing w:beforeLines="0" w:afterLines="0" w:line="360" w:lineRule="auto"/>
              <w:jc w:val="center"/>
              <w:rPr>
                <w:rFonts w:hint="eastAsia" w:asciiTheme="minorEastAsia" w:hAnsiTheme="minorEastAsia" w:eastAsiaTheme="minorEastAsia" w:cstheme="minorEastAsia"/>
                <w:b w:val="0"/>
                <w:bCs/>
                <w:sz w:val="24"/>
                <w:szCs w:val="24"/>
                <w:lang w:val="en-US"/>
              </w:rPr>
            </w:pPr>
          </w:p>
        </w:tc>
        <w:tc>
          <w:tcPr>
            <w:tcW w:w="32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7C9252">
            <w:pPr>
              <w:spacing w:beforeLines="0" w:afterLines="0" w:line="360" w:lineRule="auto"/>
              <w:jc w:val="center"/>
              <w:rPr>
                <w:rFonts w:hint="eastAsia" w:asciiTheme="minorEastAsia" w:hAnsiTheme="minorEastAsia" w:eastAsiaTheme="minorEastAsia" w:cstheme="minorEastAsia"/>
                <w:b w:val="0"/>
                <w:bCs/>
                <w:kern w:val="0"/>
                <w:sz w:val="24"/>
                <w:szCs w:val="24"/>
                <w:lang w:val="en-US"/>
              </w:rPr>
            </w:pPr>
          </w:p>
        </w:tc>
        <w:tc>
          <w:tcPr>
            <w:tcW w:w="42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7A42E1">
            <w:pPr>
              <w:spacing w:beforeLines="0" w:afterLines="0" w:line="360" w:lineRule="auto"/>
              <w:jc w:val="left"/>
              <w:rPr>
                <w:rFonts w:hint="eastAsia" w:asciiTheme="minorEastAsia" w:hAnsiTheme="minorEastAsia" w:eastAsiaTheme="minorEastAsia" w:cstheme="minorEastAsia"/>
                <w:b w:val="0"/>
                <w:bCs/>
                <w:kern w:val="0"/>
                <w:sz w:val="24"/>
                <w:szCs w:val="24"/>
                <w:lang w:val="en-US"/>
              </w:rPr>
            </w:pPr>
          </w:p>
        </w:tc>
        <w:tc>
          <w:tcPr>
            <w:tcW w:w="137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09B7E2B5">
            <w:pPr>
              <w:spacing w:beforeLines="0" w:afterLines="0" w:line="288" w:lineRule="auto"/>
              <w:jc w:val="center"/>
              <w:rPr>
                <w:rFonts w:hint="eastAsia" w:asciiTheme="minorEastAsia" w:hAnsiTheme="minorEastAsia" w:eastAsiaTheme="minorEastAsia" w:cstheme="minorEastAsia"/>
                <w:b w:val="0"/>
                <w:bCs/>
                <w:kern w:val="0"/>
                <w:sz w:val="24"/>
                <w:szCs w:val="24"/>
                <w:lang w:val="en-US"/>
              </w:rPr>
            </w:pPr>
          </w:p>
        </w:tc>
      </w:tr>
      <w:tr w14:paraId="7224454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After w:val="1"/>
          <w:wAfter w:w="10" w:type="dxa"/>
          <w:trHeight w:val="1730" w:hRule="atLeast"/>
        </w:trPr>
        <w:tc>
          <w:tcPr>
            <w:tcW w:w="9779"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14:paraId="43ADF05F">
            <w:pPr>
              <w:spacing w:beforeLines="0" w:afterLines="0" w:line="460" w:lineRule="exact"/>
              <w:jc w:val="left"/>
              <w:rPr>
                <w:rFonts w:hint="eastAsia" w:asciiTheme="minorEastAsia" w:hAnsiTheme="minorEastAsia" w:eastAsiaTheme="minorEastAsia" w:cstheme="minorEastAsia"/>
                <w:b w:val="0"/>
                <w:bCs/>
                <w:sz w:val="24"/>
                <w:szCs w:val="24"/>
                <w:lang w:val="zh-CN"/>
              </w:rPr>
            </w:pPr>
            <w:r>
              <w:rPr>
                <w:rFonts w:hint="eastAsia" w:asciiTheme="minorEastAsia" w:hAnsiTheme="minorEastAsia" w:eastAsiaTheme="minorEastAsia" w:cstheme="minorEastAsia"/>
                <w:b w:val="0"/>
                <w:bCs/>
                <w:sz w:val="24"/>
                <w:szCs w:val="24"/>
                <w:lang w:val="zh-CN"/>
              </w:rPr>
              <w:t>①施工过程中承包人须在招标人推荐品牌中选择；如中标人在实际施工中采购的产品质量不符合招标文件及国家有关规定规范和标准的，则由招标人在招标文件中规定的材料品牌中选定，价格仍按中标人的投标文件执行。</w:t>
            </w:r>
          </w:p>
        </w:tc>
      </w:tr>
      <w:tr w14:paraId="0CE5D4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 w:type="dxa"/>
            <w:bottom w:w="0" w:type="dxa"/>
            <w:right w:w="10" w:type="dxa"/>
          </w:tblCellMar>
        </w:tblPrEx>
        <w:trPr>
          <w:gridBefore w:val="1"/>
          <w:wBefore w:w="20" w:type="dxa"/>
          <w:trHeight w:val="670" w:hRule="atLeast"/>
        </w:trPr>
        <w:tc>
          <w:tcPr>
            <w:tcW w:w="9769"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0B2917">
            <w:pPr>
              <w:spacing w:beforeLines="0" w:afterLines="0" w:line="460" w:lineRule="exact"/>
              <w:jc w:val="left"/>
              <w:rPr>
                <w:rFonts w:hint="eastAsia" w:asciiTheme="minorEastAsia" w:hAnsiTheme="minorEastAsia" w:eastAsiaTheme="minorEastAsia" w:cstheme="minorEastAsia"/>
                <w:b w:val="0"/>
                <w:bCs/>
                <w:sz w:val="24"/>
                <w:szCs w:val="24"/>
                <w:lang w:val="zh-CN"/>
              </w:rPr>
            </w:pPr>
            <w:r>
              <w:rPr>
                <w:rFonts w:hint="eastAsia" w:asciiTheme="minorEastAsia" w:hAnsiTheme="minorEastAsia" w:eastAsiaTheme="minorEastAsia" w:cstheme="minorEastAsia"/>
                <w:b w:val="0"/>
                <w:bCs/>
                <w:sz w:val="24"/>
                <w:szCs w:val="24"/>
                <w:lang w:val="zh-CN"/>
              </w:rPr>
              <w:t>②以上材料、材质等技术参数按要求及招标文件有关要求。</w:t>
            </w:r>
          </w:p>
        </w:tc>
      </w:tr>
    </w:tbl>
    <w:p w14:paraId="6B6A7882">
      <w:pPr>
        <w:numPr>
          <w:ilvl w:val="0"/>
          <w:numId w:val="0"/>
        </w:numPr>
        <w:spacing w:beforeLines="0" w:afterLines="0"/>
        <w:jc w:val="both"/>
        <w:rPr>
          <w:rFonts w:hint="eastAsia" w:asciiTheme="minorEastAsia" w:hAnsiTheme="minorEastAsia" w:eastAsiaTheme="minorEastAsia" w:cstheme="minorEastAsia"/>
          <w:b w:val="0"/>
          <w:bCs/>
          <w:sz w:val="28"/>
          <w:szCs w:val="28"/>
          <w:lang w:val="zh-CN" w:eastAsia="zh-CN"/>
        </w:rPr>
      </w:pPr>
    </w:p>
    <w:sectPr>
      <w:pgSz w:w="12240" w:h="15840"/>
      <w:pgMar w:top="1440" w:right="1463" w:bottom="1440" w:left="1463"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44F669"/>
    <w:multiLevelType w:val="singleLevel"/>
    <w:tmpl w:val="7844F669"/>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F5E3313"/>
    <w:rsid w:val="31916BBB"/>
    <w:rsid w:val="70323835"/>
    <w:rsid w:val="7AE74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1280</Words>
  <Characters>1425</Characters>
  <Lines>0</Lines>
  <Paragraphs>0</Paragraphs>
  <TotalTime>6</TotalTime>
  <ScaleCrop>false</ScaleCrop>
  <LinksUpToDate>false</LinksUpToDate>
  <CharactersWithSpaces>1427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2026-05-21T07:13:00Z</dcterms:created>
  <dc:creator>Administrator</dc:creator>
  <cp:lastModifiedBy>A金雅珍－万全招标13566956261</cp:lastModifiedBy>
  <dcterms:modified xsi:type="dcterms:W3CDTF">2026-06-03T08:20:29Z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eyJoZGlkIjoiZDg4NmVjYWJkMTRlNTYyMDZmYjBjNzRhNjUxZTEzMWQiLCJ1c2VySWQiOiI5MzE5Mjc4NTgifQ==</vt:lpwstr>
  </property>
  <property fmtid="{D5CDD505-2E9C-101B-9397-08002B2CF9AE}" pid="4" name="ICV">
    <vt:lpwstr>2A6B98B17D7B474484D2A9C533101353_12</vt:lpwstr>
  </property>
</Properties>
</file>