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E49C">
      <w:pPr>
        <w:adjustRightInd w:val="0"/>
        <w:spacing w:after="0" w:line="360" w:lineRule="auto"/>
        <w:jc w:val="center"/>
        <w:textAlignment w:val="baseline"/>
        <w:outlineLvl w:val="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14:paraId="2A5F6FEE">
      <w:pPr>
        <w:adjustRightInd w:val="0"/>
        <w:spacing w:after="0" w:line="360" w:lineRule="auto"/>
        <w:jc w:val="center"/>
        <w:textAlignment w:val="baseline"/>
        <w:outlineLvl w:val="0"/>
        <w:rPr>
          <w:rFonts w:hint="eastAsia" w:ascii="仿宋" w:hAnsi="仿宋" w:eastAsia="仿宋" w:cs="仿宋"/>
          <w:b/>
          <w:bCs/>
          <w:color w:val="000000" w:themeColor="text1"/>
          <w:sz w:val="48"/>
          <w:szCs w:val="48"/>
          <w:highlight w:val="none"/>
          <w:u w:val="none"/>
          <w:lang w:val="en-US" w:eastAsia="zh-CN"/>
          <w14:textFill>
            <w14:solidFill>
              <w14:schemeClr w14:val="tx1"/>
            </w14:solidFill>
          </w14:textFill>
        </w:rPr>
      </w:pPr>
      <w:bookmarkStart w:id="0" w:name="_Toc23228"/>
      <w:r>
        <w:rPr>
          <w:rFonts w:hint="eastAsia" w:ascii="仿宋" w:hAnsi="仿宋" w:eastAsia="仿宋" w:cs="仿宋"/>
          <w:b/>
          <w:bCs/>
          <w:color w:val="000000" w:themeColor="text1"/>
          <w:sz w:val="48"/>
          <w:szCs w:val="48"/>
          <w:highlight w:val="none"/>
          <w:u w:val="none"/>
          <w:lang w:val="en-US" w:eastAsia="zh-CN"/>
          <w14:textFill>
            <w14:solidFill>
              <w14:schemeClr w14:val="tx1"/>
            </w14:solidFill>
          </w14:textFill>
        </w:rPr>
        <w:t>楚雄彝族自治州人民医院2026年一批消毒清洗设备采购</w:t>
      </w:r>
      <w:bookmarkEnd w:id="0"/>
    </w:p>
    <w:p w14:paraId="30CF6E25">
      <w:pPr>
        <w:adjustRightInd w:val="0"/>
        <w:spacing w:after="0" w:line="360" w:lineRule="auto"/>
        <w:jc w:val="center"/>
        <w:textAlignment w:val="baseline"/>
        <w:outlineLvl w:val="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14:paraId="7F63B892">
      <w:pPr>
        <w:adjustRightInd w:val="0"/>
        <w:spacing w:after="0" w:line="360" w:lineRule="auto"/>
        <w:jc w:val="center"/>
        <w:textAlignment w:val="baseline"/>
        <w:outlineLvl w:val="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p>
    <w:p w14:paraId="200868B9">
      <w:pPr>
        <w:adjustRightInd w:val="0"/>
        <w:spacing w:after="0" w:line="360" w:lineRule="auto"/>
        <w:jc w:val="center"/>
        <w:textAlignment w:val="baseline"/>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 w:name="_Toc4744"/>
      <w:bookmarkStart w:id="2" w:name="_Toc302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drawing>
          <wp:inline distT="0" distB="0" distL="114300" distR="114300">
            <wp:extent cx="1623695" cy="1623695"/>
            <wp:effectExtent l="0" t="0" r="14605" b="14605"/>
            <wp:docPr id="13" name="图片 13" descr="logo图片_2024011517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logo图片_20240115170004"/>
                    <pic:cNvPicPr>
                      <a:picLocks noChangeAspect="1"/>
                    </pic:cNvPicPr>
                  </pic:nvPicPr>
                  <pic:blipFill>
                    <a:blip r:embed="rId23"/>
                    <a:stretch>
                      <a:fillRect/>
                    </a:stretch>
                  </pic:blipFill>
                  <pic:spPr>
                    <a:xfrm>
                      <a:off x="0" y="0"/>
                      <a:ext cx="1623695" cy="1623695"/>
                    </a:xfrm>
                    <a:prstGeom prst="rect">
                      <a:avLst/>
                    </a:prstGeom>
                  </pic:spPr>
                </pic:pic>
              </a:graphicData>
            </a:graphic>
          </wp:inline>
        </w:drawing>
      </w:r>
    </w:p>
    <w:bookmarkEnd w:id="1"/>
    <w:bookmarkEnd w:id="2"/>
    <w:p w14:paraId="31D908BC">
      <w:pPr>
        <w:pStyle w:val="4"/>
        <w:spacing w:line="240" w:lineRule="auto"/>
        <w:ind w:left="0" w:leftChars="0" w:firstLine="0" w:firstLineChars="0"/>
        <w:jc w:val="center"/>
        <w:rPr>
          <w:rFonts w:hint="eastAsia" w:ascii="仿宋" w:hAnsi="仿宋" w:eastAsia="仿宋" w:cs="仿宋"/>
          <w:b/>
          <w:bCs/>
          <w:i w:val="0"/>
          <w:iCs w:val="0"/>
          <w:color w:val="000000" w:themeColor="text1"/>
          <w:kern w:val="0"/>
          <w:sz w:val="48"/>
          <w:szCs w:val="48"/>
          <w:highlight w:val="none"/>
          <w:lang w:eastAsia="zh-CN"/>
          <w14:textFill>
            <w14:solidFill>
              <w14:schemeClr w14:val="tx1"/>
            </w14:solidFill>
          </w14:textFill>
        </w:rPr>
      </w:pPr>
      <w:r>
        <w:rPr>
          <w:rFonts w:hint="eastAsia" w:ascii="仿宋" w:hAnsi="仿宋" w:eastAsia="仿宋" w:cs="仿宋"/>
          <w:b/>
          <w:bCs/>
          <w:color w:val="000000" w:themeColor="text1"/>
          <w:kern w:val="0"/>
          <w:sz w:val="56"/>
          <w:szCs w:val="56"/>
          <w:highlight w:val="none"/>
          <w:lang w:eastAsia="zh-CN"/>
          <w14:textFill>
            <w14:solidFill>
              <w14:schemeClr w14:val="tx1"/>
            </w14:solidFill>
          </w14:textFill>
        </w:rPr>
        <w:t>招标文件</w:t>
      </w:r>
      <w:r>
        <w:rPr>
          <w:rFonts w:hint="eastAsia" w:ascii="仿宋" w:hAnsi="仿宋" w:eastAsia="仿宋" w:cs="仿宋"/>
          <w:b/>
          <w:bCs/>
          <w:color w:val="000000" w:themeColor="text1"/>
          <w:kern w:val="0"/>
          <w:sz w:val="48"/>
          <w:szCs w:val="48"/>
          <w:highlight w:val="none"/>
          <w14:textFill>
            <w14:solidFill>
              <w14:schemeClr w14:val="tx1"/>
            </w14:solidFill>
          </w14:textFill>
        </w:rPr>
        <w:br w:type="textWrapping"/>
      </w:r>
      <w:r>
        <w:rPr>
          <w:rFonts w:hint="eastAsia" w:ascii="仿宋" w:hAnsi="仿宋" w:eastAsia="仿宋" w:cs="仿宋"/>
          <w:b/>
          <w:bCs/>
          <w:i w:val="0"/>
          <w:iCs w:val="0"/>
          <w:color w:val="000000" w:themeColor="text1"/>
          <w:kern w:val="0"/>
          <w:sz w:val="44"/>
          <w:szCs w:val="44"/>
          <w:highlight w:val="none"/>
          <w:lang w:eastAsia="zh-CN"/>
          <w14:textFill>
            <w14:solidFill>
              <w14:schemeClr w14:val="tx1"/>
            </w14:solidFill>
          </w14:textFill>
        </w:rPr>
        <w:t>（</w:t>
      </w:r>
      <w:r>
        <w:rPr>
          <w:rFonts w:hint="eastAsia" w:ascii="仿宋" w:hAnsi="仿宋" w:eastAsia="仿宋" w:cs="仿宋"/>
          <w:b/>
          <w:bCs/>
          <w:i w:val="0"/>
          <w:iCs w:val="0"/>
          <w:color w:val="000000" w:themeColor="text1"/>
          <w:kern w:val="0"/>
          <w:sz w:val="44"/>
          <w:szCs w:val="44"/>
          <w:highlight w:val="none"/>
          <w:lang w:val="en-US" w:eastAsia="zh-CN"/>
          <w14:textFill>
            <w14:solidFill>
              <w14:schemeClr w14:val="tx1"/>
            </w14:solidFill>
          </w14:textFill>
        </w:rPr>
        <w:t>货物类</w:t>
      </w:r>
      <w:r>
        <w:rPr>
          <w:rFonts w:hint="eastAsia" w:ascii="仿宋" w:hAnsi="仿宋" w:eastAsia="仿宋" w:cs="仿宋"/>
          <w:b/>
          <w:bCs/>
          <w:i w:val="0"/>
          <w:iCs w:val="0"/>
          <w:color w:val="000000" w:themeColor="text1"/>
          <w:kern w:val="0"/>
          <w:sz w:val="44"/>
          <w:szCs w:val="44"/>
          <w:highlight w:val="none"/>
          <w:lang w:eastAsia="zh-CN"/>
          <w14:textFill>
            <w14:solidFill>
              <w14:schemeClr w14:val="tx1"/>
            </w14:solidFill>
          </w14:textFill>
        </w:rPr>
        <w:t>）</w:t>
      </w:r>
    </w:p>
    <w:p w14:paraId="1AE2A56C">
      <w:pPr>
        <w:pStyle w:val="4"/>
        <w:spacing w:line="480" w:lineRule="auto"/>
        <w:ind w:left="0" w:leftChars="0" w:firstLine="0" w:firstLineChars="0"/>
        <w:jc w:val="both"/>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pPr>
    </w:p>
    <w:p w14:paraId="747A96D7">
      <w:pPr>
        <w:pStyle w:val="4"/>
        <w:spacing w:line="480" w:lineRule="auto"/>
        <w:ind w:left="0" w:leftChars="0" w:firstLine="1205" w:firstLineChars="500"/>
        <w:jc w:val="both"/>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pPr>
    </w:p>
    <w:p w14:paraId="0A3ED005">
      <w:pPr>
        <w:rPr>
          <w:rFonts w:hint="eastAsia"/>
          <w:lang w:val="en-US" w:eastAsia="zh-CN"/>
        </w:rPr>
      </w:pPr>
    </w:p>
    <w:p w14:paraId="0FFD2447">
      <w:pPr>
        <w:pStyle w:val="4"/>
        <w:spacing w:line="480" w:lineRule="auto"/>
        <w:ind w:left="0" w:leftChars="0" w:firstLine="1606" w:firstLineChars="500"/>
        <w:jc w:val="both"/>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32"/>
          <w:szCs w:val="32"/>
          <w:highlight w:val="none"/>
          <w:lang w:val="en-US" w:eastAsia="zh-CN" w:bidi="ar-SA"/>
          <w14:textFill>
            <w14:solidFill>
              <w14:schemeClr w14:val="tx1"/>
            </w14:solidFill>
          </w14:textFill>
        </w:rPr>
        <w:t>项目编号：CXZC2026-G1-00365-YNCH-0005</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 </w:t>
      </w:r>
    </w:p>
    <w:p w14:paraId="4285D17C">
      <w:pPr>
        <w:ind w:firstLine="1285" w:firstLineChars="400"/>
        <w:rPr>
          <w:rFonts w:hint="eastAsia" w:ascii="仿宋" w:hAnsi="仿宋" w:eastAsia="仿宋" w:cs="仿宋"/>
          <w:sz w:val="32"/>
          <w:szCs w:val="32"/>
          <w:lang w:val="en-US" w:eastAsia="zh-CN"/>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政府采购计划编号：4532300JH202601061</w:t>
      </w:r>
    </w:p>
    <w:p w14:paraId="7C03764E">
      <w:pPr>
        <w:keepNext w:val="0"/>
        <w:keepLines w:val="0"/>
        <w:pageBreakBefore w:val="0"/>
        <w:widowControl w:val="0"/>
        <w:kinsoku/>
        <w:wordWrap/>
        <w:overflowPunct/>
        <w:topLinePunct w:val="0"/>
        <w:autoSpaceDE/>
        <w:autoSpaceDN/>
        <w:bidi w:val="0"/>
        <w:adjustRightInd w:val="0"/>
        <w:snapToGrid/>
        <w:spacing w:after="167" w:afterLines="50" w:line="360" w:lineRule="auto"/>
        <w:jc w:val="both"/>
        <w:textAlignment w:val="baseline"/>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040A70E8">
      <w:pPr>
        <w:keepNext w:val="0"/>
        <w:keepLines w:val="0"/>
        <w:pageBreakBefore w:val="0"/>
        <w:widowControl w:val="0"/>
        <w:kinsoku/>
        <w:wordWrap/>
        <w:overflowPunct/>
        <w:topLinePunct w:val="0"/>
        <w:autoSpaceDE/>
        <w:autoSpaceDN/>
        <w:bidi w:val="0"/>
        <w:adjustRightInd w:val="0"/>
        <w:snapToGrid/>
        <w:spacing w:after="167" w:afterLines="50" w:line="360" w:lineRule="auto"/>
        <w:jc w:val="both"/>
        <w:textAlignment w:val="baseline"/>
        <w:rPr>
          <w:rFonts w:hint="eastAsia" w:ascii="仿宋" w:hAnsi="仿宋" w:eastAsia="仿宋" w:cs="仿宋"/>
          <w:b/>
          <w:bCs/>
          <w:color w:val="000000" w:themeColor="text1"/>
          <w:sz w:val="28"/>
          <w:szCs w:val="28"/>
          <w:highlight w:val="none"/>
          <w:lang w:eastAsia="zh-CN"/>
          <w14:textFill>
            <w14:solidFill>
              <w14:schemeClr w14:val="tx1"/>
            </w14:solidFill>
          </w14:textFill>
        </w:rPr>
      </w:pPr>
    </w:p>
    <w:p w14:paraId="5A780839">
      <w:pPr>
        <w:keepNext w:val="0"/>
        <w:keepLines w:val="0"/>
        <w:pageBreakBefore w:val="0"/>
        <w:widowControl w:val="0"/>
        <w:kinsoku/>
        <w:wordWrap/>
        <w:overflowPunct/>
        <w:topLinePunct w:val="0"/>
        <w:autoSpaceDE/>
        <w:autoSpaceDN/>
        <w:bidi w:val="0"/>
        <w:adjustRightInd w:val="0"/>
        <w:snapToGrid/>
        <w:spacing w:after="167" w:afterLines="50" w:line="360" w:lineRule="auto"/>
        <w:ind w:firstLine="1285" w:firstLineChars="400"/>
        <w:jc w:val="both"/>
        <w:textAlignment w:val="baseline"/>
        <w:outlineLvl w:val="0"/>
        <w:rPr>
          <w:rFonts w:hint="eastAsia" w:ascii="仿宋" w:hAnsi="仿宋" w:eastAsia="仿宋" w:cs="仿宋"/>
          <w:b/>
          <w:bCs/>
          <w:color w:val="000000" w:themeColor="text1"/>
          <w:sz w:val="32"/>
          <w:szCs w:val="32"/>
          <w:highlight w:val="none"/>
          <w:lang w:eastAsia="zh-CN"/>
          <w14:textFill>
            <w14:solidFill>
              <w14:schemeClr w14:val="tx1"/>
            </w14:solidFill>
          </w14:textFill>
        </w:rPr>
      </w:pPr>
      <w:bookmarkStart w:id="3" w:name="_Toc28442"/>
      <w:bookmarkStart w:id="4" w:name="_Toc31005"/>
      <w:bookmarkStart w:id="5" w:name="_Toc16390"/>
      <w:bookmarkStart w:id="6" w:name="_Toc13877"/>
      <w:bookmarkStart w:id="7" w:name="_Toc19272"/>
      <w:bookmarkStart w:id="8" w:name="_Toc5320"/>
      <w:bookmarkStart w:id="9" w:name="_Toc16827"/>
      <w:bookmarkStart w:id="10" w:name="_Toc5498"/>
      <w:bookmarkStart w:id="11" w:name="_Toc1909"/>
      <w:bookmarkStart w:id="12" w:name="_Toc2241"/>
      <w:bookmarkStart w:id="13" w:name="_Toc32204"/>
      <w:bookmarkStart w:id="14" w:name="_Toc14120"/>
      <w:bookmarkStart w:id="15" w:name="_Toc18384"/>
      <w:bookmarkStart w:id="16" w:name="_Toc3978"/>
      <w:bookmarkStart w:id="17" w:name="_Toc26511"/>
      <w:bookmarkStart w:id="18" w:name="_Toc4368"/>
      <w:bookmarkStart w:id="19" w:name="_Toc14645"/>
      <w:r>
        <w:rPr>
          <w:rFonts w:hint="eastAsia" w:ascii="仿宋" w:hAnsi="仿宋" w:eastAsia="仿宋" w:cs="仿宋"/>
          <w:b/>
          <w:bCs/>
          <w:color w:val="000000" w:themeColor="text1"/>
          <w:sz w:val="32"/>
          <w:szCs w:val="32"/>
          <w:highlight w:val="none"/>
          <w:lang w:eastAsia="zh-CN"/>
          <w14:textFill>
            <w14:solidFill>
              <w14:schemeClr w14:val="tx1"/>
            </w14:solidFill>
          </w14:textFill>
        </w:rPr>
        <w:t>采</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lang w:eastAsia="zh-CN"/>
          <w14:textFill>
            <w14:solidFill>
              <w14:schemeClr w14:val="tx1"/>
            </w14:solidFill>
          </w14:textFill>
        </w:rPr>
        <w:t>购</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lang w:eastAsia="zh-CN"/>
          <w14:textFill>
            <w14:solidFill>
              <w14:schemeClr w14:val="tx1"/>
            </w14:solidFill>
          </w14:textFill>
        </w:rPr>
        <w:t>人</w:t>
      </w:r>
      <w:r>
        <w:rPr>
          <w:rFonts w:hint="eastAsia" w:ascii="仿宋" w:hAnsi="仿宋" w:eastAsia="仿宋" w:cs="仿宋"/>
          <w:b/>
          <w:bCs/>
          <w:color w:val="000000" w:themeColor="text1"/>
          <w:sz w:val="32"/>
          <w:szCs w:val="32"/>
          <w:highlight w:val="none"/>
          <w14:textFill>
            <w14:solidFill>
              <w14:schemeClr w14:val="tx1"/>
            </w14:solidFill>
          </w14:textFill>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 w:hAnsi="仿宋" w:eastAsia="仿宋" w:cs="仿宋"/>
          <w:b/>
          <w:bCs/>
          <w:color w:val="000000" w:themeColor="text1"/>
          <w:sz w:val="32"/>
          <w:szCs w:val="32"/>
          <w:highlight w:val="none"/>
          <w:lang w:eastAsia="zh-CN"/>
          <w14:textFill>
            <w14:solidFill>
              <w14:schemeClr w14:val="tx1"/>
            </w14:solidFill>
          </w14:textFill>
        </w:rPr>
        <w:t>楚雄彝族自治州人民医院</w:t>
      </w:r>
      <w:bookmarkEnd w:id="19"/>
    </w:p>
    <w:p w14:paraId="1FF159D8">
      <w:pPr>
        <w:keepNext w:val="0"/>
        <w:keepLines w:val="0"/>
        <w:pageBreakBefore w:val="0"/>
        <w:widowControl w:val="0"/>
        <w:kinsoku/>
        <w:wordWrap/>
        <w:overflowPunct/>
        <w:topLinePunct w:val="0"/>
        <w:autoSpaceDE/>
        <w:autoSpaceDN/>
        <w:bidi w:val="0"/>
        <w:adjustRightInd w:val="0"/>
        <w:snapToGrid/>
        <w:spacing w:after="167" w:afterLines="50" w:line="360" w:lineRule="auto"/>
        <w:ind w:firstLine="1285" w:firstLineChars="400"/>
        <w:jc w:val="both"/>
        <w:textAlignment w:val="baseline"/>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采购代理机构</w:t>
      </w:r>
      <w:r>
        <w:rPr>
          <w:rFonts w:hint="eastAsia" w:ascii="仿宋" w:hAnsi="仿宋" w:eastAsia="仿宋" w:cs="仿宋"/>
          <w:b/>
          <w:bCs/>
          <w:color w:val="000000" w:themeColor="text1"/>
          <w:sz w:val="32"/>
          <w:szCs w:val="32"/>
          <w:highlight w:val="none"/>
          <w14:textFill>
            <w14:solidFill>
              <w14:schemeClr w14:val="tx1"/>
            </w14:solidFill>
          </w14:textFill>
        </w:rPr>
        <w:t>：</w:t>
      </w:r>
      <w:r>
        <w:rPr>
          <w:rFonts w:hint="eastAsia" w:ascii="仿宋" w:hAnsi="仿宋" w:eastAsia="仿宋" w:cs="仿宋"/>
          <w:b/>
          <w:color w:val="000000" w:themeColor="text1"/>
          <w:sz w:val="32"/>
          <w:szCs w:val="32"/>
          <w:highlight w:val="none"/>
          <w:lang w:val="en-US" w:eastAsia="zh-CN"/>
          <w14:textFill>
            <w14:solidFill>
              <w14:schemeClr w14:val="tx1"/>
            </w14:solidFill>
          </w14:textFill>
        </w:rPr>
        <w:t>云南楚泓工程管理有限责任公司</w:t>
      </w:r>
    </w:p>
    <w:p w14:paraId="12393EA7">
      <w:pPr>
        <w:keepNext w:val="0"/>
        <w:keepLines w:val="0"/>
        <w:pageBreakBefore w:val="0"/>
        <w:widowControl w:val="0"/>
        <w:kinsoku/>
        <w:wordWrap w:val="0"/>
        <w:overflowPunct/>
        <w:topLinePunct/>
        <w:autoSpaceDE/>
        <w:autoSpaceDN/>
        <w:bidi w:val="0"/>
        <w:adjustRightInd/>
        <w:snapToGrid/>
        <w:spacing w:line="360" w:lineRule="auto"/>
        <w:ind w:right="0"/>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pgSz w:w="11906" w:h="16838"/>
          <w:pgMar w:top="1134" w:right="1134" w:bottom="1134" w:left="1134" w:header="851" w:footer="907" w:gutter="0"/>
          <w:cols w:space="425" w:num="1"/>
          <w:docGrid w:type="lines" w:linePitch="312" w:charSpace="0"/>
        </w:sectPr>
      </w:pPr>
      <w:bookmarkStart w:id="20" w:name="_Toc32694"/>
      <w:bookmarkStart w:id="21" w:name="_Toc15683"/>
      <w:bookmarkStart w:id="22" w:name="_Toc16431"/>
      <w:bookmarkStart w:id="23" w:name="_Toc8074"/>
      <w:bookmarkStart w:id="24" w:name="_Toc21516"/>
      <w:bookmarkStart w:id="25" w:name="_Toc4013"/>
      <w:bookmarkStart w:id="26" w:name="_Toc28790"/>
      <w:r>
        <w:rPr>
          <w:rFonts w:hint="eastAsia" w:ascii="仿宋" w:hAnsi="仿宋" w:eastAsia="仿宋" w:cs="仿宋"/>
          <w:b/>
          <w:color w:val="000000" w:themeColor="text1"/>
          <w:sz w:val="32"/>
          <w:szCs w:val="32"/>
          <w:highlight w:val="none"/>
          <w14:textFill>
            <w14:solidFill>
              <w14:schemeClr w14:val="tx1"/>
            </w14:solidFill>
          </w14:textFill>
        </w:rPr>
        <w:t>二〇二</w:t>
      </w:r>
      <w:r>
        <w:rPr>
          <w:rFonts w:hint="eastAsia" w:ascii="仿宋" w:hAnsi="仿宋" w:eastAsia="仿宋" w:cs="仿宋"/>
          <w:b/>
          <w:color w:val="000000" w:themeColor="text1"/>
          <w:sz w:val="32"/>
          <w:szCs w:val="32"/>
          <w:highlight w:val="none"/>
          <w:u w:val="none"/>
          <w:lang w:val="en-US" w:eastAsia="zh-CN"/>
          <w14:textFill>
            <w14:solidFill>
              <w14:schemeClr w14:val="tx1"/>
            </w14:solidFill>
          </w14:textFill>
        </w:rPr>
        <w:t>六</w:t>
      </w:r>
      <w:r>
        <w:rPr>
          <w:rFonts w:hint="eastAsia" w:ascii="仿宋" w:hAnsi="仿宋" w:eastAsia="仿宋" w:cs="仿宋"/>
          <w:b/>
          <w:color w:val="000000" w:themeColor="text1"/>
          <w:sz w:val="32"/>
          <w:szCs w:val="32"/>
          <w:highlight w:val="none"/>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b/>
          <w:color w:val="000000" w:themeColor="text1"/>
          <w:sz w:val="32"/>
          <w:szCs w:val="32"/>
          <w:highlight w:val="none"/>
          <w14:textFill>
            <w14:solidFill>
              <w14:schemeClr w14:val="tx1"/>
            </w14:solidFill>
          </w14:textFill>
        </w:rPr>
        <w:t>月</w:t>
      </w:r>
      <w:bookmarkEnd w:id="20"/>
      <w:bookmarkEnd w:id="21"/>
      <w:bookmarkEnd w:id="22"/>
      <w:bookmarkEnd w:id="23"/>
      <w:bookmarkEnd w:id="24"/>
      <w:bookmarkEnd w:id="25"/>
      <w:bookmarkEnd w:id="26"/>
    </w:p>
    <w:sdt>
      <w:sdtPr>
        <w:rPr>
          <w:rFonts w:hint="eastAsia" w:ascii="仿宋" w:hAnsi="仿宋" w:eastAsia="仿宋" w:cs="仿宋"/>
          <w:b/>
          <w:bCs/>
          <w:snapToGrid w:val="0"/>
          <w:color w:val="000000" w:themeColor="text1"/>
          <w:sz w:val="36"/>
          <w:szCs w:val="36"/>
          <w:highlight w:val="none"/>
          <w:lang w:val="en-US" w:eastAsia="en-US" w:bidi="ar-SA"/>
          <w14:textFill>
            <w14:solidFill>
              <w14:schemeClr w14:val="tx1"/>
            </w14:solidFill>
          </w14:textFill>
        </w:rPr>
        <w:id w:val="147466266"/>
        <w15:color w:val="DBDBDB"/>
        <w:docPartObj>
          <w:docPartGallery w:val="Table of Contents"/>
          <w:docPartUnique/>
        </w:docPartObj>
      </w:sdtPr>
      <w:sdtEndPr>
        <w:rPr>
          <w:rFonts w:hint="eastAsia" w:ascii="仿宋" w:hAnsi="仿宋" w:eastAsia="仿宋" w:cs="仿宋"/>
          <w:b/>
          <w:bCs/>
          <w:snapToGrid w:val="0"/>
          <w:color w:val="000000" w:themeColor="text1"/>
          <w:sz w:val="24"/>
          <w:szCs w:val="24"/>
          <w:highlight w:val="none"/>
          <w:lang w:val="en-US" w:eastAsia="en-US" w:bidi="ar-SA"/>
          <w14:textFill>
            <w14:solidFill>
              <w14:schemeClr w14:val="tx1"/>
            </w14:solidFill>
          </w14:textFill>
        </w:rPr>
      </w:sdtEndPr>
      <w:sdtContent>
        <w:p w14:paraId="35DC42E6">
          <w:pPr>
            <w:spacing w:before="0" w:beforeLines="0" w:after="0" w:afterLines="0" w:line="240" w:lineRule="auto"/>
            <w:ind w:left="0" w:leftChars="0" w:right="0" w:rightChars="0" w:firstLine="0" w:firstLineChars="0"/>
            <w:jc w:val="center"/>
            <w:rPr>
              <w:rFonts w:hint="eastAsia" w:ascii="仿宋" w:hAnsi="仿宋" w:eastAsia="仿宋" w:cs="仿宋"/>
              <w:sz w:val="24"/>
              <w:szCs w:val="24"/>
            </w:rPr>
          </w:pPr>
          <w:bookmarkStart w:id="27" w:name="_Toc4465"/>
          <w:bookmarkStart w:id="28" w:name="_Toc7692"/>
          <w:bookmarkStart w:id="29" w:name="_Hlk145057294"/>
          <w:r>
            <w:rPr>
              <w:rFonts w:hint="eastAsia" w:ascii="仿宋" w:hAnsi="仿宋" w:eastAsia="仿宋" w:cs="仿宋"/>
              <w:b/>
              <w:bCs/>
              <w:snapToGrid w:val="0"/>
              <w:color w:val="auto"/>
              <w:sz w:val="36"/>
              <w:szCs w:val="36"/>
              <w:highlight w:val="none"/>
              <w:lang w:val="en-US" w:eastAsia="en-US" w:bidi="ar-SA"/>
            </w:rPr>
            <w:t>目录</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"1-2"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14:paraId="014EC997">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sz w:val="24"/>
              <w:szCs w:val="24"/>
              <w:highlight w:val="none"/>
            </w:rPr>
            <w:instrText xml:space="preserve"> HYPERLINK \l _Toc16728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lang w:eastAsia="zh-CN"/>
            </w:rPr>
            <w:t xml:space="preserve">第一章 </w:t>
          </w:r>
          <w:r>
            <w:rPr>
              <w:rFonts w:hint="eastAsia" w:ascii="仿宋" w:hAnsi="仿宋" w:eastAsia="仿宋" w:cs="仿宋"/>
              <w:b/>
              <w:bCs/>
              <w:sz w:val="24"/>
              <w:szCs w:val="24"/>
              <w:highlight w:val="none"/>
              <w:lang w:eastAsia="zh-CN"/>
            </w:rPr>
            <w:t>招标公告</w:t>
          </w:r>
          <w:r>
            <w:rPr>
              <w:rFonts w:hint="eastAsia" w:ascii="仿宋" w:hAnsi="仿宋" w:eastAsia="仿宋" w:cs="仿宋"/>
              <w:b/>
              <w:bCs/>
              <w:sz w:val="24"/>
              <w:szCs w:val="24"/>
            </w:rPr>
            <w:tab/>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PAGEREF _Toc16728 \h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2</w:t>
          </w:r>
          <w:r>
            <w:rPr>
              <w:rFonts w:hint="eastAsia" w:ascii="仿宋" w:hAnsi="仿宋" w:eastAsia="仿宋" w:cs="仿宋"/>
              <w:b/>
              <w:bCs/>
              <w:sz w:val="24"/>
              <w:szCs w:val="24"/>
            </w:rPr>
            <w:fldChar w:fldCharType="end"/>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p>
        <w:p w14:paraId="434BB5CD">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_Toc12720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_Toc12720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6A0700E4">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_Toc10007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二、申请人的资格要求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_Toc10007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30572292">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_Toc13300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三、获取招标文件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_Toc13300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2DD5E2A3">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_Toc8392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四、提交投标文件截止时间、开标时间和地点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_Toc8392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5CA33BB7">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_Toc29783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五、公告期限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_Toc29783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13152509">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_Toc8052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六、其他补充事宜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_Toc8052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4AEFCE65">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_Toc4332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、对本次招标提出询问，请按以下方式联系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_Toc4332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55A5C190">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sz w:val="24"/>
              <w:szCs w:val="24"/>
              <w:highlight w:val="none"/>
            </w:rPr>
            <w:instrText xml:space="preserve"> HYPERLINK \l _Toc30602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eastAsia="zh-CN"/>
            </w:rPr>
            <w:t>第二章</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投标人须知</w:t>
          </w:r>
          <w:r>
            <w:rPr>
              <w:rFonts w:hint="eastAsia" w:ascii="仿宋" w:hAnsi="仿宋" w:eastAsia="仿宋" w:cs="仿宋"/>
              <w:b/>
              <w:bCs/>
              <w:sz w:val="24"/>
              <w:szCs w:val="24"/>
            </w:rPr>
            <w:tab/>
          </w:r>
          <w:r>
            <w:rPr>
              <w:rFonts w:hint="eastAsia" w:ascii="仿宋" w:hAnsi="仿宋" w:eastAsia="仿宋" w:cs="仿宋"/>
              <w:b/>
              <w:bCs/>
              <w:sz w:val="24"/>
              <w:szCs w:val="24"/>
              <w:lang w:val="en-US" w:eastAsia="zh-CN"/>
            </w:rPr>
            <w:t>6</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p>
        <w:p w14:paraId="0EF00313">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_Toc6222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一、投标人须知前附表</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_Toc6222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55D923FF">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_Toc18009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lang w:val="en-US" w:eastAsia="zh-CN"/>
            </w:rPr>
            <w:t>总则</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_Toc18009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15</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028704B5">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_Toc15499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三、投标</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_Toc15499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20</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603658C0">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_Toc5920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开标</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_Toc5920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23</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728469AF">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_Toc20234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五、评标</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_Toc20234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24</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51E432C3">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_Toc21456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lang w:eastAsia="zh-CN"/>
            </w:rPr>
            <w:t>意外情况的情形和处理</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_Toc21456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25</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083EDECD">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_Toc30211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七、中标和合同</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_Toc30211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32C1721D">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_Toc30211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询问、质疑和投诉</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_Toc30211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16DE6F1D">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_Toc30211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其他事项</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PAGEREF _Toc30211 \h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26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eastAsia="zh-CN"/>
            </w:rPr>
            <w:fldChar w:fldCharType="end"/>
          </w:r>
        </w:p>
        <w:p w14:paraId="1B00CA28">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sz w:val="24"/>
              <w:szCs w:val="24"/>
              <w:highlight w:val="none"/>
            </w:rPr>
            <w:instrText xml:space="preserve"> HYPERLINK \l _Toc4636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eastAsia="zh-CN"/>
            </w:rPr>
            <w:t>第</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lang w:eastAsia="zh-CN"/>
            </w:rPr>
            <w:t>章 采购需求及要求</w:t>
          </w:r>
          <w:r>
            <w:rPr>
              <w:rFonts w:hint="eastAsia" w:ascii="仿宋" w:hAnsi="仿宋" w:eastAsia="仿宋" w:cs="仿宋"/>
              <w:b/>
              <w:bCs/>
              <w:sz w:val="24"/>
              <w:szCs w:val="24"/>
            </w:rPr>
            <w:tab/>
          </w:r>
          <w:r>
            <w:rPr>
              <w:rFonts w:hint="eastAsia" w:ascii="仿宋" w:hAnsi="仿宋" w:eastAsia="仿宋" w:cs="仿宋"/>
              <w:b/>
              <w:bCs/>
              <w:sz w:val="24"/>
              <w:szCs w:val="24"/>
              <w:lang w:val="en-US" w:eastAsia="zh-CN"/>
            </w:rPr>
            <w:t>2</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w:t>
          </w:r>
        </w:p>
        <w:p w14:paraId="2501DF0B">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_Toc24048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一、特别说明与规定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_Toc24048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5C6CE2F7">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_Toc26541 </w:instrText>
          </w:r>
          <w:r>
            <w:rPr>
              <w:rFonts w:hint="eastAsia" w:ascii="仿宋" w:hAnsi="仿宋" w:eastAsia="仿宋" w:cs="仿宋"/>
              <w:bCs w:val="0"/>
              <w:sz w:val="24"/>
              <w:szCs w:val="24"/>
              <w:highlight w:val="none"/>
            </w:rPr>
            <w:fldChar w:fldCharType="separate"/>
          </w:r>
          <w:r>
            <w:rPr>
              <w:rFonts w:hint="eastAsia" w:ascii="仿宋" w:hAnsi="仿宋" w:eastAsia="仿宋" w:cs="仿宋"/>
              <w:snapToGrid w:val="0"/>
              <w:sz w:val="24"/>
              <w:szCs w:val="24"/>
              <w:highlight w:val="none"/>
              <w:lang w:val="en-US" w:eastAsia="zh-CN" w:bidi="ar-SA"/>
            </w:rPr>
            <w:t>二、</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_Toc26541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5C98F210">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_Toc28664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三、★商务要求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_Toc28664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19E4989E">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fldChar w:fldCharType="begin"/>
          </w:r>
          <w:r>
            <w:rPr>
              <w:rFonts w:hint="eastAsia" w:ascii="仿宋" w:hAnsi="仿宋" w:eastAsia="仿宋" w:cs="仿宋"/>
              <w:b/>
              <w:bCs/>
              <w:sz w:val="24"/>
              <w:szCs w:val="24"/>
              <w:highlight w:val="none"/>
            </w:rPr>
            <w:instrText xml:space="preserve"> HYPERLINK \l _Toc24317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第四章 评审办法</w:t>
          </w:r>
          <w:r>
            <w:rPr>
              <w:rFonts w:hint="eastAsia" w:ascii="仿宋" w:hAnsi="仿宋" w:eastAsia="仿宋" w:cs="仿宋"/>
              <w:b/>
              <w:bCs/>
              <w:sz w:val="24"/>
              <w:szCs w:val="24"/>
            </w:rPr>
            <w:tab/>
          </w:r>
          <w:r>
            <w:rPr>
              <w:rFonts w:hint="eastAsia" w:ascii="仿宋" w:hAnsi="仿宋" w:eastAsia="仿宋" w:cs="仿宋"/>
              <w:b/>
              <w:bCs/>
              <w:sz w:val="24"/>
              <w:szCs w:val="24"/>
              <w:lang w:val="en-US" w:eastAsia="zh-CN"/>
            </w:rPr>
            <w:t>3</w:t>
          </w:r>
          <w:r>
            <w:rPr>
              <w:rFonts w:hint="eastAsia" w:ascii="仿宋" w:hAnsi="仿宋" w:eastAsia="仿宋" w:cs="仿宋"/>
              <w:b/>
              <w:bCs/>
              <w:color w:val="000000" w:themeColor="text1"/>
              <w:sz w:val="24"/>
              <w:szCs w:val="24"/>
              <w:highlight w:val="none"/>
              <w14:textFill>
                <w14:solidFill>
                  <w14:schemeClr w14:val="tx1"/>
                </w14:solidFill>
              </w14:textFill>
            </w:rPr>
            <w:fldChar w:fldCharType="end"/>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w:t>
          </w:r>
        </w:p>
        <w:p w14:paraId="320DECC5">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_Toc20717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资格审查</w:t>
          </w:r>
          <w:r>
            <w:rPr>
              <w:rFonts w:hint="eastAsia" w:ascii="仿宋" w:hAnsi="仿宋" w:eastAsia="仿宋" w:cs="仿宋"/>
              <w:sz w:val="24"/>
              <w:szCs w:val="24"/>
              <w:highlight w:val="none"/>
              <w:lang w:val="en-US" w:eastAsia="zh-CN"/>
            </w:rPr>
            <w:t>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_Toc20717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5D0B3A7C">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_Toc31251 </w:instrText>
          </w:r>
          <w:r>
            <w:rPr>
              <w:rFonts w:hint="eastAsia" w:ascii="仿宋" w:hAnsi="仿宋" w:eastAsia="仿宋" w:cs="仿宋"/>
              <w:bCs w:val="0"/>
              <w:sz w:val="24"/>
              <w:szCs w:val="24"/>
              <w:highlight w:val="none"/>
            </w:rPr>
            <w:fldChar w:fldCharType="separate"/>
          </w:r>
          <w:r>
            <w:rPr>
              <w:rFonts w:hint="eastAsia" w:ascii="仿宋" w:hAnsi="仿宋" w:eastAsia="仿宋" w:cs="仿宋"/>
              <w:bCs/>
              <w:sz w:val="24"/>
              <w:szCs w:val="24"/>
              <w:highlight w:val="none"/>
              <w:lang w:val="en-US" w:eastAsia="zh-CN"/>
            </w:rPr>
            <w:t>二、</w:t>
          </w:r>
          <w:r>
            <w:rPr>
              <w:rFonts w:hint="eastAsia" w:ascii="仿宋" w:hAnsi="仿宋" w:eastAsia="仿宋" w:cs="仿宋"/>
              <w:bCs/>
              <w:sz w:val="24"/>
              <w:szCs w:val="24"/>
              <w:highlight w:val="none"/>
              <w:lang w:eastAsia="zh-CN"/>
            </w:rPr>
            <w:t>符合性评审标准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_Toc31251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753F1CD6">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_Toc3569 </w:instrText>
          </w:r>
          <w:r>
            <w:rPr>
              <w:rFonts w:hint="eastAsia" w:ascii="仿宋" w:hAnsi="仿宋" w:eastAsia="仿宋" w:cs="仿宋"/>
              <w:bCs w:val="0"/>
              <w:sz w:val="24"/>
              <w:szCs w:val="24"/>
              <w:highlight w:val="none"/>
            </w:rPr>
            <w:fldChar w:fldCharType="separate"/>
          </w:r>
          <w:r>
            <w:rPr>
              <w:rFonts w:hint="eastAsia" w:ascii="仿宋" w:hAnsi="仿宋" w:eastAsia="仿宋" w:cs="仿宋"/>
              <w:bCs/>
              <w:spacing w:val="0"/>
              <w:w w:val="100"/>
              <w:position w:val="0"/>
              <w:sz w:val="24"/>
              <w:szCs w:val="24"/>
              <w:highlight w:val="none"/>
              <w:lang w:val="en-US" w:eastAsia="zh-CN"/>
            </w:rPr>
            <w:t>三、评分标准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_Toc3569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3F14ED49">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_Toc16342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val="en-US" w:eastAsia="zh-CN"/>
            </w:rPr>
            <w:t>四、评标程序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_Toc16342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7F0892EB">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fldChar w:fldCharType="begin"/>
          </w:r>
          <w:r>
            <w:rPr>
              <w:rFonts w:hint="eastAsia" w:ascii="仿宋" w:hAnsi="仿宋" w:eastAsia="仿宋" w:cs="仿宋"/>
              <w:b/>
              <w:bCs/>
              <w:sz w:val="24"/>
              <w:szCs w:val="24"/>
              <w:highlight w:val="none"/>
              <w:lang w:eastAsia="zh-CN"/>
            </w:rPr>
            <w:instrText xml:space="preserve"> HYPERLINK \l _Toc20312 </w:instrText>
          </w:r>
          <w:r>
            <w:rPr>
              <w:rFonts w:hint="eastAsia" w:ascii="仿宋" w:hAnsi="仿宋" w:eastAsia="仿宋" w:cs="仿宋"/>
              <w:b/>
              <w:bCs/>
              <w:sz w:val="24"/>
              <w:szCs w:val="24"/>
              <w:highlight w:val="none"/>
              <w:lang w:eastAsia="zh-CN"/>
            </w:rPr>
            <w:fldChar w:fldCharType="separate"/>
          </w:r>
          <w:r>
            <w:rPr>
              <w:rFonts w:hint="eastAsia" w:ascii="仿宋" w:hAnsi="仿宋" w:eastAsia="仿宋" w:cs="仿宋"/>
              <w:b/>
              <w:bCs/>
              <w:sz w:val="24"/>
              <w:szCs w:val="24"/>
              <w:highlight w:val="none"/>
              <w:lang w:eastAsia="zh-CN"/>
            </w:rPr>
            <w:t>第五章 拟签订的合同文本</w:t>
          </w:r>
          <w:r>
            <w:rPr>
              <w:rFonts w:hint="eastAsia" w:ascii="仿宋" w:hAnsi="仿宋" w:eastAsia="仿宋" w:cs="仿宋"/>
              <w:b/>
              <w:bCs/>
              <w:sz w:val="24"/>
              <w:szCs w:val="24"/>
              <w:highlight w:val="none"/>
              <w:lang w:eastAsia="zh-CN"/>
            </w:rPr>
            <w:tab/>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fldChar w:fldCharType="end"/>
          </w:r>
          <w:r>
            <w:rPr>
              <w:rFonts w:hint="eastAsia" w:ascii="仿宋" w:hAnsi="仿宋" w:eastAsia="仿宋" w:cs="仿宋"/>
              <w:b/>
              <w:bCs/>
              <w:sz w:val="24"/>
              <w:szCs w:val="24"/>
              <w:highlight w:val="none"/>
              <w:lang w:val="en-US" w:eastAsia="zh-CN"/>
            </w:rPr>
            <w:t>9</w:t>
          </w:r>
        </w:p>
        <w:p w14:paraId="569D6693">
          <w:pPr>
            <w:pStyle w:val="13"/>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default" w:ascii="仿宋" w:hAnsi="仿宋" w:eastAsia="仿宋" w:cs="仿宋"/>
              <w:sz w:val="24"/>
              <w:szCs w:val="24"/>
              <w:lang w:val="en-US"/>
            </w:rPr>
          </w:pPr>
          <w:r>
            <w:rPr>
              <w:rFonts w:hint="eastAsia" w:ascii="仿宋" w:hAnsi="仿宋" w:eastAsia="仿宋" w:cs="仿宋"/>
              <w:b/>
              <w:bCs/>
              <w:sz w:val="24"/>
              <w:szCs w:val="24"/>
              <w:highlight w:val="none"/>
              <w:lang w:eastAsia="zh-CN"/>
            </w:rPr>
            <w:fldChar w:fldCharType="begin"/>
          </w:r>
          <w:r>
            <w:rPr>
              <w:rFonts w:hint="eastAsia" w:ascii="仿宋" w:hAnsi="仿宋" w:eastAsia="仿宋" w:cs="仿宋"/>
              <w:b/>
              <w:bCs/>
              <w:sz w:val="24"/>
              <w:szCs w:val="24"/>
              <w:highlight w:val="none"/>
              <w:lang w:eastAsia="zh-CN"/>
            </w:rPr>
            <w:instrText xml:space="preserve"> HYPERLINK \l _Toc25278 </w:instrText>
          </w:r>
          <w:r>
            <w:rPr>
              <w:rFonts w:hint="eastAsia" w:ascii="仿宋" w:hAnsi="仿宋" w:eastAsia="仿宋" w:cs="仿宋"/>
              <w:b/>
              <w:bCs/>
              <w:sz w:val="24"/>
              <w:szCs w:val="24"/>
              <w:highlight w:val="none"/>
              <w:lang w:eastAsia="zh-CN"/>
            </w:rPr>
            <w:fldChar w:fldCharType="separate"/>
          </w:r>
          <w:r>
            <w:rPr>
              <w:rFonts w:hint="eastAsia" w:ascii="仿宋" w:hAnsi="仿宋" w:eastAsia="仿宋" w:cs="仿宋"/>
              <w:b/>
              <w:bCs/>
              <w:sz w:val="24"/>
              <w:szCs w:val="24"/>
              <w:highlight w:val="none"/>
              <w:lang w:eastAsia="zh-CN"/>
            </w:rPr>
            <w:t>第六章</w:t>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投标文件格式</w:t>
          </w:r>
          <w:r>
            <w:rPr>
              <w:rFonts w:hint="eastAsia" w:ascii="仿宋" w:hAnsi="仿宋" w:eastAsia="仿宋" w:cs="仿宋"/>
              <w:b/>
              <w:bCs/>
              <w:sz w:val="24"/>
              <w:szCs w:val="24"/>
              <w:highlight w:val="none"/>
              <w:lang w:eastAsia="zh-CN"/>
            </w:rPr>
            <w:tab/>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eastAsia="zh-CN"/>
            </w:rPr>
            <w:fldChar w:fldCharType="end"/>
          </w:r>
          <w:r>
            <w:rPr>
              <w:rFonts w:hint="eastAsia" w:ascii="仿宋" w:hAnsi="仿宋" w:eastAsia="仿宋" w:cs="仿宋"/>
              <w:b/>
              <w:bCs/>
              <w:sz w:val="24"/>
              <w:szCs w:val="24"/>
              <w:highlight w:val="none"/>
              <w:lang w:val="en-US" w:eastAsia="zh-CN"/>
            </w:rPr>
            <w:t>0</w:t>
          </w:r>
        </w:p>
        <w:p w14:paraId="15F4FDE1">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_Toc6912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资格审查部分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_Toc6912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39769564">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bCs w:val="0"/>
              <w:color w:val="000000" w:themeColor="text1"/>
              <w:sz w:val="24"/>
              <w:szCs w:val="24"/>
              <w:highlight w:val="none"/>
              <w:lang w:val="en-US"/>
              <w14:textFill>
                <w14:solidFill>
                  <w14:schemeClr w14:val="tx1"/>
                </w14:solidFill>
              </w14:textFill>
            </w:rPr>
          </w:pPr>
          <w:r>
            <w:rPr>
              <w:rFonts w:hint="eastAsia" w:ascii="仿宋" w:hAnsi="仿宋" w:eastAsia="仿宋" w:cs="仿宋"/>
              <w:sz w:val="24"/>
              <w:szCs w:val="24"/>
              <w:highlight w:val="none"/>
              <w:lang w:eastAsia="zh-CN"/>
            </w:rPr>
            <w:fldChar w:fldCharType="begin"/>
          </w:r>
          <w:r>
            <w:rPr>
              <w:rFonts w:hint="eastAsia" w:ascii="仿宋" w:hAnsi="仿宋" w:eastAsia="仿宋" w:cs="仿宋"/>
              <w:sz w:val="24"/>
              <w:szCs w:val="24"/>
              <w:highlight w:val="none"/>
              <w:lang w:eastAsia="zh-CN"/>
            </w:rPr>
            <w:instrText xml:space="preserve"> HYPERLINK \l _Toc30211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val="en-US" w:eastAsia="zh-CN"/>
            </w:rPr>
            <w:t>报价部分</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fldChar w:fldCharType="end"/>
          </w:r>
          <w:r>
            <w:rPr>
              <w:rFonts w:hint="eastAsia" w:ascii="仿宋" w:hAnsi="仿宋" w:eastAsia="仿宋" w:cs="仿宋"/>
              <w:sz w:val="24"/>
              <w:szCs w:val="24"/>
              <w:highlight w:val="none"/>
              <w:lang w:val="en-US" w:eastAsia="zh-CN"/>
            </w:rPr>
            <w:t>5</w:t>
          </w:r>
        </w:p>
        <w:p w14:paraId="1BC17961">
          <w:pPr>
            <w:pStyle w:val="14"/>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Cs w:val="0"/>
              <w:sz w:val="24"/>
              <w:szCs w:val="24"/>
              <w:highlight w:val="none"/>
            </w:rPr>
            <w:instrText xml:space="preserve"> HYPERLINK \l _Toc24751 </w:instrText>
          </w:r>
          <w:r>
            <w:rPr>
              <w:rFonts w:hint="eastAsia" w:ascii="仿宋" w:hAnsi="仿宋" w:eastAsia="仿宋" w:cs="仿宋"/>
              <w:bCs w:val="0"/>
              <w:sz w:val="24"/>
              <w:szCs w:val="24"/>
              <w:highlight w:val="none"/>
            </w:rPr>
            <w:fldChar w:fldCharType="separate"/>
          </w:r>
          <w:r>
            <w:rPr>
              <w:rFonts w:hint="eastAsia" w:ascii="仿宋" w:hAnsi="仿宋" w:eastAsia="仿宋" w:cs="仿宋"/>
              <w:sz w:val="24"/>
              <w:szCs w:val="24"/>
              <w:highlight w:val="none"/>
              <w:lang w:eastAsia="zh-CN"/>
            </w:rPr>
            <w:t>技术、</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lang w:eastAsia="zh-CN"/>
            </w:rPr>
            <w:t>部分</w:t>
          </w:r>
          <w:r>
            <w:rPr>
              <w:rFonts w:hint="eastAsia" w:ascii="仿宋" w:hAnsi="仿宋" w:eastAsia="仿宋" w:cs="仿宋"/>
              <w:sz w:val="24"/>
              <w:szCs w:val="24"/>
            </w:rPr>
            <w:tab/>
          </w:r>
          <w:r>
            <w:rPr>
              <w:rFonts w:hint="eastAsia" w:ascii="仿宋" w:hAnsi="仿宋" w:eastAsia="仿宋" w:cs="仿宋"/>
              <w:sz w:val="24"/>
              <w:szCs w:val="24"/>
              <w:lang w:val="en-US" w:eastAsia="zh-CN"/>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_Toc24751 \h </w:instrText>
          </w:r>
          <w:r>
            <w:rPr>
              <w:rFonts w:hint="eastAsia" w:ascii="仿宋" w:hAnsi="仿宋" w:eastAsia="仿宋" w:cs="仿宋"/>
              <w:sz w:val="24"/>
              <w:szCs w:val="24"/>
            </w:rPr>
            <w:fldChar w:fldCharType="separate"/>
          </w:r>
          <w:r>
            <w:rPr>
              <w:rFonts w:hint="eastAsia" w:ascii="仿宋" w:hAnsi="仿宋" w:eastAsia="仿宋" w:cs="仿宋"/>
              <w:sz w:val="24"/>
              <w:szCs w:val="24"/>
            </w:rPr>
            <w:t>74</w:t>
          </w:r>
          <w:r>
            <w:rPr>
              <w:rFonts w:hint="eastAsia" w:ascii="仿宋" w:hAnsi="仿宋" w:eastAsia="仿宋" w:cs="仿宋"/>
              <w:sz w:val="24"/>
              <w:szCs w:val="24"/>
            </w:rPr>
            <w:fldChar w:fldCharType="end"/>
          </w: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p w14:paraId="3921C569">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fldChar w:fldCharType="end"/>
          </w:r>
        </w:p>
      </w:sdtContent>
    </w:sdt>
    <w:p w14:paraId="09C7639F">
      <w:pPr>
        <w:rPr>
          <w:rStyle w:val="26"/>
          <w:rFonts w:hint="eastAsia" w:ascii="仿宋" w:hAnsi="仿宋" w:eastAsia="仿宋" w:cs="仿宋"/>
          <w:b/>
          <w:color w:val="000000" w:themeColor="text1"/>
          <w:sz w:val="24"/>
          <w:szCs w:val="24"/>
          <w:highlight w:val="none"/>
          <w:lang w:eastAsia="zh-CN"/>
          <w14:textFill>
            <w14:solidFill>
              <w14:schemeClr w14:val="tx1"/>
            </w14:solidFill>
          </w14:textFill>
        </w:rPr>
      </w:pPr>
      <w:bookmarkStart w:id="30" w:name="_Toc16728"/>
      <w:r>
        <w:rPr>
          <w:rStyle w:val="26"/>
          <w:rFonts w:hint="eastAsia" w:ascii="仿宋" w:hAnsi="仿宋" w:eastAsia="仿宋" w:cs="仿宋"/>
          <w:b/>
          <w:color w:val="000000" w:themeColor="text1"/>
          <w:sz w:val="24"/>
          <w:szCs w:val="24"/>
          <w:highlight w:val="none"/>
          <w:lang w:eastAsia="zh-CN"/>
          <w14:textFill>
            <w14:solidFill>
              <w14:schemeClr w14:val="tx1"/>
            </w14:solidFill>
          </w14:textFill>
        </w:rPr>
        <w:br w:type="page"/>
      </w:r>
    </w:p>
    <w:p w14:paraId="46A15FE2">
      <w:pPr>
        <w:pStyle w:val="3"/>
        <w:keepNext w:val="0"/>
        <w:keepLines w:val="0"/>
        <w:pageBreakBefore w:val="0"/>
        <w:widowControl w:val="0"/>
        <w:numPr>
          <w:ilvl w:val="0"/>
          <w:numId w:val="1"/>
        </w:numPr>
        <w:kinsoku/>
        <w:wordWrap w:val="0"/>
        <w:overflowPunct/>
        <w:topLinePunct/>
        <w:autoSpaceDE/>
        <w:autoSpaceDN/>
        <w:bidi w:val="0"/>
        <w:adjustRightInd/>
        <w:snapToGrid/>
        <w:spacing w:before="0" w:after="0" w:line="420" w:lineRule="exact"/>
        <w:ind w:left="0" w:leftChars="0" w:right="0"/>
        <w:textAlignment w:val="auto"/>
        <w:outlineLvl w:val="0"/>
        <w:rPr>
          <w:rStyle w:val="26"/>
          <w:rFonts w:hint="eastAsia" w:ascii="仿宋" w:hAnsi="仿宋" w:eastAsia="仿宋" w:cs="仿宋"/>
          <w:b/>
          <w:color w:val="000000" w:themeColor="text1"/>
          <w:sz w:val="32"/>
          <w:szCs w:val="32"/>
          <w:highlight w:val="none"/>
          <w:lang w:eastAsia="zh-CN"/>
          <w14:textFill>
            <w14:solidFill>
              <w14:schemeClr w14:val="tx1"/>
            </w14:solidFill>
          </w14:textFill>
        </w:rPr>
      </w:pPr>
      <w:r>
        <w:rPr>
          <w:rStyle w:val="26"/>
          <w:rFonts w:hint="eastAsia" w:ascii="仿宋" w:hAnsi="仿宋" w:eastAsia="仿宋" w:cs="仿宋"/>
          <w:b/>
          <w:color w:val="000000" w:themeColor="text1"/>
          <w:sz w:val="32"/>
          <w:szCs w:val="32"/>
          <w:highlight w:val="none"/>
          <w:lang w:eastAsia="zh-CN"/>
          <w14:textFill>
            <w14:solidFill>
              <w14:schemeClr w14:val="tx1"/>
            </w14:solidFill>
          </w14:textFill>
        </w:rPr>
        <w:t>招标公告</w:t>
      </w:r>
      <w:bookmarkEnd w:id="27"/>
      <w:bookmarkEnd w:id="28"/>
      <w:bookmarkEnd w:id="30"/>
    </w:p>
    <w:bookmarkEnd w:id="29"/>
    <w:p w14:paraId="60CCEB8B">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31" w:name="_Toc88646720"/>
      <w:bookmarkStart w:id="32" w:name="_Toc20625"/>
      <w:bookmarkStart w:id="33" w:name="_Toc144646644"/>
      <w:bookmarkStart w:id="34" w:name="_Toc145067542"/>
      <w:bookmarkStart w:id="35" w:name="_Toc18397"/>
      <w:bookmarkStart w:id="36" w:name="_Toc16584"/>
      <w:bookmarkStart w:id="37" w:name="_Toc88638735"/>
      <w:bookmarkStart w:id="38" w:name="_Toc30748"/>
      <w:bookmarkStart w:id="39" w:name="_Toc16696"/>
      <w:bookmarkStart w:id="40" w:name="_Toc3811"/>
      <w:bookmarkStart w:id="41" w:name="_Toc21418"/>
      <w:bookmarkStart w:id="42" w:name="_Toc9329733"/>
      <w:bookmarkStart w:id="43" w:name="_Hlk66894590"/>
      <w:r>
        <w:rPr>
          <w:rFonts w:hint="eastAsia" w:ascii="仿宋" w:hAnsi="仿宋" w:eastAsia="仿宋" w:cs="仿宋"/>
          <w:color w:val="000000" w:themeColor="text1"/>
          <w:sz w:val="24"/>
          <w:szCs w:val="24"/>
          <w:highlight w:val="none"/>
          <w:lang w:eastAsia="zh-CN"/>
          <w14:textFill>
            <w14:solidFill>
              <w14:schemeClr w14:val="tx1"/>
            </w14:solidFill>
          </w14:textFill>
        </w:rPr>
        <w:t>项目概况</w:t>
      </w:r>
      <w:bookmarkEnd w:id="31"/>
      <w:bookmarkEnd w:id="32"/>
      <w:bookmarkEnd w:id="33"/>
      <w:bookmarkEnd w:id="34"/>
      <w:bookmarkEnd w:id="35"/>
      <w:bookmarkEnd w:id="36"/>
      <w:bookmarkEnd w:id="37"/>
      <w:bookmarkEnd w:id="38"/>
      <w:bookmarkEnd w:id="39"/>
      <w:bookmarkEnd w:id="40"/>
      <w:bookmarkEnd w:id="41"/>
    </w:p>
    <w:p w14:paraId="7046B438">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none"/>
          <w:lang w:eastAsia="zh-CN"/>
          <w14:textFill>
            <w14:solidFill>
              <w14:schemeClr w14:val="tx1"/>
            </w14:solidFill>
          </w14:textFill>
        </w:rPr>
        <w:t>楚雄彝族自治州人民医院2026年一批消毒清洗设备采购</w:t>
      </w:r>
      <w:r>
        <w:rPr>
          <w:rFonts w:hint="eastAsia" w:ascii="仿宋" w:hAnsi="仿宋" w:eastAsia="仿宋" w:cs="仿宋"/>
          <w:color w:val="000000" w:themeColor="text1"/>
          <w:sz w:val="24"/>
          <w:szCs w:val="24"/>
          <w:highlight w:val="none"/>
          <w:lang w:eastAsia="zh-CN"/>
          <w14:textFill>
            <w14:solidFill>
              <w14:schemeClr w14:val="tx1"/>
            </w14:solidFill>
          </w14:textFill>
        </w:rPr>
        <w:t>的潜在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投标人应在云南省政府采购电子交易平台（政采云https://www.zcygov.cn/）线上获取招标文件</w:t>
      </w:r>
      <w:r>
        <w:rPr>
          <w:rFonts w:hint="eastAsia" w:ascii="仿宋" w:hAnsi="仿宋" w:eastAsia="仿宋" w:cs="仿宋"/>
          <w:color w:val="000000" w:themeColor="text1"/>
          <w:sz w:val="24"/>
          <w:szCs w:val="24"/>
          <w:highlight w:val="none"/>
          <w:lang w:eastAsia="zh-CN"/>
          <w14:textFill>
            <w14:solidFill>
              <w14:schemeClr w14:val="tx1"/>
            </w14:solidFill>
          </w14:textFill>
        </w:rPr>
        <w:t>，并于</w:t>
      </w:r>
      <w:bookmarkStart w:id="44" w:name="_Hlk146221035"/>
      <w:r>
        <w:rPr>
          <w:rFonts w:hint="eastAsia" w:ascii="仿宋" w:hAnsi="仿宋" w:eastAsia="仿宋" w:cs="仿宋"/>
          <w:color w:val="000000" w:themeColor="text1"/>
          <w:sz w:val="24"/>
          <w:szCs w:val="24"/>
          <w:highlight w:val="none"/>
          <w:u w:val="none"/>
          <w:lang w:eastAsia="zh-CN"/>
          <w14:textFill>
            <w14:solidFill>
              <w14:schemeClr w14:val="tx1"/>
            </w14:solidFill>
          </w14:textFill>
        </w:rPr>
        <w:t>202</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u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7月6日09</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u w:val="none"/>
          <w:lang w:eastAsia="zh-CN"/>
          <w14:textFill>
            <w14:solidFill>
              <w14:schemeClr w14:val="tx1"/>
            </w14:solidFill>
          </w14:textFill>
        </w:rPr>
        <w:t>分</w:t>
      </w:r>
      <w:bookmarkEnd w:id="44"/>
      <w:r>
        <w:rPr>
          <w:rFonts w:hint="eastAsia" w:ascii="仿宋" w:hAnsi="仿宋" w:eastAsia="仿宋" w:cs="仿宋"/>
          <w:color w:val="000000" w:themeColor="text1"/>
          <w:sz w:val="24"/>
          <w:szCs w:val="24"/>
          <w:highlight w:val="none"/>
          <w:lang w:eastAsia="zh-CN"/>
          <w14:textFill>
            <w14:solidFill>
              <w14:schemeClr w14:val="tx1"/>
            </w14:solidFill>
          </w14:textFill>
        </w:rPr>
        <w:t>（北京时间）前递交投标文件。</w:t>
      </w:r>
    </w:p>
    <w:p w14:paraId="4BD406F5">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5" w:name="_Toc12720"/>
      <w:bookmarkStart w:id="46" w:name="_Toc22204"/>
      <w:bookmarkStart w:id="47" w:name="_Toc145067543"/>
      <w:bookmarkStart w:id="48" w:name="_Toc17484"/>
      <w:bookmarkStart w:id="49" w:name="_Toc88638737"/>
      <w:bookmarkStart w:id="50" w:name="_Toc25290"/>
      <w:bookmarkStart w:id="51" w:name="_Toc88646721"/>
      <w:bookmarkStart w:id="52" w:name="_Toc15751"/>
      <w:bookmarkStart w:id="53" w:name="_Toc25582"/>
      <w:r>
        <w:rPr>
          <w:rFonts w:hint="eastAsia" w:ascii="仿宋" w:hAnsi="仿宋" w:eastAsia="仿宋" w:cs="仿宋"/>
          <w:color w:val="000000" w:themeColor="text1"/>
          <w:sz w:val="24"/>
          <w:szCs w:val="24"/>
          <w:highlight w:val="none"/>
          <w:lang w:eastAsia="zh-CN"/>
          <w14:textFill>
            <w14:solidFill>
              <w14:schemeClr w14:val="tx1"/>
            </w14:solidFill>
          </w14:textFill>
        </w:rPr>
        <w:t>一</w:t>
      </w:r>
      <w:bookmarkEnd w:id="42"/>
      <w:r>
        <w:rPr>
          <w:rFonts w:hint="eastAsia" w:ascii="仿宋" w:hAnsi="仿宋" w:eastAsia="仿宋" w:cs="仿宋"/>
          <w:color w:val="000000" w:themeColor="text1"/>
          <w:sz w:val="24"/>
          <w:szCs w:val="24"/>
          <w:highlight w:val="none"/>
          <w:lang w:eastAsia="zh-CN"/>
          <w14:textFill>
            <w14:solidFill>
              <w14:schemeClr w14:val="tx1"/>
            </w14:solidFill>
          </w14:textFill>
        </w:rPr>
        <w:t>、项目基本情况</w:t>
      </w:r>
      <w:bookmarkEnd w:id="45"/>
      <w:bookmarkEnd w:id="46"/>
      <w:bookmarkEnd w:id="47"/>
      <w:bookmarkEnd w:id="48"/>
      <w:bookmarkEnd w:id="49"/>
      <w:bookmarkEnd w:id="50"/>
      <w:bookmarkEnd w:id="51"/>
      <w:bookmarkEnd w:id="52"/>
      <w:bookmarkEnd w:id="53"/>
    </w:p>
    <w:p w14:paraId="0A857B79">
      <w:pPr>
        <w:pStyle w:val="7"/>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1.项目编号：CXZC2026-G1-00365-YNCH-0005</w:t>
      </w:r>
    </w:p>
    <w:p w14:paraId="28A42B6A">
      <w:pPr>
        <w:pStyle w:val="7"/>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2.项目名称：楚雄彝族自治州人民医院2026年一批消毒清洗设备采购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D00A8E2">
      <w:pPr>
        <w:pStyle w:val="7"/>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r>
        <w:rPr>
          <w:rFonts w:hint="eastAsia" w:ascii="仿宋" w:hAnsi="仿宋" w:eastAsia="仿宋" w:cs="仿宋"/>
          <w:color w:val="000000" w:themeColor="text1"/>
          <w:sz w:val="24"/>
          <w:szCs w:val="24"/>
          <w:highlight w:val="none"/>
          <w:lang w:eastAsia="zh-CN"/>
          <w14:textFill>
            <w14:solidFill>
              <w14:schemeClr w14:val="tx1"/>
            </w14:solidFill>
          </w14:textFill>
        </w:rPr>
        <w:t>）：98.4万元；</w:t>
      </w:r>
    </w:p>
    <w:p w14:paraId="53671FF0">
      <w:pPr>
        <w:pStyle w:val="7"/>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4.最高限价（万元）：标项1：酸性氧化电位水生成器和环氧乙烷灭菌器43万元；标项2：全自动清洗工作站和过氧化氢低温等离子灭菌器44万元；标项3：二氧化碳泵和内窥镜冲洗器7.8万元；</w:t>
      </w:r>
    </w:p>
    <w:p w14:paraId="5F7D85DD">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5.采购需求：</w:t>
      </w:r>
    </w:p>
    <w:tbl>
      <w:tblPr>
        <w:tblStyle w:val="20"/>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381"/>
        <w:gridCol w:w="673"/>
        <w:gridCol w:w="811"/>
        <w:gridCol w:w="2022"/>
        <w:gridCol w:w="1261"/>
        <w:gridCol w:w="1494"/>
        <w:gridCol w:w="1097"/>
      </w:tblGrid>
      <w:tr w14:paraId="0D64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58" w:type="dxa"/>
            <w:noWrap w:val="0"/>
            <w:vAlign w:val="center"/>
          </w:tcPr>
          <w:p w14:paraId="2FB14C7E">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bookmarkStart w:id="54" w:name="OLE_LINK1"/>
            <w:r>
              <w:rPr>
                <w:rFonts w:hint="eastAsia" w:ascii="仿宋" w:hAnsi="仿宋" w:eastAsia="仿宋" w:cs="仿宋"/>
                <w:color w:val="auto"/>
                <w:spacing w:val="0"/>
                <w:position w:val="0"/>
                <w:sz w:val="24"/>
                <w:szCs w:val="24"/>
                <w:highlight w:val="none"/>
                <w:lang w:val="en-US" w:eastAsia="zh-CN" w:bidi="ar-SA"/>
              </w:rPr>
              <w:t>标项</w:t>
            </w:r>
          </w:p>
        </w:tc>
        <w:tc>
          <w:tcPr>
            <w:tcW w:w="2381" w:type="dxa"/>
            <w:noWrap w:val="0"/>
            <w:vAlign w:val="center"/>
          </w:tcPr>
          <w:p w14:paraId="1365B5F0">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产品名称</w:t>
            </w:r>
          </w:p>
        </w:tc>
        <w:tc>
          <w:tcPr>
            <w:tcW w:w="673" w:type="dxa"/>
            <w:noWrap w:val="0"/>
            <w:vAlign w:val="center"/>
          </w:tcPr>
          <w:p w14:paraId="69F48796">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数量</w:t>
            </w:r>
          </w:p>
        </w:tc>
        <w:tc>
          <w:tcPr>
            <w:tcW w:w="811" w:type="dxa"/>
            <w:noWrap w:val="0"/>
            <w:vAlign w:val="center"/>
          </w:tcPr>
          <w:p w14:paraId="6316A4F3">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计量</w:t>
            </w:r>
          </w:p>
          <w:p w14:paraId="4C65B748">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单位</w:t>
            </w:r>
          </w:p>
        </w:tc>
        <w:tc>
          <w:tcPr>
            <w:tcW w:w="2022" w:type="dxa"/>
            <w:noWrap w:val="0"/>
            <w:vAlign w:val="center"/>
          </w:tcPr>
          <w:p w14:paraId="0D2794F1">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简要需求或要求</w:t>
            </w:r>
          </w:p>
        </w:tc>
        <w:tc>
          <w:tcPr>
            <w:tcW w:w="1261" w:type="dxa"/>
            <w:noWrap w:val="0"/>
            <w:vAlign w:val="center"/>
          </w:tcPr>
          <w:p w14:paraId="34137CD4">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单价最高限价（万元）</w:t>
            </w:r>
          </w:p>
        </w:tc>
        <w:tc>
          <w:tcPr>
            <w:tcW w:w="1494" w:type="dxa"/>
            <w:noWrap w:val="0"/>
            <w:vAlign w:val="center"/>
          </w:tcPr>
          <w:p w14:paraId="0706E865">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总价最高限价（万元）</w:t>
            </w:r>
          </w:p>
        </w:tc>
        <w:tc>
          <w:tcPr>
            <w:tcW w:w="1097" w:type="dxa"/>
            <w:noWrap w:val="0"/>
            <w:vAlign w:val="center"/>
          </w:tcPr>
          <w:p w14:paraId="510E9482">
            <w:pPr>
              <w:keepNext w:val="0"/>
              <w:keepLines w:val="0"/>
              <w:pageBreakBefore w:val="0"/>
              <w:widowControl w:val="0"/>
              <w:kinsoku/>
              <w:wordWrap w:val="0"/>
              <w:overflowPunct/>
              <w:topLinePunct/>
              <w:autoSpaceDE/>
              <w:autoSpaceDN/>
              <w:bidi w:val="0"/>
              <w:adjustRightInd/>
              <w:snapToGrid/>
              <w:spacing w:line="420" w:lineRule="exact"/>
              <w:ind w:left="0" w:right="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是否接受进口产品</w:t>
            </w:r>
          </w:p>
        </w:tc>
      </w:tr>
      <w:tr w14:paraId="0E63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8" w:type="dxa"/>
            <w:vMerge w:val="restart"/>
            <w:noWrap w:val="0"/>
            <w:vAlign w:val="center"/>
          </w:tcPr>
          <w:p w14:paraId="4A75F6BD">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bookmarkStart w:id="55" w:name="OLE_LINK4" w:colFirst="0" w:colLast="1"/>
            <w:r>
              <w:rPr>
                <w:rFonts w:hint="eastAsia" w:ascii="仿宋" w:hAnsi="仿宋" w:eastAsia="仿宋" w:cs="仿宋"/>
                <w:color w:val="auto"/>
                <w:spacing w:val="0"/>
                <w:position w:val="0"/>
                <w:sz w:val="24"/>
                <w:szCs w:val="24"/>
                <w:highlight w:val="none"/>
                <w:lang w:val="en-US" w:eastAsia="zh-CN" w:bidi="ar-SA"/>
              </w:rPr>
              <w:t>1</w:t>
            </w:r>
          </w:p>
        </w:tc>
        <w:tc>
          <w:tcPr>
            <w:tcW w:w="2381" w:type="dxa"/>
            <w:noWrap w:val="0"/>
            <w:vAlign w:val="center"/>
          </w:tcPr>
          <w:p w14:paraId="500275FA">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酸性氧化电位水生成器</w:t>
            </w:r>
          </w:p>
        </w:tc>
        <w:tc>
          <w:tcPr>
            <w:tcW w:w="673" w:type="dxa"/>
            <w:noWrap w:val="0"/>
            <w:vAlign w:val="center"/>
          </w:tcPr>
          <w:p w14:paraId="26325157">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w:t>
            </w:r>
          </w:p>
        </w:tc>
        <w:tc>
          <w:tcPr>
            <w:tcW w:w="811" w:type="dxa"/>
            <w:noWrap w:val="0"/>
            <w:vAlign w:val="center"/>
          </w:tcPr>
          <w:p w14:paraId="69368B6B">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套</w:t>
            </w:r>
          </w:p>
        </w:tc>
        <w:tc>
          <w:tcPr>
            <w:tcW w:w="2022" w:type="dxa"/>
            <w:vMerge w:val="restart"/>
            <w:noWrap w:val="0"/>
            <w:vAlign w:val="center"/>
          </w:tcPr>
          <w:p w14:paraId="6CCCFCBE">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详见招标文件“第三章采购需求及要求”</w:t>
            </w:r>
          </w:p>
        </w:tc>
        <w:tc>
          <w:tcPr>
            <w:tcW w:w="1261" w:type="dxa"/>
            <w:noWrap w:val="0"/>
            <w:vAlign w:val="center"/>
          </w:tcPr>
          <w:p w14:paraId="319163FB">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7</w:t>
            </w:r>
          </w:p>
        </w:tc>
        <w:tc>
          <w:tcPr>
            <w:tcW w:w="1494" w:type="dxa"/>
            <w:vMerge w:val="restart"/>
            <w:noWrap w:val="0"/>
            <w:vAlign w:val="center"/>
          </w:tcPr>
          <w:p w14:paraId="7F5612F1">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43</w:t>
            </w:r>
          </w:p>
        </w:tc>
        <w:tc>
          <w:tcPr>
            <w:tcW w:w="1097" w:type="dxa"/>
            <w:vMerge w:val="restart"/>
            <w:noWrap w:val="0"/>
            <w:vAlign w:val="center"/>
          </w:tcPr>
          <w:p w14:paraId="005ED54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否</w:t>
            </w:r>
          </w:p>
        </w:tc>
      </w:tr>
      <w:tr w14:paraId="64CF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8" w:type="dxa"/>
            <w:vMerge w:val="continue"/>
            <w:noWrap w:val="0"/>
            <w:vAlign w:val="center"/>
          </w:tcPr>
          <w:p w14:paraId="279132BE">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2381" w:type="dxa"/>
            <w:noWrap w:val="0"/>
            <w:vAlign w:val="center"/>
          </w:tcPr>
          <w:p w14:paraId="4789F54E">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环氧乙烷灭菌器</w:t>
            </w:r>
          </w:p>
        </w:tc>
        <w:tc>
          <w:tcPr>
            <w:tcW w:w="673" w:type="dxa"/>
            <w:noWrap w:val="0"/>
            <w:vAlign w:val="center"/>
          </w:tcPr>
          <w:p w14:paraId="72AFA2A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w:t>
            </w:r>
          </w:p>
        </w:tc>
        <w:tc>
          <w:tcPr>
            <w:tcW w:w="811" w:type="dxa"/>
            <w:noWrap w:val="0"/>
            <w:vAlign w:val="center"/>
          </w:tcPr>
          <w:p w14:paraId="07C5F7C5">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套</w:t>
            </w:r>
          </w:p>
        </w:tc>
        <w:tc>
          <w:tcPr>
            <w:tcW w:w="2022" w:type="dxa"/>
            <w:vMerge w:val="continue"/>
            <w:noWrap w:val="0"/>
            <w:vAlign w:val="center"/>
          </w:tcPr>
          <w:p w14:paraId="0CD09610">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261" w:type="dxa"/>
            <w:noWrap w:val="0"/>
            <w:vAlign w:val="center"/>
          </w:tcPr>
          <w:p w14:paraId="4A3D1E39">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36</w:t>
            </w:r>
          </w:p>
        </w:tc>
        <w:tc>
          <w:tcPr>
            <w:tcW w:w="1494" w:type="dxa"/>
            <w:vMerge w:val="continue"/>
            <w:noWrap w:val="0"/>
            <w:vAlign w:val="center"/>
          </w:tcPr>
          <w:p w14:paraId="08A8CF8C">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097" w:type="dxa"/>
            <w:vMerge w:val="continue"/>
            <w:noWrap w:val="0"/>
            <w:vAlign w:val="center"/>
          </w:tcPr>
          <w:p w14:paraId="6AA2FDE7">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r>
      <w:tr w14:paraId="1037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8" w:type="dxa"/>
            <w:vMerge w:val="restart"/>
            <w:noWrap w:val="0"/>
            <w:vAlign w:val="center"/>
          </w:tcPr>
          <w:p w14:paraId="0E9B5AF0">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2</w:t>
            </w:r>
          </w:p>
        </w:tc>
        <w:tc>
          <w:tcPr>
            <w:tcW w:w="2381" w:type="dxa"/>
            <w:noWrap w:val="0"/>
            <w:vAlign w:val="center"/>
          </w:tcPr>
          <w:p w14:paraId="161FD363">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全自动清洗工作站</w:t>
            </w:r>
          </w:p>
        </w:tc>
        <w:tc>
          <w:tcPr>
            <w:tcW w:w="673" w:type="dxa"/>
            <w:noWrap w:val="0"/>
            <w:vAlign w:val="center"/>
          </w:tcPr>
          <w:p w14:paraId="41A758E5">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w:t>
            </w:r>
          </w:p>
        </w:tc>
        <w:tc>
          <w:tcPr>
            <w:tcW w:w="811" w:type="dxa"/>
            <w:noWrap w:val="0"/>
            <w:vAlign w:val="center"/>
          </w:tcPr>
          <w:p w14:paraId="43B585F1">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套</w:t>
            </w:r>
          </w:p>
        </w:tc>
        <w:tc>
          <w:tcPr>
            <w:tcW w:w="2022" w:type="dxa"/>
            <w:vMerge w:val="continue"/>
            <w:noWrap w:val="0"/>
            <w:vAlign w:val="center"/>
          </w:tcPr>
          <w:p w14:paraId="5F402880">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261" w:type="dxa"/>
            <w:noWrap w:val="0"/>
            <w:vAlign w:val="center"/>
          </w:tcPr>
          <w:p w14:paraId="15D1B3D8">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19</w:t>
            </w:r>
          </w:p>
        </w:tc>
        <w:tc>
          <w:tcPr>
            <w:tcW w:w="1494" w:type="dxa"/>
            <w:vMerge w:val="restart"/>
            <w:noWrap w:val="0"/>
            <w:vAlign w:val="center"/>
          </w:tcPr>
          <w:p w14:paraId="394CFB7E">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44</w:t>
            </w:r>
          </w:p>
        </w:tc>
        <w:tc>
          <w:tcPr>
            <w:tcW w:w="1097" w:type="dxa"/>
            <w:noWrap w:val="0"/>
            <w:vAlign w:val="center"/>
          </w:tcPr>
          <w:p w14:paraId="5500B23D">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否</w:t>
            </w:r>
          </w:p>
        </w:tc>
      </w:tr>
      <w:tr w14:paraId="551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58" w:type="dxa"/>
            <w:vMerge w:val="continue"/>
            <w:noWrap w:val="0"/>
            <w:vAlign w:val="center"/>
          </w:tcPr>
          <w:p w14:paraId="74073431">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bookmarkStart w:id="56" w:name="OLE_LINK5" w:colFirst="1" w:colLast="1"/>
          </w:p>
        </w:tc>
        <w:tc>
          <w:tcPr>
            <w:tcW w:w="2381" w:type="dxa"/>
            <w:noWrap w:val="0"/>
            <w:vAlign w:val="center"/>
          </w:tcPr>
          <w:p w14:paraId="60453CA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过氧化氢低温等离子灭菌器</w:t>
            </w:r>
          </w:p>
        </w:tc>
        <w:tc>
          <w:tcPr>
            <w:tcW w:w="673" w:type="dxa"/>
            <w:noWrap w:val="0"/>
            <w:vAlign w:val="center"/>
          </w:tcPr>
          <w:p w14:paraId="31CF6848">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w:t>
            </w:r>
          </w:p>
        </w:tc>
        <w:tc>
          <w:tcPr>
            <w:tcW w:w="811" w:type="dxa"/>
            <w:noWrap w:val="0"/>
            <w:vAlign w:val="center"/>
          </w:tcPr>
          <w:p w14:paraId="57A2B669">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台</w:t>
            </w:r>
          </w:p>
        </w:tc>
        <w:tc>
          <w:tcPr>
            <w:tcW w:w="2022" w:type="dxa"/>
            <w:vMerge w:val="continue"/>
            <w:noWrap w:val="0"/>
            <w:vAlign w:val="center"/>
          </w:tcPr>
          <w:p w14:paraId="5ACB4A42">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261" w:type="dxa"/>
            <w:noWrap w:val="0"/>
            <w:vAlign w:val="center"/>
          </w:tcPr>
          <w:p w14:paraId="029B2271">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25</w:t>
            </w:r>
          </w:p>
        </w:tc>
        <w:tc>
          <w:tcPr>
            <w:tcW w:w="1494" w:type="dxa"/>
            <w:vMerge w:val="continue"/>
            <w:noWrap w:val="0"/>
            <w:vAlign w:val="center"/>
          </w:tcPr>
          <w:p w14:paraId="764A74F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097" w:type="dxa"/>
            <w:noWrap w:val="0"/>
            <w:vAlign w:val="center"/>
          </w:tcPr>
          <w:p w14:paraId="353C707C">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否</w:t>
            </w:r>
          </w:p>
        </w:tc>
      </w:tr>
      <w:tr w14:paraId="0684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58" w:type="dxa"/>
            <w:vMerge w:val="restart"/>
            <w:noWrap w:val="0"/>
            <w:vAlign w:val="center"/>
          </w:tcPr>
          <w:p w14:paraId="6705126B">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3</w:t>
            </w:r>
          </w:p>
        </w:tc>
        <w:tc>
          <w:tcPr>
            <w:tcW w:w="2381" w:type="dxa"/>
            <w:noWrap w:val="0"/>
            <w:vAlign w:val="center"/>
          </w:tcPr>
          <w:p w14:paraId="7E7837C3">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二氧化碳泵</w:t>
            </w:r>
          </w:p>
        </w:tc>
        <w:tc>
          <w:tcPr>
            <w:tcW w:w="673" w:type="dxa"/>
            <w:noWrap w:val="0"/>
            <w:vAlign w:val="center"/>
          </w:tcPr>
          <w:p w14:paraId="58322FC9">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3</w:t>
            </w:r>
          </w:p>
        </w:tc>
        <w:tc>
          <w:tcPr>
            <w:tcW w:w="811" w:type="dxa"/>
            <w:noWrap w:val="0"/>
            <w:vAlign w:val="center"/>
          </w:tcPr>
          <w:p w14:paraId="1BF86E4A">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台</w:t>
            </w:r>
          </w:p>
        </w:tc>
        <w:tc>
          <w:tcPr>
            <w:tcW w:w="2022" w:type="dxa"/>
            <w:vMerge w:val="continue"/>
            <w:noWrap w:val="0"/>
            <w:vAlign w:val="center"/>
          </w:tcPr>
          <w:p w14:paraId="51A95FAB">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261" w:type="dxa"/>
            <w:noWrap w:val="0"/>
            <w:vAlign w:val="center"/>
          </w:tcPr>
          <w:p w14:paraId="37A32D89">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1.8</w:t>
            </w:r>
          </w:p>
        </w:tc>
        <w:tc>
          <w:tcPr>
            <w:tcW w:w="1494" w:type="dxa"/>
            <w:vMerge w:val="restart"/>
            <w:noWrap w:val="0"/>
            <w:vAlign w:val="center"/>
          </w:tcPr>
          <w:p w14:paraId="0BE88A98">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7.8</w:t>
            </w:r>
          </w:p>
        </w:tc>
        <w:tc>
          <w:tcPr>
            <w:tcW w:w="1097" w:type="dxa"/>
            <w:noWrap w:val="0"/>
            <w:vAlign w:val="center"/>
          </w:tcPr>
          <w:p w14:paraId="7C1F8712">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否</w:t>
            </w:r>
          </w:p>
        </w:tc>
      </w:tr>
      <w:tr w14:paraId="5856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58" w:type="dxa"/>
            <w:vMerge w:val="continue"/>
            <w:noWrap w:val="0"/>
            <w:vAlign w:val="center"/>
          </w:tcPr>
          <w:p w14:paraId="45425D2D">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2381" w:type="dxa"/>
            <w:noWrap w:val="0"/>
            <w:vAlign w:val="center"/>
          </w:tcPr>
          <w:p w14:paraId="0EE171D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内窥镜冲洗器</w:t>
            </w:r>
          </w:p>
        </w:tc>
        <w:tc>
          <w:tcPr>
            <w:tcW w:w="673" w:type="dxa"/>
            <w:noWrap w:val="0"/>
            <w:vAlign w:val="center"/>
          </w:tcPr>
          <w:p w14:paraId="5CC872E4">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3</w:t>
            </w:r>
          </w:p>
        </w:tc>
        <w:tc>
          <w:tcPr>
            <w:tcW w:w="811" w:type="dxa"/>
            <w:noWrap w:val="0"/>
            <w:vAlign w:val="center"/>
          </w:tcPr>
          <w:p w14:paraId="297E659A">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套</w:t>
            </w:r>
          </w:p>
        </w:tc>
        <w:tc>
          <w:tcPr>
            <w:tcW w:w="2022" w:type="dxa"/>
            <w:vMerge w:val="continue"/>
            <w:noWrap w:val="0"/>
            <w:vAlign w:val="center"/>
          </w:tcPr>
          <w:p w14:paraId="042E32B1">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261" w:type="dxa"/>
            <w:noWrap w:val="0"/>
            <w:vAlign w:val="center"/>
          </w:tcPr>
          <w:p w14:paraId="0A93B9EE">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0.8</w:t>
            </w:r>
          </w:p>
        </w:tc>
        <w:tc>
          <w:tcPr>
            <w:tcW w:w="1494" w:type="dxa"/>
            <w:vMerge w:val="continue"/>
            <w:noWrap w:val="0"/>
            <w:vAlign w:val="center"/>
          </w:tcPr>
          <w:p w14:paraId="74EE765F">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p>
        </w:tc>
        <w:tc>
          <w:tcPr>
            <w:tcW w:w="1097" w:type="dxa"/>
            <w:noWrap w:val="0"/>
            <w:vAlign w:val="center"/>
          </w:tcPr>
          <w:p w14:paraId="486069A4">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color w:val="auto"/>
                <w:spacing w:val="0"/>
                <w:position w:val="0"/>
                <w:sz w:val="24"/>
                <w:szCs w:val="24"/>
                <w:highlight w:val="none"/>
                <w:lang w:val="en-US" w:eastAsia="zh-CN" w:bidi="ar-SA"/>
              </w:rPr>
            </w:pPr>
            <w:r>
              <w:rPr>
                <w:rFonts w:hint="eastAsia" w:ascii="仿宋" w:hAnsi="仿宋" w:eastAsia="仿宋" w:cs="仿宋"/>
                <w:color w:val="auto"/>
                <w:spacing w:val="0"/>
                <w:position w:val="0"/>
                <w:sz w:val="24"/>
                <w:szCs w:val="24"/>
                <w:highlight w:val="none"/>
                <w:lang w:val="en-US" w:eastAsia="zh-CN" w:bidi="ar-SA"/>
              </w:rPr>
              <w:t>否</w:t>
            </w:r>
          </w:p>
        </w:tc>
      </w:tr>
      <w:bookmarkEnd w:id="54"/>
      <w:bookmarkEnd w:id="55"/>
      <w:bookmarkEnd w:id="56"/>
    </w:tbl>
    <w:p w14:paraId="0236CBEB">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.合同履行期限：自合同生效之日起至合同全部权利义务履行完毕之日止。</w:t>
      </w:r>
    </w:p>
    <w:p w14:paraId="4355CBAF">
      <w:pPr>
        <w:pStyle w:val="7"/>
        <w:keepNext w:val="0"/>
        <w:keepLines w:val="0"/>
        <w:pageBreakBefore w:val="0"/>
        <w:widowControl w:val="0"/>
        <w:tabs>
          <w:tab w:val="left" w:pos="2412"/>
          <w:tab w:val="left" w:pos="2832"/>
          <w:tab w:val="left" w:pos="3472"/>
          <w:tab w:val="left" w:pos="5610"/>
          <w:tab w:val="left" w:pos="7270"/>
        </w:tabs>
        <w:kinsoku/>
        <w:wordWrap w:val="0"/>
        <w:overflowPunct/>
        <w:topLinePunct/>
        <w:autoSpaceDE/>
        <w:autoSpaceDN/>
        <w:bidi w:val="0"/>
        <w:adjustRightInd/>
        <w:snapToGrid/>
        <w:spacing w:line="420" w:lineRule="exact"/>
        <w:ind w:left="0" w:right="0" w:firstLine="480" w:firstLineChars="200"/>
        <w:jc w:val="left"/>
        <w:textAlignment w:val="auto"/>
        <w:outlineLvl w:val="2"/>
        <w:rPr>
          <w:rFonts w:hint="eastAsia" w:ascii="仿宋" w:hAnsi="仿宋" w:eastAsia="仿宋" w:cs="仿宋"/>
          <w:color w:val="auto"/>
          <w:sz w:val="24"/>
          <w:szCs w:val="24"/>
          <w:highlight w:val="none"/>
          <w:lang w:eastAsia="zh-CN"/>
        </w:rPr>
      </w:pPr>
      <w:bookmarkStart w:id="57" w:name="_Toc11531"/>
      <w:bookmarkStart w:id="58" w:name="_Toc21532"/>
      <w:bookmarkStart w:id="59" w:name="_Toc6993"/>
      <w:bookmarkStart w:id="60" w:name="_Toc31239"/>
      <w:bookmarkStart w:id="61" w:name="_Toc3633"/>
      <w:bookmarkStart w:id="62" w:name="_Toc13622"/>
      <w:bookmarkStart w:id="63" w:name="_Toc30799"/>
      <w:bookmarkStart w:id="64" w:name="_Toc27864"/>
      <w:bookmarkStart w:id="65" w:name="_Toc30169"/>
      <w:bookmarkStart w:id="66" w:name="_Toc13401"/>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.本项目（否）接受联合体投标。</w:t>
      </w:r>
      <w:bookmarkEnd w:id="57"/>
      <w:bookmarkEnd w:id="58"/>
      <w:bookmarkEnd w:id="59"/>
      <w:bookmarkEnd w:id="60"/>
      <w:bookmarkEnd w:id="61"/>
      <w:bookmarkEnd w:id="62"/>
      <w:bookmarkEnd w:id="63"/>
      <w:bookmarkEnd w:id="64"/>
      <w:bookmarkEnd w:id="65"/>
      <w:bookmarkEnd w:id="66"/>
    </w:p>
    <w:p w14:paraId="02D04781">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67" w:name="_Toc18367"/>
      <w:bookmarkStart w:id="68" w:name="_Toc88646722"/>
      <w:bookmarkStart w:id="69" w:name="_Toc11308"/>
      <w:bookmarkStart w:id="70" w:name="_Toc4705"/>
      <w:bookmarkStart w:id="71" w:name="_Toc88638738"/>
      <w:bookmarkStart w:id="72" w:name="_Toc22213"/>
      <w:bookmarkStart w:id="73" w:name="_Toc10007"/>
      <w:bookmarkStart w:id="74" w:name="_Toc145067544"/>
      <w:bookmarkStart w:id="75" w:name="_Toc22588"/>
      <w:r>
        <w:rPr>
          <w:rFonts w:hint="eastAsia" w:ascii="仿宋" w:hAnsi="仿宋" w:eastAsia="仿宋" w:cs="仿宋"/>
          <w:color w:val="000000" w:themeColor="text1"/>
          <w:sz w:val="24"/>
          <w:szCs w:val="24"/>
          <w:highlight w:val="none"/>
          <w:lang w:eastAsia="zh-CN"/>
          <w14:textFill>
            <w14:solidFill>
              <w14:schemeClr w14:val="tx1"/>
            </w14:solidFill>
          </w14:textFill>
        </w:rPr>
        <w:t>二、申请人的资格要求</w:t>
      </w:r>
      <w:bookmarkEnd w:id="67"/>
      <w:bookmarkEnd w:id="68"/>
      <w:bookmarkEnd w:id="69"/>
      <w:bookmarkEnd w:id="70"/>
      <w:bookmarkEnd w:id="71"/>
      <w:bookmarkEnd w:id="72"/>
      <w:bookmarkEnd w:id="73"/>
      <w:bookmarkEnd w:id="74"/>
      <w:bookmarkEnd w:id="75"/>
    </w:p>
    <w:p w14:paraId="48B2137D">
      <w:pPr>
        <w:pStyle w:val="7"/>
        <w:keepNext w:val="0"/>
        <w:keepLines w:val="0"/>
        <w:pageBreakBefore w:val="0"/>
        <w:widowControl w:val="0"/>
        <w:tabs>
          <w:tab w:val="left" w:pos="2412"/>
        </w:tabs>
        <w:kinsoku/>
        <w:wordWrap w:val="0"/>
        <w:overflowPunct/>
        <w:topLinePunct/>
        <w:autoSpaceDE/>
        <w:autoSpaceDN/>
        <w:bidi w:val="0"/>
        <w:adjustRightInd/>
        <w:snapToGrid/>
        <w:spacing w:line="420" w:lineRule="exact"/>
        <w:ind w:left="0" w:right="0" w:firstLine="480" w:firstLineChars="200"/>
        <w:jc w:val="left"/>
        <w:textAlignment w:val="auto"/>
        <w:outlineLvl w:val="2"/>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76" w:name="_Toc27648"/>
      <w:bookmarkStart w:id="77" w:name="_Toc11436"/>
      <w:bookmarkStart w:id="78" w:name="_Toc13679"/>
      <w:bookmarkStart w:id="79" w:name="_Toc3268"/>
      <w:bookmarkStart w:id="80" w:name="_Toc20770"/>
      <w:bookmarkStart w:id="81" w:name="_Toc18413"/>
      <w:bookmarkStart w:id="82" w:name="_Toc3720"/>
      <w:bookmarkStart w:id="83" w:name="_Toc32482"/>
      <w:bookmarkStart w:id="84" w:name="_Toc525"/>
      <w:bookmarkStart w:id="85" w:name="_Toc23258"/>
      <w:bookmarkStart w:id="86" w:name="_Toc4717"/>
      <w:bookmarkStart w:id="87" w:name="_Toc27003"/>
      <w:bookmarkStart w:id="88" w:name="_Toc27552"/>
      <w:bookmarkStart w:id="89" w:name="_Toc13026"/>
      <w:bookmarkStart w:id="90" w:name="_Toc12895"/>
      <w:bookmarkStart w:id="91" w:name="_Toc3038"/>
      <w:bookmarkStart w:id="92" w:name="_Toc28501"/>
      <w:bookmarkStart w:id="93" w:name="_Toc22018"/>
      <w:bookmarkStart w:id="94" w:name="_Toc18326"/>
      <w:bookmarkStart w:id="95" w:name="_Toc6293"/>
      <w:bookmarkStart w:id="96" w:name="_Toc30773"/>
      <w:bookmarkStart w:id="97" w:name="_Toc21596"/>
      <w:bookmarkStart w:id="98" w:name="_Toc12260"/>
      <w:bookmarkStart w:id="99" w:name="_Toc2450"/>
      <w:bookmarkStart w:id="100" w:name="_Toc4523"/>
      <w:bookmarkStart w:id="101" w:name="_Toc7349"/>
      <w:bookmarkStart w:id="102" w:name="_Toc21500"/>
      <w:bookmarkStart w:id="103" w:name="_Toc7073"/>
      <w:bookmarkStart w:id="104" w:name="_Toc16725"/>
      <w:bookmarkStart w:id="105" w:name="_Toc19533"/>
      <w:bookmarkStart w:id="106" w:name="_Toc11633"/>
      <w:bookmarkStart w:id="107" w:name="_Toc20588"/>
      <w:bookmarkStart w:id="108" w:name="_Toc19792"/>
      <w:bookmarkStart w:id="109" w:name="_Toc1678"/>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1.满足《中华人民共和国政府采购法》第二十二条规定；</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Start w:id="110" w:name="_Toc10628"/>
      <w:bookmarkStart w:id="111" w:name="_Toc18951"/>
      <w:bookmarkStart w:id="112" w:name="_Toc21835"/>
      <w:bookmarkStart w:id="113" w:name="_Toc20673"/>
      <w:bookmarkStart w:id="114" w:name="_Toc8275"/>
      <w:bookmarkStart w:id="115" w:name="_Toc568"/>
      <w:bookmarkStart w:id="116" w:name="_Toc7143"/>
      <w:bookmarkStart w:id="117" w:name="_Toc26864"/>
    </w:p>
    <w:p w14:paraId="3CDB35F6">
      <w:pPr>
        <w:pStyle w:val="7"/>
        <w:keepNext w:val="0"/>
        <w:keepLines w:val="0"/>
        <w:pageBreakBefore w:val="0"/>
        <w:widowControl w:val="0"/>
        <w:tabs>
          <w:tab w:val="left" w:pos="2412"/>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pPr>
      <w:bookmarkStart w:id="118" w:name="_Toc20300"/>
      <w:bookmarkStart w:id="119" w:name="_Toc25972"/>
      <w:bookmarkStart w:id="120" w:name="_Toc29269"/>
      <w:bookmarkStart w:id="121" w:name="_Toc16652"/>
      <w:bookmarkStart w:id="122" w:name="_Toc14096"/>
      <w:bookmarkStart w:id="123" w:name="_Toc168"/>
      <w:bookmarkStart w:id="124" w:name="_Toc31284"/>
      <w:bookmarkStart w:id="125" w:name="_Toc5617"/>
      <w:bookmarkStart w:id="126" w:name="_Toc19813"/>
      <w:bookmarkStart w:id="127" w:name="_Toc1855"/>
      <w:bookmarkStart w:id="128" w:name="_Toc24495"/>
      <w:bookmarkStart w:id="129" w:name="_Toc22475"/>
      <w:bookmarkStart w:id="130" w:name="_Toc1443"/>
      <w:bookmarkStart w:id="131" w:name="_Toc4631"/>
      <w:bookmarkStart w:id="132" w:name="_Toc22456"/>
      <w:bookmarkStart w:id="133" w:name="_Toc4693"/>
      <w:bookmarkStart w:id="134" w:name="_Toc19263"/>
      <w:bookmarkStart w:id="135" w:name="_Toc28179"/>
      <w:bookmarkStart w:id="136" w:name="_Toc15381"/>
      <w:bookmarkStart w:id="137" w:name="_Toc11026"/>
      <w:bookmarkStart w:id="138" w:name="_Toc2818"/>
      <w:bookmarkStart w:id="139" w:name="_Toc9407"/>
      <w:bookmarkStart w:id="140" w:name="_Toc11050"/>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.落实政府采购政策需满足的资格要求：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本项目</w:t>
      </w:r>
      <w:r>
        <w:rPr>
          <w:rFonts w:hint="eastAsia" w:ascii="仿宋" w:hAnsi="仿宋" w:eastAsia="仿宋" w:cs="仿宋"/>
          <w:b/>
          <w:bCs/>
          <w:i w:val="0"/>
          <w:iCs w:val="0"/>
          <w:color w:val="000000" w:themeColor="text1"/>
          <w:sz w:val="24"/>
          <w:szCs w:val="24"/>
          <w:highlight w:val="none"/>
          <w:u w:val="none"/>
          <w:lang w:eastAsia="zh-CN"/>
          <w14:textFill>
            <w14:solidFill>
              <w14:schemeClr w14:val="tx1"/>
            </w14:solidFill>
          </w14:textFill>
        </w:rPr>
        <w:t>（不属于）</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 xml:space="preserve">专门面向中小企业采购的项目。 </w:t>
      </w:r>
    </w:p>
    <w:p w14:paraId="190C5C82">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41" w:name="_Toc575"/>
      <w:bookmarkStart w:id="142" w:name="_Toc8016"/>
      <w:bookmarkStart w:id="143" w:name="_Toc16668"/>
      <w:bookmarkStart w:id="144" w:name="_Toc9787"/>
      <w:bookmarkStart w:id="145" w:name="_Toc17970"/>
      <w:bookmarkStart w:id="146" w:name="_Toc24946"/>
      <w:bookmarkStart w:id="147" w:name="_Toc13138"/>
      <w:bookmarkStart w:id="148" w:name="_Toc2461"/>
      <w:bookmarkStart w:id="149" w:name="_Toc8165"/>
      <w:bookmarkStart w:id="150" w:name="_Toc12116"/>
      <w:bookmarkStart w:id="151" w:name="_Toc19103"/>
      <w:bookmarkStart w:id="152" w:name="_Toc30118"/>
      <w:bookmarkStart w:id="153" w:name="_Toc16609"/>
      <w:bookmarkStart w:id="154" w:name="_Toc15686"/>
      <w:bookmarkStart w:id="155" w:name="_Toc9689"/>
      <w:bookmarkStart w:id="156" w:name="_Toc19915"/>
      <w:bookmarkStart w:id="157" w:name="_Toc20720"/>
      <w:bookmarkStart w:id="158" w:name="_Toc16739"/>
      <w:bookmarkStart w:id="159" w:name="_Toc18699"/>
      <w:bookmarkStart w:id="160" w:name="_Toc28890"/>
      <w:bookmarkStart w:id="161" w:name="_Toc16706"/>
      <w:bookmarkStart w:id="162" w:name="_Toc25407"/>
      <w:bookmarkStart w:id="163" w:name="_Toc15921"/>
      <w:bookmarkStart w:id="164" w:name="_Toc30599"/>
      <w:bookmarkStart w:id="165" w:name="_Toc18135"/>
      <w:bookmarkStart w:id="166" w:name="_Toc23913"/>
      <w:bookmarkStart w:id="167" w:name="_Toc1089"/>
      <w:bookmarkStart w:id="168" w:name="_Toc28915"/>
      <w:bookmarkStart w:id="169" w:name="_Toc26630"/>
      <w:bookmarkStart w:id="170" w:name="_Toc1066"/>
      <w:bookmarkStart w:id="171" w:name="_Toc19225"/>
      <w:bookmarkStart w:id="172" w:name="_Toc162"/>
      <w:bookmarkStart w:id="173" w:name="_Toc6423"/>
      <w:bookmarkStart w:id="174" w:name="_Toc25518"/>
      <w:bookmarkStart w:id="175" w:name="_Toc31964"/>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.本项目的特定资格要求：</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Start w:id="176" w:name="_Toc19391"/>
      <w:bookmarkStart w:id="177" w:name="_Toc88646723"/>
      <w:bookmarkStart w:id="178" w:name="_Toc145067545"/>
      <w:bookmarkStart w:id="179" w:name="_Toc88638742"/>
      <w:bookmarkStart w:id="180" w:name="_Toc2684"/>
      <w:bookmarkStart w:id="181" w:name="_Toc14430"/>
      <w:bookmarkStart w:id="182" w:name="_Toc28092"/>
      <w:bookmarkStart w:id="183" w:name="_Toc21013"/>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① 投标产品属于医疗器械的，投标人须按照国家最新的《医疗器械监督管理条例》的规定生产或经营医疗器械，投标人为生产企业的：所投产品为第一类医疗器械的，应具有《第一类医疗器械生产备案凭证》；所投产品为第二类、第三类医疗器械的，应具有《医疗器械生产许可证》（具备相应生产范围）。投标人为经营企业（含代理商、经销商）的：所投产品为第二类医疗器械的，应具有《第二类医疗器械经营备案凭证》（具备相应经营范围）；所投产品为第三类医疗器械的，应具有《医疗器械经营许可证》（具备相应经营范围）。</w:t>
      </w:r>
      <w:bookmarkEnd w:id="175"/>
    </w:p>
    <w:p w14:paraId="513F1B05">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84" w:name="_Toc22286"/>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注：医疗器械注册人、备案人在其住所或生产地址销售其注册、备案的医疗器械，无需办理医疗器械经营许可或备案，但应当符合《医疗器械监督管理条例》规定的经营条件，并提供相关说明。</w:t>
      </w:r>
      <w:bookmarkEnd w:id="184"/>
    </w:p>
    <w:p w14:paraId="1B3D03C6">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85" w:name="_Toc3111"/>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② 投标产品属于医疗器械管理范围的，须提供所投产品有效的《医疗器械注册证》或《医疗器械备案凭证》。</w:t>
      </w:r>
      <w:bookmarkEnd w:id="185"/>
    </w:p>
    <w:p w14:paraId="0D222075">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86" w:name="_Toc24379"/>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③ 投标产品为进口医疗器械的，可豁免国内生产许可证，但须提供境外制造商的合法资格证明及中文翻译件；同时须提供所投产品有效的进口《医疗器械注册证》或《医疗器械备案凭证》。</w:t>
      </w:r>
      <w:bookmarkEnd w:id="186"/>
    </w:p>
    <w:p w14:paraId="582BF6B1">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87" w:name="_Toc5781"/>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④ 非医疗器械产品无需提供上述医疗器械相关资质，但须提交书面声明，声明所投产品不属于医疗器械管理范围。</w:t>
      </w:r>
      <w:bookmarkEnd w:id="187"/>
    </w:p>
    <w:p w14:paraId="42126606">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0" w:firstLineChars="200"/>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bookmarkStart w:id="188" w:name="_Toc1974"/>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授权要求（如适用）：投标产品为进口产品或非生产厂家直接投标的，须提供产品制造商或具有授权资格的代理商针对本项目出具的授权书（授权链须完整可追溯至生产厂家或境外制造商）。</w:t>
      </w:r>
      <w:bookmarkEnd w:id="188"/>
    </w:p>
    <w:p w14:paraId="73516B08">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89" w:name="_Toc13300"/>
      <w:r>
        <w:rPr>
          <w:rFonts w:hint="eastAsia" w:ascii="仿宋" w:hAnsi="仿宋" w:eastAsia="仿宋" w:cs="仿宋"/>
          <w:color w:val="000000" w:themeColor="text1"/>
          <w:sz w:val="24"/>
          <w:szCs w:val="24"/>
          <w:highlight w:val="none"/>
          <w:lang w:eastAsia="zh-CN"/>
          <w14:textFill>
            <w14:solidFill>
              <w14:schemeClr w14:val="tx1"/>
            </w14:solidFill>
          </w14:textFill>
        </w:rPr>
        <w:t>三、获取</w:t>
      </w:r>
      <w:bookmarkEnd w:id="176"/>
      <w:bookmarkEnd w:id="177"/>
      <w:bookmarkEnd w:id="178"/>
      <w:bookmarkEnd w:id="179"/>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bookmarkEnd w:id="180"/>
      <w:bookmarkEnd w:id="181"/>
      <w:bookmarkEnd w:id="182"/>
      <w:bookmarkEnd w:id="183"/>
      <w:bookmarkEnd w:id="189"/>
    </w:p>
    <w:bookmarkEnd w:id="43"/>
    <w:p w14:paraId="3B0AC6D6">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cs="仿宋"/>
          <w:color w:val="000000" w:themeColor="text1"/>
          <w:sz w:val="24"/>
          <w:szCs w:val="24"/>
          <w:highlight w:val="none"/>
          <w:u w:val="none"/>
          <w:lang w:eastAsia="zh-CN"/>
          <w14:textFill>
            <w14:solidFill>
              <w14:schemeClr w14:val="tx1"/>
            </w14:solidFill>
          </w14:textFill>
        </w:rPr>
        <w:t>2026 年6月15日06时00分至 2026 年6月23日</w:t>
      </w:r>
      <w:r>
        <w:rPr>
          <w:rFonts w:hint="eastAsia" w:ascii="仿宋" w:hAnsi="仿宋" w:eastAsia="仿宋" w:cs="仿宋"/>
          <w:color w:val="000000" w:themeColor="text1"/>
          <w:sz w:val="24"/>
          <w:szCs w:val="24"/>
          <w:highlight w:val="none"/>
          <w:u w:val="none"/>
          <w:lang w:eastAsia="zh-CN"/>
          <w14:textFill>
            <w14:solidFill>
              <w14:schemeClr w14:val="tx1"/>
            </w14:solidFill>
          </w14:textFill>
        </w:rPr>
        <w:t>23</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时</w:t>
      </w:r>
      <w:r>
        <w:rPr>
          <w:rFonts w:hint="eastAsia" w:ascii="仿宋" w:hAnsi="仿宋" w:eastAsia="仿宋" w:cs="仿宋"/>
          <w:color w:val="000000" w:themeColor="text1"/>
          <w:sz w:val="24"/>
          <w:szCs w:val="24"/>
          <w:highlight w:val="none"/>
          <w:u w:val="none"/>
          <w:lang w:eastAsia="zh-CN"/>
          <w14:textFill>
            <w14:solidFill>
              <w14:schemeClr w14:val="tx1"/>
            </w14:solidFill>
          </w14:textFill>
        </w:rPr>
        <w:t>59</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分</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，每天上午06:00至12:00，下午12:00至23:59（北京时间，法定节假日除外）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12B9EE1">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 地点：</w:t>
      </w:r>
      <w:r>
        <w:rPr>
          <w:rFonts w:hint="eastAsia" w:ascii="仿宋" w:hAnsi="仿宋" w:eastAsia="仿宋" w:cs="仿宋"/>
          <w:color w:val="000000" w:themeColor="text1"/>
          <w:sz w:val="24"/>
          <w:szCs w:val="24"/>
          <w:highlight w:val="none"/>
          <w:lang w:val="en-US" w:eastAsia="zh-CN"/>
          <w14:textFill>
            <w14:solidFill>
              <w14:schemeClr w14:val="tx1"/>
            </w14:solidFill>
          </w14:textFill>
        </w:rPr>
        <w:t>云南省政府采购电子交易平台（政采云https://www.zcygov.cn/）线上获取</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5F327CF">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1）凡有意参加投标者，须在云南省政府采购电子交易平台（政采云）办理数字证书（CA），并在云南省政府采购电子交易平台（政采云）绑定数字证书（CA）后线上获取采购文件及其他采购资料。CA申领链接：https://middle.zcygov.cn/ca/apply/list?_app_=zcy.sys，CA申领后需登录云南省政府采购电子交易平台（政采云）完成数字证书（CA）绑定才可以使用。数字证书（CA）详见其办理流程；（2）按上述要求获取文件的投标人视为合法获取了本项目采购文件，具备本项目的投标资格。</w:t>
      </w:r>
    </w:p>
    <w:p w14:paraId="41819251">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90" w:name="_Toc24443"/>
      <w:bookmarkStart w:id="191" w:name="_Toc25968"/>
      <w:bookmarkStart w:id="192" w:name="_Toc17290"/>
      <w:bookmarkStart w:id="193" w:name="_Toc12123"/>
      <w:bookmarkStart w:id="194" w:name="_Toc8739"/>
      <w:bookmarkStart w:id="195" w:name="_Toc11065"/>
      <w:bookmarkStart w:id="196" w:name="_Toc3043"/>
      <w:bookmarkStart w:id="197" w:name="_Toc7684"/>
      <w:bookmarkStart w:id="198" w:name="_Toc15378"/>
      <w:bookmarkStart w:id="199" w:name="_Toc16301"/>
      <w:r>
        <w:rPr>
          <w:rFonts w:hint="eastAsia" w:ascii="仿宋" w:hAnsi="仿宋" w:eastAsia="仿宋" w:cs="仿宋"/>
          <w:color w:val="000000" w:themeColor="text1"/>
          <w:sz w:val="24"/>
          <w:szCs w:val="24"/>
          <w:highlight w:val="none"/>
          <w:lang w:eastAsia="zh-CN"/>
          <w14:textFill>
            <w14:solidFill>
              <w14:schemeClr w14:val="tx1"/>
            </w14:solidFill>
          </w14:textFill>
        </w:rPr>
        <w:t>4.售价：0.00元。</w:t>
      </w:r>
      <w:bookmarkEnd w:id="190"/>
      <w:bookmarkEnd w:id="191"/>
      <w:bookmarkEnd w:id="192"/>
      <w:bookmarkEnd w:id="193"/>
      <w:bookmarkEnd w:id="194"/>
      <w:bookmarkEnd w:id="195"/>
      <w:bookmarkEnd w:id="196"/>
      <w:bookmarkEnd w:id="197"/>
      <w:bookmarkEnd w:id="198"/>
      <w:bookmarkEnd w:id="199"/>
    </w:p>
    <w:p w14:paraId="50C635A8">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00" w:name="_Toc88646724"/>
      <w:bookmarkStart w:id="201" w:name="_Toc16746"/>
      <w:bookmarkStart w:id="202" w:name="_Toc12850"/>
      <w:bookmarkStart w:id="203" w:name="_Toc9161"/>
      <w:bookmarkStart w:id="204" w:name="_Toc8392"/>
      <w:bookmarkStart w:id="205" w:name="_Toc145067546"/>
      <w:bookmarkStart w:id="206" w:name="_Toc29977"/>
      <w:bookmarkStart w:id="207" w:name="_Toc7320"/>
      <w:bookmarkStart w:id="208" w:name="_Toc88638747"/>
      <w:bookmarkStart w:id="209" w:name="_Toc9280"/>
      <w:bookmarkStart w:id="210" w:name="_Toc7549"/>
      <w:r>
        <w:rPr>
          <w:rFonts w:hint="eastAsia" w:ascii="仿宋" w:hAnsi="仿宋" w:eastAsia="仿宋" w:cs="仿宋"/>
          <w:color w:val="000000" w:themeColor="text1"/>
          <w:sz w:val="24"/>
          <w:szCs w:val="24"/>
          <w:highlight w:val="none"/>
          <w:lang w:eastAsia="zh-CN"/>
          <w14:textFill>
            <w14:solidFill>
              <w14:schemeClr w14:val="tx1"/>
            </w14:solidFill>
          </w14:textFill>
        </w:rPr>
        <w:t>四、提交投标文件截止时间、开标时间和地点</w:t>
      </w:r>
      <w:bookmarkEnd w:id="200"/>
      <w:bookmarkEnd w:id="201"/>
      <w:bookmarkEnd w:id="202"/>
      <w:bookmarkEnd w:id="203"/>
      <w:bookmarkEnd w:id="204"/>
      <w:bookmarkEnd w:id="205"/>
      <w:bookmarkEnd w:id="206"/>
      <w:bookmarkEnd w:id="207"/>
      <w:bookmarkEnd w:id="208"/>
      <w:bookmarkEnd w:id="209"/>
      <w:bookmarkEnd w:id="210"/>
    </w:p>
    <w:p w14:paraId="3D4D2F98">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11" w:name="_Toc88638749"/>
      <w:r>
        <w:rPr>
          <w:rFonts w:hint="eastAsia" w:ascii="仿宋" w:hAnsi="仿宋" w:eastAsia="仿宋" w:cs="仿宋"/>
          <w:color w:val="000000" w:themeColor="text1"/>
          <w:sz w:val="24"/>
          <w:szCs w:val="24"/>
          <w:highlight w:val="none"/>
          <w:lang w:eastAsia="zh-CN"/>
          <w14:textFill>
            <w14:solidFill>
              <w14:schemeClr w14:val="tx1"/>
            </w14:solidFill>
          </w14:textFill>
        </w:rPr>
        <w:t>1.投标文件递交的截止时间及开标时间：</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2026</w:t>
      </w:r>
      <w:r>
        <w:rPr>
          <w:rFonts w:hint="eastAsia" w:ascii="仿宋" w:hAnsi="仿宋" w:eastAsia="仿宋" w:cs="仿宋"/>
          <w:color w:val="000000" w:themeColor="text1"/>
          <w:sz w:val="24"/>
          <w:szCs w:val="24"/>
          <w:highlight w:val="none"/>
          <w:u w:val="none"/>
          <w:lang w:eastAsia="zh-CN"/>
          <w14:textFill>
            <w14:solidFill>
              <w14:schemeClr w14:val="tx1"/>
            </w14:solidFill>
          </w14:textFill>
        </w:rPr>
        <w:t>年</w:t>
      </w:r>
      <w:r>
        <w:rPr>
          <w:rFonts w:hint="eastAsia" w:cs="仿宋"/>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月</w:t>
      </w:r>
      <w:r>
        <w:rPr>
          <w:rFonts w:hint="eastAsia" w:cs="仿宋"/>
          <w:color w:val="000000" w:themeColor="text1"/>
          <w:sz w:val="24"/>
          <w:szCs w:val="24"/>
          <w:highlight w:val="none"/>
          <w:u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日09</w:t>
      </w:r>
      <w:r>
        <w:rPr>
          <w:rFonts w:hint="eastAsia" w:ascii="仿宋" w:hAnsi="仿宋" w:eastAsia="仿宋" w:cs="仿宋"/>
          <w:color w:val="000000" w:themeColor="text1"/>
          <w:sz w:val="24"/>
          <w:szCs w:val="24"/>
          <w:highlight w:val="none"/>
          <w:u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u w:val="none"/>
          <w:lang w:eastAsia="zh-CN"/>
          <w14:textFill>
            <w14:solidFill>
              <w14:schemeClr w14:val="tx1"/>
            </w14:solidFill>
          </w14:textFill>
        </w:rPr>
        <w:t>分</w:t>
      </w:r>
      <w:r>
        <w:rPr>
          <w:rFonts w:hint="eastAsia" w:ascii="仿宋" w:hAnsi="仿宋" w:eastAsia="仿宋" w:cs="仿宋"/>
          <w:color w:val="000000" w:themeColor="text1"/>
          <w:sz w:val="24"/>
          <w:szCs w:val="24"/>
          <w:highlight w:val="none"/>
          <w:lang w:eastAsia="zh-CN"/>
          <w14:textFill>
            <w14:solidFill>
              <w14:schemeClr w14:val="tx1"/>
            </w14:solidFill>
          </w14:textFill>
        </w:rPr>
        <w:t>（北京时间）。</w:t>
      </w:r>
    </w:p>
    <w:p w14:paraId="72821B9A">
      <w:pPr>
        <w:pStyle w:val="7"/>
        <w:keepNext w:val="0"/>
        <w:keepLines w:val="0"/>
        <w:pageBreakBefore w:val="0"/>
        <w:widowControl w:val="0"/>
        <w:tabs>
          <w:tab w:val="left" w:pos="2812"/>
          <w:tab w:val="left" w:pos="4300"/>
        </w:tabs>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w:t>
      </w:r>
      <w:bookmarkEnd w:id="211"/>
      <w:r>
        <w:rPr>
          <w:rFonts w:hint="eastAsia" w:ascii="仿宋" w:hAnsi="仿宋" w:eastAsia="仿宋" w:cs="仿宋"/>
          <w:color w:val="000000" w:themeColor="text1"/>
          <w:sz w:val="24"/>
          <w:szCs w:val="24"/>
          <w:highlight w:val="none"/>
          <w:lang w:eastAsia="zh-CN"/>
          <w14:textFill>
            <w14:solidFill>
              <w14:schemeClr w14:val="tx1"/>
            </w14:solidFill>
          </w14:textFill>
        </w:rPr>
        <w:t>请登录云南省政府采购电子交易平台（政采云）投标客户端投标。</w:t>
      </w:r>
    </w:p>
    <w:p w14:paraId="301496CC">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12" w:name="_Toc89951815"/>
      <w:bookmarkStart w:id="213" w:name="_Toc20150"/>
      <w:bookmarkStart w:id="214" w:name="_Toc24587"/>
      <w:bookmarkStart w:id="215" w:name="_Toc843"/>
      <w:bookmarkStart w:id="216" w:name="_Toc25045"/>
      <w:bookmarkStart w:id="217" w:name="_Toc353"/>
      <w:bookmarkStart w:id="218" w:name="_Toc29783"/>
      <w:bookmarkStart w:id="219" w:name="_Toc30593"/>
      <w:bookmarkStart w:id="220" w:name="_Toc19357"/>
      <w:bookmarkStart w:id="221" w:name="_Toc145067547"/>
      <w:r>
        <w:rPr>
          <w:rFonts w:hint="eastAsia" w:ascii="仿宋" w:hAnsi="仿宋" w:eastAsia="仿宋" w:cs="仿宋"/>
          <w:color w:val="000000" w:themeColor="text1"/>
          <w:sz w:val="24"/>
          <w:szCs w:val="24"/>
          <w:highlight w:val="none"/>
          <w:lang w:eastAsia="zh-CN"/>
          <w14:textFill>
            <w14:solidFill>
              <w14:schemeClr w14:val="tx1"/>
            </w14:solidFill>
          </w14:textFill>
        </w:rPr>
        <w:t>五、公告期限</w:t>
      </w:r>
      <w:bookmarkEnd w:id="212"/>
      <w:bookmarkEnd w:id="213"/>
      <w:bookmarkEnd w:id="214"/>
      <w:bookmarkEnd w:id="215"/>
      <w:bookmarkEnd w:id="216"/>
      <w:bookmarkEnd w:id="217"/>
      <w:bookmarkEnd w:id="218"/>
      <w:bookmarkEnd w:id="219"/>
      <w:bookmarkEnd w:id="220"/>
      <w:bookmarkEnd w:id="221"/>
    </w:p>
    <w:p w14:paraId="0E822ECF">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自本公告发布之日起5个工作日。</w:t>
      </w:r>
    </w:p>
    <w:p w14:paraId="171F1E6E">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22" w:name="_Toc8052"/>
      <w:bookmarkStart w:id="223" w:name="_Toc16337"/>
      <w:bookmarkStart w:id="224" w:name="_Toc11766"/>
      <w:bookmarkStart w:id="225" w:name="_Toc11846"/>
      <w:bookmarkStart w:id="226" w:name="_Toc28893"/>
      <w:bookmarkStart w:id="227" w:name="_Toc31689"/>
      <w:bookmarkStart w:id="228" w:name="_Toc665"/>
      <w:bookmarkStart w:id="229" w:name="_Toc23745"/>
      <w:bookmarkStart w:id="230" w:name="_Toc89951816"/>
      <w:bookmarkStart w:id="231" w:name="_Toc145067548"/>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六、其他补充事宜</w:t>
      </w:r>
      <w:bookmarkEnd w:id="222"/>
      <w:bookmarkEnd w:id="223"/>
      <w:bookmarkEnd w:id="224"/>
      <w:bookmarkEnd w:id="225"/>
      <w:bookmarkEnd w:id="226"/>
      <w:bookmarkEnd w:id="227"/>
      <w:bookmarkEnd w:id="228"/>
    </w:p>
    <w:p w14:paraId="7768C0CE">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开标方式：网上开标；</w:t>
      </w:r>
    </w:p>
    <w:p w14:paraId="2403E679">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2.</w:t>
      </w:r>
      <w:r>
        <w:rPr>
          <w:rFonts w:hint="eastAsia" w:ascii="仿宋" w:hAnsi="仿宋" w:eastAsia="仿宋" w:cs="仿宋"/>
          <w:bCs/>
          <w:color w:val="000000" w:themeColor="text1"/>
          <w:sz w:val="24"/>
          <w:szCs w:val="24"/>
          <w:highlight w:val="none"/>
          <w:lang w:bidi="ar"/>
          <w14:textFill>
            <w14:solidFill>
              <w14:schemeClr w14:val="tx1"/>
            </w14:solidFill>
          </w14:textFill>
        </w:rPr>
        <w:t>是否需要缴纳投标保证金：</w:t>
      </w:r>
      <w:r>
        <w:rPr>
          <w:rFonts w:hint="eastAsia" w:ascii="仿宋" w:hAnsi="仿宋" w:eastAsia="仿宋" w:cs="仿宋"/>
          <w:b w:val="0"/>
          <w:bCs/>
          <w:i w:val="0"/>
          <w:iCs w:val="0"/>
          <w:color w:val="000000" w:themeColor="text1"/>
          <w:sz w:val="24"/>
          <w:szCs w:val="24"/>
          <w:highlight w:val="none"/>
          <w:lang w:bidi="ar"/>
          <w14:textFill>
            <w14:solidFill>
              <w14:schemeClr w14:val="tx1"/>
            </w14:solidFill>
          </w14:textFill>
        </w:rPr>
        <w:t>是</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p>
    <w:p w14:paraId="639B52D3">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标项1：酸性氧化电位水生成器和环氧乙烷灭菌器：3000.00元；</w:t>
      </w:r>
    </w:p>
    <w:p w14:paraId="17AB9B5D">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标项2：全自动清洗工作站和过氧化氢低温等离子灭菌器：4000.00元；</w:t>
      </w:r>
    </w:p>
    <w:p w14:paraId="535A3137">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标项3：二氧化碳泵和内窥镜冲洗器：500.00元；</w:t>
      </w:r>
    </w:p>
    <w:p w14:paraId="2B5E3C67">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bidi="ar"/>
          <w14:textFill>
            <w14:solidFill>
              <w14:schemeClr w14:val="tx1"/>
            </w14:solidFill>
          </w14:textFill>
        </w:rPr>
        <w:t>保证金缴纳方式：支票、汇票、本票、保函或者网银转账、电汇等形式</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，投标人可根据实际情况，选择保证金的缴纳方式；</w:t>
      </w:r>
    </w:p>
    <w:p w14:paraId="335858F2">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bidi="ar"/>
          <w14:textFill>
            <w14:solidFill>
              <w14:schemeClr w14:val="tx1"/>
            </w14:solidFill>
          </w14:textFill>
        </w:rPr>
        <w:t>投标保证金缴纳截止时间：</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2026年7月6日</w:t>
      </w:r>
      <w:r>
        <w:rPr>
          <w:rFonts w:hint="eastAsia" w:ascii="仿宋" w:hAnsi="仿宋" w:eastAsia="仿宋" w:cs="仿宋"/>
          <w:bCs/>
          <w:color w:val="000000" w:themeColor="text1"/>
          <w:sz w:val="24"/>
          <w:szCs w:val="24"/>
          <w:highlight w:val="none"/>
          <w:u w:val="none"/>
          <w:lang w:val="en-US" w:eastAsia="zh-CN" w:bidi="ar"/>
          <w14:textFill>
            <w14:solidFill>
              <w14:schemeClr w14:val="tx1"/>
            </w14:solidFill>
          </w14:textFill>
        </w:rPr>
        <w:t>09时00分</w:t>
      </w:r>
      <w:r>
        <w:rPr>
          <w:rFonts w:hint="eastAsia" w:ascii="仿宋" w:hAnsi="仿宋" w:eastAsia="仿宋" w:cs="仿宋"/>
          <w:color w:val="000000" w:themeColor="text1"/>
          <w:sz w:val="24"/>
          <w:szCs w:val="24"/>
          <w:highlight w:val="none"/>
          <w:lang w:eastAsia="zh-CN"/>
          <w14:textFill>
            <w14:solidFill>
              <w14:schemeClr w14:val="tx1"/>
            </w14:solidFill>
          </w14:textFill>
        </w:rPr>
        <w:t>（北京时间）</w:t>
      </w:r>
      <w:r>
        <w:rPr>
          <w:rFonts w:hint="eastAsia" w:ascii="仿宋" w:hAnsi="仿宋" w:eastAsia="仿宋" w:cs="仿宋"/>
          <w:color w:val="000000" w:themeColor="text1"/>
          <w:sz w:val="24"/>
          <w:szCs w:val="24"/>
          <w:highlight w:val="none"/>
          <w14:textFill>
            <w14:solidFill>
              <w14:schemeClr w14:val="tx1"/>
            </w14:solidFill>
          </w14:textFill>
        </w:rPr>
        <w:t>。</w:t>
      </w:r>
    </w:p>
    <w:p w14:paraId="02EA2EEE">
      <w:pPr>
        <w:keepNext w:val="0"/>
        <w:keepLines w:val="0"/>
        <w:pageBreakBefore w:val="0"/>
        <w:widowControl w:val="0"/>
        <w:numPr>
          <w:ilvl w:val="0"/>
          <w:numId w:val="0"/>
        </w:numPr>
        <w:kinsoku/>
        <w:wordWrap w:val="0"/>
        <w:overflowPunct/>
        <w:topLinePunct/>
        <w:autoSpaceDE/>
        <w:autoSpaceDN/>
        <w:bidi w:val="0"/>
        <w:adjustRightInd/>
        <w:snapToGrid/>
        <w:spacing w:line="420" w:lineRule="exact"/>
        <w:ind w:left="0" w:right="0" w:firstLine="480" w:firstLineChars="200"/>
        <w:jc w:val="left"/>
        <w:textAlignment w:val="auto"/>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32" w:name="_Toc22547"/>
      <w:bookmarkStart w:id="233" w:name="_Toc206"/>
      <w:bookmarkStart w:id="234" w:name="_Toc5027"/>
      <w:bookmarkStart w:id="235" w:name="_Toc13168"/>
      <w:bookmarkStart w:id="236" w:name="_Toc2052"/>
      <w:bookmarkStart w:id="237" w:name="_Toc9055"/>
      <w:bookmarkStart w:id="238" w:name="_Toc14568"/>
      <w:bookmarkStart w:id="239" w:name="_Toc13407"/>
      <w:bookmarkStart w:id="240" w:name="_Toc25877"/>
      <w:bookmarkStart w:id="241" w:name="_Toc17994"/>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bookmarkEnd w:id="232"/>
      <w:bookmarkEnd w:id="233"/>
      <w:bookmarkEnd w:id="234"/>
      <w:bookmarkEnd w:id="235"/>
      <w:bookmarkEnd w:id="236"/>
      <w:bookmarkEnd w:id="237"/>
      <w:bookmarkEnd w:id="238"/>
      <w:bookmarkEnd w:id="239"/>
      <w:bookmarkEnd w:id="240"/>
      <w:bookmarkEnd w:id="241"/>
    </w:p>
    <w:p w14:paraId="55290530">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bookmarkStart w:id="242" w:name="_Toc31249"/>
      <w:bookmarkStart w:id="243" w:name="_Toc26527"/>
      <w:bookmarkStart w:id="244" w:name="_Toc21112"/>
      <w:bookmarkStart w:id="245" w:name="_Toc8808"/>
      <w:bookmarkStart w:id="246" w:name="_Toc204"/>
      <w:bookmarkStart w:id="247" w:name="_Toc6513"/>
      <w:bookmarkStart w:id="248" w:name="_Toc4332"/>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 xml:space="preserve">3.1 发布公告的媒介：本次招标公告在《云南省政府采购网》、《政府采购云平台》上发布，采购人及采购代理机构对其他网站发布或转载的公告内容不承担任何责任。 </w:t>
      </w:r>
    </w:p>
    <w:p w14:paraId="5941C52D">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 xml:space="preserve">3.2本项目实行网上投标，采用电子投标文件； </w:t>
      </w:r>
    </w:p>
    <w:p w14:paraId="7A4B120C">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 xml:space="preserve">3.3各投标人应在开标前应确保成为政采云平台供应商，并完成CA数字证书申领。因未注册入库、未办理CA数字证书等原因造成无法投标或投标失败等后果由供应商自行承担。凡有意参加投标的投标人，须在政采云平台办理数字证书（CA）CA申领链接：https://middle.zcygov.cn/ca/apply/list?_app_=zcy.sys，并通过政采云绑定数字证书（CA）后在网上获取采购文件及其它采购资料，数字证书（CA）详见其办理流程； </w:t>
      </w:r>
    </w:p>
    <w:p w14:paraId="04D72FD1">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textAlignment w:val="auto"/>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3.4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云南CA紧急联系方式：15288315056。云南壹证通CA操作问题请致电：4000040628；云南壹证通CA紧急联系方式：19988166369。如因供应商自身原因导致在规定时间内无法正常解密的（如：浏览器故障、未安装相关驱动、网络故障、加密CA与解密CA不一致等），代理机构不予异常处理，视为供应商自动弃标。</w:t>
      </w:r>
    </w:p>
    <w:p w14:paraId="7736AB95">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themeColor="text1"/>
          <w:sz w:val="24"/>
          <w:szCs w:val="24"/>
          <w:highlight w:val="none"/>
          <w:lang w:eastAsia="zh-CN"/>
          <w14:textFill>
            <w14:solidFill>
              <w14:schemeClr w14:val="tx1"/>
            </w14:solidFill>
          </w14:textFill>
        </w:rPr>
        <w:t>、对本次招标提出询问，请按以下方式联系</w:t>
      </w:r>
      <w:bookmarkEnd w:id="229"/>
      <w:bookmarkEnd w:id="230"/>
      <w:bookmarkEnd w:id="231"/>
      <w:bookmarkEnd w:id="242"/>
      <w:bookmarkEnd w:id="243"/>
      <w:bookmarkEnd w:id="244"/>
      <w:bookmarkEnd w:id="245"/>
      <w:bookmarkEnd w:id="246"/>
      <w:bookmarkEnd w:id="247"/>
      <w:bookmarkEnd w:id="248"/>
    </w:p>
    <w:p w14:paraId="2A1C0E70">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2" w:firstLineChars="200"/>
        <w:jc w:val="left"/>
        <w:textAlignment w:val="auto"/>
        <w:outlineLvl w:val="2"/>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bookmarkStart w:id="249" w:name="_Toc9957"/>
      <w:bookmarkStart w:id="250" w:name="_Toc1032"/>
      <w:bookmarkStart w:id="251" w:name="_Toc8117"/>
      <w:bookmarkStart w:id="252" w:name="_Toc7929"/>
      <w:bookmarkStart w:id="253" w:name="_Toc17368"/>
      <w:bookmarkStart w:id="254" w:name="_Toc17790"/>
      <w:bookmarkStart w:id="255" w:name="_Toc13650"/>
      <w:bookmarkStart w:id="256" w:name="_Toc981"/>
      <w:bookmarkStart w:id="257" w:name="_Toc2554"/>
      <w:bookmarkStart w:id="258" w:name="_Toc23581"/>
      <w:bookmarkStart w:id="259" w:name="_Toc31963"/>
      <w:bookmarkStart w:id="260" w:name="_Toc31871"/>
      <w:bookmarkStart w:id="261" w:name="_Toc20671"/>
      <w:bookmarkStart w:id="262" w:name="_Toc18986"/>
      <w:bookmarkStart w:id="263" w:name="_Toc13429"/>
      <w:bookmarkStart w:id="264" w:name="_Toc10177"/>
      <w:bookmarkStart w:id="265" w:name="_Toc23038"/>
      <w:bookmarkStart w:id="266" w:name="_Toc29508"/>
      <w:bookmarkStart w:id="267" w:name="_Toc29920"/>
      <w:bookmarkStart w:id="268" w:name="_Toc4751"/>
      <w:bookmarkStart w:id="269" w:name="_Toc14289"/>
      <w:bookmarkStart w:id="270" w:name="_Toc30252"/>
      <w:bookmarkStart w:id="271" w:name="_Toc6763"/>
      <w:bookmarkStart w:id="272" w:name="_Toc30836"/>
      <w:bookmarkStart w:id="273" w:name="_Toc2842"/>
      <w:bookmarkStart w:id="274" w:name="_Toc20672"/>
      <w:bookmarkStart w:id="275" w:name="_Toc20322"/>
      <w:bookmarkStart w:id="276" w:name="_Toc26411"/>
      <w:bookmarkStart w:id="277" w:name="_Toc15037"/>
      <w:bookmarkStart w:id="278" w:name="_Toc4060"/>
      <w:bookmarkStart w:id="279" w:name="_Toc13623"/>
      <w:bookmarkStart w:id="280" w:name="_Toc2753"/>
      <w:bookmarkStart w:id="281" w:name="_Toc17041"/>
      <w:bookmarkStart w:id="282" w:name="_Toc7985"/>
      <w:bookmarkStart w:id="283" w:name="_Toc18988"/>
      <w:bookmarkStart w:id="284" w:name="_Toc32512"/>
      <w:bookmarkStart w:id="285" w:name="_Toc29602"/>
      <w:bookmarkStart w:id="286" w:name="_Toc3120"/>
      <w:bookmarkStart w:id="287" w:name="_Toc4152"/>
      <w:bookmarkStart w:id="288" w:name="_Toc22215"/>
      <w:bookmarkStart w:id="289" w:name="_Toc29685"/>
      <w:bookmarkStart w:id="290" w:name="_Toc31870"/>
      <w:bookmarkStart w:id="291" w:name="_Toc17354"/>
      <w:bookmarkStart w:id="292" w:name="_Toc14432"/>
      <w:bookmarkStart w:id="293" w:name="_Toc29317"/>
      <w:bookmarkStart w:id="294" w:name="_Toc10625"/>
      <w:bookmarkStart w:id="295" w:name="_Toc27795"/>
      <w:bookmarkStart w:id="296" w:name="_Toc20492"/>
      <w:bookmarkStart w:id="297" w:name="_Toc8969"/>
      <w:bookmarkStart w:id="298" w:name="_Toc27405"/>
      <w:bookmarkStart w:id="299" w:name="_Toc15330"/>
      <w:bookmarkStart w:id="300" w:name="_Toc30923"/>
      <w:bookmarkStart w:id="301" w:name="_Toc3653"/>
      <w:bookmarkStart w:id="302" w:name="_Toc11211"/>
      <w:bookmarkStart w:id="303" w:name="_Toc3586"/>
      <w:bookmarkStart w:id="304" w:name="_Toc21117"/>
      <w:bookmarkStart w:id="305" w:name="_Toc26358"/>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1.采购人信息</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B82AF09">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名    称</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：楚雄彝族自治州人民医院</w:t>
      </w:r>
    </w:p>
    <w:p w14:paraId="5FC24019">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地</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址：云南省楚雄市鹿城南路317号</w:t>
      </w:r>
    </w:p>
    <w:p w14:paraId="5A291F7B">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w:t>
      </w:r>
      <w:r>
        <w:rPr>
          <w:rFonts w:hint="eastAsia" w:ascii="仿宋" w:hAnsi="仿宋" w:eastAsia="仿宋" w:cs="仿宋"/>
          <w:color w:val="000000" w:themeColor="text1"/>
          <w:sz w:val="24"/>
          <w:szCs w:val="24"/>
          <w:highlight w:val="none"/>
          <w:lang w:val="en-US" w:eastAsia="zh-CN"/>
          <w14:textFill>
            <w14:solidFill>
              <w14:schemeClr w14:val="tx1"/>
            </w14:solidFill>
          </w14:textFill>
        </w:rPr>
        <w:t>方式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0878-3113019</w:t>
      </w:r>
    </w:p>
    <w:p w14:paraId="6D7874A3">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2" w:firstLineChars="200"/>
        <w:jc w:val="left"/>
        <w:textAlignment w:val="auto"/>
        <w:outlineLvl w:val="2"/>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bookmarkStart w:id="306" w:name="_Toc17569"/>
      <w:bookmarkStart w:id="307" w:name="_Toc5354"/>
      <w:bookmarkStart w:id="308" w:name="_Toc16577"/>
      <w:bookmarkStart w:id="309" w:name="_Toc14613"/>
      <w:bookmarkStart w:id="310" w:name="_Toc12715"/>
      <w:bookmarkStart w:id="311" w:name="_Toc23936"/>
      <w:bookmarkStart w:id="312" w:name="_Toc22272"/>
      <w:bookmarkStart w:id="313" w:name="_Toc22792"/>
      <w:bookmarkStart w:id="314" w:name="_Toc7344"/>
      <w:bookmarkStart w:id="315" w:name="_Toc1725"/>
      <w:bookmarkStart w:id="316" w:name="_Toc32028"/>
      <w:bookmarkStart w:id="317" w:name="_Toc26355"/>
      <w:bookmarkStart w:id="318" w:name="_Toc24218"/>
      <w:bookmarkStart w:id="319" w:name="_Toc6206"/>
      <w:bookmarkStart w:id="320" w:name="_Toc579"/>
      <w:bookmarkStart w:id="321" w:name="_Toc815"/>
      <w:bookmarkStart w:id="322" w:name="_Toc15284"/>
      <w:bookmarkStart w:id="323" w:name="_Toc16095"/>
      <w:bookmarkStart w:id="324" w:name="_Toc12646"/>
      <w:bookmarkStart w:id="325" w:name="_Toc2924"/>
      <w:bookmarkStart w:id="326" w:name="_Toc32538"/>
      <w:bookmarkStart w:id="327" w:name="_Toc16712"/>
      <w:bookmarkStart w:id="328" w:name="_Toc23063"/>
      <w:bookmarkStart w:id="329" w:name="_Toc23275"/>
      <w:bookmarkStart w:id="330" w:name="_Toc31458"/>
      <w:bookmarkStart w:id="331" w:name="_Toc14446"/>
      <w:bookmarkStart w:id="332" w:name="_Toc19890"/>
      <w:bookmarkStart w:id="333" w:name="_Toc19348"/>
      <w:bookmarkStart w:id="334" w:name="_Toc30653"/>
      <w:bookmarkStart w:id="335" w:name="_Toc15470"/>
      <w:bookmarkStart w:id="336" w:name="_Toc11632"/>
      <w:bookmarkStart w:id="337" w:name="_Toc17270"/>
      <w:bookmarkStart w:id="338" w:name="_Toc598"/>
      <w:bookmarkStart w:id="339" w:name="_Toc23934"/>
      <w:bookmarkStart w:id="340" w:name="_Toc22224"/>
      <w:bookmarkStart w:id="341" w:name="_Toc7669"/>
      <w:bookmarkStart w:id="342" w:name="_Toc25855"/>
      <w:bookmarkStart w:id="343" w:name="_Toc31520"/>
      <w:bookmarkStart w:id="344" w:name="_Toc1068"/>
      <w:bookmarkStart w:id="345" w:name="_Toc18377"/>
      <w:bookmarkStart w:id="346" w:name="_Toc30344"/>
      <w:bookmarkStart w:id="347" w:name="_Toc28076"/>
      <w:bookmarkStart w:id="348" w:name="_Toc16296"/>
      <w:bookmarkStart w:id="349" w:name="_Toc14384"/>
      <w:bookmarkStart w:id="350" w:name="_Toc26452"/>
      <w:bookmarkStart w:id="351" w:name="_Toc6941"/>
      <w:bookmarkStart w:id="352" w:name="_Toc2801"/>
      <w:bookmarkStart w:id="353" w:name="_Toc27813"/>
      <w:bookmarkStart w:id="354" w:name="_Toc30797"/>
      <w:bookmarkStart w:id="355" w:name="_Toc15130"/>
      <w:bookmarkStart w:id="356" w:name="_Toc3270"/>
      <w:bookmarkStart w:id="357" w:name="_Toc20740"/>
      <w:bookmarkStart w:id="358" w:name="_Toc11511"/>
      <w:bookmarkStart w:id="359" w:name="_Toc18785"/>
      <w:bookmarkStart w:id="360" w:name="_Toc13117"/>
      <w:bookmarkStart w:id="361" w:name="_Toc19335"/>
      <w:bookmarkStart w:id="362" w:name="_Toc16278"/>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2.采购代理机构信息</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7E6B7A5">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363" w:name="_Toc17426"/>
      <w:bookmarkStart w:id="364" w:name="_Toc4004"/>
      <w:bookmarkStart w:id="365" w:name="_Toc1667"/>
      <w:bookmarkStart w:id="366" w:name="_Toc21036"/>
      <w:bookmarkStart w:id="367" w:name="_Toc10182"/>
      <w:bookmarkStart w:id="368" w:name="_Toc9285"/>
      <w:bookmarkStart w:id="369" w:name="_Toc15169"/>
      <w:bookmarkStart w:id="370" w:name="_Toc17293"/>
      <w:bookmarkStart w:id="371" w:name="_Toc20534"/>
      <w:bookmarkStart w:id="372" w:name="_Toc8748"/>
      <w:bookmarkStart w:id="373" w:name="_Toc9560"/>
      <w:bookmarkStart w:id="374" w:name="_Toc894"/>
      <w:bookmarkStart w:id="375" w:name="_Toc13241"/>
      <w:bookmarkStart w:id="376" w:name="_Toc19488"/>
      <w:bookmarkStart w:id="377" w:name="_Toc3104"/>
      <w:bookmarkStart w:id="378" w:name="_Toc556"/>
      <w:bookmarkStart w:id="379" w:name="_Toc26158"/>
      <w:bookmarkStart w:id="380" w:name="_Toc29134"/>
      <w:bookmarkStart w:id="381" w:name="_Toc12487"/>
      <w:bookmarkStart w:id="382" w:name="_Toc17609"/>
      <w:bookmarkStart w:id="383" w:name="_Toc12019"/>
      <w:bookmarkStart w:id="384" w:name="_Toc21306"/>
      <w:bookmarkStart w:id="385" w:name="_Toc13054"/>
      <w:bookmarkStart w:id="386" w:name="_Toc5067"/>
      <w:bookmarkStart w:id="387" w:name="_Toc7977"/>
      <w:bookmarkStart w:id="388" w:name="_Toc25419"/>
      <w:bookmarkStart w:id="389" w:name="_Toc7450"/>
      <w:bookmarkStart w:id="390" w:name="_Toc12438"/>
      <w:bookmarkStart w:id="391" w:name="_Toc28359087"/>
      <w:bookmarkStart w:id="392" w:name="_Toc27231"/>
      <w:bookmarkStart w:id="393" w:name="_Toc5487"/>
      <w:bookmarkStart w:id="394" w:name="_Toc20485"/>
      <w:bookmarkStart w:id="395" w:name="_Toc7185"/>
      <w:bookmarkStart w:id="396" w:name="_Toc12514"/>
      <w:bookmarkStart w:id="397" w:name="_Toc19424"/>
      <w:bookmarkStart w:id="398" w:name="_Toc11563"/>
      <w:bookmarkStart w:id="399" w:name="_Toc10316"/>
      <w:bookmarkStart w:id="400" w:name="_Toc15604"/>
      <w:bookmarkStart w:id="401" w:name="_Toc22759"/>
      <w:bookmarkStart w:id="402" w:name="_Toc11645"/>
      <w:bookmarkStart w:id="403" w:name="_Toc11728"/>
      <w:bookmarkStart w:id="404" w:name="_Toc28765"/>
      <w:bookmarkStart w:id="405" w:name="_Toc1050"/>
      <w:bookmarkStart w:id="406" w:name="_Toc5284"/>
      <w:bookmarkStart w:id="407" w:name="_Toc8379"/>
      <w:bookmarkStart w:id="408" w:name="_Toc28359010"/>
      <w:bookmarkStart w:id="409" w:name="_Toc4864"/>
      <w:bookmarkStart w:id="410" w:name="_Toc25623"/>
      <w:bookmarkStart w:id="411" w:name="_Toc5611"/>
      <w:bookmarkStart w:id="412" w:name="_Toc266"/>
      <w:bookmarkStart w:id="413" w:name="_Toc2557"/>
      <w:bookmarkStart w:id="414" w:name="_Toc27292"/>
      <w:bookmarkStart w:id="415" w:name="_Toc7911"/>
      <w:bookmarkStart w:id="416" w:name="_Toc32034"/>
      <w:bookmarkStart w:id="417" w:name="_Toc32077"/>
      <w:bookmarkStart w:id="418" w:name="_Toc19261"/>
      <w:bookmarkStart w:id="419" w:name="_Toc26738"/>
      <w:bookmarkStart w:id="420" w:name="_Toc1735"/>
      <w:bookmarkStart w:id="421" w:name="_Toc13945"/>
      <w:r>
        <w:rPr>
          <w:rFonts w:hint="eastAsia" w:ascii="仿宋" w:hAnsi="仿宋" w:eastAsia="仿宋" w:cs="仿宋"/>
          <w:color w:val="000000" w:themeColor="text1"/>
          <w:sz w:val="24"/>
          <w:szCs w:val="24"/>
          <w:highlight w:val="none"/>
          <w:lang w:val="en-US" w:eastAsia="zh-CN"/>
          <w14:textFill>
            <w14:solidFill>
              <w14:schemeClr w14:val="tx1"/>
            </w14:solidFill>
          </w14:textFill>
        </w:rPr>
        <w:t>名    称：云南楚泓工程管理有限责任公司</w:t>
      </w:r>
    </w:p>
    <w:p w14:paraId="13DBCAE5">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址：楚雄市鹿城镇楚风香榭1幢3-5层305室</w:t>
      </w:r>
    </w:p>
    <w:p w14:paraId="2C7C0075">
      <w:pPr>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outlineLvl w:val="2"/>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422" w:name="_Toc25241"/>
      <w:bookmarkStart w:id="423" w:name="_Toc5172"/>
      <w:bookmarkStart w:id="424" w:name="_Toc29417"/>
      <w:bookmarkStart w:id="425" w:name="_Toc7592"/>
      <w:bookmarkStart w:id="426" w:name="_Toc29244"/>
      <w:bookmarkStart w:id="427" w:name="_Toc21607"/>
      <w:bookmarkStart w:id="428" w:name="_Toc1268"/>
      <w:bookmarkStart w:id="429" w:name="_Toc1437"/>
      <w:bookmarkStart w:id="430" w:name="_Toc7699"/>
      <w:bookmarkStart w:id="431" w:name="_Toc26213"/>
      <w:bookmarkStart w:id="432" w:name="_Toc14221"/>
      <w:bookmarkStart w:id="433" w:name="_Toc25810"/>
      <w:r>
        <w:rPr>
          <w:rFonts w:hint="eastAsia" w:ascii="仿宋" w:hAnsi="仿宋" w:eastAsia="仿宋" w:cs="仿宋"/>
          <w:color w:val="000000" w:themeColor="text1"/>
          <w:sz w:val="24"/>
          <w:szCs w:val="24"/>
          <w:highlight w:val="none"/>
          <w:lang w:val="en-US" w:eastAsia="zh-CN"/>
          <w14:textFill>
            <w14:solidFill>
              <w14:schemeClr w14:val="tx1"/>
            </w14:solidFill>
          </w14:textFill>
        </w:rPr>
        <w:t>联系方式：</w:t>
      </w:r>
      <w:bookmarkEnd w:id="422"/>
      <w:bookmarkEnd w:id="423"/>
      <w:bookmarkEnd w:id="424"/>
      <w:bookmarkEnd w:id="425"/>
      <w:bookmarkEnd w:id="426"/>
      <w:bookmarkEnd w:id="427"/>
      <w:bookmarkEnd w:id="428"/>
      <w:bookmarkEnd w:id="429"/>
      <w:bookmarkEnd w:id="430"/>
      <w:bookmarkEnd w:id="431"/>
      <w:bookmarkEnd w:id="432"/>
      <w:bookmarkEnd w:id="433"/>
      <w:r>
        <w:rPr>
          <w:rFonts w:hint="eastAsia" w:ascii="仿宋" w:hAnsi="仿宋" w:eastAsia="仿宋" w:cs="仿宋"/>
          <w:color w:val="000000" w:themeColor="text1"/>
          <w:sz w:val="24"/>
          <w:szCs w:val="24"/>
          <w:highlight w:val="none"/>
          <w:lang w:val="en-US" w:eastAsia="zh-CN"/>
          <w14:textFill>
            <w14:solidFill>
              <w14:schemeClr w14:val="tx1"/>
            </w14:solidFill>
          </w14:textFill>
        </w:rPr>
        <w:t>0878-3360038</w:t>
      </w:r>
    </w:p>
    <w:p w14:paraId="4DC77230">
      <w:pPr>
        <w:keepNext w:val="0"/>
        <w:keepLines w:val="0"/>
        <w:pageBreakBefore w:val="0"/>
        <w:widowControl w:val="0"/>
        <w:kinsoku/>
        <w:wordWrap w:val="0"/>
        <w:overflowPunct/>
        <w:topLinePunct/>
        <w:autoSpaceDE/>
        <w:autoSpaceDN/>
        <w:bidi w:val="0"/>
        <w:adjustRightInd/>
        <w:snapToGrid/>
        <w:spacing w:line="420" w:lineRule="exact"/>
        <w:ind w:left="0" w:right="0" w:firstLine="482" w:firstLineChars="200"/>
        <w:jc w:val="left"/>
        <w:textAlignment w:val="auto"/>
        <w:outlineLvl w:val="2"/>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3.项目联系方式</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BA16207">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项目联系人：</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李蓉</w:t>
      </w:r>
    </w:p>
    <w:p w14:paraId="3FACE28D">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sectPr>
          <w:footerReference r:id="rId3" w:type="default"/>
          <w:pgSz w:w="11906" w:h="16838"/>
          <w:pgMar w:top="1134" w:right="1134" w:bottom="1134" w:left="1134" w:header="851" w:footer="907" w:gutter="0"/>
          <w:pgNumType w:fmt="decimal" w:start="1"/>
          <w:cols w:space="425" w:num="1"/>
          <w:docGrid w:type="lines" w:linePitch="312" w:charSpace="0"/>
        </w:sect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电话：0878-3360038、18187832087</w:t>
      </w:r>
    </w:p>
    <w:p w14:paraId="4E2005D2">
      <w:pPr>
        <w:pStyle w:val="3"/>
        <w:keepNext w:val="0"/>
        <w:keepLines w:val="0"/>
        <w:pageBreakBefore w:val="0"/>
        <w:widowControl w:val="0"/>
        <w:kinsoku/>
        <w:wordWrap w:val="0"/>
        <w:overflowPunct/>
        <w:topLinePunct/>
        <w:autoSpaceDE/>
        <w:autoSpaceDN/>
        <w:bidi w:val="0"/>
        <w:adjustRightInd/>
        <w:snapToGrid/>
        <w:spacing w:before="0" w:after="0" w:line="20" w:lineRule="atLeast"/>
        <w:ind w:left="0" w:leftChars="0" w:right="0"/>
        <w:textAlignment w:val="auto"/>
        <w:outlineLvl w:val="0"/>
        <w:rPr>
          <w:rFonts w:hint="eastAsia" w:ascii="仿宋" w:hAnsi="仿宋" w:eastAsia="仿宋" w:cs="仿宋"/>
          <w:bCs/>
          <w:color w:val="000000" w:themeColor="text1"/>
          <w:sz w:val="32"/>
          <w:szCs w:val="32"/>
          <w:highlight w:val="none"/>
          <w:lang w:eastAsia="zh-CN"/>
          <w14:textFill>
            <w14:solidFill>
              <w14:schemeClr w14:val="tx1"/>
            </w14:solidFill>
          </w14:textFill>
        </w:rPr>
      </w:pPr>
      <w:bookmarkStart w:id="434" w:name="_Toc23491"/>
      <w:bookmarkStart w:id="435" w:name="_Toc14419"/>
      <w:bookmarkStart w:id="436" w:name="_Toc497486316"/>
      <w:bookmarkStart w:id="437" w:name="_Toc30602"/>
      <w:r>
        <w:rPr>
          <w:rStyle w:val="26"/>
          <w:rFonts w:hint="eastAsia" w:ascii="仿宋" w:hAnsi="仿宋" w:eastAsia="仿宋" w:cs="仿宋"/>
          <w:b/>
          <w:color w:val="000000" w:themeColor="text1"/>
          <w:sz w:val="32"/>
          <w:szCs w:val="32"/>
          <w:highlight w:val="none"/>
          <w:lang w:eastAsia="zh-CN"/>
          <w14:textFill>
            <w14:solidFill>
              <w14:schemeClr w14:val="tx1"/>
            </w14:solidFill>
          </w14:textFill>
        </w:rPr>
        <w:t>第二章</w:t>
      </w:r>
      <w:r>
        <w:rPr>
          <w:rStyle w:val="26"/>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bookmarkEnd w:id="434"/>
      <w:bookmarkEnd w:id="435"/>
      <w:bookmarkEnd w:id="436"/>
      <w:r>
        <w:rPr>
          <w:rStyle w:val="26"/>
          <w:rFonts w:hint="eastAsia" w:ascii="仿宋" w:hAnsi="仿宋" w:eastAsia="仿宋" w:cs="仿宋"/>
          <w:b/>
          <w:color w:val="000000" w:themeColor="text1"/>
          <w:sz w:val="32"/>
          <w:szCs w:val="32"/>
          <w:highlight w:val="none"/>
          <w:lang w:eastAsia="zh-CN"/>
          <w14:textFill>
            <w14:solidFill>
              <w14:schemeClr w14:val="tx1"/>
            </w14:solidFill>
          </w14:textFill>
        </w:rPr>
        <w:t>投标人须知</w:t>
      </w:r>
      <w:bookmarkEnd w:id="437"/>
    </w:p>
    <w:p w14:paraId="455B8E08">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firstLine="480" w:firstLineChars="200"/>
        <w:jc w:val="both"/>
        <w:textAlignment w:val="auto"/>
        <w:rPr>
          <w:rFonts w:hint="eastAsia" w:ascii="仿宋" w:hAnsi="仿宋" w:eastAsia="仿宋" w:cs="仿宋"/>
          <w:b w:val="0"/>
          <w:snapToGrid w:val="0"/>
          <w:color w:val="000000" w:themeColor="text1"/>
          <w:spacing w:val="0"/>
          <w:w w:val="10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pPr>
      <w:bookmarkStart w:id="438" w:name="_Toc145067563"/>
      <w:bookmarkStart w:id="439" w:name="_Toc88638755"/>
      <w:bookmarkStart w:id="440" w:name="_Toc1955"/>
      <w:bookmarkStart w:id="441" w:name="_Toc24669"/>
      <w:bookmarkStart w:id="442" w:name="_Toc88646729"/>
      <w:bookmarkStart w:id="443" w:name="_Toc10229"/>
      <w:bookmarkStart w:id="444" w:name="_Toc7927"/>
      <w:bookmarkStart w:id="445" w:name="_Toc6222"/>
      <w:bookmarkStart w:id="446" w:name="_Toc10671"/>
      <w:r>
        <w:rPr>
          <w:rFonts w:hint="eastAsia" w:ascii="仿宋" w:hAnsi="仿宋" w:eastAsia="仿宋" w:cs="仿宋"/>
          <w:b w:val="0"/>
          <w:snapToGrid w:val="0"/>
          <w:color w:val="000000" w:themeColor="text1"/>
          <w:spacing w:val="0"/>
          <w:w w:val="10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t>一、投标人须知</w:t>
      </w:r>
      <w:bookmarkEnd w:id="438"/>
      <w:bookmarkEnd w:id="439"/>
      <w:bookmarkEnd w:id="440"/>
      <w:bookmarkEnd w:id="441"/>
      <w:bookmarkEnd w:id="442"/>
      <w:r>
        <w:rPr>
          <w:rFonts w:hint="eastAsia" w:ascii="仿宋" w:hAnsi="仿宋" w:eastAsia="仿宋" w:cs="仿宋"/>
          <w:b w:val="0"/>
          <w:snapToGrid w:val="0"/>
          <w:color w:val="000000" w:themeColor="text1"/>
          <w:spacing w:val="0"/>
          <w:w w:val="10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t>前附表</w:t>
      </w:r>
      <w:bookmarkEnd w:id="443"/>
      <w:bookmarkEnd w:id="444"/>
      <w:bookmarkEnd w:id="445"/>
      <w:bookmarkEnd w:id="446"/>
    </w:p>
    <w:p w14:paraId="6720103B">
      <w:pPr>
        <w:keepNext w:val="0"/>
        <w:keepLines w:val="0"/>
        <w:pageBreakBefore w:val="0"/>
        <w:widowControl w:val="0"/>
        <w:kinsoku/>
        <w:wordWrap w:val="0"/>
        <w:overflowPunct/>
        <w:topLinePunct/>
        <w:autoSpaceDE/>
        <w:autoSpaceDN/>
        <w:bidi w:val="0"/>
        <w:adjustRightInd/>
        <w:snapToGrid/>
        <w:spacing w:line="20" w:lineRule="atLeast"/>
        <w:ind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本表是对</w:t>
      </w:r>
      <w:r>
        <w:rPr>
          <w:rFonts w:hint="eastAsia" w:ascii="仿宋" w:hAnsi="仿宋" w:eastAsia="仿宋" w:cs="仿宋"/>
          <w:color w:val="000000" w:themeColor="text1"/>
          <w:sz w:val="24"/>
          <w:szCs w:val="24"/>
          <w:highlight w:val="none"/>
          <w:lang w:eastAsia="zh-CN"/>
          <w14:textFill>
            <w14:solidFill>
              <w14:schemeClr w14:val="tx1"/>
            </w14:solidFill>
          </w14:textFill>
        </w:rPr>
        <w:t>投标人须知前附表</w:t>
      </w:r>
      <w:r>
        <w:rPr>
          <w:rFonts w:hint="eastAsia" w:ascii="仿宋" w:hAnsi="仿宋" w:eastAsia="仿宋" w:cs="仿宋"/>
          <w:color w:val="000000" w:themeColor="text1"/>
          <w:sz w:val="24"/>
          <w:szCs w:val="24"/>
          <w:highlight w:val="none"/>
          <w14:textFill>
            <w14:solidFill>
              <w14:schemeClr w14:val="tx1"/>
            </w14:solidFill>
          </w14:textFill>
        </w:rPr>
        <w:t>的具体补充和修改，如有矛盾，均以本资料表为准。标记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的选项意为适用于本项目，标记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的选项意为不适用于本项目。</w:t>
      </w:r>
    </w:p>
    <w:tbl>
      <w:tblPr>
        <w:tblStyle w:val="19"/>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6"/>
        <w:gridCol w:w="7699"/>
      </w:tblGrid>
      <w:tr w14:paraId="11E3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936" w:type="dxa"/>
            <w:noWrap w:val="0"/>
            <w:vAlign w:val="center"/>
          </w:tcPr>
          <w:p w14:paraId="5204087A">
            <w:pPr>
              <w:keepNext w:val="0"/>
              <w:keepLines w:val="0"/>
              <w:pageBreakBefore w:val="0"/>
              <w:widowControl w:val="0"/>
              <w:kinsoku/>
              <w:wordWrap w:val="0"/>
              <w:overflowPunct/>
              <w:topLinePunct/>
              <w:autoSpaceDE/>
              <w:autoSpaceDN/>
              <w:bidi w:val="0"/>
              <w:adjustRightInd/>
              <w:snapToGrid/>
              <w:spacing w:line="20" w:lineRule="atLeast"/>
              <w:ind w:right="0"/>
              <w:jc w:val="center"/>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447" w:name="_Toc26389"/>
            <w:bookmarkStart w:id="448" w:name="_Toc2950"/>
            <w:bookmarkStart w:id="449" w:name="_Toc1036"/>
            <w:bookmarkStart w:id="450" w:name="_Toc3709"/>
            <w:bookmarkStart w:id="451" w:name="_Toc30713"/>
            <w:bookmarkStart w:id="452" w:name="_Toc6645"/>
            <w:bookmarkStart w:id="453" w:name="OLE_LINK3"/>
            <w:bookmarkStart w:id="454" w:name="_Toc88638759"/>
            <w:bookmarkStart w:id="455" w:name="_Toc144646679"/>
            <w:bookmarkStart w:id="456" w:name="_Toc88646733"/>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条款名称</w:t>
            </w:r>
            <w:bookmarkEnd w:id="447"/>
            <w:bookmarkEnd w:id="448"/>
            <w:bookmarkEnd w:id="449"/>
            <w:bookmarkEnd w:id="450"/>
            <w:bookmarkEnd w:id="451"/>
            <w:bookmarkEnd w:id="452"/>
          </w:p>
        </w:tc>
        <w:tc>
          <w:tcPr>
            <w:tcW w:w="7699" w:type="dxa"/>
            <w:noWrap w:val="0"/>
            <w:vAlign w:val="center"/>
          </w:tcPr>
          <w:p w14:paraId="22946940">
            <w:pPr>
              <w:keepNext w:val="0"/>
              <w:keepLines w:val="0"/>
              <w:pageBreakBefore w:val="0"/>
              <w:widowControl w:val="0"/>
              <w:kinsoku/>
              <w:wordWrap w:val="0"/>
              <w:overflowPunct/>
              <w:topLinePunct/>
              <w:autoSpaceDE/>
              <w:autoSpaceDN/>
              <w:bidi w:val="0"/>
              <w:adjustRightInd/>
              <w:snapToGrid/>
              <w:spacing w:line="20" w:lineRule="atLeast"/>
              <w:ind w:right="0"/>
              <w:jc w:val="center"/>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457" w:name="_Toc22634"/>
            <w:bookmarkStart w:id="458" w:name="_Toc2831"/>
            <w:bookmarkStart w:id="459" w:name="_Toc6840"/>
            <w:bookmarkStart w:id="460" w:name="_Toc21440"/>
            <w:bookmarkStart w:id="461" w:name="_Toc12981"/>
            <w:bookmarkStart w:id="462" w:name="_Toc4162"/>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编列内容</w:t>
            </w:r>
            <w:bookmarkEnd w:id="457"/>
            <w:bookmarkEnd w:id="458"/>
            <w:bookmarkEnd w:id="459"/>
            <w:bookmarkEnd w:id="460"/>
            <w:bookmarkEnd w:id="461"/>
            <w:bookmarkEnd w:id="462"/>
          </w:p>
        </w:tc>
      </w:tr>
      <w:tr w14:paraId="53B0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1936" w:type="dxa"/>
            <w:noWrap w:val="0"/>
            <w:vAlign w:val="center"/>
          </w:tcPr>
          <w:p w14:paraId="234BB21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7699" w:type="dxa"/>
            <w:noWrap w:val="0"/>
            <w:vAlign w:val="center"/>
          </w:tcPr>
          <w:p w14:paraId="0FF76BE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名    称</w:t>
            </w:r>
            <w:r>
              <w:rPr>
                <w:rFonts w:hint="eastAsia" w:ascii="仿宋" w:hAnsi="仿宋" w:eastAsia="仿宋" w:cs="仿宋"/>
                <w:color w:val="000000" w:themeColor="text1"/>
                <w:sz w:val="24"/>
                <w:szCs w:val="24"/>
                <w:highlight w:val="none"/>
                <w:lang w:eastAsia="zh-CN"/>
                <w14:textFill>
                  <w14:solidFill>
                    <w14:schemeClr w14:val="tx1"/>
                  </w14:solidFill>
                </w14:textFill>
              </w:rPr>
              <w:t>：楚雄彝族自治州人民医院</w:t>
            </w:r>
          </w:p>
          <w:p w14:paraId="7A23B1A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    址：云南省楚雄市鹿城南路317号</w:t>
            </w:r>
          </w:p>
          <w:p w14:paraId="2CD8C7BD">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 系 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杨老师、王老师、蔺老师</w:t>
            </w:r>
          </w:p>
          <w:p w14:paraId="16A61D7E">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    话：</w:t>
            </w:r>
            <w:r>
              <w:rPr>
                <w:rFonts w:hint="eastAsia" w:ascii="仿宋" w:hAnsi="仿宋" w:eastAsia="仿宋" w:cs="仿宋"/>
                <w:color w:val="000000" w:themeColor="text1"/>
                <w:sz w:val="24"/>
                <w:szCs w:val="24"/>
                <w:highlight w:val="none"/>
                <w:lang w:val="en-US" w:eastAsia="zh-CN"/>
                <w14:textFill>
                  <w14:solidFill>
                    <w14:schemeClr w14:val="tx1"/>
                  </w14:solidFill>
                </w14:textFill>
              </w:rPr>
              <w:t>0878-3113019</w:t>
            </w:r>
          </w:p>
        </w:tc>
      </w:tr>
      <w:tr w14:paraId="0B5B8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2E41026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7699" w:type="dxa"/>
            <w:noWrap w:val="0"/>
            <w:vAlign w:val="center"/>
          </w:tcPr>
          <w:p w14:paraId="57592A2C">
            <w:pPr>
              <w:keepNext w:val="0"/>
              <w:keepLines w:val="0"/>
              <w:pageBreakBefore w:val="0"/>
              <w:widowControl w:val="0"/>
              <w:kinsoku/>
              <w:wordWrap w:val="0"/>
              <w:overflowPunct/>
              <w:topLinePunct/>
              <w:autoSpaceDE/>
              <w:autoSpaceDN/>
              <w:bidi w:val="0"/>
              <w:adjustRightInd/>
              <w:snapToGrid/>
              <w:spacing w:line="240" w:lineRule="auto"/>
              <w:ind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名    称：云南楚泓工程管理有限责任公司</w:t>
            </w:r>
          </w:p>
          <w:p w14:paraId="6611D442">
            <w:pPr>
              <w:keepNext w:val="0"/>
              <w:keepLines w:val="0"/>
              <w:pageBreakBefore w:val="0"/>
              <w:widowControl w:val="0"/>
              <w:kinsoku/>
              <w:wordWrap w:val="0"/>
              <w:overflowPunct/>
              <w:topLinePunct/>
              <w:autoSpaceDE/>
              <w:autoSpaceDN/>
              <w:bidi w:val="0"/>
              <w:adjustRightInd/>
              <w:snapToGrid/>
              <w:spacing w:line="240" w:lineRule="auto"/>
              <w:ind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　  址：楚雄市鹿城镇楚风香榭1幢3-5层305室</w:t>
            </w:r>
          </w:p>
          <w:p w14:paraId="440F9CA1">
            <w:pPr>
              <w:keepNext w:val="0"/>
              <w:keepLines w:val="0"/>
              <w:pageBreakBefore w:val="0"/>
              <w:widowControl w:val="0"/>
              <w:kinsoku/>
              <w:wordWrap w:val="0"/>
              <w:overflowPunct/>
              <w:topLinePunct/>
              <w:autoSpaceDE/>
              <w:autoSpaceDN/>
              <w:bidi w:val="0"/>
              <w:adjustRightInd/>
              <w:snapToGrid/>
              <w:spacing w:line="240" w:lineRule="auto"/>
              <w:ind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项目联系人：李蓉</w:t>
            </w:r>
          </w:p>
          <w:p w14:paraId="02F0CFA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    话：0878-3360038、18187832087</w:t>
            </w:r>
          </w:p>
        </w:tc>
      </w:tr>
      <w:tr w14:paraId="7AB5F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936" w:type="dxa"/>
            <w:noWrap w:val="0"/>
            <w:vAlign w:val="center"/>
          </w:tcPr>
          <w:p w14:paraId="644CFEF3">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7699" w:type="dxa"/>
            <w:noWrap w:val="0"/>
            <w:vAlign w:val="center"/>
          </w:tcPr>
          <w:p w14:paraId="620C32D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楚雄彝族自治州人民医院2026年一批消毒清洗设备采购</w:t>
            </w:r>
          </w:p>
        </w:tc>
      </w:tr>
      <w:tr w14:paraId="5A25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936" w:type="dxa"/>
            <w:noWrap w:val="0"/>
            <w:vAlign w:val="center"/>
          </w:tcPr>
          <w:p w14:paraId="6E4302D4">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p>
        </w:tc>
        <w:tc>
          <w:tcPr>
            <w:tcW w:w="7699" w:type="dxa"/>
            <w:noWrap w:val="0"/>
            <w:vAlign w:val="center"/>
          </w:tcPr>
          <w:p w14:paraId="4B95F87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CXZC2026-G1-00365-YNCH-0005</w:t>
            </w:r>
          </w:p>
        </w:tc>
      </w:tr>
      <w:tr w14:paraId="4937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43F9906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采购预算</w:t>
            </w:r>
          </w:p>
          <w:p w14:paraId="3E72C55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（最高限价）</w:t>
            </w:r>
          </w:p>
        </w:tc>
        <w:tc>
          <w:tcPr>
            <w:tcW w:w="7699" w:type="dxa"/>
            <w:shd w:val="clear" w:color="auto" w:fill="auto"/>
            <w:noWrap w:val="0"/>
            <w:vAlign w:val="center"/>
          </w:tcPr>
          <w:p w14:paraId="7265C1F5">
            <w:pPr>
              <w:keepNext w:val="0"/>
              <w:keepLines w:val="0"/>
              <w:pageBreakBefore w:val="0"/>
              <w:widowControl w:val="0"/>
              <w:kinsoku/>
              <w:wordWrap w:val="0"/>
              <w:overflowPunct/>
              <w:topLinePunct/>
              <w:autoSpaceDE/>
              <w:autoSpaceDN/>
              <w:bidi w:val="0"/>
              <w:adjustRightInd/>
              <w:snapToGrid/>
              <w:spacing w:line="240" w:lineRule="auto"/>
              <w:ind w:left="0" w:right="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最高限价：98.4万元；</w:t>
            </w:r>
          </w:p>
          <w:p w14:paraId="7B7495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其中：标项1：酸性氧化电位水生成器和环氧乙烷灭菌器43万元；标项2：全自动清洗工作站和过氧化氢低温等离子灭菌器44万元；标项3：二氧化碳泵和内窥镜冲洗器7.8万元；</w:t>
            </w:r>
          </w:p>
          <w:p w14:paraId="0E18F44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2" w:firstLineChars="200"/>
              <w:textAlignment w:val="auto"/>
              <w:rPr>
                <w:rFonts w:hint="eastAsia" w:ascii="仿宋" w:hAnsi="仿宋" w:eastAsia="仿宋" w:cs="仿宋"/>
                <w:b w:val="0"/>
                <w:b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投标报价超过最高限价的将按无效投标处理。</w:t>
            </w:r>
          </w:p>
        </w:tc>
      </w:tr>
      <w:tr w14:paraId="20163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1936" w:type="dxa"/>
            <w:noWrap w:val="0"/>
            <w:vAlign w:val="center"/>
          </w:tcPr>
          <w:p w14:paraId="69F0DBB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资金落实情况</w:t>
            </w:r>
          </w:p>
        </w:tc>
        <w:tc>
          <w:tcPr>
            <w:tcW w:w="7699" w:type="dxa"/>
            <w:noWrap w:val="0"/>
            <w:vAlign w:val="center"/>
          </w:tcPr>
          <w:p w14:paraId="6A8D287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已落实</w:t>
            </w:r>
          </w:p>
        </w:tc>
      </w:tr>
      <w:tr w14:paraId="2C848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936" w:type="dxa"/>
            <w:noWrap w:val="0"/>
            <w:vAlign w:val="center"/>
          </w:tcPr>
          <w:p w14:paraId="3F321980">
            <w:pPr>
              <w:pStyle w:val="10"/>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资格审查</w:t>
            </w:r>
          </w:p>
        </w:tc>
        <w:tc>
          <w:tcPr>
            <w:tcW w:w="7699" w:type="dxa"/>
            <w:noWrap w:val="0"/>
            <w:vAlign w:val="center"/>
          </w:tcPr>
          <w:p w14:paraId="1301ABB5">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xml:space="preserve">□采购人审查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采购人委托采购代理机构进行审查</w:t>
            </w:r>
          </w:p>
        </w:tc>
      </w:tr>
      <w:tr w14:paraId="2AAD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jc w:val="center"/>
        </w:trPr>
        <w:tc>
          <w:tcPr>
            <w:tcW w:w="1936" w:type="dxa"/>
            <w:noWrap w:val="0"/>
            <w:vAlign w:val="center"/>
          </w:tcPr>
          <w:p w14:paraId="0801A08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项目属性</w:t>
            </w:r>
          </w:p>
        </w:tc>
        <w:tc>
          <w:tcPr>
            <w:tcW w:w="7699" w:type="dxa"/>
            <w:noWrap w:val="0"/>
            <w:vAlign w:val="center"/>
          </w:tcPr>
          <w:p w14:paraId="3B5E124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货物：是指各种形态和种类的物品，包括原材料、燃料、设备、产品等。</w:t>
            </w:r>
          </w:p>
          <w:p w14:paraId="062534C9">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工程：是指建设工程，包括建筑物和构筑物的新建、改建、扩建、装修、拆除、修缮等。</w:t>
            </w:r>
          </w:p>
          <w:p w14:paraId="4B20F82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服务：是指除货物和工程以外的其他采购对象。</w:t>
            </w:r>
          </w:p>
          <w:p w14:paraId="14AD7C8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是否政府购买服务项目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□是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否</w:t>
            </w:r>
          </w:p>
        </w:tc>
      </w:tr>
      <w:tr w14:paraId="28BAD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1936" w:type="dxa"/>
            <w:noWrap w:val="0"/>
            <w:vAlign w:val="center"/>
          </w:tcPr>
          <w:p w14:paraId="7EFD2AB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FF"/>
                <w:kern w:val="0"/>
                <w:sz w:val="24"/>
                <w:szCs w:val="24"/>
                <w:highlight w:val="yellow"/>
                <w:lang w:val="en-US" w:eastAsia="en-US" w:bidi="ar-SA"/>
              </w:rPr>
            </w:pPr>
            <w:r>
              <w:rPr>
                <w:rFonts w:hint="eastAsia" w:ascii="仿宋" w:hAnsi="仿宋" w:eastAsia="仿宋" w:cs="仿宋"/>
                <w:color w:val="auto"/>
                <w:sz w:val="24"/>
                <w:szCs w:val="24"/>
                <w:highlight w:val="none"/>
              </w:rPr>
              <w:t>核心产品</w:t>
            </w:r>
          </w:p>
        </w:tc>
        <w:tc>
          <w:tcPr>
            <w:tcW w:w="7699" w:type="dxa"/>
            <w:noWrap w:val="0"/>
            <w:vAlign w:val="center"/>
          </w:tcPr>
          <w:p w14:paraId="6587C985">
            <w:pPr>
              <w:keepNext w:val="0"/>
              <w:keepLines w:val="0"/>
              <w:pageBreakBefore w:val="0"/>
              <w:widowControl w:val="0"/>
              <w:kinsoku/>
              <w:wordWrap w:val="0"/>
              <w:overflowPunct/>
              <w:topLinePunct/>
              <w:autoSpaceDE/>
              <w:autoSpaceDN/>
              <w:bidi w:val="0"/>
              <w:adjustRightInd/>
              <w:snapToGrid/>
              <w:spacing w:line="240" w:lineRule="auto"/>
              <w:ind w:left="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□关于核心产品本项目不适用。</w:t>
            </w:r>
          </w:p>
          <w:p w14:paraId="0A3467AB">
            <w:pPr>
              <w:keepNext w:val="0"/>
              <w:keepLines w:val="0"/>
              <w:pageBreakBefore w:val="0"/>
              <w:widowControl w:val="0"/>
              <w:kinsoku/>
              <w:wordWrap w:val="0"/>
              <w:overflowPunct/>
              <w:topLinePunct/>
              <w:autoSpaceDE/>
              <w:autoSpaceDN/>
              <w:bidi w:val="0"/>
              <w:adjustRightInd/>
              <w:snapToGrid/>
              <w:spacing w:line="240" w:lineRule="auto"/>
              <w:ind w:left="0" w:right="0" w:righ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为单一产品采购项目。单一货物采购：提供相同品牌产品且通过资格审查、符合性审查的不同投标人参加同一合同项下投标的，按一家投标人计算，评标总得分最高的同品牌投标人获得中标人推荐资格；其他同品牌投标人不作为中标候选人。</w:t>
            </w:r>
          </w:p>
          <w:p w14:paraId="56E0655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20" w:firstLineChars="200"/>
              <w:textAlignment w:val="auto"/>
              <w:rPr>
                <w:rFonts w:hint="eastAsia" w:ascii="仿宋" w:hAnsi="仿宋" w:eastAsia="仿宋" w:cs="仿宋"/>
                <w:snapToGrid w:val="0"/>
                <w:color w:val="0000FF"/>
                <w:kern w:val="0"/>
                <w:sz w:val="24"/>
                <w:szCs w:val="24"/>
                <w:highlight w:val="yellow"/>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本项目为非单一产品采购项目，核心产品为：</w:t>
            </w:r>
            <w:r>
              <w:rPr>
                <w:rFonts w:hint="eastAsia" w:ascii="仿宋" w:hAnsi="仿宋" w:eastAsia="仿宋" w:cs="仿宋"/>
                <w:b/>
                <w:bCs/>
                <w:color w:val="auto"/>
                <w:sz w:val="21"/>
                <w:szCs w:val="21"/>
                <w:highlight w:val="none"/>
                <w:u w:val="single"/>
                <w:lang w:val="en-US" w:eastAsia="zh-CN"/>
              </w:rPr>
              <w:t>标项1：环氧乙烷灭菌器；标项2：过氧化氢低温等离子灭菌器；标项3：二氧化碳泵。</w:t>
            </w:r>
          </w:p>
        </w:tc>
      </w:tr>
      <w:tr w14:paraId="5230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57D837E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kern w:val="0"/>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现场考察</w:t>
            </w:r>
          </w:p>
        </w:tc>
        <w:tc>
          <w:tcPr>
            <w:tcW w:w="7699" w:type="dxa"/>
            <w:noWrap w:val="0"/>
            <w:vAlign w:val="center"/>
          </w:tcPr>
          <w:p w14:paraId="2B27E2C5">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不组织</w:t>
            </w:r>
          </w:p>
          <w:p w14:paraId="78BEE128">
            <w:pPr>
              <w:keepNext w:val="0"/>
              <w:keepLines w:val="0"/>
              <w:pageBreakBefore w:val="0"/>
              <w:widowControl w:val="0"/>
              <w:tabs>
                <w:tab w:val="left" w:pos="7665"/>
              </w:tabs>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组织</w:t>
            </w:r>
          </w:p>
          <w:p w14:paraId="0AAF98CE">
            <w:pPr>
              <w:keepNext w:val="0"/>
              <w:keepLines w:val="0"/>
              <w:pageBreakBefore w:val="0"/>
              <w:widowControl w:val="0"/>
              <w:tabs>
                <w:tab w:val="left" w:pos="7665"/>
              </w:tabs>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踏勘时间：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上/下</w:t>
            </w:r>
            <w:r>
              <w:rPr>
                <w:rFonts w:hint="eastAsia" w:ascii="仿宋" w:hAnsi="仿宋" w:eastAsia="仿宋" w:cs="仿宋"/>
                <w:color w:val="000000" w:themeColor="text1"/>
                <w:sz w:val="24"/>
                <w:szCs w:val="24"/>
                <w:highlight w:val="none"/>
                <w14:textFill>
                  <w14:solidFill>
                    <w14:schemeClr w14:val="tx1"/>
                  </w14:solidFill>
                </w14:textFill>
              </w:rPr>
              <w:t>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14:textFill>
                  <w14:solidFill>
                    <w14:schemeClr w14:val="tx1"/>
                  </w14:solidFill>
                </w14:textFill>
              </w:rPr>
              <w:t>以前在</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集合，逾期不</w:t>
            </w:r>
            <w:r>
              <w:rPr>
                <w:rFonts w:hint="eastAsia" w:ascii="仿宋" w:hAnsi="仿宋" w:eastAsia="仿宋" w:cs="仿宋"/>
                <w:color w:val="000000" w:themeColor="text1"/>
                <w:sz w:val="24"/>
                <w:szCs w:val="24"/>
                <w:highlight w:val="none"/>
                <w:lang w:eastAsia="zh-CN"/>
                <w14:textFill>
                  <w14:solidFill>
                    <w14:schemeClr w14:val="tx1"/>
                  </w14:solidFill>
                </w14:textFill>
              </w:rPr>
              <w:t>再</w:t>
            </w:r>
            <w:r>
              <w:rPr>
                <w:rFonts w:hint="eastAsia" w:ascii="仿宋" w:hAnsi="仿宋" w:eastAsia="仿宋" w:cs="仿宋"/>
                <w:color w:val="000000" w:themeColor="text1"/>
                <w:sz w:val="24"/>
                <w:szCs w:val="24"/>
                <w:highlight w:val="none"/>
                <w14:textFill>
                  <w14:solidFill>
                    <w14:schemeClr w14:val="tx1"/>
                  </w14:solidFill>
                </w14:textFill>
              </w:rPr>
              <w:t>组织踏勘。现场踏勘所发生的一切费用及安全责任由</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自行承担。</w:t>
            </w:r>
          </w:p>
          <w:p w14:paraId="34770F07">
            <w:pPr>
              <w:pStyle w:val="10"/>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现场</w:t>
            </w:r>
            <w:r>
              <w:rPr>
                <w:rFonts w:hint="eastAsia" w:ascii="仿宋" w:hAnsi="仿宋" w:eastAsia="仿宋" w:cs="仿宋"/>
                <w:color w:val="000000" w:themeColor="text1"/>
                <w:sz w:val="24"/>
                <w:szCs w:val="24"/>
                <w:highlight w:val="none"/>
                <w:lang w:val="zh-CN"/>
                <w14:textFill>
                  <w14:solidFill>
                    <w14:schemeClr w14:val="tx1"/>
                  </w14:solidFill>
                </w14:textFill>
              </w:rPr>
              <w:t>踏勘</w:t>
            </w:r>
            <w:r>
              <w:rPr>
                <w:rFonts w:hint="eastAsia" w:ascii="仿宋" w:hAnsi="仿宋" w:eastAsia="仿宋" w:cs="仿宋"/>
                <w:color w:val="000000" w:themeColor="text1"/>
                <w:sz w:val="24"/>
                <w:szCs w:val="24"/>
                <w:highlight w:val="none"/>
                <w:lang w:val="zh-CN" w:eastAsia="zh-CN"/>
                <w14:textFill>
                  <w14:solidFill>
                    <w14:schemeClr w14:val="tx1"/>
                  </w14:solidFill>
                </w14:textFill>
              </w:rPr>
              <w:t>包括勘查、测量、制平面图、咨询等，</w:t>
            </w:r>
            <w:r>
              <w:rPr>
                <w:rFonts w:hint="eastAsia" w:ascii="仿宋" w:hAnsi="仿宋" w:eastAsia="仿宋" w:cs="仿宋"/>
                <w:color w:val="000000" w:themeColor="text1"/>
                <w:sz w:val="24"/>
                <w:szCs w:val="24"/>
                <w:highlight w:val="none"/>
                <w:lang w:val="zh-CN"/>
                <w14:textFill>
                  <w14:solidFill>
                    <w14:schemeClr w14:val="tx1"/>
                  </w14:solidFill>
                </w14:textFill>
              </w:rPr>
              <w:t>踏勘</w:t>
            </w:r>
            <w:r>
              <w:rPr>
                <w:rFonts w:hint="eastAsia" w:ascii="仿宋" w:hAnsi="仿宋" w:eastAsia="仿宋" w:cs="仿宋"/>
                <w:color w:val="000000" w:themeColor="text1"/>
                <w:sz w:val="24"/>
                <w:szCs w:val="24"/>
                <w:highlight w:val="none"/>
                <w:lang w:val="zh-CN" w:eastAsia="zh-CN"/>
                <w14:textFill>
                  <w14:solidFill>
                    <w14:schemeClr w14:val="tx1"/>
                  </w14:solidFill>
                </w14:textFill>
              </w:rPr>
              <w:t>结果与招标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需求</w:t>
            </w:r>
            <w:r>
              <w:rPr>
                <w:rFonts w:hint="eastAsia" w:ascii="仿宋" w:hAnsi="仿宋" w:eastAsia="仿宋" w:cs="仿宋"/>
                <w:color w:val="000000" w:themeColor="text1"/>
                <w:sz w:val="24"/>
                <w:szCs w:val="24"/>
                <w:highlight w:val="none"/>
                <w:lang w:val="zh-CN" w:eastAsia="zh-CN"/>
                <w14:textFill>
                  <w14:solidFill>
                    <w14:schemeClr w14:val="tx1"/>
                  </w14:solidFill>
                </w14:textFill>
              </w:rPr>
              <w:t>相互补充、支撑共同形成工程完整方案。满足使用功能要求和标准，风险共担，不做调整和签证。</w:t>
            </w:r>
          </w:p>
          <w:p w14:paraId="73384FD8">
            <w:pPr>
              <w:pStyle w:val="10"/>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现场联系电话：</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01A1A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482355E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kern w:val="0"/>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开标前答疑会</w:t>
            </w:r>
          </w:p>
        </w:tc>
        <w:tc>
          <w:tcPr>
            <w:tcW w:w="7699" w:type="dxa"/>
            <w:noWrap w:val="0"/>
            <w:vAlign w:val="center"/>
          </w:tcPr>
          <w:p w14:paraId="52D3327F">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不召开</w:t>
            </w:r>
          </w:p>
          <w:p w14:paraId="60750C40">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召开，召开时间：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分</w:t>
            </w:r>
          </w:p>
          <w:p w14:paraId="14D75A99">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召开地点：</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tc>
      </w:tr>
      <w:tr w14:paraId="478F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48AD2AD0">
            <w:pPr>
              <w:pStyle w:val="10"/>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是否</w:t>
            </w:r>
            <w:r>
              <w:rPr>
                <w:rFonts w:hint="eastAsia" w:ascii="仿宋" w:hAnsi="仿宋" w:eastAsia="仿宋" w:cs="仿宋"/>
                <w:color w:val="000000" w:themeColor="text1"/>
                <w:sz w:val="24"/>
                <w:szCs w:val="24"/>
                <w:highlight w:val="none"/>
                <w:lang w:val="en-US" w:eastAsia="zh-CN"/>
                <w14:textFill>
                  <w14:solidFill>
                    <w14:schemeClr w14:val="tx1"/>
                  </w14:solidFill>
                </w14:textFill>
              </w:rPr>
              <w:t>属于专门面向中小企业采购项目</w:t>
            </w:r>
          </w:p>
        </w:tc>
        <w:tc>
          <w:tcPr>
            <w:tcW w:w="7699" w:type="dxa"/>
            <w:noWrap w:val="0"/>
            <w:vAlign w:val="center"/>
          </w:tcPr>
          <w:p w14:paraId="5E48FF9C">
            <w:pPr>
              <w:pStyle w:val="10"/>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属于    </w:t>
            </w:r>
          </w:p>
          <w:p w14:paraId="1CECDF64">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价格扣除优惠比例：</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中</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小企业价格扣除优惠比例：</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14:paraId="20A1FC6C">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属于</w:t>
            </w:r>
          </w:p>
          <w:p w14:paraId="691A8E00">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价格扣除优惠比例：</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小微企业价格扣除优惠比例：</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tc>
      </w:tr>
      <w:tr w14:paraId="6FBF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37114B9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落实政府采购政策</w:t>
            </w:r>
          </w:p>
        </w:tc>
        <w:tc>
          <w:tcPr>
            <w:tcW w:w="7699" w:type="dxa"/>
            <w:noWrap w:val="0"/>
            <w:vAlign w:val="center"/>
          </w:tcPr>
          <w:p w14:paraId="7B089E23">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2" w:firstLineChars="200"/>
              <w:contextualSpacing/>
              <w:jc w:val="left"/>
              <w:textAlignment w:val="auto"/>
              <w:rPr>
                <w:rFonts w:hint="eastAsia" w:ascii="仿宋" w:hAnsi="仿宋" w:eastAsia="仿宋" w:cs="仿宋"/>
                <w:b/>
                <w:bCs/>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snapToGrid w:val="0"/>
                <w:color w:val="000000" w:themeColor="text1"/>
                <w:kern w:val="0"/>
                <w:sz w:val="24"/>
                <w:szCs w:val="24"/>
                <w:highlight w:val="none"/>
                <w:lang w:val="en-US" w:eastAsia="zh-CN"/>
                <w14:textFill>
                  <w14:solidFill>
                    <w14:schemeClr w14:val="tx1"/>
                  </w14:solidFill>
                </w14:textFill>
              </w:rPr>
              <w:t>中小企业价格扣除评分优惠政策</w:t>
            </w:r>
          </w:p>
          <w:p w14:paraId="3C195EBF">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是否适用于本项目：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适用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不适用</w:t>
            </w: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w:t>
            </w:r>
          </w:p>
          <w:p w14:paraId="526D91AE">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按照工信部联企业〔2011〕300 号文《关于印发中小企业划型标准规定的通知》及财政部、工信部《政府采购促进中小企业发展管理办法》（财库〔2020〕46 号）的规定提供《中小企业声明函》，否则评审时不予承认。</w:t>
            </w:r>
          </w:p>
          <w:p w14:paraId="1BA6B36C">
            <w:pPr>
              <w:keepNext w:val="0"/>
              <w:keepLines w:val="0"/>
              <w:pageBreakBefore w:val="0"/>
              <w:widowControl w:val="0"/>
              <w:kinsoku/>
              <w:wordWrap w:val="0"/>
              <w:overflowPunct/>
              <w:topLinePunct/>
              <w:autoSpaceDE/>
              <w:autoSpaceDN/>
              <w:bidi w:val="0"/>
              <w:adjustRightInd/>
              <w:snapToGrid/>
              <w:spacing w:line="20" w:lineRule="atLeast"/>
              <w:ind w:left="0" w:right="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w:t>
            </w:r>
          </w:p>
          <w:p w14:paraId="44B1472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①中小企业提供《中小企业声明函》时，标的名称须根据本次采购标的名称逐项填写。</w:t>
            </w:r>
          </w:p>
          <w:p w14:paraId="6CCF661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②投标人提供声明函内容不实的，属于提供虚假材料谋取中标、成交，依照《中华人民共和国政府采购法》等国家有关规定追究相应责任。</w:t>
            </w:r>
          </w:p>
          <w:p w14:paraId="03AA58C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③中标人享受本办法（财库〔2020〕46号）规定的中小企业扶持政策的，采购代理机构随中标结果公开中标人的《中小企业声明函》，接受社会监督。</w:t>
            </w:r>
          </w:p>
          <w:p w14:paraId="5407FFAE">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、监狱企业价格扣除评分优惠政策</w:t>
            </w:r>
          </w:p>
          <w:p w14:paraId="6D42000B">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是否适用于本项目：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适用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不适用</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B68B6BD">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 xml:space="preserve">若投标人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 </w:t>
            </w:r>
          </w:p>
          <w:p w14:paraId="2ED24419">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2"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注：监狱企业参加政府采购活动时，应当提供由省级以上监狱管理局、戒毒管理局（含新疆生产建设兵团）出具的属于监狱企业的证明文件。</w:t>
            </w:r>
          </w:p>
          <w:p w14:paraId="440D9EB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、残疾人福利性单位价格扣除优惠政策</w:t>
            </w:r>
          </w:p>
          <w:p w14:paraId="4A5DA939">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是否适用于本项目：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适用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不适用</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1068749">
            <w:pPr>
              <w:pStyle w:val="28"/>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14:textFill>
                  <w14:solidFill>
                    <w14:schemeClr w14:val="tx1"/>
                  </w14:solidFill>
                </w14:textFill>
              </w:rPr>
              <w:t xml:space="preserve">投标人如属残疾人福利性单位，产品价格需扣除的，须按照关于促进残疾人就业政府采购政策的通知（财库〔2017〕141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0A69816F">
            <w:pPr>
              <w:pStyle w:val="28"/>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t>注：残疾人福利性单位在参加政府采购活动时，应当提供《残疾人福利性单位声明函》，并对声明的真实性负责。中标人为残疾人福利性单位的，采购人或者其委托的采购代理机构应当随中标、中标结果同时公告其《残疾人福利性单位声明函》，接受社会监督</w:t>
            </w: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w:t>
            </w:r>
          </w:p>
          <w:p w14:paraId="1F0B18B3">
            <w:pPr>
              <w:pStyle w:val="28"/>
              <w:keepNext w:val="0"/>
              <w:keepLines w:val="0"/>
              <w:pageBreakBefore w:val="0"/>
              <w:widowControl w:val="0"/>
              <w:numPr>
                <w:ilvl w:val="0"/>
                <w:numId w:val="0"/>
              </w:numPr>
              <w:kinsoku/>
              <w:wordWrap w:val="0"/>
              <w:overflowPunct/>
              <w:topLinePunct/>
              <w:autoSpaceDE/>
              <w:autoSpaceDN/>
              <w:bidi w:val="0"/>
              <w:adjustRightInd/>
              <w:snapToGrid/>
              <w:spacing w:after="0" w:line="20" w:lineRule="atLeast"/>
              <w:ind w:right="0" w:rightChars="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u w:val="none"/>
                <w14:textFill>
                  <w14:solidFill>
                    <w14:schemeClr w14:val="tx1"/>
                  </w14:solidFill>
                </w14:textFill>
              </w:rPr>
              <w:t>监狱企业</w:t>
            </w:r>
            <w:r>
              <w:rPr>
                <w:rFonts w:hint="eastAsia" w:ascii="仿宋" w:hAnsi="仿宋" w:eastAsia="仿宋" w:cs="仿宋"/>
                <w:b/>
                <w:bCs/>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b/>
                <w:bCs/>
                <w:snapToGrid w:val="0"/>
                <w:color w:val="000000" w:themeColor="text1"/>
                <w:kern w:val="0"/>
                <w:sz w:val="24"/>
                <w:szCs w:val="24"/>
                <w:highlight w:val="none"/>
                <w:u w:val="none"/>
                <w:lang w:val="en-US" w:eastAsia="zh-CN"/>
                <w14:textFill>
                  <w14:solidFill>
                    <w14:schemeClr w14:val="tx1"/>
                  </w14:solidFill>
                </w14:textFill>
              </w:rPr>
              <w:t>残疾人福利性单位属于小型、微型企业的，不重复享受政策。</w:t>
            </w:r>
          </w:p>
          <w:p w14:paraId="2E2F7FE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color w:val="000000" w:themeColor="text1"/>
                <w:sz w:val="24"/>
                <w:szCs w:val="24"/>
                <w:highlight w:val="none"/>
                <w14:textFill>
                  <w14:solidFill>
                    <w14:schemeClr w14:val="tx1"/>
                  </w14:solidFill>
                </w14:textFill>
              </w:rPr>
              <w:t>、节能产品、环境标志产品</w:t>
            </w:r>
          </w:p>
          <w:p w14:paraId="0BFD78B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是否适用于本项目：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适用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不适用。</w:t>
            </w:r>
          </w:p>
          <w:p w14:paraId="758A34B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商务</w:t>
            </w:r>
            <w:r>
              <w:rPr>
                <w:rFonts w:hint="eastAsia" w:ascii="仿宋" w:hAnsi="仿宋" w:eastAsia="仿宋" w:cs="仿宋"/>
                <w:bCs/>
                <w:color w:val="000000" w:themeColor="text1"/>
                <w:sz w:val="24"/>
                <w:szCs w:val="24"/>
                <w:highlight w:val="none"/>
                <w14:textFill>
                  <w14:solidFill>
                    <w14:schemeClr w14:val="tx1"/>
                  </w14:solidFill>
                </w14:textFill>
              </w:rPr>
              <w:t>评分时给予对应的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加分</w:t>
            </w:r>
            <w:r>
              <w:rPr>
                <w:rFonts w:hint="eastAsia" w:ascii="仿宋" w:hAnsi="仿宋" w:eastAsia="仿宋" w:cs="仿宋"/>
                <w:bCs/>
                <w:color w:val="000000" w:themeColor="text1"/>
                <w:sz w:val="24"/>
                <w:szCs w:val="24"/>
                <w:highlight w:val="none"/>
                <w14:textFill>
                  <w14:solidFill>
                    <w14:schemeClr w14:val="tx1"/>
                  </w14:solidFill>
                </w14:textFill>
              </w:rPr>
              <w:t>（若项目需求及技术要求为政府强制采购产品，则不再对节能进行评审价格的扣除）。</w:t>
            </w:r>
          </w:p>
          <w:p w14:paraId="79C9E33E">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节能产品、环境标志产品清单可通过中国政府采购网（http://www.ccgp.gov.cn/）、国家发展改革委网站（http://hzs.ndrc.gov.cn/）</w:t>
            </w:r>
            <w:r>
              <w:rPr>
                <w:rFonts w:hint="eastAsia" w:ascii="仿宋" w:hAnsi="仿宋" w:eastAsia="仿宋" w:cs="仿宋"/>
                <w:bCs/>
                <w:color w:val="000000" w:themeColor="text1"/>
                <w:sz w:val="24"/>
                <w:szCs w:val="24"/>
                <w:highlight w:val="none"/>
                <w:lang w:eastAsia="zh-CN"/>
                <w14:textFill>
                  <w14:solidFill>
                    <w14:schemeClr w14:val="tx1"/>
                  </w14:solidFill>
                </w14:textFill>
              </w:rPr>
              <w:t>以及生态环境部网站</w:t>
            </w:r>
            <w:r>
              <w:rPr>
                <w:rFonts w:hint="eastAsia" w:ascii="仿宋" w:hAnsi="仿宋" w:eastAsia="仿宋" w:cs="仿宋"/>
                <w:bCs/>
                <w:color w:val="000000" w:themeColor="text1"/>
                <w:sz w:val="24"/>
                <w:szCs w:val="24"/>
                <w:highlight w:val="none"/>
                <w14:textFill>
                  <w14:solidFill>
                    <w14:schemeClr w14:val="tx1"/>
                  </w14:solidFill>
                </w14:textFill>
              </w:rPr>
              <w:t>（http://www.sepa.gov.cn/）查阅、下载。</w:t>
            </w:r>
          </w:p>
          <w:p w14:paraId="3C756DD1">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auto"/>
                <w:sz w:val="24"/>
                <w:szCs w:val="24"/>
                <w:highlight w:val="none"/>
              </w:rPr>
              <w:t>注：上述政策不重复享受，如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同时具备两个及以上政策优惠，仅享受最高的优惠对价格进行扣除。</w:t>
            </w:r>
          </w:p>
          <w:p w14:paraId="45B4614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强制采购节能产品</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□适用</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不适用</w:t>
            </w:r>
            <w:r>
              <w:rPr>
                <w:rFonts w:hint="eastAsia" w:ascii="仿宋" w:hAnsi="仿宋" w:eastAsia="仿宋" w:cs="仿宋"/>
                <w:bCs/>
                <w:color w:val="000000" w:themeColor="text1"/>
                <w:sz w:val="24"/>
                <w:szCs w:val="24"/>
                <w:highlight w:val="none"/>
                <w:lang w:eastAsia="zh-CN"/>
                <w14:textFill>
                  <w14:solidFill>
                    <w14:schemeClr w14:val="tx1"/>
                  </w14:solidFill>
                </w14:textFill>
              </w:rPr>
              <w:t>。</w:t>
            </w:r>
          </w:p>
          <w:p w14:paraId="2344B8B0">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02105170">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2" w:firstLineChars="200"/>
              <w:contextualSpacing/>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snapToGrid w:val="0"/>
                <w:color w:val="000000" w:themeColor="text1"/>
                <w:kern w:val="0"/>
                <w:sz w:val="24"/>
                <w:szCs w:val="24"/>
                <w:highlight w:val="none"/>
                <w:lang w:val="en-US" w:eastAsia="zh-CN" w:bidi="ar-SA"/>
                <w14:textFill>
                  <w14:solidFill>
                    <w14:schemeClr w14:val="tx1"/>
                  </w14:solidFill>
                </w14:textFill>
              </w:rPr>
              <w:t>六、对本国产品的支持政策</w:t>
            </w:r>
          </w:p>
          <w:p w14:paraId="3D41449F">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按照国办发〔2025〕34号《国务院办公厅关于在政府采购中实施本国产品标准及相关政策的通知》的规定提供《关于符合本国产品标准的声明函》，否则评审时不予承认。</w:t>
            </w:r>
          </w:p>
          <w:p w14:paraId="11840806">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contextualSpacing/>
              <w:jc w:val="left"/>
              <w:textAlignment w:val="auto"/>
              <w:rPr>
                <w:rFonts w:hint="eastAsia" w:ascii="仿宋" w:hAnsi="仿宋" w:eastAsia="仿宋" w:cs="仿宋"/>
                <w:b/>
                <w:bCs/>
                <w:color w:val="000000" w:themeColor="text1"/>
                <w:sz w:val="24"/>
                <w:szCs w:val="24"/>
                <w:highlight w:val="none"/>
                <w:u w:val="none"/>
                <w14:textFill>
                  <w14:solidFill>
                    <w14:schemeClr w14:val="tx1"/>
                  </w14:solidFill>
                </w14:textFill>
              </w:rPr>
            </w:pPr>
            <w:r>
              <w:rPr>
                <w:rFonts w:hint="eastAsia" w:ascii="仿宋" w:hAnsi="仿宋" w:eastAsia="仿宋" w:cs="仿宋"/>
                <w:b/>
                <w:bCs/>
                <w:color w:val="000000" w:themeColor="text1"/>
                <w:sz w:val="24"/>
                <w:szCs w:val="24"/>
                <w:highlight w:val="none"/>
                <w:u w:val="none"/>
                <w14:textFill>
                  <w14:solidFill>
                    <w14:schemeClr w14:val="tx1"/>
                  </w14:solidFill>
                </w14:textFill>
              </w:rPr>
              <w:t>注：</w:t>
            </w:r>
          </w:p>
          <w:p w14:paraId="28126912">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b/>
                <w:bCs/>
                <w:snapToGrid w:val="0"/>
                <w:color w:val="auto"/>
                <w:kern w:val="0"/>
                <w:sz w:val="24"/>
                <w:szCs w:val="24"/>
                <w:highlight w:val="none"/>
                <w:lang w:val="en-US" w:eastAsia="en-US" w:bidi="ar-SA"/>
              </w:rPr>
            </w:pPr>
            <w:r>
              <w:rPr>
                <w:rFonts w:hint="eastAsia" w:ascii="仿宋" w:hAnsi="仿宋" w:eastAsia="仿宋" w:cs="仿宋"/>
                <w:b/>
                <w:bCs/>
                <w:snapToGrid w:val="0"/>
                <w:color w:val="auto"/>
                <w:kern w:val="0"/>
                <w:sz w:val="24"/>
                <w:szCs w:val="24"/>
                <w:highlight w:val="none"/>
                <w:lang w:val="en-US" w:eastAsia="en-US" w:bidi="ar-SA"/>
              </w:rPr>
              <w:t>①供应商提供声明函内容不实的，属于提供虚假材料谋取中标、成交，依照《中华人民共和国政府采购法》等国家有关规定追究相应责任。</w:t>
            </w:r>
          </w:p>
          <w:p w14:paraId="1CB5CC26">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2" w:firstLineChars="200"/>
              <w:contextualSpacing/>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auto"/>
                <w:kern w:val="0"/>
                <w:sz w:val="24"/>
                <w:szCs w:val="24"/>
                <w:highlight w:val="none"/>
                <w:lang w:val="en-US" w:eastAsia="en-US" w:bidi="ar-SA"/>
              </w:rPr>
              <w:t>②中标人享受本办法（国办发〔2025〕34号）规定的扶持政策的，采购代理机构随中标结果公开中标人的《关于符合本国产品标准的声明函》，接受社会监督。</w:t>
            </w:r>
          </w:p>
        </w:tc>
      </w:tr>
      <w:tr w14:paraId="205D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jc w:val="center"/>
        </w:trPr>
        <w:tc>
          <w:tcPr>
            <w:tcW w:w="1936" w:type="dxa"/>
            <w:noWrap w:val="0"/>
            <w:vAlign w:val="center"/>
          </w:tcPr>
          <w:p w14:paraId="705AA84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标的所属行业</w:t>
            </w:r>
          </w:p>
        </w:tc>
        <w:tc>
          <w:tcPr>
            <w:tcW w:w="7699" w:type="dxa"/>
            <w:noWrap w:val="0"/>
            <w:vAlign w:val="center"/>
          </w:tcPr>
          <w:p w14:paraId="2D57A75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本项目采购标的对应的中小企业划分标准所属行业。</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符合条件的投标人根据下表内容填写《中小企业声明函》</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bl>
            <w:tblPr>
              <w:tblStyle w:val="19"/>
              <w:tblW w:w="7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4504"/>
              <w:gridCol w:w="2406"/>
            </w:tblGrid>
            <w:tr w14:paraId="6CCC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0B967E9B">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标项</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2B45E83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产品名称</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1B2BCFC7">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中小企业划分标准所属行业</w:t>
                  </w:r>
                </w:p>
              </w:tc>
            </w:tr>
            <w:tr w14:paraId="31A3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571AFDD5">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1</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37813B24">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酸性氧化电位水生成器</w:t>
                  </w:r>
                </w:p>
                <w:p w14:paraId="288DF9FC">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环氧乙烷灭菌器</w:t>
                  </w:r>
                </w:p>
              </w:tc>
              <w:tc>
                <w:tcPr>
                  <w:tcW w:w="2406" w:type="dxa"/>
                  <w:vMerge w:val="restart"/>
                  <w:tcBorders>
                    <w:top w:val="single" w:color="auto" w:sz="4" w:space="0"/>
                    <w:left w:val="single" w:color="auto" w:sz="4" w:space="0"/>
                    <w:right w:val="single" w:color="auto" w:sz="4" w:space="0"/>
                  </w:tcBorders>
                  <w:noWrap w:val="0"/>
                  <w:vAlign w:val="center"/>
                </w:tcPr>
                <w:p w14:paraId="0DC7A843">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工业</w:t>
                  </w:r>
                </w:p>
                <w:p w14:paraId="789EC9BA">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tc>
            </w:tr>
            <w:tr w14:paraId="47A0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36BCF03">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2</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29AD0F67">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全自动清洗工作站</w:t>
                  </w:r>
                </w:p>
                <w:p w14:paraId="4190E8F7">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过氧化氢低温等离子灭菌器</w:t>
                  </w:r>
                </w:p>
              </w:tc>
              <w:tc>
                <w:tcPr>
                  <w:tcW w:w="2406" w:type="dxa"/>
                  <w:vMerge w:val="continue"/>
                  <w:tcBorders>
                    <w:left w:val="single" w:color="auto" w:sz="4" w:space="0"/>
                    <w:right w:val="single" w:color="auto" w:sz="4" w:space="0"/>
                  </w:tcBorders>
                  <w:noWrap w:val="0"/>
                  <w:vAlign w:val="center"/>
                </w:tcPr>
                <w:p w14:paraId="61E12B71">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tc>
            </w:tr>
            <w:tr w14:paraId="6822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32700F0">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3</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426E8D26">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二氧化碳泵</w:t>
                  </w:r>
                </w:p>
                <w:p w14:paraId="46E13703">
                  <w:pPr>
                    <w:keepNext w:val="0"/>
                    <w:keepLines w:val="0"/>
                    <w:pageBreakBefore w:val="0"/>
                    <w:widowControl w:val="0"/>
                    <w:kinsoku/>
                    <w:wordWrap w:val="0"/>
                    <w:overflowPunct/>
                    <w:topLinePunct/>
                    <w:autoSpaceDE/>
                    <w:autoSpaceDN/>
                    <w:bidi w:val="0"/>
                    <w:adjustRightInd/>
                    <w:snapToGrid/>
                    <w:spacing w:line="42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内窥镜冲洗器</w:t>
                  </w:r>
                </w:p>
              </w:tc>
              <w:tc>
                <w:tcPr>
                  <w:tcW w:w="2406" w:type="dxa"/>
                  <w:vMerge w:val="continue"/>
                  <w:tcBorders>
                    <w:left w:val="single" w:color="auto" w:sz="4" w:space="0"/>
                    <w:bottom w:val="single" w:color="auto" w:sz="4" w:space="0"/>
                    <w:right w:val="single" w:color="auto" w:sz="4" w:space="0"/>
                  </w:tcBorders>
                  <w:noWrap w:val="0"/>
                  <w:vAlign w:val="center"/>
                </w:tcPr>
                <w:p w14:paraId="2B5622E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tc>
            </w:tr>
          </w:tbl>
          <w:p w14:paraId="7B605E4C">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44876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936" w:type="dxa"/>
            <w:noWrap w:val="0"/>
            <w:vAlign w:val="center"/>
          </w:tcPr>
          <w:p w14:paraId="66DB63DE">
            <w:pPr>
              <w:pStyle w:val="29"/>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kern w:val="0"/>
                <w:sz w:val="24"/>
                <w:szCs w:val="24"/>
                <w:highlight w:val="none"/>
                <w:lang w:val="en-US" w:eastAsia="en-US"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14:textFill>
                  <w14:solidFill>
                    <w14:schemeClr w14:val="tx1"/>
                  </w14:solidFill>
                </w14:textFill>
              </w:rPr>
              <w:t>政府采购活动中中小企业的判定</w:t>
            </w:r>
          </w:p>
        </w:tc>
        <w:tc>
          <w:tcPr>
            <w:tcW w:w="7699" w:type="dxa"/>
            <w:noWrap w:val="0"/>
            <w:vAlign w:val="center"/>
          </w:tcPr>
          <w:p w14:paraId="2F4E5FC2">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color w:val="000000" w:themeColor="text1"/>
                <w:sz w:val="24"/>
                <w:szCs w:val="24"/>
                <w:highlight w:val="none"/>
                <w:lang w:val="en-US"/>
                <w14:textFill>
                  <w14:solidFill>
                    <w14:schemeClr w14:val="tx1"/>
                  </w14:solidFill>
                </w14:textFill>
              </w:rPr>
              <w:t>可以判别为中小企业的情形</w:t>
            </w:r>
          </w:p>
          <w:p w14:paraId="75B6A520">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14:textFill>
                  <w14:solidFill>
                    <w14:schemeClr w14:val="tx1"/>
                  </w14:solidFill>
                </w14:textFill>
              </w:rPr>
              <w:instrText xml:space="preserve"> = 1 \* GB3 \* MERGEFORMAT </w:instrTex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14:textFill>
                  <w14:solidFill>
                    <w14:schemeClr w14:val="tx1"/>
                  </w14:solidFill>
                </w14:textFill>
              </w:rPr>
              <w:t>①</w: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14:textFill>
                  <w14:solidFill>
                    <w14:schemeClr w14:val="tx1"/>
                  </w14:solidFill>
                </w14:textFill>
              </w:rPr>
              <w:t>在货物采购项目中，</w:t>
            </w:r>
            <w:r>
              <w:rPr>
                <w:rFonts w:hint="eastAsia" w:ascii="仿宋" w:hAnsi="仿宋" w:eastAsia="仿宋" w:cs="仿宋"/>
                <w:b w:val="0"/>
                <w:bCs w:val="0"/>
                <w:color w:val="000000" w:themeColor="text1"/>
                <w:sz w:val="24"/>
                <w:szCs w:val="24"/>
                <w:highlight w:val="none"/>
                <w:u w:val="none"/>
                <w:lang w:val="en-US"/>
                <w14:textFill>
                  <w14:solidFill>
                    <w14:schemeClr w14:val="tx1"/>
                  </w14:solidFill>
                </w14:textFill>
              </w:rPr>
              <w:t>货物</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由</w:t>
            </w:r>
            <w:r>
              <w:rPr>
                <w:rFonts w:hint="eastAsia" w:ascii="仿宋" w:hAnsi="仿宋" w:eastAsia="仿宋" w:cs="仿宋"/>
                <w:color w:val="000000" w:themeColor="text1"/>
                <w:sz w:val="24"/>
                <w:szCs w:val="24"/>
                <w:highlight w:val="none"/>
                <w:lang w:val="en-US"/>
                <w14:textFill>
                  <w14:solidFill>
                    <w14:schemeClr w14:val="tx1"/>
                  </w14:solidFill>
                </w14:textFill>
              </w:rPr>
              <w:t>中小企业制造，</w:t>
            </w:r>
            <w:r>
              <w:rPr>
                <w:rFonts w:hint="eastAsia" w:ascii="仿宋" w:hAnsi="仿宋" w:eastAsia="仿宋" w:cs="仿宋"/>
                <w:b w:val="0"/>
                <w:bCs w:val="0"/>
                <w:color w:val="000000" w:themeColor="text1"/>
                <w:sz w:val="24"/>
                <w:szCs w:val="24"/>
                <w:highlight w:val="none"/>
                <w:u w:val="none"/>
                <w:lang w:val="en-US"/>
                <w14:textFill>
                  <w14:solidFill>
                    <w14:schemeClr w14:val="tx1"/>
                  </w14:solidFill>
                </w14:textFill>
              </w:rPr>
              <w:t>即货物</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由</w:t>
            </w:r>
            <w:r>
              <w:rPr>
                <w:rFonts w:hint="eastAsia" w:ascii="仿宋" w:hAnsi="仿宋" w:eastAsia="仿宋" w:cs="仿宋"/>
                <w:color w:val="000000" w:themeColor="text1"/>
                <w:sz w:val="24"/>
                <w:szCs w:val="24"/>
                <w:highlight w:val="none"/>
                <w:lang w:val="en-US"/>
                <w14:textFill>
                  <w14:solidFill>
                    <w14:schemeClr w14:val="tx1"/>
                  </w14:solidFill>
                </w14:textFill>
              </w:rPr>
              <w:t>中小企业生产且使用该中小企业商号或注册商标</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若一个合同项内涉及多个采购标的物的，采购人或采购代理机构应当在招标文件中逐一明确所有采购标的对应的中小企业划分标准所属行业。投标人根据招标文件中明确的行业所对应的划分标准，逐一判断所投标的物是否属于中小企业产品，并进行声明。一般只将采购项目中的主要货物作为标的物，开关等配件一般不作为标的物，也不对其生产厂商做相应要求）</w:t>
            </w:r>
          </w:p>
          <w:p w14:paraId="5851FB8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14:textFill>
                  <w14:solidFill>
                    <w14:schemeClr w14:val="tx1"/>
                  </w14:solidFill>
                </w14:textFill>
              </w:rPr>
              <w:instrText xml:space="preserve"> = 2 \* GB3 \* MERGEFORMAT </w:instrTex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14:textFill>
                  <w14:solidFill>
                    <w14:schemeClr w14:val="tx1"/>
                  </w14:solidFill>
                </w14:textFill>
              </w:rPr>
              <w:t>②</w: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14:textFill>
                  <w14:solidFill>
                    <w14:schemeClr w14:val="tx1"/>
                  </w14:solidFill>
                </w14:textFill>
              </w:rPr>
              <w:t>在工程采购项目中，工程由中小企业承建，即工程施工单位为中小企业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40CDB1F5">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14:textFill>
                  <w14:solidFill>
                    <w14:schemeClr w14:val="tx1"/>
                  </w14:solidFill>
                </w14:textFill>
              </w:rPr>
              <w:instrText xml:space="preserve"> = 3 \* GB3 \* MERGEFORMAT </w:instrTex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14:textFill>
                  <w14:solidFill>
                    <w14:schemeClr w14:val="tx1"/>
                  </w14:solidFill>
                </w14:textFill>
              </w:rPr>
              <w:t>③</w: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14:textFill>
                  <w14:solidFill>
                    <w14:schemeClr w14:val="tx1"/>
                  </w14:solidFill>
                </w14:textFill>
              </w:rPr>
              <w:t>在服务采购项目中，服务由中小企业承接，即提供服务的人员为中小企业依照《中华人民共和国劳动合同法》订立劳动合同的从业人员。</w:t>
            </w:r>
          </w:p>
          <w:p w14:paraId="404F6C7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2" w:firstLineChars="200"/>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lang w:val="en-US"/>
                <w14:textFill>
                  <w14:solidFill>
                    <w14:schemeClr w14:val="tx1"/>
                  </w14:solidFill>
                </w14:textFill>
              </w:rPr>
              <w:t>不应判别为中小</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14:textFill>
                  <w14:solidFill>
                    <w14:schemeClr w14:val="tx1"/>
                  </w14:solidFill>
                </w14:textFill>
              </w:rPr>
              <w:t>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14:textFill>
                  <w14:solidFill>
                    <w14:schemeClr w14:val="tx1"/>
                  </w14:solidFill>
                </w14:textFill>
              </w:rPr>
              <w:t>企业的情形</w:t>
            </w:r>
          </w:p>
          <w:p w14:paraId="621861D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14:textFill>
                  <w14:solidFill>
                    <w14:schemeClr w14:val="tx1"/>
                  </w14:solidFill>
                </w14:textFill>
              </w:rPr>
              <w:instrText xml:space="preserve"> = 1 \* GB3 \* MERGEFORMAT </w:instrTex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14:textFill>
                  <w14:solidFill>
                    <w14:schemeClr w14:val="tx1"/>
                  </w14:solidFill>
                </w14:textFill>
              </w:rPr>
              <w:t>①</w: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14:textFill>
                  <w14:solidFill>
                    <w14:schemeClr w14:val="tx1"/>
                  </w14:solidFill>
                </w14:textFill>
              </w:rPr>
              <w:t>在货物采购项目中，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en-US"/>
                <w14:textFill>
                  <w14:solidFill>
                    <w14:schemeClr w14:val="tx1"/>
                  </w14:solidFill>
                </w14:textFill>
              </w:rPr>
              <w:t>为中小企业，但所提供的货物为大型企业制造的，即货物由大型企业生产且使用大型企业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商标</w:t>
            </w:r>
            <w:r>
              <w:rPr>
                <w:rFonts w:hint="eastAsia" w:ascii="仿宋" w:hAnsi="仿宋" w:eastAsia="仿宋" w:cs="仿宋"/>
                <w:color w:val="000000" w:themeColor="text1"/>
                <w:sz w:val="24"/>
                <w:szCs w:val="24"/>
                <w:highlight w:val="none"/>
                <w:lang w:val="en-US"/>
                <w14:textFill>
                  <w14:solidFill>
                    <w14:schemeClr w14:val="tx1"/>
                  </w14:solidFill>
                </w14:textFill>
              </w:rPr>
              <w:t>或者注册商标的。不享受《办法》规定的中小企业扶持政策。</w:t>
            </w:r>
          </w:p>
          <w:p w14:paraId="590DB9D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fldChar w:fldCharType="begin"/>
            </w:r>
            <w:r>
              <w:rPr>
                <w:rFonts w:hint="eastAsia" w:ascii="仿宋" w:hAnsi="仿宋" w:eastAsia="仿宋" w:cs="仿宋"/>
                <w:color w:val="000000" w:themeColor="text1"/>
                <w:sz w:val="24"/>
                <w:szCs w:val="24"/>
                <w:highlight w:val="none"/>
                <w:lang w:val="en-US"/>
                <w14:textFill>
                  <w14:solidFill>
                    <w14:schemeClr w14:val="tx1"/>
                  </w14:solidFill>
                </w14:textFill>
              </w:rPr>
              <w:instrText xml:space="preserve"> = 2 \* GB3 \* MERGEFORMAT </w:instrTex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separate"/>
            </w:r>
            <w:r>
              <w:rPr>
                <w:rFonts w:hint="eastAsia" w:ascii="仿宋" w:hAnsi="仿宋" w:eastAsia="仿宋" w:cs="仿宋"/>
                <w:color w:val="000000" w:themeColor="text1"/>
                <w:sz w:val="24"/>
                <w:szCs w:val="24"/>
                <w:highlight w:val="none"/>
                <w:lang w:val="en-US"/>
                <w14:textFill>
                  <w14:solidFill>
                    <w14:schemeClr w14:val="tx1"/>
                  </w14:solidFill>
                </w14:textFill>
              </w:rPr>
              <w:t>②</w:t>
            </w:r>
            <w:r>
              <w:rPr>
                <w:rFonts w:hint="eastAsia" w:ascii="仿宋" w:hAnsi="仿宋" w:eastAsia="仿宋" w:cs="仿宋"/>
                <w:color w:val="000000" w:themeColor="text1"/>
                <w:sz w:val="24"/>
                <w:szCs w:val="24"/>
                <w:highlight w:val="none"/>
                <w:lang w:val="en-US"/>
                <w14:textFill>
                  <w14:solidFill>
                    <w14:schemeClr w14:val="tx1"/>
                  </w14:solidFill>
                </w14:textFill>
              </w:rPr>
              <w:fldChar w:fldCharType="end"/>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en-US"/>
                <w14:textFill>
                  <w14:solidFill>
                    <w14:schemeClr w14:val="tx1"/>
                  </w14:solidFill>
                </w14:textFill>
              </w:rPr>
              <w:t>提供的货物既有中型企业制造，也有小微企业制造的，不享受《办法》规定的小微企业扶持政策。</w:t>
            </w:r>
          </w:p>
        </w:tc>
      </w:tr>
      <w:tr w14:paraId="3F5FD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936" w:type="dxa"/>
            <w:noWrap w:val="0"/>
            <w:vAlign w:val="center"/>
          </w:tcPr>
          <w:p w14:paraId="1B48335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7699" w:type="dxa"/>
            <w:noWrap w:val="0"/>
            <w:vAlign w:val="center"/>
          </w:tcPr>
          <w:p w14:paraId="0D48366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■不接受</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□接受，应满足下列要求：</w:t>
            </w:r>
          </w:p>
        </w:tc>
      </w:tr>
      <w:tr w14:paraId="5538B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2596A1B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分包</w:t>
            </w:r>
          </w:p>
        </w:tc>
        <w:tc>
          <w:tcPr>
            <w:tcW w:w="7699" w:type="dxa"/>
            <w:noWrap w:val="0"/>
            <w:vAlign w:val="center"/>
          </w:tcPr>
          <w:p w14:paraId="06289C5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■不允许</w:t>
            </w:r>
          </w:p>
          <w:p w14:paraId="555F567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□允许，分包内容要求：</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14:paraId="202F853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分包金额要求：</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14:paraId="34412B8B">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对分包人的资质要求：</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tc>
      </w:tr>
      <w:tr w14:paraId="6261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6181F9C7">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开标时间和地点</w:t>
            </w:r>
          </w:p>
        </w:tc>
        <w:tc>
          <w:tcPr>
            <w:tcW w:w="7699" w:type="dxa"/>
            <w:noWrap w:val="0"/>
            <w:vAlign w:val="center"/>
          </w:tcPr>
          <w:p w14:paraId="61C70611">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开标时间：同投标文件提交截止时间；</w:t>
            </w:r>
          </w:p>
          <w:p w14:paraId="5F597949">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开标地点：同投标文件提交地点</w:t>
            </w:r>
          </w:p>
          <w:p w14:paraId="5110DEBC">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注：投标人无需到现场开标。</w:t>
            </w:r>
          </w:p>
          <w:p w14:paraId="6D74882C">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投标人应按照本项目招标文件和“政采云”平台的要求编制、加密后在投标文件提交截止时间前上传至“政采云”平台，按《投标人操作指南》（https://edu.zcygov.cn/luban/yunnan-dzjy-gys?utm=a0017.b3687.48.18.4b09ec80cbc911edb8a97356c5970511）完成远程投标文件解密等相关操作。投标文件提交截止时间前未完成投标文件上传的，视为撤回投标文件。若投标人未在规定时间内完成投标文件解密，则视为无效投标，不再进入评审阶段。投标人在“政采云”平台提交电子版投标文件时，请填写参加远程采购活动经办人联系方式。</w:t>
            </w:r>
          </w:p>
        </w:tc>
      </w:tr>
      <w:tr w14:paraId="2030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35F737B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构成招标文件的其他资料</w:t>
            </w:r>
          </w:p>
        </w:tc>
        <w:tc>
          <w:tcPr>
            <w:tcW w:w="7699" w:type="dxa"/>
            <w:shd w:val="clear" w:color="auto" w:fill="auto"/>
            <w:noWrap w:val="0"/>
            <w:vAlign w:val="center"/>
          </w:tcPr>
          <w:p w14:paraId="13E9EF5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更正公告及补遗文件（若有）</w:t>
            </w:r>
          </w:p>
        </w:tc>
      </w:tr>
      <w:tr w14:paraId="1295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000CD1D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构成投标文件的其他资料</w:t>
            </w:r>
          </w:p>
        </w:tc>
        <w:tc>
          <w:tcPr>
            <w:tcW w:w="7699" w:type="dxa"/>
            <w:noWrap w:val="0"/>
            <w:vAlign w:val="center"/>
          </w:tcPr>
          <w:p w14:paraId="333A861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1.“第</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lang w:eastAsia="zh-CN"/>
                <w14:textFill>
                  <w14:solidFill>
                    <w14:schemeClr w14:val="tx1"/>
                  </w14:solidFill>
                </w14:textFill>
              </w:rPr>
              <w:t>章 采购需求及要求”“第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z w:val="24"/>
                <w:szCs w:val="24"/>
                <w:highlight w:val="none"/>
                <w:lang w:eastAsia="zh-CN"/>
                <w14:textFill>
                  <w14:solidFill>
                    <w14:schemeClr w14:val="tx1"/>
                  </w14:solidFill>
                </w14:textFill>
              </w:rPr>
              <w:t>章</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投标文件格式</w:t>
            </w:r>
            <w:r>
              <w:rPr>
                <w:rFonts w:hint="eastAsia" w:ascii="仿宋" w:hAnsi="仿宋" w:eastAsia="仿宋" w:cs="仿宋"/>
                <w:color w:val="000000" w:themeColor="text1"/>
                <w:sz w:val="24"/>
                <w:szCs w:val="24"/>
                <w:highlight w:val="none"/>
                <w:lang w:eastAsia="zh-CN"/>
                <w14:textFill>
                  <w14:solidFill>
                    <w14:schemeClr w14:val="tx1"/>
                  </w14:solidFill>
                </w14:textFill>
              </w:rPr>
              <w:t>”中要求提供的其他资料；</w:t>
            </w:r>
          </w:p>
          <w:p w14:paraId="2111588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2.招标文件中所涉及的相关资料及证明文件或投标人认为必须提供的其他相关资料。</w:t>
            </w:r>
          </w:p>
        </w:tc>
      </w:tr>
      <w:tr w14:paraId="5B0D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0C85C4AB">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0" w:firstLineChars="0"/>
              <w:contextualSpacing/>
              <w:jc w:val="center"/>
              <w:textAlignment w:val="auto"/>
              <w:rPr>
                <w:rFonts w:hint="eastAsia" w:ascii="仿宋" w:hAnsi="仿宋" w:eastAsia="仿宋" w:cs="仿宋"/>
                <w:snapToGrid w:val="0"/>
                <w:color w:val="auto"/>
                <w:kern w:val="0"/>
                <w:sz w:val="24"/>
                <w:szCs w:val="24"/>
                <w:highlight w:val="none"/>
                <w:lang w:val="zh-CN" w:eastAsia="zh-CN" w:bidi="ar-SA"/>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社保证明材料</w:t>
            </w:r>
          </w:p>
        </w:tc>
        <w:tc>
          <w:tcPr>
            <w:tcW w:w="7699" w:type="dxa"/>
            <w:shd w:val="clear" w:color="auto" w:fill="auto"/>
            <w:noWrap w:val="0"/>
            <w:vAlign w:val="center"/>
          </w:tcPr>
          <w:p w14:paraId="3F9C6C36">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本项目招标文件中要求提供的社保证明材料为下述形式之一：</w:t>
            </w:r>
          </w:p>
          <w:p w14:paraId="2246BDCB">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1.社保局官方网站查询的缴费记录截图；</w:t>
            </w:r>
          </w:p>
          <w:p w14:paraId="14919882">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2.社保局的书面证明材料；</w:t>
            </w:r>
          </w:p>
          <w:p w14:paraId="7E4B5CAF">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3.经投标人委托的第三方人力资源服务机构或与投标人有直接隶属关系的机构可以代缴社保，但须提供有关证明材料并经评标委员会确认。</w:t>
            </w:r>
          </w:p>
          <w:p w14:paraId="6540237B">
            <w:pPr>
              <w:pStyle w:val="28"/>
              <w:keepNext w:val="0"/>
              <w:keepLines w:val="0"/>
              <w:pageBreakBefore w:val="0"/>
              <w:widowControl w:val="0"/>
              <w:kinsoku/>
              <w:wordWrap w:val="0"/>
              <w:overflowPunct/>
              <w:topLinePunct/>
              <w:autoSpaceDE/>
              <w:autoSpaceDN/>
              <w:bidi w:val="0"/>
              <w:adjustRightInd/>
              <w:snapToGrid/>
              <w:spacing w:after="0" w:line="20" w:lineRule="atLeast"/>
              <w:ind w:left="0" w:right="0" w:rightChars="0" w:firstLine="480" w:firstLineChars="200"/>
              <w:contextualSpacing/>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4.其他经评标委员会认可的证明材料。</w:t>
            </w:r>
          </w:p>
          <w:p w14:paraId="3E39FAE2">
            <w:pPr>
              <w:pStyle w:val="28"/>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80" w:firstLineChars="200"/>
              <w:contextualSpacing/>
              <w:jc w:val="left"/>
              <w:textAlignment w:val="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5.法定代表人参与项目的，无需提供社保证明材料，提供身份证明材料即可</w:t>
            </w:r>
            <w:r>
              <w:rPr>
                <w:rFonts w:hint="eastAsia" w:ascii="仿宋" w:hAnsi="仿宋" w:eastAsia="仿宋" w:cs="仿宋"/>
                <w:snapToGrid w:val="0"/>
                <w:color w:val="auto"/>
                <w:kern w:val="0"/>
                <w:sz w:val="24"/>
                <w:szCs w:val="24"/>
                <w:highlight w:val="none"/>
                <w:lang w:val="en-US" w:eastAsia="zh-CN"/>
              </w:rPr>
              <w:t>。</w:t>
            </w:r>
          </w:p>
        </w:tc>
      </w:tr>
      <w:tr w14:paraId="7813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6E984EF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zh-CN"/>
                <w14:textFill>
                  <w14:solidFill>
                    <w14:schemeClr w14:val="tx1"/>
                  </w14:solidFill>
                </w14:textFill>
              </w:rPr>
              <w:t>业绩要求</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说明</w:t>
            </w:r>
          </w:p>
        </w:tc>
        <w:tc>
          <w:tcPr>
            <w:tcW w:w="7699" w:type="dxa"/>
            <w:shd w:val="clear" w:color="auto" w:fill="auto"/>
            <w:noWrap w:val="0"/>
            <w:vAlign w:val="center"/>
          </w:tcPr>
          <w:p w14:paraId="41F2BF0C">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val="0"/>
                <w:bCs/>
                <w:color w:val="000000" w:themeColor="text1"/>
                <w:kern w:val="2"/>
                <w:sz w:val="24"/>
                <w:szCs w:val="24"/>
                <w:highlight w:val="none"/>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14:textFill>
                  <w14:solidFill>
                    <w14:schemeClr w14:val="tx1"/>
                  </w14:solidFill>
                </w14:textFill>
              </w:rPr>
              <w:t>1.类似业绩：</w:t>
            </w:r>
          </w:p>
          <w:p w14:paraId="657F984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1）工程：结构形式、使用功能、建设规模相同或相近的项目；</w:t>
            </w:r>
          </w:p>
          <w:p w14:paraId="7E3696B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kern w:val="2"/>
                <w:sz w:val="24"/>
                <w:szCs w:val="24"/>
                <w:highlight w:val="none"/>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2）货物或设备类：与本项目采购标的物使用功能、应用范围、应用场景相同或相近的项目；</w:t>
            </w:r>
          </w:p>
          <w:p w14:paraId="3EA6933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kern w:val="2"/>
                <w:sz w:val="24"/>
                <w:szCs w:val="24"/>
                <w:highlight w:val="none"/>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3）服务类：内容、质量、标准相同或相近的项目</w:t>
            </w:r>
            <w:r>
              <w:rPr>
                <w:rFonts w:hint="eastAsia" w:ascii="仿宋" w:hAnsi="仿宋" w:eastAsia="仿宋" w:cs="仿宋"/>
                <w:b w:val="0"/>
                <w:bCs/>
                <w:color w:val="000000" w:themeColor="text1"/>
                <w:kern w:val="2"/>
                <w:sz w:val="24"/>
                <w:szCs w:val="24"/>
                <w:highlight w:val="none"/>
                <w14:textFill>
                  <w14:solidFill>
                    <w14:schemeClr w14:val="tx1"/>
                  </w14:solidFill>
                </w14:textFill>
              </w:rPr>
              <w:t>。</w:t>
            </w:r>
          </w:p>
          <w:p w14:paraId="76FEFC2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14:textFill>
                  <w14:solidFill>
                    <w14:schemeClr w14:val="tx1"/>
                  </w14:solidFill>
                </w14:textFill>
              </w:rPr>
              <w:t>2.业绩证明文件的签署人</w:t>
            </w:r>
          </w:p>
          <w:p w14:paraId="2A88231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中标（成交）通知书：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中标（成交）人必须</w:t>
            </w:r>
            <w:r>
              <w:rPr>
                <w:rFonts w:hint="eastAsia" w:ascii="仿宋" w:hAnsi="仿宋" w:eastAsia="仿宋" w:cs="仿宋"/>
                <w:color w:val="000000" w:themeColor="text1"/>
                <w:sz w:val="24"/>
                <w:szCs w:val="24"/>
                <w:highlight w:val="none"/>
                <w:lang w:eastAsia="zh-CN"/>
                <w14:textFill>
                  <w14:solidFill>
                    <w14:schemeClr w14:val="tx1"/>
                  </w14:solidFill>
                </w14:textFill>
              </w:rPr>
              <w:t>为</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eastAsia="zh-CN"/>
                <w14:textFill>
                  <w14:solidFill>
                    <w14:schemeClr w14:val="tx1"/>
                  </w14:solidFill>
                </w14:textFill>
              </w:rPr>
              <w:t>自身；</w:t>
            </w:r>
          </w:p>
          <w:p w14:paraId="0879C96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合同协议书</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签署人一方</w:t>
            </w:r>
            <w:r>
              <w:rPr>
                <w:rFonts w:hint="eastAsia" w:ascii="仿宋" w:hAnsi="仿宋" w:eastAsia="仿宋" w:cs="仿宋"/>
                <w:color w:val="000000" w:themeColor="text1"/>
                <w:sz w:val="24"/>
                <w:szCs w:val="24"/>
                <w:highlight w:val="none"/>
                <w:lang w:eastAsia="zh-CN"/>
                <w14:textFill>
                  <w14:solidFill>
                    <w14:schemeClr w14:val="tx1"/>
                  </w14:solidFill>
                </w14:textFill>
              </w:rPr>
              <w:t>必须为</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eastAsia="zh-CN"/>
                <w14:textFill>
                  <w14:solidFill>
                    <w14:schemeClr w14:val="tx1"/>
                  </w14:solidFill>
                </w14:textFill>
              </w:rPr>
              <w:t>自身；</w:t>
            </w:r>
          </w:p>
          <w:p w14:paraId="1B39EA0C">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验收证明文件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必须能体现出验收项目的实施主体（项目实施方</w:t>
            </w:r>
            <w:r>
              <w:rPr>
                <w:rFonts w:hint="eastAsia" w:ascii="仿宋" w:hAnsi="仿宋" w:eastAsia="仿宋" w:cs="仿宋"/>
                <w:color w:val="000000" w:themeColor="text1"/>
                <w:sz w:val="24"/>
                <w:szCs w:val="24"/>
                <w:highlight w:val="none"/>
                <w:lang w:eastAsia="zh-CN"/>
                <w14:textFill>
                  <w14:solidFill>
                    <w14:schemeClr w14:val="tx1"/>
                  </w14:solidFill>
                </w14:textFill>
              </w:rPr>
              <w:t>必须为</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eastAsia="zh-CN"/>
                <w14:textFill>
                  <w14:solidFill>
                    <w14:schemeClr w14:val="tx1"/>
                  </w14:solidFill>
                </w14:textFill>
              </w:rPr>
              <w:t>自身</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）及双方信息及产品信息</w:t>
            </w:r>
            <w:r>
              <w:rPr>
                <w:rFonts w:hint="eastAsia" w:ascii="仿宋" w:hAnsi="仿宋" w:eastAsia="仿宋" w:cs="仿宋"/>
                <w:color w:val="000000" w:themeColor="text1"/>
                <w:sz w:val="24"/>
                <w:szCs w:val="24"/>
                <w:highlight w:val="none"/>
                <w14:textFill>
                  <w14:solidFill>
                    <w14:schemeClr w14:val="tx1"/>
                  </w14:solidFill>
                </w14:textFill>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有效证明文件</w:t>
            </w:r>
            <w:r>
              <w:rPr>
                <w:rFonts w:hint="eastAsia" w:ascii="仿宋" w:hAnsi="仿宋" w:eastAsia="仿宋" w:cs="仿宋"/>
                <w:bCs/>
                <w:color w:val="000000" w:themeColor="text1"/>
                <w:kern w:val="2"/>
                <w:sz w:val="24"/>
                <w:szCs w:val="24"/>
                <w:highlight w:val="none"/>
                <w14:textFill>
                  <w14:solidFill>
                    <w14:schemeClr w14:val="tx1"/>
                  </w14:solidFill>
                </w14:textFill>
              </w:rPr>
              <w:t>。</w:t>
            </w:r>
          </w:p>
          <w:p w14:paraId="1028961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kern w:val="2"/>
                <w:sz w:val="24"/>
                <w:szCs w:val="24"/>
                <w:highlight w:val="none"/>
                <w:lang w:val="en-US" w:eastAsia="zh-CN"/>
                <w14:textFill>
                  <w14:solidFill>
                    <w14:schemeClr w14:val="tx1"/>
                  </w14:solidFill>
                </w14:textFill>
              </w:rPr>
              <w:t>3.业绩证明材料</w:t>
            </w:r>
          </w:p>
          <w:p w14:paraId="286685C2">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合同</w:t>
            </w:r>
          </w:p>
          <w:p w14:paraId="51DE7A92">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中标通知书/成交通知书</w:t>
            </w:r>
          </w:p>
          <w:p w14:paraId="0CEA55D6">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竣工验收报告/验收证明</w:t>
            </w:r>
          </w:p>
          <w:p w14:paraId="37457EAF">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业主证明</w:t>
            </w:r>
          </w:p>
          <w:p w14:paraId="5DA0DEE4">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lang w:val="en-US" w:eastAsia="zh-CN"/>
                <w14:textFill>
                  <w14:solidFill>
                    <w14:schemeClr w14:val="tx1"/>
                  </w14:solidFill>
                </w14:textFill>
              </w:rPr>
              <w:t>其他材料：</w:t>
            </w:r>
            <w:r>
              <w:rPr>
                <w:rFonts w:hint="eastAsia" w:ascii="仿宋" w:hAnsi="仿宋" w:eastAsia="仿宋" w:cs="仿宋"/>
                <w:bCs/>
                <w:color w:val="000000" w:themeColor="text1"/>
                <w:kern w:val="2"/>
                <w:sz w:val="24"/>
                <w:szCs w:val="24"/>
                <w:highlight w:val="none"/>
                <w:u w:val="single"/>
                <w:lang w:val="en-US" w:eastAsia="zh-CN"/>
                <w14:textFill>
                  <w14:solidFill>
                    <w14:schemeClr w14:val="tx1"/>
                  </w14:solidFill>
                </w14:textFill>
              </w:rPr>
              <w:t xml:space="preserve">           </w:t>
            </w:r>
          </w:p>
          <w:p w14:paraId="124102BB">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val="0"/>
                <w:color w:val="000000" w:themeColor="text1"/>
                <w:kern w:val="2"/>
                <w:sz w:val="24"/>
                <w:szCs w:val="24"/>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24"/>
                <w:szCs w:val="24"/>
                <w:highlight w:val="none"/>
                <w:u w:val="none"/>
                <w:lang w:val="en-US" w:eastAsia="zh-CN"/>
                <w14:textFill>
                  <w14:solidFill>
                    <w14:schemeClr w14:val="tx1"/>
                  </w14:solidFill>
                </w14:textFill>
              </w:rPr>
              <w:t>4.业绩证明材料种类要求：</w:t>
            </w:r>
          </w:p>
          <w:p w14:paraId="45E237F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Cs/>
                <w:color w:val="000000" w:themeColor="text1"/>
                <w:kern w:val="2"/>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kern w:val="2"/>
                <w:sz w:val="24"/>
                <w:szCs w:val="24"/>
                <w:highlight w:val="none"/>
                <w:u w:val="none"/>
                <w:lang w:val="en-US" w:eastAsia="zh-CN"/>
                <w14:textFill>
                  <w14:solidFill>
                    <w14:schemeClr w14:val="tx1"/>
                  </w14:solidFill>
                </w14:textFill>
              </w:rPr>
              <w:t>提供上述勾选的任一项证明材料即可</w:t>
            </w:r>
          </w:p>
          <w:p w14:paraId="4FA7114D">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bCs/>
                <w:snapToGrid w:val="0"/>
                <w:color w:val="000000" w:themeColor="text1"/>
                <w:kern w:val="0"/>
                <w:sz w:val="24"/>
                <w:szCs w:val="24"/>
                <w:highlight w:val="none"/>
                <w:lang w:val="zh-CN" w:eastAsia="zh-CN" w:bidi="ar"/>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kern w:val="2"/>
                <w:sz w:val="24"/>
                <w:szCs w:val="24"/>
                <w:highlight w:val="none"/>
                <w:u w:val="none"/>
                <w:lang w:val="en-US" w:eastAsia="zh-CN"/>
                <w14:textFill>
                  <w14:solidFill>
                    <w14:schemeClr w14:val="tx1"/>
                  </w14:solidFill>
                </w14:textFill>
              </w:rPr>
              <w:t>需同时提供上述勾选的所有证明材料</w:t>
            </w:r>
          </w:p>
        </w:tc>
      </w:tr>
      <w:tr w14:paraId="2542B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529BAEF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tc>
        <w:tc>
          <w:tcPr>
            <w:tcW w:w="7699" w:type="dxa"/>
            <w:shd w:val="clear" w:color="auto" w:fill="auto"/>
            <w:noWrap w:val="0"/>
            <w:vAlign w:val="center"/>
          </w:tcPr>
          <w:p w14:paraId="6EBD00B2">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□不要求递交投标保证金</w:t>
            </w:r>
          </w:p>
          <w:p w14:paraId="794812C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要求递交投标保证金</w:t>
            </w:r>
          </w:p>
          <w:p w14:paraId="156DCF3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投标保证金的缴纳时间以实际到账的时间为准，未按时到账的投标保证金无效。投标保证金的交付人和投标人的名称必须一致，否则其投标文件将被否决。</w:t>
            </w:r>
          </w:p>
          <w:p w14:paraId="0A86C17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投标保证金的缴纳方式：</w:t>
            </w:r>
            <w:r>
              <w:rPr>
                <w:rFonts w:hint="eastAsia" w:ascii="仿宋" w:hAnsi="仿宋" w:eastAsia="仿宋" w:cs="仿宋"/>
                <w:bCs/>
                <w:color w:val="000000" w:themeColor="text1"/>
                <w:sz w:val="24"/>
                <w:szCs w:val="24"/>
                <w:highlight w:val="none"/>
                <w:lang w:bidi="ar"/>
                <w14:textFill>
                  <w14:solidFill>
                    <w14:schemeClr w14:val="tx1"/>
                  </w14:solidFill>
                </w14:textFill>
              </w:rPr>
              <w:t>支票、汇票、本票、保函或者网银转账、电汇等</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非现金</w:t>
            </w:r>
            <w:r>
              <w:rPr>
                <w:rFonts w:hint="eastAsia" w:ascii="仿宋" w:hAnsi="仿宋" w:eastAsia="仿宋" w:cs="仿宋"/>
                <w:bCs/>
                <w:color w:val="000000" w:themeColor="text1"/>
                <w:sz w:val="24"/>
                <w:szCs w:val="24"/>
                <w:highlight w:val="none"/>
                <w:lang w:bidi="ar"/>
                <w14:textFill>
                  <w14:solidFill>
                    <w14:schemeClr w14:val="tx1"/>
                  </w14:solidFill>
                </w14:textFill>
              </w:rPr>
              <w:t>形式</w:t>
            </w:r>
            <w:r>
              <w:rPr>
                <w:rFonts w:hint="eastAsia" w:ascii="仿宋" w:hAnsi="仿宋" w:eastAsia="仿宋" w:cs="仿宋"/>
                <w:color w:val="000000" w:themeColor="text1"/>
                <w:sz w:val="24"/>
                <w:szCs w:val="24"/>
                <w:highlight w:val="none"/>
                <w:lang w:eastAsia="zh-CN"/>
                <w14:textFill>
                  <w14:solidFill>
                    <w14:schemeClr w14:val="tx1"/>
                  </w14:solidFill>
                </w14:textFill>
              </w:rPr>
              <w:t>，投标人可根据实际情况，选择保证金的缴纳方式。</w:t>
            </w:r>
          </w:p>
          <w:p w14:paraId="78182BA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投标保证金金额：</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采购代理机构应当在招标文件中明确减免投标保证金的情况。本项目投标保证金均按标准下浮50%收取。</w:t>
            </w:r>
          </w:p>
          <w:p w14:paraId="4DFC9026">
            <w:pPr>
              <w:keepNext w:val="0"/>
              <w:keepLines w:val="0"/>
              <w:pageBreakBefore w:val="0"/>
              <w:widowControl w:val="0"/>
              <w:kinsoku/>
              <w:wordWrap w:val="0"/>
              <w:overflowPunct/>
              <w:topLinePunct/>
              <w:autoSpaceDE/>
              <w:autoSpaceDN/>
              <w:bidi w:val="0"/>
              <w:adjustRightInd/>
              <w:snapToGrid/>
              <w:spacing w:line="20" w:lineRule="atLeast"/>
              <w:ind w:right="0" w:rightChars="0"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投标保证金金额：</w:t>
            </w:r>
          </w:p>
          <w:p w14:paraId="6FACAFE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标项1：酸性氧化电位水生成器和环氧乙烷灭菌器：3000.00元；</w:t>
            </w:r>
          </w:p>
          <w:p w14:paraId="74DC0039">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标项2：全自动清洗工作站和过氧化氢低温等离子灭菌器：4000.00元；</w:t>
            </w:r>
          </w:p>
          <w:p w14:paraId="4E70585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标项3：二氧化碳泵和内窥镜冲洗器：500.00元；</w:t>
            </w:r>
          </w:p>
          <w:p w14:paraId="18C56C1E">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（一）投标保证金采用网银转账方式的：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应以投标人名义提交且必须从投标人基本账户转出，不得以分支机构及其他名义提交。投标人应在投标截止时间前递交保证金并注明项目名称或项目编号等信息，到账时间以实际到达已公布的项目银行账号时间为准，未在投标截止时间前到账的保证金视为未提交。</w:t>
            </w:r>
          </w:p>
          <w:p w14:paraId="50AB2FAB">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开</w:t>
            </w:r>
            <w:r>
              <w:rPr>
                <w:rFonts w:hint="eastAsia" w:ascii="仿宋" w:hAnsi="仿宋" w:eastAsia="仿宋" w:cs="仿宋"/>
                <w:b w:val="0"/>
                <w:color w:val="000000" w:themeColor="text1"/>
                <w:sz w:val="24"/>
                <w:szCs w:val="24"/>
                <w:highlight w:val="none"/>
                <w:lang w:val="en-US"/>
                <w14:textFill>
                  <w14:solidFill>
                    <w14:schemeClr w14:val="tx1"/>
                  </w14:solidFill>
                </w14:textFill>
              </w:rPr>
              <w:t>户名</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称</w:t>
            </w:r>
            <w:r>
              <w:rPr>
                <w:rFonts w:hint="eastAsia" w:ascii="仿宋" w:hAnsi="仿宋" w:eastAsia="仿宋" w:cs="仿宋"/>
                <w:b w:val="0"/>
                <w:color w:val="000000" w:themeColor="text1"/>
                <w:sz w:val="24"/>
                <w:szCs w:val="24"/>
                <w:highlight w:val="none"/>
                <w:lang w:val="en-US"/>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云南楚泓工程管理有限责任公司</w:t>
            </w:r>
          </w:p>
          <w:p w14:paraId="4DBB0F63">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开户银行：曲靖市商业银行股份有限公司楚雄分行</w:t>
            </w:r>
          </w:p>
          <w:p w14:paraId="5B0CC76D">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账    号：5323010101600000164320</w:t>
            </w:r>
          </w:p>
          <w:p w14:paraId="69C72896">
            <w:pPr>
              <w:keepNext w:val="0"/>
              <w:keepLines w:val="0"/>
              <w:pageBreakBefore w:val="0"/>
              <w:widowControl w:val="0"/>
              <w:kinsoku/>
              <w:wordWrap w:val="0"/>
              <w:overflowPunct/>
              <w:topLinePunct/>
              <w:autoSpaceDE/>
              <w:autoSpaceDN/>
              <w:bidi w:val="0"/>
              <w:adjustRightInd/>
              <w:snapToGrid/>
              <w:spacing w:line="240" w:lineRule="auto"/>
              <w:ind w:lef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行    号：313738000039</w:t>
            </w:r>
          </w:p>
          <w:p w14:paraId="0E696B49">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联系电话：0878-3360038</w:t>
            </w:r>
          </w:p>
          <w:p w14:paraId="11E4AE7B">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2"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（二）投标保证金采用银行保函方式的：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保函申请人应是投标人，受益人应是采购人，保证人应是投标人基本账号的开户银行。银行保函应正确填写受益人和投标人的全称，并与招标文件规定的项目名称相一致，以免造成投标无效。当投标人违反政府采购法律法规规章等规定且符合保证金不予退回情形的，由银行按照银行保函合同对采购人代偿投标保证金额。</w:t>
            </w:r>
          </w:p>
          <w:p w14:paraId="51A8483B">
            <w:pPr>
              <w:keepNext w:val="0"/>
              <w:keepLines w:val="0"/>
              <w:pageBreakBefore w:val="0"/>
              <w:widowControl w:val="0"/>
              <w:suppressLineNumbers w:val="0"/>
              <w:kinsoku/>
              <w:wordWrap w:val="0"/>
              <w:overflowPunct/>
              <w:topLinePunct/>
              <w:autoSpaceDE/>
              <w:autoSpaceDN/>
              <w:bidi w:val="0"/>
              <w:adjustRightInd/>
              <w:snapToGrid/>
              <w:spacing w:line="20" w:lineRule="atLeast"/>
              <w:ind w:left="0" w:leftChars="0" w:right="0" w:rightChars="0" w:firstLine="482" w:firstLineChars="200"/>
              <w:jc w:val="left"/>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（三）投标保证金采用电子保险保函方式的：</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在投标保证保险中，投标人为投保人，采购人为被保险人。当投标人违反法律法规且符合投标保证金不予退回情形的，由保险公司按照保险合同对采购人代偿投标保证金金额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38184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0DAE0BA5">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投标文件的签署</w:t>
            </w:r>
          </w:p>
        </w:tc>
        <w:tc>
          <w:tcPr>
            <w:tcW w:w="7699" w:type="dxa"/>
            <w:noWrap w:val="0"/>
            <w:vAlign w:val="center"/>
          </w:tcPr>
          <w:p w14:paraId="74E17EDA">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按照投标文件格式，在规定的电子签名处逐一电子签名，要求盖章处应盖单位公章（电子公章）。</w:t>
            </w:r>
          </w:p>
        </w:tc>
      </w:tr>
      <w:tr w14:paraId="69139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936" w:type="dxa"/>
            <w:shd w:val="clear" w:color="auto" w:fill="auto"/>
            <w:noWrap w:val="0"/>
            <w:vAlign w:val="center"/>
          </w:tcPr>
          <w:p w14:paraId="6B786093">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上传投标文件</w:t>
            </w:r>
          </w:p>
        </w:tc>
        <w:tc>
          <w:tcPr>
            <w:tcW w:w="7699" w:type="dxa"/>
            <w:shd w:val="clear" w:color="auto" w:fill="auto"/>
            <w:noWrap w:val="0"/>
            <w:vAlign w:val="center"/>
          </w:tcPr>
          <w:p w14:paraId="63BB4954">
            <w:pPr>
              <w:keepNext w:val="0"/>
              <w:keepLines w:val="0"/>
              <w:pageBreakBefore w:val="0"/>
              <w:widowControl w:val="0"/>
              <w:kinsoku/>
              <w:wordWrap w:val="0"/>
              <w:overflowPunct/>
              <w:topLinePunct/>
              <w:autoSpaceDE/>
              <w:autoSpaceDN/>
              <w:bidi w:val="0"/>
              <w:adjustRightInd/>
              <w:snapToGrid/>
              <w:spacing w:line="240" w:lineRule="auto"/>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投标人在上传投标文件时，将“报价一览表”上传至“报价文件”部分，将整份标投标文件（含封面及目录）上传至“商务及技术文件”部分。</w:t>
            </w:r>
          </w:p>
        </w:tc>
      </w:tr>
      <w:tr w14:paraId="50E2A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936" w:type="dxa"/>
            <w:shd w:val="clear" w:color="auto" w:fill="auto"/>
            <w:noWrap w:val="0"/>
            <w:vAlign w:val="center"/>
          </w:tcPr>
          <w:p w14:paraId="3AEF196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投标文件是否退还</w:t>
            </w:r>
          </w:p>
        </w:tc>
        <w:tc>
          <w:tcPr>
            <w:tcW w:w="7699" w:type="dxa"/>
            <w:shd w:val="clear" w:color="auto" w:fill="auto"/>
            <w:noWrap w:val="0"/>
            <w:vAlign w:val="center"/>
          </w:tcPr>
          <w:p w14:paraId="237D811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否</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□是，退还时间：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5F91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1E997BD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委员会的组建</w:t>
            </w:r>
          </w:p>
        </w:tc>
        <w:tc>
          <w:tcPr>
            <w:tcW w:w="7699" w:type="dxa"/>
            <w:noWrap w:val="0"/>
            <w:vAlign w:val="center"/>
          </w:tcPr>
          <w:p w14:paraId="65C41A4F">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标委员会由采购人代表和评审专家组成，成员人数应当为5人以上单数，其中评审专家不得少于成员总数的三分之二。采购数额在1000万元以上、技术复杂、社会影响较大的项目，评标委员会成员人数应当为7人以上单数</w:t>
            </w:r>
            <w:r>
              <w:rPr>
                <w:rFonts w:hint="eastAsia" w:ascii="仿宋" w:hAnsi="仿宋" w:eastAsia="仿宋" w:cs="仿宋"/>
                <w:color w:val="000000" w:themeColor="text1"/>
                <w:sz w:val="24"/>
                <w:szCs w:val="24"/>
                <w:highlight w:val="none"/>
                <w14:textFill>
                  <w14:solidFill>
                    <w14:schemeClr w14:val="tx1"/>
                  </w14:solidFill>
                </w14:textFill>
              </w:rPr>
              <w:t>。</w:t>
            </w:r>
          </w:p>
          <w:p w14:paraId="2470575C">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专家确定方式：从</w:t>
            </w:r>
            <w:r>
              <w:rPr>
                <w:rFonts w:hint="eastAsia" w:ascii="仿宋" w:hAnsi="仿宋" w:eastAsia="仿宋" w:cs="仿宋"/>
                <w:color w:val="000000" w:themeColor="text1"/>
                <w:sz w:val="24"/>
                <w:szCs w:val="24"/>
                <w:highlight w:val="none"/>
                <w:lang w:eastAsia="zh-CN"/>
                <w14:textFill>
                  <w14:solidFill>
                    <w14:schemeClr w14:val="tx1"/>
                  </w14:solidFill>
                </w14:textFill>
              </w:rPr>
              <w:t>“云南省政府采购评审专家库”</w:t>
            </w:r>
            <w:r>
              <w:rPr>
                <w:rFonts w:hint="eastAsia" w:ascii="仿宋" w:hAnsi="仿宋" w:eastAsia="仿宋" w:cs="仿宋"/>
                <w:color w:val="000000" w:themeColor="text1"/>
                <w:sz w:val="24"/>
                <w:szCs w:val="24"/>
                <w:highlight w:val="none"/>
                <w14:textFill>
                  <w14:solidFill>
                    <w14:schemeClr w14:val="tx1"/>
                  </w14:solidFill>
                </w14:textFill>
              </w:rPr>
              <w:t>中</w:t>
            </w:r>
            <w:r>
              <w:rPr>
                <w:rFonts w:hint="eastAsia" w:ascii="仿宋" w:hAnsi="仿宋" w:eastAsia="仿宋" w:cs="仿宋"/>
                <w:color w:val="000000" w:themeColor="text1"/>
                <w:sz w:val="24"/>
                <w:szCs w:val="24"/>
                <w:highlight w:val="none"/>
                <w:lang w:val="en-US" w:eastAsia="zh-CN"/>
                <w14:textFill>
                  <w14:solidFill>
                    <w14:schemeClr w14:val="tx1"/>
                  </w14:solidFill>
                </w14:textFill>
              </w:rPr>
              <w:t>随机抽取</w:t>
            </w:r>
            <w:r>
              <w:rPr>
                <w:rFonts w:hint="eastAsia" w:ascii="仿宋" w:hAnsi="仿宋" w:eastAsia="仿宋" w:cs="仿宋"/>
                <w:color w:val="000000" w:themeColor="text1"/>
                <w:sz w:val="24"/>
                <w:szCs w:val="24"/>
                <w:highlight w:val="none"/>
                <w14:textFill>
                  <w14:solidFill>
                    <w14:schemeClr w14:val="tx1"/>
                  </w14:solidFill>
                </w14:textFill>
              </w:rPr>
              <w:t>。</w:t>
            </w:r>
          </w:p>
          <w:p w14:paraId="2DF5A092">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委员会应当推选组长，但</w:t>
            </w:r>
            <w:r>
              <w:rPr>
                <w:rFonts w:hint="eastAsia" w:ascii="仿宋" w:hAnsi="仿宋" w:eastAsia="仿宋" w:cs="仿宋"/>
                <w:color w:val="000000" w:themeColor="text1"/>
                <w:sz w:val="24"/>
                <w:szCs w:val="24"/>
                <w:highlight w:val="none"/>
                <w:lang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人代表不得担任组长。</w:t>
            </w:r>
          </w:p>
        </w:tc>
      </w:tr>
      <w:tr w14:paraId="38729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5B340708">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评标方法</w:t>
            </w:r>
          </w:p>
        </w:tc>
        <w:tc>
          <w:tcPr>
            <w:tcW w:w="7699" w:type="dxa"/>
            <w:noWrap w:val="0"/>
            <w:vAlign w:val="center"/>
          </w:tcPr>
          <w:p w14:paraId="69CAFF51">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w:t>
            </w:r>
          </w:p>
          <w:p w14:paraId="10FC513D">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□最低评标价法</w:t>
            </w:r>
          </w:p>
        </w:tc>
      </w:tr>
      <w:tr w14:paraId="003F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454E6BB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w:t>
            </w:r>
          </w:p>
        </w:tc>
        <w:tc>
          <w:tcPr>
            <w:tcW w:w="7699" w:type="dxa"/>
            <w:noWrap w:val="0"/>
            <w:vAlign w:val="center"/>
          </w:tcPr>
          <w:p w14:paraId="2294F69A">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自提交投标文件的截止之日起算</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日历天。投标文件未明确投标有效期或者少于前述规定天数的，其投标文件按无效处理。</w:t>
            </w:r>
          </w:p>
        </w:tc>
      </w:tr>
      <w:tr w14:paraId="3F35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0069F8A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确定中标人</w:t>
            </w:r>
          </w:p>
        </w:tc>
        <w:tc>
          <w:tcPr>
            <w:tcW w:w="7699" w:type="dxa"/>
            <w:noWrap w:val="0"/>
            <w:vAlign w:val="center"/>
          </w:tcPr>
          <w:p w14:paraId="4ABEC58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中标候选人并列的，按照以下方式确定中标人： </w:t>
            </w:r>
          </w:p>
          <w:p w14:paraId="36E1593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采用最低</w:t>
            </w:r>
            <w:r>
              <w:rPr>
                <w:rFonts w:hint="eastAsia" w:ascii="仿宋" w:hAnsi="仿宋" w:eastAsia="仿宋" w:cs="仿宋"/>
                <w:b/>
                <w:bCs/>
                <w:color w:val="000000" w:themeColor="text1"/>
                <w:sz w:val="24"/>
                <w:szCs w:val="24"/>
                <w:highlight w:val="none"/>
                <w:lang w:eastAsia="zh-CN"/>
                <w14:textFill>
                  <w14:solidFill>
                    <w14:schemeClr w14:val="tx1"/>
                  </w14:solidFill>
                </w14:textFill>
              </w:rPr>
              <w:t>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b/>
                <w:bCs/>
                <w:color w:val="000000" w:themeColor="text1"/>
                <w:sz w:val="24"/>
                <w:szCs w:val="24"/>
                <w:highlight w:val="none"/>
                <w14:textFill>
                  <w14:solidFill>
                    <w14:schemeClr w14:val="tx1"/>
                  </w14:solidFill>
                </w14:textFill>
              </w:rPr>
              <w:t>价法的</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结果按投标报价由低到高顺序排列。投标报价相同的并列，投标文件满足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全部实质性要求且投标报价最低的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为排名第一的中标候选人。</w:t>
            </w:r>
          </w:p>
          <w:p w14:paraId="779B7B5D">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snapToGrid w:val="0"/>
                <w:color w:val="000000" w:themeColor="text1"/>
                <w:kern w:val="2"/>
                <w:sz w:val="24"/>
                <w:szCs w:val="24"/>
                <w:highlight w:val="none"/>
                <w:u w:val="singl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采用综合评分法的</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评标结果按评审后得分由高到低顺序排列。得分相同的，按投标报价由低到高顺序排列。得分且投标报价相同的并列。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按照《政府采购货物和服务招标投标管理办法》第五十七条、第六十八条相关规定执行。</w:t>
            </w:r>
          </w:p>
        </w:tc>
      </w:tr>
      <w:tr w14:paraId="34B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0F8A103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中标通知书发出的形式 </w:t>
            </w:r>
          </w:p>
        </w:tc>
        <w:tc>
          <w:tcPr>
            <w:tcW w:w="7699" w:type="dxa"/>
            <w:shd w:val="clear" w:color="auto" w:fill="auto"/>
            <w:noWrap w:val="0"/>
            <w:vAlign w:val="center"/>
          </w:tcPr>
          <w:p w14:paraId="6EA7292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书面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数据电文 </w:t>
            </w:r>
          </w:p>
        </w:tc>
      </w:tr>
      <w:tr w14:paraId="79B8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shd w:val="clear" w:color="auto" w:fill="auto"/>
            <w:noWrap w:val="0"/>
            <w:vAlign w:val="center"/>
          </w:tcPr>
          <w:p w14:paraId="2ECF99B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随中标结果公告同时公告的内容</w:t>
            </w:r>
          </w:p>
        </w:tc>
        <w:tc>
          <w:tcPr>
            <w:tcW w:w="7699" w:type="dxa"/>
            <w:shd w:val="clear" w:color="auto" w:fill="auto"/>
            <w:noWrap w:val="0"/>
            <w:vAlign w:val="center"/>
          </w:tcPr>
          <w:p w14:paraId="754DEB5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（1）中小企业声明函；（如有） </w:t>
            </w:r>
          </w:p>
          <w:p w14:paraId="0B1580D2">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（2）残疾人福利性单位声明函；（如有） </w:t>
            </w:r>
          </w:p>
          <w:p w14:paraId="4B356F37">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（3）因落实政府采购政策等原因进行价格扣除后中标（成交）投标人的评审报价（适用最低评标价法） </w:t>
            </w:r>
          </w:p>
          <w:p w14:paraId="2E19F33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（4）中标（成交）投标人的评审总得分（适用综合评分法）</w:t>
            </w:r>
          </w:p>
          <w:p w14:paraId="3077429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（5）关于符合本国产品标准的声明函。（如有）</w:t>
            </w:r>
          </w:p>
        </w:tc>
      </w:tr>
      <w:tr w14:paraId="7441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936" w:type="dxa"/>
            <w:shd w:val="clear" w:color="auto" w:fill="auto"/>
            <w:noWrap w:val="0"/>
            <w:vAlign w:val="center"/>
          </w:tcPr>
          <w:p w14:paraId="2BDA1520">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告知招标结果的形式</w:t>
            </w:r>
          </w:p>
        </w:tc>
        <w:tc>
          <w:tcPr>
            <w:tcW w:w="7699" w:type="dxa"/>
            <w:shd w:val="clear" w:color="auto" w:fill="auto"/>
            <w:noWrap w:val="0"/>
            <w:vAlign w:val="center"/>
          </w:tcPr>
          <w:p w14:paraId="43246C6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投标人自行登录电子交易系统查看     □评标现场告知</w:t>
            </w:r>
          </w:p>
        </w:tc>
      </w:tr>
      <w:tr w14:paraId="3EC7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57E9DC6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履约保证金</w:t>
            </w:r>
          </w:p>
        </w:tc>
        <w:tc>
          <w:tcPr>
            <w:tcW w:w="7699" w:type="dxa"/>
            <w:noWrap w:val="0"/>
            <w:vAlign w:val="center"/>
          </w:tcPr>
          <w:p w14:paraId="5E3FD8C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（1）金额： </w:t>
            </w:r>
          </w:p>
          <w:p w14:paraId="3B7155A7">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□免收 </w:t>
            </w:r>
          </w:p>
          <w:p w14:paraId="356F44B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合同价的</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lang w:val="en-US" w:eastAsia="zh-CN"/>
              </w:rPr>
              <w:t xml:space="preserve">% </w:t>
            </w:r>
          </w:p>
          <w:p w14:paraId="69971B4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□定额收取：人民币</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元 </w:t>
            </w:r>
          </w:p>
          <w:p w14:paraId="58774DD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（2）支付方式： </w:t>
            </w:r>
          </w:p>
          <w:p w14:paraId="03D86281">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转账/电汇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支票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汇票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本票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保险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保函 </w:t>
            </w:r>
          </w:p>
          <w:p w14:paraId="0F7DC47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（3）收款户名：</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楚雄彝族自治州人民医院</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1AA9C8C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（4）开户银行：</w:t>
            </w:r>
            <w:r>
              <w:rPr>
                <w:rFonts w:hint="eastAsia" w:ascii="仿宋" w:hAnsi="仿宋" w:eastAsia="仿宋" w:cs="仿宋"/>
                <w:color w:val="auto"/>
                <w:sz w:val="24"/>
                <w:szCs w:val="24"/>
                <w:highlight w:val="none"/>
                <w:u w:val="single"/>
                <w:lang w:val="en-US" w:eastAsia="zh-CN"/>
              </w:rPr>
              <w:t>建行楚雄楚威支行</w:t>
            </w:r>
          </w:p>
          <w:p w14:paraId="6A4AB8F4">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（5）收款账号：</w:t>
            </w:r>
            <w:r>
              <w:rPr>
                <w:rFonts w:hint="eastAsia" w:ascii="仿宋" w:hAnsi="仿宋" w:eastAsia="仿宋" w:cs="仿宋"/>
                <w:color w:val="auto"/>
                <w:sz w:val="24"/>
                <w:szCs w:val="24"/>
                <w:highlight w:val="none"/>
                <w:u w:val="single"/>
                <w:lang w:val="en-US" w:eastAsia="zh-CN"/>
              </w:rPr>
              <w:t>53001706154050277559</w:t>
            </w:r>
          </w:p>
          <w:p w14:paraId="4AB8475F">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（6）缴纳时间：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中标通知书发出之日起30日历天内</w:t>
            </w:r>
          </w:p>
          <w:p w14:paraId="4CBB2EA7">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（7）退还时间：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项目终验合格后，由乙方书面申请，经甲方审核无误</w:t>
            </w:r>
            <w:r>
              <w:rPr>
                <w:rFonts w:hint="eastAsia" w:ascii="仿宋" w:hAnsi="仿宋" w:eastAsia="仿宋" w:cs="仿宋"/>
                <w:color w:val="auto"/>
                <w:sz w:val="24"/>
                <w:szCs w:val="24"/>
                <w:highlight w:val="none"/>
                <w:u w:val="single"/>
                <w:lang w:val="en-US" w:eastAsia="zh-CN"/>
              </w:rPr>
              <w:t>后15个工作日内无息退还履约保证金</w:t>
            </w:r>
            <w:r>
              <w:rPr>
                <w:rFonts w:hint="eastAsia" w:ascii="仿宋" w:hAnsi="仿宋" w:eastAsia="仿宋" w:cs="仿宋"/>
                <w:color w:val="auto"/>
                <w:sz w:val="24"/>
                <w:szCs w:val="24"/>
                <w:highlight w:val="none"/>
                <w:u w:val="none"/>
                <w:lang w:val="en-US" w:eastAsia="zh-CN"/>
              </w:rPr>
              <w:t>。</w:t>
            </w:r>
          </w:p>
          <w:p w14:paraId="6E4728F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 xml:space="preserve">注意事项： </w:t>
            </w:r>
          </w:p>
          <w:p w14:paraId="603B97A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（1）以上各类机构出具的以担保函、保证保险承担责任的方式均须满足无条件见索即付条件。 </w:t>
            </w:r>
          </w:p>
          <w:p w14:paraId="1FCDC75C">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2"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（2）以担保函、保证保险形式缴纳履约保证金的，受益人和收取单位须为采购人。 </w:t>
            </w:r>
          </w:p>
        </w:tc>
      </w:tr>
      <w:tr w14:paraId="78FB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936" w:type="dxa"/>
            <w:noWrap w:val="0"/>
            <w:vAlign w:val="center"/>
          </w:tcPr>
          <w:p w14:paraId="6DA5ECD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采购代理服务费</w:t>
            </w:r>
          </w:p>
        </w:tc>
        <w:tc>
          <w:tcPr>
            <w:tcW w:w="7699" w:type="dxa"/>
            <w:noWrap w:val="0"/>
            <w:vAlign w:val="center"/>
          </w:tcPr>
          <w:p w14:paraId="24E672C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收费对象：</w:t>
            </w:r>
          </w:p>
          <w:p w14:paraId="168A798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■中标人</w:t>
            </w:r>
          </w:p>
          <w:p w14:paraId="06A486F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2.收费标准：本项目采用差额定率累进的计算方式，具体收费标准按下表“收费标准”进行计算：</w:t>
            </w:r>
          </w:p>
          <w:tbl>
            <w:tblPr>
              <w:tblStyle w:val="19"/>
              <w:tblW w:w="6873" w:type="dxa"/>
              <w:jc w:val="center"/>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1394"/>
              <w:gridCol w:w="1489"/>
              <w:gridCol w:w="1693"/>
            </w:tblGrid>
            <w:tr w14:paraId="1405599D">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97" w:type="dxa"/>
                  <w:vMerge w:val="restart"/>
                  <w:noWrap w:val="0"/>
                  <w:vAlign w:val="center"/>
                </w:tcPr>
                <w:p w14:paraId="676C580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中标金额</w:t>
                  </w:r>
                </w:p>
                <w:p w14:paraId="6FAADB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（万元）</w:t>
                  </w:r>
                </w:p>
              </w:tc>
              <w:tc>
                <w:tcPr>
                  <w:tcW w:w="4576" w:type="dxa"/>
                  <w:gridSpan w:val="3"/>
                  <w:noWrap w:val="0"/>
                  <w:vAlign w:val="center"/>
                </w:tcPr>
                <w:p w14:paraId="4F38739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收费标准</w:t>
                  </w:r>
                </w:p>
              </w:tc>
            </w:tr>
            <w:tr w14:paraId="73AB916C">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97" w:type="dxa"/>
                  <w:vMerge w:val="continue"/>
                  <w:shd w:val="clear" w:color="auto" w:fill="auto"/>
                  <w:noWrap w:val="0"/>
                  <w:vAlign w:val="center"/>
                </w:tcPr>
                <w:p w14:paraId="6CBF815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p>
              </w:tc>
              <w:tc>
                <w:tcPr>
                  <w:tcW w:w="1394" w:type="dxa"/>
                  <w:shd w:val="clear" w:color="auto" w:fill="auto"/>
                  <w:noWrap w:val="0"/>
                  <w:vAlign w:val="center"/>
                </w:tcPr>
                <w:p w14:paraId="5F1F29B7">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货物招标</w:t>
                  </w:r>
                </w:p>
              </w:tc>
              <w:tc>
                <w:tcPr>
                  <w:tcW w:w="1489" w:type="dxa"/>
                  <w:noWrap w:val="0"/>
                  <w:vAlign w:val="center"/>
                </w:tcPr>
                <w:p w14:paraId="1E633C29">
                  <w:pPr>
                    <w:keepNext w:val="0"/>
                    <w:keepLines w:val="0"/>
                    <w:pageBreakBefore w:val="0"/>
                    <w:widowControl w:val="0"/>
                    <w:kinsoku/>
                    <w:wordWrap w:val="0"/>
                    <w:overflowPunct/>
                    <w:topLinePunct/>
                    <w:autoSpaceDE/>
                    <w:autoSpaceDN/>
                    <w:bidi w:val="0"/>
                    <w:adjustRightInd/>
                    <w:snapToGrid/>
                    <w:spacing w:line="20" w:lineRule="atLeast"/>
                    <w:ind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服务招标</w:t>
                  </w:r>
                </w:p>
              </w:tc>
              <w:tc>
                <w:tcPr>
                  <w:tcW w:w="1693" w:type="dxa"/>
                  <w:noWrap w:val="0"/>
                  <w:vAlign w:val="center"/>
                </w:tcPr>
                <w:p w14:paraId="73735D1C">
                  <w:pPr>
                    <w:keepNext w:val="0"/>
                    <w:keepLines w:val="0"/>
                    <w:pageBreakBefore w:val="0"/>
                    <w:widowControl w:val="0"/>
                    <w:kinsoku/>
                    <w:wordWrap w:val="0"/>
                    <w:overflowPunct/>
                    <w:topLinePunct/>
                    <w:autoSpaceDE/>
                    <w:autoSpaceDN/>
                    <w:bidi w:val="0"/>
                    <w:adjustRightInd/>
                    <w:snapToGrid/>
                    <w:spacing w:line="20" w:lineRule="atLeast"/>
                    <w:ind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工程招标</w:t>
                  </w:r>
                </w:p>
              </w:tc>
            </w:tr>
            <w:tr w14:paraId="5D17413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7" w:type="dxa"/>
                  <w:shd w:val="clear" w:color="auto" w:fill="auto"/>
                  <w:noWrap w:val="0"/>
                  <w:vAlign w:val="center"/>
                </w:tcPr>
                <w:p w14:paraId="5492D65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100以下</w:t>
                  </w:r>
                </w:p>
              </w:tc>
              <w:tc>
                <w:tcPr>
                  <w:tcW w:w="1394" w:type="dxa"/>
                  <w:shd w:val="clear" w:color="auto" w:fill="auto"/>
                  <w:noWrap w:val="0"/>
                  <w:vAlign w:val="center"/>
                </w:tcPr>
                <w:p w14:paraId="1F7CD1B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89" w:type="dxa"/>
                  <w:noWrap w:val="0"/>
                  <w:vAlign w:val="center"/>
                </w:tcPr>
                <w:p w14:paraId="3A44687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693" w:type="dxa"/>
                  <w:noWrap w:val="0"/>
                  <w:vAlign w:val="center"/>
                </w:tcPr>
                <w:p w14:paraId="6BBD76F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56BEC2B9">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7" w:type="dxa"/>
                  <w:shd w:val="clear" w:color="auto" w:fill="auto"/>
                  <w:noWrap w:val="0"/>
                  <w:vAlign w:val="center"/>
                </w:tcPr>
                <w:p w14:paraId="33DD7C9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100—500</w:t>
                  </w:r>
                </w:p>
              </w:tc>
              <w:tc>
                <w:tcPr>
                  <w:tcW w:w="1394" w:type="dxa"/>
                  <w:shd w:val="clear" w:color="auto" w:fill="auto"/>
                  <w:noWrap w:val="0"/>
                  <w:vAlign w:val="center"/>
                </w:tcPr>
                <w:p w14:paraId="62C9AC2B">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89" w:type="dxa"/>
                  <w:noWrap w:val="0"/>
                  <w:vAlign w:val="center"/>
                </w:tcPr>
                <w:p w14:paraId="2334320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w:t>
                  </w:r>
                </w:p>
              </w:tc>
              <w:tc>
                <w:tcPr>
                  <w:tcW w:w="1693" w:type="dxa"/>
                  <w:noWrap w:val="0"/>
                  <w:vAlign w:val="center"/>
                </w:tcPr>
                <w:p w14:paraId="2EF6696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0.7%</w:t>
                  </w:r>
                </w:p>
              </w:tc>
            </w:tr>
            <w:tr w14:paraId="0723B3E8">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7" w:type="dxa"/>
                  <w:shd w:val="clear" w:color="auto" w:fill="auto"/>
                  <w:noWrap w:val="0"/>
                  <w:vAlign w:val="center"/>
                </w:tcPr>
                <w:p w14:paraId="67090EE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500—1000</w:t>
                  </w:r>
                </w:p>
              </w:tc>
              <w:tc>
                <w:tcPr>
                  <w:tcW w:w="1394" w:type="dxa"/>
                  <w:shd w:val="clear" w:color="auto" w:fill="auto"/>
                  <w:noWrap w:val="0"/>
                  <w:vAlign w:val="center"/>
                </w:tcPr>
                <w:p w14:paraId="4ADC765C">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0.8%</w:t>
                  </w:r>
                </w:p>
              </w:tc>
              <w:tc>
                <w:tcPr>
                  <w:tcW w:w="1489" w:type="dxa"/>
                  <w:noWrap w:val="0"/>
                  <w:vAlign w:val="center"/>
                </w:tcPr>
                <w:p w14:paraId="4E0D9F7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0.45%</w:t>
                  </w:r>
                </w:p>
              </w:tc>
              <w:tc>
                <w:tcPr>
                  <w:tcW w:w="1693" w:type="dxa"/>
                  <w:noWrap w:val="0"/>
                  <w:vAlign w:val="center"/>
                </w:tcPr>
                <w:p w14:paraId="6699B33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0.55%</w:t>
                  </w:r>
                </w:p>
              </w:tc>
            </w:tr>
            <w:tr w14:paraId="3C56400C">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7" w:type="dxa"/>
                  <w:shd w:val="clear" w:color="auto" w:fill="auto"/>
                  <w:noWrap w:val="0"/>
                  <w:vAlign w:val="center"/>
                </w:tcPr>
                <w:p w14:paraId="0D47383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1000—5000</w:t>
                  </w:r>
                </w:p>
              </w:tc>
              <w:tc>
                <w:tcPr>
                  <w:tcW w:w="1394" w:type="dxa"/>
                  <w:shd w:val="clear" w:color="auto" w:fill="auto"/>
                  <w:noWrap w:val="0"/>
                  <w:vAlign w:val="center"/>
                </w:tcPr>
                <w:p w14:paraId="6B9C317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c>
                <w:tcPr>
                  <w:tcW w:w="1489" w:type="dxa"/>
                  <w:noWrap w:val="0"/>
                  <w:vAlign w:val="center"/>
                </w:tcPr>
                <w:p w14:paraId="07A474D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0.25%</w:t>
                  </w:r>
                </w:p>
              </w:tc>
              <w:tc>
                <w:tcPr>
                  <w:tcW w:w="1693" w:type="dxa"/>
                  <w:noWrap w:val="0"/>
                  <w:vAlign w:val="center"/>
                </w:tcPr>
                <w:p w14:paraId="3B0BBF1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0.35%</w:t>
                  </w:r>
                </w:p>
              </w:tc>
            </w:tr>
            <w:tr w14:paraId="287B3B8E">
              <w:tblPrEx>
                <w:tblBorders>
                  <w:top w:val="single" w:color="auto" w:sz="18" w:space="0"/>
                  <w:left w:val="single" w:color="auto" w:sz="18" w:space="0"/>
                  <w:bottom w:val="single" w:color="auto" w:sz="12"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7" w:type="dxa"/>
                  <w:shd w:val="clear" w:color="auto" w:fill="auto"/>
                  <w:noWrap w:val="0"/>
                  <w:vAlign w:val="center"/>
                </w:tcPr>
                <w:p w14:paraId="07F3C95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5000—10000</w:t>
                  </w:r>
                </w:p>
              </w:tc>
              <w:tc>
                <w:tcPr>
                  <w:tcW w:w="1394" w:type="dxa"/>
                  <w:shd w:val="clear" w:color="auto" w:fill="auto"/>
                  <w:noWrap w:val="0"/>
                  <w:vAlign w:val="center"/>
                </w:tcPr>
                <w:p w14:paraId="3CC2210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0.25%</w:t>
                  </w:r>
                </w:p>
              </w:tc>
              <w:tc>
                <w:tcPr>
                  <w:tcW w:w="1489" w:type="dxa"/>
                  <w:noWrap w:val="0"/>
                  <w:vAlign w:val="center"/>
                </w:tcPr>
                <w:p w14:paraId="6D80062F">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w:t>
                  </w:r>
                </w:p>
              </w:tc>
              <w:tc>
                <w:tcPr>
                  <w:tcW w:w="1693" w:type="dxa"/>
                  <w:noWrap w:val="0"/>
                  <w:vAlign w:val="center"/>
                </w:tcPr>
                <w:p w14:paraId="17648E4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r>
          </w:tbl>
          <w:p w14:paraId="2839B21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注：中标服务费按差额定率累进法计算。例如：某货物采购代理业务中标金额为94.8万元，按照货物收费标准收取委托代理服务费。</w:t>
            </w:r>
          </w:p>
          <w:p w14:paraId="153FD23A">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计算采购代理服务收费额如下：94.8万元×l.5％＝1.422万元</w:t>
            </w:r>
          </w:p>
          <w:p w14:paraId="65349C8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缴纳代理费账户：</w:t>
            </w:r>
          </w:p>
          <w:p w14:paraId="035FB73C">
            <w:pPr>
              <w:keepNext w:val="0"/>
              <w:keepLines w:val="0"/>
              <w:pageBreakBefore w:val="0"/>
              <w:widowControl w:val="0"/>
              <w:kinsoku/>
              <w:wordWrap w:val="0"/>
              <w:overflowPunct/>
              <w:topLinePunct/>
              <w:autoSpaceDE/>
              <w:autoSpaceDN/>
              <w:bidi w:val="0"/>
              <w:adjustRightInd/>
              <w:snapToGrid/>
              <w:spacing w:line="20" w:lineRule="atLeast"/>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开户名称：云南楚泓工程管理有限责任公司</w:t>
            </w:r>
          </w:p>
          <w:p w14:paraId="11388D91">
            <w:pPr>
              <w:keepNext w:val="0"/>
              <w:keepLines w:val="0"/>
              <w:pageBreakBefore w:val="0"/>
              <w:widowControl w:val="0"/>
              <w:kinsoku/>
              <w:wordWrap w:val="0"/>
              <w:overflowPunct/>
              <w:topLinePunct/>
              <w:autoSpaceDE/>
              <w:autoSpaceDN/>
              <w:bidi w:val="0"/>
              <w:adjustRightInd/>
              <w:snapToGrid/>
              <w:spacing w:line="20" w:lineRule="atLeast"/>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开户行：曲靖市商业银行股份有限公司楚雄分行</w:t>
            </w:r>
          </w:p>
          <w:p w14:paraId="5FBCCB87">
            <w:pPr>
              <w:keepNext w:val="0"/>
              <w:keepLines w:val="0"/>
              <w:pageBreakBefore w:val="0"/>
              <w:widowControl w:val="0"/>
              <w:kinsoku/>
              <w:wordWrap w:val="0"/>
              <w:overflowPunct/>
              <w:topLinePunct/>
              <w:autoSpaceDE/>
              <w:autoSpaceDN/>
              <w:bidi w:val="0"/>
              <w:adjustRightInd/>
              <w:snapToGrid/>
              <w:spacing w:line="20" w:lineRule="atLeast"/>
              <w:ind w:left="0" w:firstLine="480" w:firstLineChars="200"/>
              <w:jc w:val="left"/>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银行账号：5323010101600000164320</w:t>
            </w:r>
          </w:p>
          <w:p w14:paraId="19A613BF">
            <w:pPr>
              <w:keepNext w:val="0"/>
              <w:keepLines w:val="0"/>
              <w:pageBreakBefore w:val="0"/>
              <w:widowControl w:val="0"/>
              <w:kinsoku/>
              <w:wordWrap w:val="0"/>
              <w:overflowPunct/>
              <w:topLinePunct/>
              <w:autoSpaceDE/>
              <w:autoSpaceDN/>
              <w:bidi w:val="0"/>
              <w:adjustRightInd/>
              <w:snapToGrid/>
              <w:spacing w:line="20" w:lineRule="atLeast"/>
              <w:ind w:left="0" w:firstLine="480" w:firstLineChars="200"/>
              <w:jc w:val="left"/>
              <w:textAlignment w:val="auto"/>
              <w:rPr>
                <w:rFonts w:hint="eastAsia" w:ascii="仿宋" w:hAnsi="仿宋" w:eastAsia="仿宋" w:cs="仿宋"/>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行号：313738000039</w:t>
            </w:r>
          </w:p>
          <w:p w14:paraId="746F0A18">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缴纳时间：中标人应在接受“中标通知书”时向采购代理机构一次付清代理服务费。</w:t>
            </w:r>
          </w:p>
          <w:p w14:paraId="07585AB9">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Chars="200" w:right="0" w:right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5.缴纳方式：银行转账。</w:t>
            </w:r>
          </w:p>
        </w:tc>
      </w:tr>
      <w:tr w14:paraId="0B4B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A22B5D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信用信息查询</w:t>
            </w:r>
          </w:p>
        </w:tc>
        <w:tc>
          <w:tcPr>
            <w:tcW w:w="7699" w:type="dxa"/>
            <w:noWrap w:val="0"/>
            <w:vAlign w:val="center"/>
          </w:tcPr>
          <w:p w14:paraId="4C24A71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信用信息查询渠道及截止时间：采购代理机构将在开标后评标会议开始前通过“信用中国”网站(www.creditchina.gov.cn)、中国政府采购网(www.ccgp.gov.cn)渠道查询投标人接受资格审查时的信用记录。</w:t>
            </w:r>
          </w:p>
          <w:p w14:paraId="43D299B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信用信息查询记录和证据留存的具体方式：采购代理机构在“信用中国”网站（www.creditchina.gov.cn）</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或中国执行公开网（https://zxgk.court.gov.cn/）</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对投标人进行失信被执行人、重大税收违法失信主体和政府采购严重违法失信行为记录名单的信用信息查询；在中国政府采购网（www.ccgp.gov.cn）对投标人进行“政府采购严重违法失信行为信息记录”的信用信息查询。查询的投标人信用记录、查询结果经确认后将与采购文件一起存档。</w:t>
            </w:r>
          </w:p>
          <w:p w14:paraId="338F8D87">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信用信息的使用规则：经查询列入失信被执行人名单或者重大税收违法案件当事人名单或者政府采购严重违法失信行为记录名单的投标人将被拒绝参与政府采购活动。</w:t>
            </w:r>
          </w:p>
          <w:p w14:paraId="788BF26B">
            <w:pPr>
              <w:pStyle w:val="7"/>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联合体信用信息查询：两个以上的自然人、法人或者其他组织组成一个联合体，以一个投标人的身份共同参加政府采购活动的，应当对所有联合体成员进行信用记录查询，联合体成员存在不良信用记录的，视同联合体存在不良信用记录。</w:t>
            </w:r>
          </w:p>
        </w:tc>
      </w:tr>
      <w:tr w14:paraId="64476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2B7DD229">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方案讲解演示</w:t>
            </w:r>
          </w:p>
        </w:tc>
        <w:tc>
          <w:tcPr>
            <w:tcW w:w="7699" w:type="dxa"/>
            <w:noWrap w:val="0"/>
            <w:vAlign w:val="center"/>
          </w:tcPr>
          <w:p w14:paraId="67807ABF">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不组织</w:t>
            </w:r>
          </w:p>
          <w:p w14:paraId="65B050D4">
            <w:pPr>
              <w:keepNext w:val="0"/>
              <w:keepLines w:val="0"/>
              <w:pageBreakBefore w:val="0"/>
              <w:widowControl w:val="0"/>
              <w:tabs>
                <w:tab w:val="left" w:pos="7665"/>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组织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具体要求</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3355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77930623">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2"/>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承诺提醒</w:t>
            </w:r>
          </w:p>
        </w:tc>
        <w:tc>
          <w:tcPr>
            <w:tcW w:w="7699" w:type="dxa"/>
            <w:noWrap w:val="0"/>
            <w:vAlign w:val="center"/>
          </w:tcPr>
          <w:p w14:paraId="2098103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关于</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针对本项目提出的相关资格或实质性要求的承诺（包括但不限于依法缴纳税收和社会保障资金），项目采购活动结束后，采购人或</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代理机构如有必要将核实</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投标人</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所作承诺的真实性，如提供虚假承诺将报告监管部门严肃追究法律责任。</w:t>
            </w:r>
          </w:p>
          <w:p w14:paraId="4AA9A6F1">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投标人提供承诺函、第三方书面声明、检测报告、资质证件、业绩成果等材料作为投标文件组成部分的，投标人应保证资料内容书写正确、真实有效、完整一致。</w:t>
            </w:r>
          </w:p>
          <w:p w14:paraId="0011DD55">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按照相关规定可通过官方网站查询的资质证件，投标人应确保资质证件真实有效、线上可查。</w:t>
            </w:r>
          </w:p>
        </w:tc>
      </w:tr>
      <w:tr w14:paraId="2AE1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E336D2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定义</w:t>
            </w:r>
          </w:p>
        </w:tc>
        <w:tc>
          <w:tcPr>
            <w:tcW w:w="7699" w:type="dxa"/>
            <w:noWrap w:val="0"/>
            <w:vAlign w:val="center"/>
          </w:tcPr>
          <w:p w14:paraId="4F8A077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原件：</w:t>
            </w:r>
            <w:r>
              <w:rPr>
                <w:rFonts w:hint="eastAsia" w:ascii="仿宋" w:hAnsi="仿宋" w:eastAsia="仿宋" w:cs="仿宋"/>
                <w:color w:val="000000" w:themeColor="text1"/>
                <w:kern w:val="0"/>
                <w:sz w:val="24"/>
                <w:szCs w:val="24"/>
                <w:highlight w:val="none"/>
                <w:lang w:bidi="ar"/>
                <w14:textFill>
                  <w14:solidFill>
                    <w14:schemeClr w14:val="tx1"/>
                  </w14:solidFill>
                </w14:textFill>
              </w:rPr>
              <w:t>最初产生的区别于复制件（或复印件）的原始文件或文件的原本。</w:t>
            </w:r>
          </w:p>
          <w:p w14:paraId="239C104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000000" w:themeColor="text1"/>
                <w:kern w:val="0"/>
                <w:sz w:val="24"/>
                <w:szCs w:val="24"/>
                <w:highlight w:val="none"/>
                <w:lang w:val="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eastAsia="zh-CN" w:bidi="ar"/>
                <w14:textFill>
                  <w14:solidFill>
                    <w14:schemeClr w14:val="tx1"/>
                  </w14:solidFill>
                </w14:textFill>
              </w:rPr>
              <w:t>2.</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书面形式：</w:t>
            </w:r>
            <w:r>
              <w:rPr>
                <w:rFonts w:hint="eastAsia" w:ascii="仿宋" w:hAnsi="仿宋" w:eastAsia="仿宋" w:cs="仿宋"/>
                <w:color w:val="000000" w:themeColor="text1"/>
                <w:kern w:val="0"/>
                <w:sz w:val="24"/>
                <w:szCs w:val="24"/>
                <w:highlight w:val="none"/>
                <w:lang w:bidi="ar"/>
                <w14:textFill>
                  <w14:solidFill>
                    <w14:schemeClr w14:val="tx1"/>
                  </w14:solidFill>
                </w14:textFill>
              </w:rPr>
              <w:t>包括文字的打印或复印件、传真、信函、电传、电报、电子邮件、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云南省政府采购网》《政府采购云平台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bidi="ar"/>
                <w14:textFill>
                  <w14:solidFill>
                    <w14:schemeClr w14:val="tx1"/>
                  </w14:solidFill>
                </w14:textFill>
              </w:rPr>
              <w:t>发布的公告等可以有形地表现所载内容的形式。</w:t>
            </w:r>
          </w:p>
          <w:p w14:paraId="3499716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000000" w:themeColor="text1"/>
                <w:kern w:val="0"/>
                <w:sz w:val="24"/>
                <w:szCs w:val="24"/>
                <w:highlight w:val="none"/>
                <w:lang w:val="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eastAsia="zh-CN" w:bidi="ar"/>
                <w14:textFill>
                  <w14:solidFill>
                    <w14:schemeClr w14:val="tx1"/>
                  </w14:solidFill>
                </w14:textFill>
              </w:rPr>
              <w:t>3.</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证明文件的清晰度和可读性</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投标人</w:t>
            </w:r>
            <w:r>
              <w:rPr>
                <w:rFonts w:hint="eastAsia" w:ascii="仿宋" w:hAnsi="仿宋" w:eastAsia="仿宋" w:cs="仿宋"/>
                <w:color w:val="000000" w:themeColor="text1"/>
                <w:kern w:val="0"/>
                <w:sz w:val="24"/>
                <w:szCs w:val="24"/>
                <w:highlight w:val="none"/>
                <w:lang w:bidi="ar"/>
                <w14:textFill>
                  <w14:solidFill>
                    <w14:schemeClr w14:val="tx1"/>
                  </w14:solidFill>
                </w14:textFill>
              </w:rPr>
              <w:t>所提供的证明文件应清晰、完整地表达信息，并保证文本和图表的清晰度和可读性。如果证明文件因未提供或因无法辨识确认无法正确表达信息、阅读困难等情况的发生，</w:t>
            </w:r>
            <w:r>
              <w:rPr>
                <w:rFonts w:hint="eastAsia" w:ascii="仿宋" w:hAnsi="仿宋" w:eastAsia="仿宋" w:cs="仿宋"/>
                <w:color w:val="000000" w:themeColor="text1"/>
                <w:sz w:val="24"/>
                <w:szCs w:val="24"/>
                <w:highlight w:val="none"/>
                <w14:textFill>
                  <w14:solidFill>
                    <w14:schemeClr w14:val="tx1"/>
                  </w14:solidFill>
                </w14:textFill>
              </w:rPr>
              <w:t>则</w:t>
            </w:r>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委员会有权视具体情形评分时予以处理，乃至作出不利于</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的认定</w:t>
            </w:r>
            <w:r>
              <w:rPr>
                <w:rFonts w:hint="eastAsia" w:ascii="仿宋" w:hAnsi="仿宋" w:eastAsia="仿宋" w:cs="仿宋"/>
                <w:color w:val="000000" w:themeColor="text1"/>
                <w:kern w:val="0"/>
                <w:sz w:val="24"/>
                <w:szCs w:val="24"/>
                <w:highlight w:val="none"/>
                <w:lang w:bidi="ar"/>
                <w14:textFill>
                  <w14:solidFill>
                    <w14:schemeClr w14:val="tx1"/>
                  </w14:solidFill>
                </w14:textFill>
              </w:rPr>
              <w:t>。（涉及商业秘密的可以做模糊处理）</w:t>
            </w:r>
          </w:p>
          <w:p w14:paraId="11B48200">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eastAsia="zh-CN" w:bidi="ar"/>
                <w14:textFill>
                  <w14:solidFill>
                    <w14:schemeClr w14:val="tx1"/>
                  </w14:solidFill>
                </w14:textFill>
              </w:rPr>
              <w:t>4.</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证明文件的完整性：</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投标人</w:t>
            </w:r>
            <w:r>
              <w:rPr>
                <w:rFonts w:hint="eastAsia" w:ascii="仿宋" w:hAnsi="仿宋" w:eastAsia="仿宋" w:cs="仿宋"/>
                <w:color w:val="000000" w:themeColor="text1"/>
                <w:kern w:val="0"/>
                <w:sz w:val="24"/>
                <w:szCs w:val="24"/>
                <w:highlight w:val="none"/>
                <w:lang w:bidi="ar"/>
                <w14:textFill>
                  <w14:solidFill>
                    <w14:schemeClr w14:val="tx1"/>
                  </w14:solidFill>
                </w14:textFill>
              </w:rPr>
              <w:t>所提供的证明文件应保证文件完整，包括所有必要的页码和附件。如有多份复印件，应确保每份复制品均为完整的副本。</w:t>
            </w:r>
          </w:p>
          <w:p w14:paraId="530B8B37">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firstLine="482" w:firstLineChars="200"/>
              <w:jc w:val="left"/>
              <w:rPr>
                <w:rFonts w:hint="eastAsia" w:ascii="仿宋" w:hAnsi="仿宋" w:eastAsia="仿宋" w:cs="仿宋"/>
                <w:snapToGrid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eastAsia="zh-CN" w:bidi="ar"/>
                <w14:textFill>
                  <w14:solidFill>
                    <w14:schemeClr w14:val="tx1"/>
                  </w14:solidFill>
                </w14:textFill>
              </w:rPr>
              <w:t>5.</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时限（年份、月份等）计算：</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系指从开标之日向前追溯X年/月（“X”为“一”及以后整数）起算。</w:t>
            </w:r>
          </w:p>
        </w:tc>
      </w:tr>
      <w:tr w14:paraId="06C7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47684A6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zh-CN"/>
                <w14:textFill>
                  <w14:solidFill>
                    <w14:schemeClr w14:val="tx1"/>
                  </w14:solidFill>
                </w14:textFill>
              </w:rPr>
              <w:t>重要提示</w:t>
            </w:r>
          </w:p>
        </w:tc>
        <w:tc>
          <w:tcPr>
            <w:tcW w:w="7699" w:type="dxa"/>
            <w:noWrap w:val="0"/>
            <w:vAlign w:val="center"/>
          </w:tcPr>
          <w:p w14:paraId="1870040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1.中标人应在规定期限内领取《中标通知书》，若中标人未在规定期限内领取《中标通知书》，采购人有权取消中标人中标资格，并将相关违约行为报送监管部门，实施信用惩戒。</w:t>
            </w:r>
          </w:p>
          <w:p w14:paraId="4FE4E25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2.中标人应在规定期限内提交履约担保并与采购人签订合同，若中标人未能在规定期限内提交履约担保或签订合同，采购人有权取消中标人中标资格，并将相关违约行为报送监管部门，实施信用惩戒。</w:t>
            </w:r>
          </w:p>
          <w:p w14:paraId="1BE27CC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3.合同签订后，中标人存在规定时间内不组织人员进场开工，不履行供货、安装或服务义务等情况，采购人有权解除合同，并追究违约责任，同时将相关违约行为报送监管部门，记不良行为记录，实施信用惩戒。</w:t>
            </w:r>
          </w:p>
          <w:p w14:paraId="52C788C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中标人中标后被监管部门查实存在违法行为，不满足中标条件的或经查实不具备投标人参加政府采购活动应当具备的法定条件，或要求的特殊资格的，由采购人取消中标资格或有权解除合同（并做好项目后续工作），并追究其法律责任。</w:t>
            </w:r>
          </w:p>
          <w:p w14:paraId="0C94FE7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5.中标人在中标项目发生投诉、信访举报案件、履约存在争议时，拒绝协助配合执法部门调查案件的，采购人可以取消其中标资格或解除合同，并追究其违约责任。</w:t>
            </w:r>
          </w:p>
        </w:tc>
      </w:tr>
      <w:tr w14:paraId="3ADB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6D1D354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进口产品的说明</w:t>
            </w:r>
          </w:p>
          <w:p w14:paraId="28DDEB6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（适用于货物类）</w:t>
            </w:r>
          </w:p>
        </w:tc>
        <w:tc>
          <w:tcPr>
            <w:tcW w:w="7699" w:type="dxa"/>
            <w:noWrap w:val="0"/>
            <w:vAlign w:val="center"/>
          </w:tcPr>
          <w:p w14:paraId="725FE2A7">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进口产品是指通过中国海关报关验放进入中国境内且产自关境外的产品。</w:t>
            </w:r>
          </w:p>
          <w:p w14:paraId="6DD61E15">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注：不涉及采购进口产品时，投标人不得提供进口产品进行响应；涉及采购进口产品时，如国产产品满足采购需求，也可提供国产产品进行响应。</w:t>
            </w:r>
          </w:p>
        </w:tc>
      </w:tr>
      <w:tr w14:paraId="4B37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3FE405A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0"/>
                <w:sz w:val="24"/>
                <w:szCs w:val="24"/>
                <w:highlight w:val="none"/>
                <w:lang w:val="zh-CN" w:eastAsia="en-US"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知识产权</w:t>
            </w:r>
          </w:p>
        </w:tc>
        <w:tc>
          <w:tcPr>
            <w:tcW w:w="7699" w:type="dxa"/>
            <w:noWrap w:val="0"/>
            <w:vAlign w:val="center"/>
          </w:tcPr>
          <w:p w14:paraId="5043FACD">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 xml:space="preserve">（1）构成本招标文件各个组成部分的文件，未经采购人书面同意，投标人不得擅自复印和用于非本招标项目所需的其他目的。如因此导致采购人损失的，投标人须承担全部赔偿责任。 </w:t>
            </w:r>
          </w:p>
          <w:p w14:paraId="172F464E">
            <w:pPr>
              <w:pStyle w:val="7"/>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2）采购人在中华人民共和国境内使用中标货物（服务）、资料、技术、服务或其任何一部分时，履行合同义务后，享有不受限制的无偿使用权，不会产生因第三方提出侵犯其专利权、商标权或其他知识产权而引起的法律或经济纠纷。如投标人不拥有相应的知识产权，则在投标报价中必须包括合法获取该知识产权的一切相关费用。如因此导致采购人损失的，投标人须承担全部赔偿责任。</w:t>
            </w:r>
          </w:p>
        </w:tc>
      </w:tr>
      <w:tr w14:paraId="243B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6BBB58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采购活动中串通投标行为认定</w:t>
            </w:r>
          </w:p>
        </w:tc>
        <w:tc>
          <w:tcPr>
            <w:tcW w:w="7699" w:type="dxa"/>
            <w:noWrap w:val="0"/>
            <w:vAlign w:val="center"/>
          </w:tcPr>
          <w:p w14:paraId="04BBD473">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根据《政府采购货物和服务招标投标管理办法》（财政部令第87号）第三十七条规定有下列情形之一的，视为投标人串通投标，其投标无效： </w:t>
            </w:r>
          </w:p>
          <w:p w14:paraId="146748D9">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（一）不同投标人的投标文件由同一单位或者个人编制； </w:t>
            </w:r>
          </w:p>
          <w:p w14:paraId="5FD09B45">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（二）不同投标人委托同一单位或者个人办理投标事宜； </w:t>
            </w:r>
          </w:p>
          <w:p w14:paraId="14787120">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（三）不同投标人的投标文件载明的项目管理成员或者联系人员为同一人； </w:t>
            </w:r>
          </w:p>
          <w:p w14:paraId="0E17BE8E">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（四）不同投标人的投标文件异常一致或者投标报价呈规律性差异； </w:t>
            </w:r>
          </w:p>
          <w:p w14:paraId="7719A34D">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（五）不同投标人的投标文件相互混装； </w:t>
            </w:r>
          </w:p>
          <w:p w14:paraId="01A5FC80">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（六）不同投标人的投标保证金从同一单位或者个人的账户转出；</w:t>
            </w:r>
          </w:p>
          <w:p w14:paraId="31A2CC67">
            <w:pPr>
              <w:keepNext w:val="0"/>
              <w:keepLines w:val="0"/>
              <w:pageBreakBefore w:val="0"/>
              <w:widowControl w:val="0"/>
              <w:suppressLineNumbers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（七）不同投标人的电子投标文件在同一台电脑上编制（芯片序列号、硬盘序列号、网卡序列号一致，视为由同一台电脑编制）、加密或者上传。</w:t>
            </w:r>
          </w:p>
        </w:tc>
      </w:tr>
      <w:tr w14:paraId="015A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581BAB5D">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公平竞争</w:t>
            </w:r>
          </w:p>
        </w:tc>
        <w:tc>
          <w:tcPr>
            <w:tcW w:w="7699" w:type="dxa"/>
            <w:noWrap w:val="0"/>
            <w:vAlign w:val="center"/>
          </w:tcPr>
          <w:p w14:paraId="120461BF">
            <w:pPr>
              <w:keepNext w:val="0"/>
              <w:keepLines w:val="0"/>
              <w:pageBreakBefore w:val="0"/>
              <w:widowControl w:val="0"/>
              <w:suppressLineNumbers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投标人应遵循公平竞争的原则，不得恶意串通，妨碍其他投标人的竞争行为，不得损害采购人或者其他投标人的合法权益。</w:t>
            </w:r>
          </w:p>
        </w:tc>
      </w:tr>
      <w:tr w14:paraId="7BA1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noWrap w:val="0"/>
            <w:vAlign w:val="center"/>
          </w:tcPr>
          <w:p w14:paraId="01308A4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询问、质疑联系方式</w:t>
            </w:r>
          </w:p>
        </w:tc>
        <w:tc>
          <w:tcPr>
            <w:tcW w:w="7699" w:type="dxa"/>
            <w:noWrap w:val="0"/>
            <w:vAlign w:val="center"/>
          </w:tcPr>
          <w:p w14:paraId="17FFBBB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接收部门：云南楚泓工程管理有限责任公司</w:t>
            </w:r>
          </w:p>
          <w:p w14:paraId="6D6B292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通讯地址：楚雄市鹿城镇楚风香榭1幢3-5层305室</w:t>
            </w:r>
          </w:p>
          <w:p w14:paraId="584CFC74">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联系人：李蓉</w:t>
            </w:r>
          </w:p>
          <w:p w14:paraId="3616F60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联系电话：0878-3360038、18187832087</w:t>
            </w:r>
          </w:p>
          <w:p w14:paraId="53DB208E">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电子邮箱：</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1243184073@qq.com.com</w:t>
            </w:r>
          </w:p>
        </w:tc>
      </w:tr>
      <w:tr w14:paraId="49C4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36" w:type="dxa"/>
            <w:shd w:val="clear" w:color="auto" w:fill="auto"/>
            <w:noWrap w:val="0"/>
            <w:vAlign w:val="center"/>
          </w:tcPr>
          <w:p w14:paraId="391E012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的解释</w:t>
            </w:r>
          </w:p>
        </w:tc>
        <w:tc>
          <w:tcPr>
            <w:tcW w:w="7699" w:type="dxa"/>
            <w:shd w:val="clear" w:color="auto" w:fill="auto"/>
            <w:noWrap w:val="0"/>
            <w:vAlign w:val="center"/>
          </w:tcPr>
          <w:p w14:paraId="6BA47EF6">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1.构成本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的各个组成文件应互为解释，互为说明；</w:t>
            </w:r>
          </w:p>
          <w:p w14:paraId="40F1BBD8">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2.同一组成文件中就同一事项的规定或约定不一致的，除</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另有规定外，以编排顺序在后者为准；</w:t>
            </w:r>
          </w:p>
          <w:p w14:paraId="6C2F4750">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4A486925">
            <w:pPr>
              <w:keepNext w:val="0"/>
              <w:keepLines w:val="0"/>
              <w:pageBreakBefore w:val="0"/>
              <w:widowControl w:val="0"/>
              <w:kinsoku/>
              <w:wordWrap w:val="0"/>
              <w:overflowPunct/>
              <w:topLinePunct/>
              <w:autoSpaceDE/>
              <w:autoSpaceDN/>
              <w:bidi w:val="0"/>
              <w:adjustRightInd/>
              <w:snapToGrid/>
              <w:spacing w:line="20" w:lineRule="atLeast"/>
              <w:ind w:left="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4.除</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中有特别规定外，仅适用于招标投标阶段的规定，按</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招标公告</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投标人须知前附表</w:t>
            </w:r>
            <w:r>
              <w:rPr>
                <w:rFonts w:hint="eastAsia" w:ascii="仿宋" w:hAnsi="仿宋" w:eastAsia="仿宋" w:cs="仿宋"/>
                <w:color w:val="000000" w:themeColor="text1"/>
                <w:sz w:val="24"/>
                <w:szCs w:val="24"/>
                <w:highlight w:val="none"/>
                <w14:textFill>
                  <w14:solidFill>
                    <w14:schemeClr w14:val="tx1"/>
                  </w14:solidFill>
                </w14:textFill>
              </w:rPr>
              <w:t>、评标方法和标准、投标文件格式的先后顺序解释；</w:t>
            </w:r>
          </w:p>
          <w:p w14:paraId="4A19DB5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textAlignment w:val="auto"/>
              <w:rPr>
                <w:rFonts w:hint="eastAsia" w:ascii="仿宋" w:hAnsi="仿宋" w:eastAsia="仿宋" w:cs="仿宋"/>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5.按本款前述规定仍不能形成结论的，由采购人负责解释。</w:t>
            </w:r>
          </w:p>
        </w:tc>
      </w:tr>
      <w:bookmarkEnd w:id="453"/>
      <w:bookmarkEnd w:id="454"/>
      <w:bookmarkEnd w:id="455"/>
      <w:bookmarkEnd w:id="456"/>
    </w:tbl>
    <w:p w14:paraId="34AAB610">
      <w:pP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br w:type="page"/>
      </w:r>
    </w:p>
    <w:p w14:paraId="5A0594BF">
      <w:pPr>
        <w:keepNext w:val="0"/>
        <w:keepLines w:val="0"/>
        <w:pageBreakBefore w:val="0"/>
        <w:widowControl w:val="0"/>
        <w:kinsoku/>
        <w:wordWrap w:val="0"/>
        <w:overflowPunct/>
        <w:topLinePunct/>
        <w:autoSpaceDE/>
        <w:autoSpaceDN/>
        <w:bidi w:val="0"/>
        <w:adjustRightInd/>
        <w:snapToGrid/>
        <w:spacing w:line="404" w:lineRule="exact"/>
        <w:ind w:left="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63" w:name="_Toc9785"/>
      <w:bookmarkStart w:id="464" w:name="_Toc18009"/>
      <w:bookmarkStart w:id="465" w:name="_Toc16625"/>
      <w:bookmarkStart w:id="466" w:name="_Toc2935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二、</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总则</w:t>
      </w:r>
      <w:bookmarkEnd w:id="463"/>
      <w:bookmarkEnd w:id="464"/>
      <w:bookmarkEnd w:id="465"/>
      <w:bookmarkEnd w:id="466"/>
    </w:p>
    <w:p w14:paraId="02B3ECE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67" w:name="bookmark12"/>
      <w:bookmarkEnd w:id="467"/>
      <w:bookmarkStart w:id="468" w:name="_Toc4818"/>
      <w:bookmarkStart w:id="469" w:name="_Toc15492"/>
      <w:bookmarkStart w:id="470" w:name="_Toc11413"/>
      <w:bookmarkStart w:id="471" w:name="_Toc24052"/>
      <w:bookmarkStart w:id="472" w:name="_Toc3381"/>
      <w:bookmarkStart w:id="473" w:name="_Toc6977"/>
      <w:bookmarkStart w:id="474" w:name="_Toc28305"/>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1.适用范围</w:t>
      </w:r>
      <w:bookmarkEnd w:id="468"/>
      <w:bookmarkEnd w:id="469"/>
      <w:bookmarkEnd w:id="470"/>
      <w:bookmarkEnd w:id="471"/>
      <w:bookmarkEnd w:id="472"/>
      <w:bookmarkEnd w:id="473"/>
      <w:bookmarkEnd w:id="474"/>
    </w:p>
    <w:p w14:paraId="7F08873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1.1</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包括</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本招标文件中所述</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所有货物的供货、包装运输（包括卸车及就位至采购人指定的安装地点）、安装、调试、技术服务、培训、售后服务等所有内容。</w:t>
      </w:r>
    </w:p>
    <w:p w14:paraId="28092193">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75" w:name="bookmark13"/>
      <w:bookmarkEnd w:id="475"/>
      <w:bookmarkStart w:id="476" w:name="_Toc3025"/>
      <w:bookmarkStart w:id="477" w:name="_Toc21305"/>
      <w:bookmarkStart w:id="478" w:name="_Toc26498"/>
      <w:bookmarkStart w:id="479" w:name="_Toc30856"/>
      <w:bookmarkStart w:id="480" w:name="_Toc18635"/>
      <w:bookmarkStart w:id="481" w:name="_Toc25191"/>
      <w:bookmarkStart w:id="482" w:name="_Toc22182"/>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2.定义</w:t>
      </w:r>
      <w:bookmarkEnd w:id="476"/>
      <w:bookmarkEnd w:id="477"/>
      <w:bookmarkEnd w:id="478"/>
      <w:bookmarkEnd w:id="479"/>
      <w:bookmarkEnd w:id="480"/>
      <w:bookmarkEnd w:id="481"/>
      <w:bookmarkEnd w:id="482"/>
    </w:p>
    <w:p w14:paraId="46B0978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2.1采购人：详见“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77CFF93B">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2.2采购代理机构：详见“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5E47D65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2.3投标人：是指响应招标、参加投标竞争的法人、其他组织或者自然人。</w:t>
      </w:r>
    </w:p>
    <w:p w14:paraId="5E9746D9">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83" w:name="bookmark14"/>
      <w:bookmarkEnd w:id="483"/>
      <w:bookmarkStart w:id="484" w:name="_Toc16859"/>
      <w:bookmarkStart w:id="485" w:name="_Toc18743"/>
      <w:bookmarkStart w:id="486" w:name="_Toc18950"/>
      <w:bookmarkStart w:id="487" w:name="_Toc4649"/>
      <w:bookmarkStart w:id="488" w:name="_Toc30341"/>
      <w:bookmarkStart w:id="489" w:name="_Toc13556"/>
      <w:bookmarkStart w:id="490" w:name="_Toc2513"/>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3.合格投标人</w:t>
      </w:r>
      <w:bookmarkEnd w:id="484"/>
      <w:bookmarkEnd w:id="485"/>
      <w:bookmarkEnd w:id="486"/>
      <w:bookmarkEnd w:id="487"/>
      <w:bookmarkEnd w:id="488"/>
      <w:bookmarkEnd w:id="489"/>
      <w:bookmarkEnd w:id="490"/>
    </w:p>
    <w:p w14:paraId="75899A9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3.1投标人的资格条件：详见“第一章</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 xml:space="preserve"> 招标公告</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29B017B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3.2联合体投标</w:t>
      </w:r>
    </w:p>
    <w:p w14:paraId="32045DB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3.2.1是否接受联合体投标：详见“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729A743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3.2.2两个以上的自然人、法人或者其他组织可以组成一个联合体，以一个投标人的身份共同参加政府采购。以联合体形式进行政府采购的，参加联合体的投标人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投标无效。（适用于联合体投标）</w:t>
      </w:r>
    </w:p>
    <w:p w14:paraId="356D95C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3.2.3联合体各方均应当满足相应的资格条件，项目中有特定资质要求的，联合体当中承担此项工作的投标人必须具备相应的资质。联合体中标后，必须由联合体中具备“相应”资质的投标人承担，否则将承担违约责任，并赔偿因违约给采购人造成的一切损失。</w:t>
      </w:r>
    </w:p>
    <w:p w14:paraId="24B811A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3.2.4以联合体参加投标的，联合体中有同类资质的投标人按联合体分工承担相同工作的，应当按照资质等级较低的投标人确定资质等级。</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（适用于联合体投标）</w:t>
      </w:r>
    </w:p>
    <w:p w14:paraId="15844E0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3.2.5联合体各方不得再单独参加或者与其他投标人另外组成联合体参加同一合同项下的政府采购活动。</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（适用于联合体投标）</w:t>
      </w:r>
    </w:p>
    <w:p w14:paraId="7BA3245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91" w:name="bookmark15"/>
      <w:bookmarkEnd w:id="491"/>
      <w:bookmarkStart w:id="492" w:name="_Toc25356"/>
      <w:bookmarkStart w:id="493" w:name="_Toc13186"/>
      <w:bookmarkStart w:id="494" w:name="_Toc13616"/>
      <w:bookmarkStart w:id="495" w:name="_Toc30100"/>
      <w:bookmarkStart w:id="496" w:name="_Toc27947"/>
      <w:bookmarkStart w:id="497" w:name="_Toc20585"/>
      <w:bookmarkStart w:id="498" w:name="_Toc16028"/>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4.投标费用</w:t>
      </w:r>
      <w:bookmarkEnd w:id="492"/>
      <w:bookmarkEnd w:id="493"/>
      <w:bookmarkEnd w:id="494"/>
      <w:bookmarkEnd w:id="495"/>
      <w:bookmarkEnd w:id="496"/>
      <w:bookmarkEnd w:id="497"/>
      <w:bookmarkEnd w:id="498"/>
    </w:p>
    <w:p w14:paraId="7C706FB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4.1投标人应自行承担所有与准备和参加投标有关的全部费用。不论投标的结果如何，采</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购代理机构均无义务和责任承担这些费用。</w:t>
      </w:r>
    </w:p>
    <w:p w14:paraId="3F8F394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499" w:name="bookmark16"/>
      <w:bookmarkEnd w:id="499"/>
      <w:bookmarkStart w:id="500" w:name="_Toc549"/>
      <w:bookmarkStart w:id="501" w:name="_Toc29166"/>
      <w:bookmarkStart w:id="502" w:name="_Toc13104"/>
      <w:bookmarkStart w:id="503" w:name="_Toc4355"/>
      <w:bookmarkStart w:id="504" w:name="_Toc31828"/>
      <w:bookmarkStart w:id="505" w:name="_Toc15643"/>
      <w:bookmarkStart w:id="506" w:name="_Toc11027"/>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5.投标人代表</w:t>
      </w:r>
      <w:bookmarkEnd w:id="500"/>
      <w:bookmarkEnd w:id="501"/>
      <w:bookmarkEnd w:id="502"/>
      <w:bookmarkEnd w:id="503"/>
      <w:bookmarkEnd w:id="504"/>
      <w:bookmarkEnd w:id="505"/>
      <w:bookmarkEnd w:id="506"/>
    </w:p>
    <w:p w14:paraId="578C8FD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5.1指全权代表投标人参加投标活动并签署投标文件的人。如果投标人代表不是法定代表人，须持有《法定代表人授权书》。</w:t>
      </w:r>
    </w:p>
    <w:p w14:paraId="019A1C1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07" w:name="bookmark17"/>
      <w:bookmarkEnd w:id="507"/>
      <w:bookmarkStart w:id="508" w:name="_Toc16256"/>
      <w:bookmarkStart w:id="509" w:name="_Toc23400"/>
      <w:bookmarkStart w:id="510" w:name="_Toc14233"/>
      <w:bookmarkStart w:id="511" w:name="_Toc16619"/>
      <w:bookmarkStart w:id="512" w:name="_Toc10978"/>
      <w:bookmarkStart w:id="513" w:name="_Toc9171"/>
      <w:bookmarkStart w:id="514" w:name="_Toc1520"/>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6.招标文件的构成</w:t>
      </w:r>
      <w:bookmarkEnd w:id="508"/>
      <w:bookmarkEnd w:id="509"/>
      <w:bookmarkEnd w:id="510"/>
      <w:bookmarkEnd w:id="511"/>
      <w:bookmarkEnd w:id="512"/>
      <w:bookmarkEnd w:id="513"/>
      <w:bookmarkEnd w:id="514"/>
    </w:p>
    <w:p w14:paraId="3B0CFDD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6.1要求提供的货物和附属服务、招标过程和合同条款在招标文件中均有说明。</w:t>
      </w:r>
    </w:p>
    <w:p w14:paraId="650F0D3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招标文件共六章，各章的内容如下：</w:t>
      </w:r>
    </w:p>
    <w:p w14:paraId="3216CC4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begin"/>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instrText xml:space="preserve"> HYPERLINK \l _Toc30181 </w:instrTex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第一章 招标公告</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end"/>
      </w:r>
    </w:p>
    <w:p w14:paraId="4D2CD7B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begin"/>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instrText xml:space="preserve"> HYPERLINK \l _Toc18879 </w:instrTex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第二章</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投标人须知前附表</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end"/>
      </w:r>
    </w:p>
    <w:p w14:paraId="477E655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begin"/>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instrText xml:space="preserve"> HYPERLINK \l _Toc12077 </w:instrTex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第</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章 采购需求及要求</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end"/>
      </w:r>
    </w:p>
    <w:p w14:paraId="612B431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begin"/>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instrText xml:space="preserve"> HYPERLINK \l _Toc31368 </w:instrTex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第</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章</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评审办法</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end"/>
      </w:r>
    </w:p>
    <w:p w14:paraId="6BC0DFA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 xml:space="preserve"> 拟签订的合同文本</w:t>
      </w:r>
    </w:p>
    <w:p w14:paraId="157B6A9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begin"/>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instrText xml:space="preserve"> HYPERLINK \l _Toc30036 </w:instrTex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separate"/>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第六章</w:t>
      </w:r>
      <w:r>
        <w:rPr>
          <w:rFonts w:hint="eastAsia" w:ascii="仿宋" w:hAnsi="仿宋" w:eastAsia="仿宋" w:cs="仿宋"/>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投标文件格式</w:t>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tab/>
      </w:r>
      <w:r>
        <w:rPr>
          <w:rFonts w:hint="eastAsia" w:ascii="仿宋" w:hAnsi="仿宋" w:eastAsia="仿宋" w:cs="仿宋"/>
          <w:color w:val="000000" w:themeColor="text1"/>
          <w:spacing w:val="0"/>
          <w:position w:val="0"/>
          <w:sz w:val="24"/>
          <w:szCs w:val="24"/>
          <w:highlight w:val="none"/>
          <w:lang w:eastAsia="zh-CN"/>
          <w14:textFill>
            <w14:solidFill>
              <w14:schemeClr w14:val="tx1"/>
            </w14:solidFill>
          </w14:textFill>
        </w:rPr>
        <w:fldChar w:fldCharType="end"/>
      </w:r>
    </w:p>
    <w:p w14:paraId="4D39508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6.2除非有特殊要求，招标文件不单独提供招标货物和附属售后服务使用地的自然环境、气候条件、公用设施等情况，投标人被视为熟悉上述与履行合同有关的一切情况。</w:t>
      </w:r>
    </w:p>
    <w:p w14:paraId="1F9BC22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15" w:name="_Toc11160"/>
      <w:bookmarkStart w:id="516" w:name="_Toc11079"/>
      <w:bookmarkStart w:id="517" w:name="_Toc18510"/>
      <w:bookmarkStart w:id="518" w:name="_Toc28940"/>
      <w:bookmarkStart w:id="519" w:name="_Toc24750"/>
      <w:bookmarkStart w:id="520" w:name="_Toc20361"/>
      <w:bookmarkStart w:id="521" w:name="_Toc13481"/>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7.投标人应当提交的资格、资信证明文件</w:t>
      </w:r>
      <w:bookmarkEnd w:id="515"/>
      <w:bookmarkEnd w:id="516"/>
      <w:bookmarkEnd w:id="517"/>
      <w:bookmarkEnd w:id="518"/>
      <w:bookmarkEnd w:id="519"/>
      <w:bookmarkEnd w:id="520"/>
      <w:bookmarkEnd w:id="521"/>
    </w:p>
    <w:p w14:paraId="556D127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7.1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具有独立承担民事责任的能力的资格证明文件；</w:t>
      </w:r>
    </w:p>
    <w:p w14:paraId="009CF7D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具有良好的商业信誉和健全的财务会计制度的证明文件；</w:t>
      </w:r>
    </w:p>
    <w:p w14:paraId="55FDD32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具有履行合同所必需的设备和专业技术能力的证明文件；</w:t>
      </w:r>
    </w:p>
    <w:p w14:paraId="3AC5D55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有依法缴纳税收和社会保障资金的良好记录的证明文件；</w:t>
      </w:r>
    </w:p>
    <w:p w14:paraId="3F55A05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参加政府采购</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活动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前三年内，在经营活动中没有重大违法记录的证明文件；</w:t>
      </w:r>
    </w:p>
    <w:p w14:paraId="5710643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6法律、行政法规规定的其他条件</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的证明文件；</w:t>
      </w:r>
    </w:p>
    <w:p w14:paraId="6AFBAD7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7</w:t>
      </w:r>
      <w:r>
        <w:rPr>
          <w:rFonts w:hint="eastAsia" w:ascii="仿宋" w:hAnsi="仿宋" w:eastAsia="仿宋" w:cs="仿宋"/>
          <w:b w:val="0"/>
          <w:bCs/>
          <w:color w:val="000000" w:themeColor="text1"/>
          <w:spacing w:val="0"/>
          <w:w w:val="100"/>
          <w:position w:val="0"/>
          <w:sz w:val="24"/>
          <w:szCs w:val="24"/>
          <w:highlight w:val="none"/>
          <w14:textFill>
            <w14:solidFill>
              <w14:schemeClr w14:val="tx1"/>
            </w14:solidFill>
          </w14:textFill>
        </w:rPr>
        <w:t>本项目的特定资格证明材料</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w:t>
      </w:r>
    </w:p>
    <w:p w14:paraId="59173DC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w:t>
      </w:r>
      <w:bookmarkStart w:id="522" w:name="_Toc8006"/>
      <w:bookmarkStart w:id="523" w:name="_Toc89951843"/>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投标保证金</w:t>
      </w:r>
      <w:bookmarkEnd w:id="522"/>
      <w:bookmarkEnd w:id="523"/>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缴纳证明；</w:t>
      </w:r>
    </w:p>
    <w:p w14:paraId="18BD9D95">
      <w:pPr>
        <w:keepNext w:val="0"/>
        <w:keepLines w:val="0"/>
        <w:pageBreakBefore w:val="0"/>
        <w:widowControl w:val="0"/>
        <w:numPr>
          <w:ilvl w:val="0"/>
          <w:numId w:val="0"/>
        </w:numPr>
        <w:kinsoku/>
        <w:wordWrap w:val="0"/>
        <w:overflowPunct/>
        <w:topLinePunct/>
        <w:autoSpaceDE/>
        <w:autoSpaceDN/>
        <w:bidi w:val="0"/>
        <w:adjustRightInd/>
        <w:snapToGrid/>
        <w:spacing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bookmarkStart w:id="524" w:name="bookmark19"/>
      <w:bookmarkEnd w:id="524"/>
      <w:bookmarkStart w:id="525" w:name="_Toc11667"/>
      <w:bookmarkStart w:id="526" w:name="_Toc3755"/>
      <w:bookmarkStart w:id="527" w:name="_Toc11913"/>
      <w:bookmarkStart w:id="528" w:name="_Toc12833"/>
      <w:bookmarkStart w:id="529" w:name="_Toc26458"/>
      <w:bookmarkStart w:id="530" w:name="_Toc11336"/>
      <w:bookmarkStart w:id="531" w:name="_Toc9277"/>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为落实政府采购政策，采购标的需满足的要求，以及投标人须提供的证明材料</w:t>
      </w:r>
      <w:bookmarkEnd w:id="525"/>
      <w:bookmarkEnd w:id="526"/>
      <w:bookmarkEnd w:id="527"/>
      <w:bookmarkEnd w:id="528"/>
      <w:bookmarkEnd w:id="529"/>
      <w:bookmarkEnd w:id="530"/>
      <w:bookmarkEnd w:id="531"/>
    </w:p>
    <w:p w14:paraId="67D35D7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8.1中小企业参加投标</w:t>
      </w:r>
    </w:p>
    <w:p w14:paraId="177AF56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8.1.1中小企业（含中型、小型、微型企业，下同）应当符合以下条件：</w:t>
      </w:r>
    </w:p>
    <w:p w14:paraId="5D1F4A4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在中华人民共和国境内依法设立的，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0A69C8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（2）货物由中小企业制造，即货物由中小企业生产且使用该中小企业商号或者注册商标；本项所称货物不包括使用大型企业注册商标的货物；</w:t>
      </w:r>
    </w:p>
    <w:p w14:paraId="4E91361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（3）小型、微型企业提供中型企业制造的货物的，视同为中型企业；</w:t>
      </w:r>
    </w:p>
    <w:p w14:paraId="6130833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（4）在货物采购项目中，投标人提供的货物既有中小企业制造货物，也有大型企业制造货物的，不享受中小企业扶持政策；</w:t>
      </w:r>
    </w:p>
    <w:p w14:paraId="2F1B1B1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（5）以联合体形式参加政府采购活动，联合体各方均为中小企业的，联合体视同中小企业。其中，联合体各方均为小微企业的，联合体视同小微企业；</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（适用于联合体投标）</w:t>
      </w:r>
    </w:p>
    <w:p w14:paraId="552011B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（6）组成联合体或者接受分包合同的中小企业与联合体内其他企业、分包</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企业之间不得存在直接控股、管理关系。</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适用于涉及中小企业的联合体投标或者允许合同分</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包的采购项目）</w:t>
      </w:r>
    </w:p>
    <w:p w14:paraId="7E8169D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8.1.2投标人提供的货物为中小企业制造的,投标时提供招标文件</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规定的</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中小企业声明</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函》，并对声明函的真实性负责，</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未提供</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不予享受预留份额、评审中价格扣除等政府采购促进中小企业发展的政府采购政策。投标人提供的《</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中小企业</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声明函》与事实不符的，依照《中华人民共和国政府采购法》第七十七条第一款的规定追究法律责任。</w:t>
      </w:r>
    </w:p>
    <w:p w14:paraId="6514C9B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8.2监狱企业参加投标</w:t>
      </w:r>
    </w:p>
    <w:p w14:paraId="3ACCA96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8.2.1监狱企业应当符合以下条件</w:t>
      </w:r>
    </w:p>
    <w:p w14:paraId="3F5F317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1DB79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8.2.2监狱企业参加投标须提供的证明材料</w:t>
      </w:r>
    </w:p>
    <w:p w14:paraId="6771209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监狱企业参加政府采购活动时，提供由省级以上监狱管理局、戒毒管理局（含新疆生产建设兵团）出具的属于监狱企业的证明文件，</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未提供</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不予享受预留份额、评审中价格扣除等政府采购促进中小企业发展的政府采购政策。</w:t>
      </w:r>
    </w:p>
    <w:p w14:paraId="5FE4123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8.3残疾人福利性单位参加投标</w:t>
      </w:r>
    </w:p>
    <w:p w14:paraId="41C2EF4A">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8.3.1享受政府采购支持政策的残疾人福利性单位应当同时满足以下条件：</w:t>
      </w:r>
    </w:p>
    <w:p w14:paraId="3515B2DB">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（1）安置的残疾人占本单位在职职工人数的比例不低于25%（含25%），并且安置的残疾人人数不少于10人（含10人）；</w:t>
      </w:r>
    </w:p>
    <w:p w14:paraId="47844E89">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（2）依法与安置的每位残疾人签订了一年以上（含一年）的劳动合同或服务协议；</w:t>
      </w:r>
    </w:p>
    <w:p w14:paraId="10C16EF5">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（3）为安置的每位残疾人按月足额缴纳了基本养老保险、基本医疗保险、失业保险、工伤保险和生育保险等社会保险费；</w:t>
      </w:r>
    </w:p>
    <w:p w14:paraId="6358525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（4）通过银行等金融机构向安置的每位残疾人，按月支付了不低于单位所在区县</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适</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用的经省级人民政府批准的月最低工资标准的工资；</w:t>
      </w:r>
    </w:p>
    <w:p w14:paraId="2FCF687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（5）提供本单位制造的货物、承担的工程或者服务（以下简称产品），或者提供其他残疾人福利性单位制造的货物（不包括使用非残疾人福利性单位注册商标的货</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物）。</w:t>
      </w:r>
    </w:p>
    <w:p w14:paraId="3B5F92B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8.3.2前款所称残疾人是指法定劳动年龄内，持有《中华人民共和国残疾人证》或者《</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中华人民共和国残疾军人证（1至8级）》的自然人，包括具有劳动条件和劳动意愿的精神残疾人。在职职工人数是指与残疾人福利性单位建立劳动关系并依法签订劳动合同或者服务协议的雇员人数。</w:t>
      </w:r>
    </w:p>
    <w:p w14:paraId="2008A92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8.3.3残疾人福利性单位参加投标须提供的证明材料：</w:t>
      </w:r>
    </w:p>
    <w:p w14:paraId="58DB46F6">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（1）符合条件的残疾人福利性单位在参加政府采购活动时，提供《残疾人福利性单位声明函》，并对声明函的真实性负</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责，未提供</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不予享受预留份额、评审中价格扣除等政府采购促进中小企业发展的政府采购政策</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w:t>
      </w:r>
    </w:p>
    <w:p w14:paraId="5B63837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left"/>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（2）投标人提供的《残疾人福利性单位声明函》与事实不符的，依照《中华人民共和国政府采购法</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》第七十七条第一款的规定追究法律责任。</w:t>
      </w:r>
    </w:p>
    <w:p w14:paraId="20CF2E0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8.4本项目是否专门面向中小企业预留采购份额见第一章“招标公告”。采购标的对应的中小企业划分标准所属行业见第二章“</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w:t>
      </w:r>
    </w:p>
    <w:p w14:paraId="4114F68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8.4.1对小型和微型企业、监狱企业、残疾人福利性单位产品参加投标享受的政策。</w:t>
      </w:r>
    </w:p>
    <w:p w14:paraId="225EE54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4.2</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非专门面向中小企业</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采购的项目</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，小微企业报价给予</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价格</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扣除</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优惠</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，用扣除后的价格参加评审。</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（适用于非专门面向中小企业。对于专门面向中小企业采购的项目或者采购包，不再执行价格评审优惠，享受政策内容详见第二章“投标人须知前附表”）</w:t>
      </w:r>
    </w:p>
    <w:p w14:paraId="5279BBE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8.4</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监狱企业视同小型、微型企业，享受预留份额、评审中价格扣除等政府促进中小</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企业</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发展的政府采购政策。</w:t>
      </w:r>
    </w:p>
    <w:p w14:paraId="49E0B97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8.4.4残疾人福利性单位视同小型、微型企业，享受预留份额、评审中价格扣除等政府促进中小企业发展的政府采购政策。福利性单位属于小型、微型企业的，不重复享受政策。</w:t>
      </w:r>
    </w:p>
    <w:p w14:paraId="1A228B7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b/>
          <w:bCs/>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8.4.5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接受大中型企业与小微企业组成联合体或者允许大中型企业向一家或多家小微企业分包，对于联合协议或者分包意向协议约定小微型企业的合同份额占到联合体协议合同总金额30%以上的，可给予联合体价格扣除</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优惠</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，用扣除后的价格参加评审。</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（适用于非专门面向中小企业</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采购且允许</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联合体投标或合同分包的</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项目</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，如专门面向中小企业</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采购不享受价格评审优惠</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w:t>
      </w:r>
    </w:p>
    <w:p w14:paraId="15D3256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14:textFill>
            <w14:solidFill>
              <w14:schemeClr w14:val="tx1"/>
            </w14:solidFill>
          </w14:textFill>
        </w:rPr>
        <w:t>联合体各方均为小型、微型企业的，联合体视同为小型、微型企业。</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（适用于联合体投标）</w:t>
      </w:r>
    </w:p>
    <w:p w14:paraId="2F8975B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14:textFill>
            <w14:solidFill>
              <w14:schemeClr w14:val="tx1"/>
            </w14:solidFill>
          </w14:textFill>
        </w:rPr>
        <w:t>组成联合体的大中型企业和其他自然人、法人或者其他组织，与小型、微型企业之间不得存在投资关系。</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（适用于联合体投标）</w:t>
      </w:r>
    </w:p>
    <w:p w14:paraId="12C62F2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节能产品、环境标志产品参加投标</w:t>
      </w:r>
    </w:p>
    <w:p w14:paraId="00F33C3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0D9340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9C37F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8.5.3如本项目采购产品属于实施政府强制采购品目清单范围的节能产品，则投标人所投产品必须获得国家确定的认证机构出具的、处于有效期之内的节能产品认证证书</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彩色扫描件，否则投标无效。</w:t>
      </w:r>
    </w:p>
    <w:p w14:paraId="1842C3C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8.5.4非政府强制采购的节能产品或环境标志产品，依据品目清单和认证证书实施政府优先采购。优先采购的具体规定见第四章《评审方法》</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（如涉及）</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w:t>
      </w:r>
    </w:p>
    <w:p w14:paraId="7E65E502">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招标文件对节能产品、环境标志产品另有规定的从其规定。</w:t>
      </w:r>
    </w:p>
    <w:p w14:paraId="73BA0985">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8.6对本国产品的支持政策</w:t>
      </w:r>
    </w:p>
    <w:p w14:paraId="6CF7EDAB">
      <w:pPr>
        <w:keepNext w:val="0"/>
        <w:keepLines w:val="0"/>
        <w:pageBreakBefore w:val="0"/>
        <w:overflowPunct/>
        <w:bidi w:val="0"/>
        <w:spacing w:line="38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bookmarkStart w:id="532" w:name="bookmark20"/>
      <w:bookmarkEnd w:id="532"/>
      <w:bookmarkStart w:id="533" w:name="_Toc30887"/>
      <w:bookmarkStart w:id="534" w:name="_Toc6683"/>
      <w:bookmarkStart w:id="535" w:name="_Toc29988"/>
      <w:bookmarkStart w:id="536" w:name="_Toc5001"/>
      <w:bookmarkStart w:id="537" w:name="_Toc12663"/>
      <w:bookmarkStart w:id="538" w:name="_Toc16644"/>
      <w:bookmarkStart w:id="539" w:name="_Toc852"/>
      <w:r>
        <w:rPr>
          <w:rFonts w:hint="eastAsia" w:ascii="仿宋" w:hAnsi="仿宋" w:eastAsia="仿宋" w:cs="仿宋"/>
          <w:color w:val="auto"/>
          <w:kern w:val="0"/>
          <w:sz w:val="24"/>
          <w:szCs w:val="24"/>
          <w:highlight w:val="none"/>
          <w:lang w:val="en-US" w:eastAsia="zh-CN"/>
        </w:rPr>
        <w:t>根据《国务院办公厅关于在政府采购中实施本国产品标准及相关政策的通知》（国办发〔2025〕34号）及《财政部关于贯彻落实&lt;国务院办公厅关于在政府采购中实施本国产品标准及相关政策的通知&gt;的意见》（财库〔2025〕30号）相关规定。</w:t>
      </w:r>
    </w:p>
    <w:p w14:paraId="23F18FD6">
      <w:pPr>
        <w:keepNext w:val="0"/>
        <w:keepLines w:val="0"/>
        <w:pageBreakBefore w:val="0"/>
        <w:overflowPunct/>
        <w:bidi w:val="0"/>
        <w:spacing w:line="38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8.6.1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EABCF8">
      <w:pPr>
        <w:keepNext w:val="0"/>
        <w:keepLines w:val="0"/>
        <w:pageBreakBefore w:val="0"/>
        <w:overflowPunct/>
        <w:bidi w:val="0"/>
        <w:spacing w:line="38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8.6.2 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FD441C9">
      <w:pPr>
        <w:keepNext w:val="0"/>
        <w:keepLines w:val="0"/>
        <w:pageBreakBefore w:val="0"/>
        <w:overflowPunct/>
        <w:bidi w:val="0"/>
        <w:spacing w:line="38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8.6.3 对本国产品的支持政策。政府采购活动中既有本国产品又有非本国产品参与竞争的，依法对本国产品给予价格评审优惠，对本国产品的报价给予20%的价格扣除，用扣除后的价格参与评审。</w:t>
      </w:r>
    </w:p>
    <w:p w14:paraId="43C166A4">
      <w:pPr>
        <w:keepNext w:val="0"/>
        <w:keepLines w:val="0"/>
        <w:pageBreakBefore w:val="0"/>
        <w:overflowPunct/>
        <w:bidi w:val="0"/>
        <w:spacing w:line="380" w:lineRule="exact"/>
        <w:ind w:firstLine="480" w:firstLineChars="20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lang w:val="en-US" w:eastAsia="zh-CN"/>
        </w:rPr>
        <w:t>8.6.4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仿宋" w:hAnsi="仿宋" w:eastAsia="仿宋" w:cs="仿宋"/>
          <w:bCs/>
          <w:color w:val="auto"/>
          <w:sz w:val="24"/>
          <w:szCs w:val="24"/>
          <w:highlight w:val="none"/>
        </w:rPr>
        <w:t>对于仅有本国产品参与竞争的政府采购项目，本国产品不享受价格扣除评审优惠。</w:t>
      </w:r>
    </w:p>
    <w:p w14:paraId="63F54914">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8.6.5 </w:t>
      </w:r>
      <w:r>
        <w:rPr>
          <w:rFonts w:hint="eastAsia" w:ascii="仿宋" w:hAnsi="仿宋" w:eastAsia="仿宋" w:cs="仿宋"/>
          <w:color w:val="auto"/>
          <w:spacing w:val="0"/>
          <w:position w:val="0"/>
          <w:sz w:val="24"/>
          <w:szCs w:val="24"/>
          <w:highlight w:val="none"/>
          <w:lang w:val="en-US" w:eastAsia="zh-CN"/>
        </w:rPr>
        <w:t>中国境内生产的组件成本核算基本规则</w:t>
      </w:r>
    </w:p>
    <w:p w14:paraId="0DDFF0C2">
      <w:pPr>
        <w:keepNext w:val="0"/>
        <w:keepLines w:val="0"/>
        <w:pageBreakBefore w:val="0"/>
        <w:widowControl w:val="0"/>
        <w:kinsoku/>
        <w:wordWrap w:val="0"/>
        <w:overflowPunct/>
        <w:topLinePunct/>
        <w:autoSpaceDE/>
        <w:autoSpaceDN/>
        <w:bidi w:val="0"/>
        <w:adjustRightInd/>
        <w:snapToGrid/>
        <w:spacing w:line="400" w:lineRule="exact"/>
        <w:ind w:firstLine="720" w:firstLineChars="300"/>
        <w:textAlignment w:val="baseline"/>
        <w:rPr>
          <w:rFonts w:hint="default" w:ascii="仿宋" w:hAnsi="仿宋" w:eastAsia="仿宋" w:cs="仿宋"/>
          <w:color w:val="auto"/>
          <w:spacing w:val="0"/>
          <w:position w:val="0"/>
          <w:sz w:val="24"/>
          <w:szCs w:val="24"/>
          <w:highlight w:val="none"/>
          <w:lang w:val="en-US" w:eastAsia="zh-CN"/>
        </w:rPr>
      </w:pPr>
      <w:r>
        <w:rPr>
          <w:rFonts w:hint="default" w:ascii="仿宋" w:hAnsi="仿宋" w:eastAsia="仿宋" w:cs="仿宋"/>
          <w:color w:val="auto"/>
          <w:spacing w:val="0"/>
          <w:position w:val="0"/>
          <w:sz w:val="24"/>
          <w:szCs w:val="24"/>
          <w:highlight w:val="no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05B59E">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（1）</w:t>
      </w:r>
      <w:r>
        <w:rPr>
          <w:rFonts w:hint="default" w:ascii="仿宋" w:hAnsi="仿宋" w:eastAsia="仿宋" w:cs="仿宋"/>
          <w:color w:val="auto"/>
          <w:spacing w:val="0"/>
          <w:position w:val="0"/>
          <w:sz w:val="24"/>
          <w:szCs w:val="24"/>
          <w:highlight w:val="none"/>
          <w:lang w:val="en-US" w:eastAsia="zh-CN"/>
        </w:rPr>
        <w:t>产品的一级组件是指直接组成产品的组件。产品的二级组件是指直接组成产品一级组件的组件。一级组件不可分解的，视同二级组件。</w:t>
      </w:r>
    </w:p>
    <w:p w14:paraId="51B25606">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（2）</w:t>
      </w:r>
      <w:r>
        <w:rPr>
          <w:rFonts w:hint="default" w:ascii="仿宋" w:hAnsi="仿宋" w:eastAsia="仿宋" w:cs="仿宋"/>
          <w:color w:val="auto"/>
          <w:spacing w:val="0"/>
          <w:position w:val="0"/>
          <w:sz w:val="24"/>
          <w:szCs w:val="24"/>
          <w:highlight w:val="none"/>
          <w:lang w:val="en-US" w:eastAsia="zh-CN"/>
        </w:rPr>
        <w:t>二级组件在中国境内生产的，其全部成本计入中国境内生产的组件成本；二级组件不在中国境内生产的，其成本不计入中国境内生产的组件成本。</w:t>
      </w:r>
    </w:p>
    <w:p w14:paraId="1A9BDD0C">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（3）</w:t>
      </w:r>
      <w:r>
        <w:rPr>
          <w:rFonts w:hint="default" w:ascii="仿宋" w:hAnsi="仿宋" w:eastAsia="仿宋" w:cs="仿宋"/>
          <w:color w:val="auto"/>
          <w:spacing w:val="0"/>
          <w:position w:val="0"/>
          <w:sz w:val="24"/>
          <w:szCs w:val="24"/>
          <w:highlight w:val="none"/>
          <w:lang w:val="en-US" w:eastAsia="zh-CN"/>
        </w:rPr>
        <w:t>产品总成本和组件成本以相关会计核算数据、采购合同、进货记录等为基础进行计算。</w:t>
      </w:r>
    </w:p>
    <w:p w14:paraId="0CD601CF">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default"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pacing w:val="0"/>
          <w:position w:val="0"/>
          <w:sz w:val="24"/>
          <w:szCs w:val="24"/>
          <w:highlight w:val="none"/>
          <w:lang w:val="en-US" w:eastAsia="zh-CN"/>
        </w:rPr>
        <w:t>（4）</w:t>
      </w:r>
      <w:r>
        <w:rPr>
          <w:rFonts w:hint="default" w:ascii="仿宋" w:hAnsi="仿宋" w:eastAsia="仿宋" w:cs="仿宋"/>
          <w:color w:val="auto"/>
          <w:spacing w:val="0"/>
          <w:position w:val="0"/>
          <w:sz w:val="24"/>
          <w:szCs w:val="24"/>
          <w:highlight w:val="none"/>
          <w:lang w:val="en-US" w:eastAsia="zh-CN"/>
        </w:rPr>
        <w:t>需要对成本核算规则予以进一步明确的其他有关事项，由财政部会同有关部门另行规定。</w:t>
      </w:r>
    </w:p>
    <w:p w14:paraId="185104EC">
      <w:pPr>
        <w:keepNext w:val="0"/>
        <w:keepLines w:val="0"/>
        <w:pageBreakBefore w:val="0"/>
        <w:numPr>
          <w:ilvl w:val="0"/>
          <w:numId w:val="0"/>
        </w:numPr>
        <w:wordWrap/>
        <w:overflowPunct/>
        <w:topLinePunct w:val="0"/>
        <w:bidi w:val="0"/>
        <w:spacing w:line="380" w:lineRule="exact"/>
        <w:ind w:firstLine="480" w:firstLineChars="200"/>
        <w:jc w:val="left"/>
        <w:textAlignment w:val="baseline"/>
        <w:rPr>
          <w:rFonts w:hint="eastAsia" w:ascii="仿宋" w:hAnsi="仿宋" w:eastAsia="仿宋" w:cs="仿宋"/>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8.6.6 </w:t>
      </w:r>
      <w:r>
        <w:rPr>
          <w:rFonts w:hint="eastAsia" w:ascii="仿宋" w:hAnsi="仿宋" w:eastAsia="仿宋" w:cs="仿宋"/>
          <w:color w:val="auto"/>
          <w:kern w:val="0"/>
          <w:sz w:val="24"/>
          <w:szCs w:val="24"/>
          <w:highlight w:val="none"/>
          <w:lang w:val="en-US" w:eastAsia="zh-CN"/>
        </w:rPr>
        <w:t>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采购人、采购代理机构将随中标、成交结果同时公告中标、成交供应商提供的《声明函》或有关证明文件。</w:t>
      </w:r>
    </w:p>
    <w:p w14:paraId="00B125C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9</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采购需求标准</w:t>
      </w:r>
      <w:bookmarkEnd w:id="533"/>
      <w:bookmarkEnd w:id="534"/>
      <w:bookmarkEnd w:id="535"/>
      <w:bookmarkEnd w:id="536"/>
      <w:bookmarkEnd w:id="537"/>
      <w:bookmarkEnd w:id="538"/>
      <w:bookmarkEnd w:id="539"/>
    </w:p>
    <w:p w14:paraId="05C7C28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9.1商品包装、快递包装政府采购需求标准（试行）</w:t>
      </w:r>
    </w:p>
    <w:p w14:paraId="0194DA8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三章《采购需求及要求》。</w:t>
      </w:r>
    </w:p>
    <w:p w14:paraId="4572D10F">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9.2绿色数据中心政府采购需求标准（试行）</w:t>
      </w:r>
    </w:p>
    <w:p w14:paraId="526CA26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为加快数据中心绿色转型，根据财政部生态环境部工业和信息化部关于印发《绿色数据中心政府采购需求标准（试行）》的通知（财库〔2023〕7号），本项目如涉及绿色数据中心，则具体要求见第三章《采购需求及要求》。</w:t>
      </w:r>
    </w:p>
    <w:p w14:paraId="0B6161A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40" w:name="_Toc12132"/>
      <w:bookmarkStart w:id="541" w:name="_Toc26869"/>
      <w:bookmarkStart w:id="542" w:name="_Toc23617"/>
      <w:bookmarkStart w:id="543" w:name="_Toc26549"/>
      <w:bookmarkStart w:id="544" w:name="_Toc19610"/>
      <w:bookmarkStart w:id="545" w:name="_Toc10921"/>
      <w:bookmarkStart w:id="546" w:name="_Toc475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10.招标文件的修改</w:t>
      </w:r>
      <w:bookmarkEnd w:id="540"/>
      <w:bookmarkEnd w:id="541"/>
      <w:bookmarkEnd w:id="542"/>
      <w:bookmarkEnd w:id="543"/>
      <w:bookmarkEnd w:id="544"/>
      <w:bookmarkEnd w:id="545"/>
      <w:bookmarkEnd w:id="546"/>
    </w:p>
    <w:p w14:paraId="6021233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10.1采购代理机构可以对已发出的招标文件进行必要澄清或者修改，澄清或者修改的内容可能影响投标文件编制的，采购代理机构在投标截止时间至少15日前，在</w:t>
      </w:r>
      <w:r>
        <w:rPr>
          <w:rFonts w:hint="eastAsia" w:ascii="仿宋" w:hAnsi="仿宋" w:eastAsia="仿宋" w:cs="仿宋"/>
          <w:strike w:val="0"/>
          <w:dstrike w:val="0"/>
          <w:color w:val="000000" w:themeColor="text1"/>
          <w:spacing w:val="0"/>
          <w:w w:val="100"/>
          <w:position w:val="0"/>
          <w:sz w:val="24"/>
          <w:szCs w:val="24"/>
          <w:highlight w:val="none"/>
          <w:lang w:val="en-US" w:eastAsia="zh-CN"/>
          <w14:textFill>
            <w14:solidFill>
              <w14:schemeClr w14:val="tx1"/>
            </w14:solidFill>
          </w14:textFill>
        </w:rPr>
        <w:t>原公告发布媒体</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上发布更正公告，上传答疑澄清文件。不足15日的，采购代理机构应当顺延提交投标文件的截止时间。</w:t>
      </w:r>
    </w:p>
    <w:p w14:paraId="6C5AA6CC">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10.2已下载招标文件的投标人必须在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云南省政府采购网</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（网址</w:t>
      </w:r>
      <w:r>
        <w:rPr>
          <w:rFonts w:hint="eastAsia" w:ascii="仿宋" w:hAnsi="仿宋" w:eastAsia="仿宋" w:cs="仿宋"/>
          <w:color w:val="000000" w:themeColor="text1"/>
          <w:spacing w:val="0"/>
          <w:w w:val="100"/>
          <w:position w:val="0"/>
          <w:sz w:val="24"/>
          <w:szCs w:val="24"/>
          <w:highlight w:val="none"/>
          <w:u w:val="none"/>
          <w:lang w:val="en-US" w:eastAsia="zh-CN"/>
          <w14:textFill>
            <w14:solidFill>
              <w14:schemeClr w14:val="tx1"/>
            </w14:solidFill>
          </w14:textFill>
        </w:rPr>
        <w:t>http://www.yngp.com/</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）和政采云平台（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）上下载答疑澄清文件。投标人因未下载答疑澄清文件、由此可能引起的投标文件递交失败、解密失败、内容缺失等相关后果由投标人自行承担。</w:t>
      </w:r>
    </w:p>
    <w:p w14:paraId="7F2E5D8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10.3当招标文件和澄清文件在同一内容的表述上不一致时，以最后发出的文件为准。</w:t>
      </w:r>
    </w:p>
    <w:p w14:paraId="3EE018CC">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47" w:name="_Toc23483"/>
      <w:bookmarkStart w:id="548" w:name="_Toc8599"/>
      <w:bookmarkStart w:id="549" w:name="_Toc21408"/>
      <w:bookmarkStart w:id="550" w:name="_Toc11087"/>
      <w:bookmarkStart w:id="551" w:name="_Toc21118"/>
      <w:bookmarkStart w:id="552" w:name="_Toc29001"/>
      <w:bookmarkStart w:id="553" w:name="_Toc6238"/>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10.4更正或者修改的内容是招标文件的组成部分，并对投标人具有约束力。</w:t>
      </w:r>
      <w:bookmarkEnd w:id="547"/>
      <w:bookmarkEnd w:id="548"/>
      <w:bookmarkEnd w:id="549"/>
      <w:bookmarkEnd w:id="550"/>
      <w:bookmarkEnd w:id="551"/>
      <w:bookmarkEnd w:id="552"/>
      <w:bookmarkEnd w:id="553"/>
    </w:p>
    <w:p w14:paraId="0BDA700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bookmarkStart w:id="554" w:name="_Toc4412"/>
      <w:bookmarkStart w:id="555" w:name="_Toc15499"/>
      <w:bookmarkStart w:id="556" w:name="_Toc16254"/>
      <w:bookmarkStart w:id="557" w:name="_Toc24297"/>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三、投标</w:t>
      </w:r>
      <w:bookmarkEnd w:id="554"/>
      <w:bookmarkEnd w:id="555"/>
      <w:bookmarkEnd w:id="556"/>
      <w:bookmarkEnd w:id="557"/>
    </w:p>
    <w:p w14:paraId="252DBD0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58" w:name="_Toc14680"/>
      <w:bookmarkStart w:id="559" w:name="_Toc16947"/>
      <w:bookmarkStart w:id="560" w:name="_Toc2357"/>
      <w:bookmarkStart w:id="561" w:name="_Toc3676"/>
      <w:bookmarkStart w:id="562" w:name="_Toc4225"/>
      <w:bookmarkStart w:id="563" w:name="_Toc14342"/>
      <w:bookmarkStart w:id="564" w:name="_Toc4190"/>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11.投标文件的编制</w:t>
      </w:r>
      <w:bookmarkEnd w:id="558"/>
      <w:bookmarkEnd w:id="559"/>
      <w:bookmarkEnd w:id="560"/>
      <w:bookmarkEnd w:id="561"/>
      <w:bookmarkEnd w:id="562"/>
      <w:bookmarkEnd w:id="563"/>
      <w:bookmarkEnd w:id="564"/>
    </w:p>
    <w:p w14:paraId="2CDBAAD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11.1投标人应当按照招标文件的要求编制投标文件。投标文件应当对招标文件提出的要求和条件做出明确响应。</w:t>
      </w:r>
    </w:p>
    <w:p w14:paraId="40874A3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11.2招标文件中注明不可以采购进口产品的（见“第一章</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招标公告”），不允许提供进口产品参与采购活动。提供进口产品参与采购活动的，</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被视为投标无效。</w:t>
      </w:r>
    </w:p>
    <w:p w14:paraId="4DDBC0C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65" w:name="_Toc29179"/>
      <w:bookmarkStart w:id="566" w:name="_Toc14297"/>
      <w:bookmarkStart w:id="567" w:name="_Toc6484"/>
      <w:bookmarkStart w:id="568" w:name="_Toc24124"/>
      <w:bookmarkStart w:id="569" w:name="_Toc2186"/>
      <w:bookmarkStart w:id="570" w:name="_Toc6121"/>
      <w:bookmarkStart w:id="571" w:name="_Toc242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12.投标文件计量单位</w:t>
      </w:r>
      <w:bookmarkEnd w:id="565"/>
      <w:bookmarkEnd w:id="566"/>
      <w:bookmarkEnd w:id="567"/>
      <w:bookmarkEnd w:id="568"/>
      <w:bookmarkEnd w:id="569"/>
      <w:bookmarkEnd w:id="570"/>
      <w:bookmarkEnd w:id="571"/>
    </w:p>
    <w:p w14:paraId="0B0E54B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12.1投标文件中所使用的计量单位,除招标文件中有特殊要求外，均应采用国家法定计量单位。</w:t>
      </w:r>
    </w:p>
    <w:p w14:paraId="1868E05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13.提供相同品牌产品的不同投标人参加同一合同项下投标的，参加评标、获得中标人推荐资格的认定</w:t>
      </w:r>
    </w:p>
    <w:p w14:paraId="071F5AE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13.1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3A2F80D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获得中标人推荐资格。</w:t>
      </w:r>
    </w:p>
    <w:p w14:paraId="6423320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13.3非单一产品采购项目，多家投标人提供的核心产品品牌相同的，依据招标文件规定的评分办法，按13.1或13.2条规定处理。核心产品见“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3C0CADF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72" w:name="_Toc16022"/>
      <w:bookmarkStart w:id="573" w:name="_Toc9298"/>
      <w:bookmarkStart w:id="574" w:name="_Toc6936"/>
      <w:bookmarkStart w:id="575" w:name="_Toc7027"/>
      <w:bookmarkStart w:id="576" w:name="_Toc20205"/>
      <w:bookmarkStart w:id="577" w:name="_Toc4154"/>
      <w:bookmarkStart w:id="578" w:name="_Toc3105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14.投标文件的构成</w:t>
      </w:r>
      <w:bookmarkEnd w:id="572"/>
      <w:bookmarkEnd w:id="573"/>
      <w:bookmarkEnd w:id="574"/>
      <w:bookmarkEnd w:id="575"/>
      <w:bookmarkEnd w:id="576"/>
      <w:bookmarkEnd w:id="577"/>
      <w:bookmarkEnd w:id="578"/>
    </w:p>
    <w:p w14:paraId="2885C68E">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14.1投标文件应由下列部分构成。</w:t>
      </w:r>
    </w:p>
    <w:p w14:paraId="25413D4E">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格式详见“第</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六</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章</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投标文件格式”</w:t>
      </w:r>
    </w:p>
    <w:p w14:paraId="3EBDED9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14.2投标人应编写投标文件目录及页码。</w:t>
      </w:r>
    </w:p>
    <w:p w14:paraId="6998234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79" w:name="_Toc19211"/>
      <w:bookmarkStart w:id="580" w:name="_Toc9779"/>
      <w:bookmarkStart w:id="581" w:name="_Toc1002"/>
      <w:bookmarkStart w:id="582" w:name="_Toc4294"/>
      <w:bookmarkStart w:id="583" w:name="_Toc14373"/>
      <w:bookmarkStart w:id="584" w:name="_Toc3506"/>
      <w:bookmarkStart w:id="585" w:name="_Toc25557"/>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15.投标报价</w:t>
      </w:r>
      <w:bookmarkEnd w:id="579"/>
      <w:bookmarkEnd w:id="580"/>
      <w:bookmarkEnd w:id="581"/>
      <w:bookmarkEnd w:id="582"/>
      <w:bookmarkEnd w:id="583"/>
      <w:bookmarkEnd w:id="584"/>
      <w:bookmarkEnd w:id="585"/>
    </w:p>
    <w:p w14:paraId="4C8D306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15.1所有投标均以人民币报价，</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投标报价</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应包括为完成本项目所发生的一切费用和税费，报价内容包含招标文件规定的货物</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附属售后服务，标准附件，备品备件，专用工具，安装、调试、检验，培训，技术服务，</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采购代理服务费，</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运至最终目的地的运费和保险费等一切相关费用。</w:t>
      </w:r>
    </w:p>
    <w:p w14:paraId="6348B4C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15.2投标人要按开标一览表（统一格式）和分项报价表（统一格式）的内容填写产品单价、总价及其他事项。投标总价中不得包含招标文件要求以外的内容，否则，在评标时不予核减。若投标人不同意，投标无效。</w:t>
      </w:r>
    </w:p>
    <w:p w14:paraId="6C2555F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15.3投标总价中如缺漏招标文件所要求的内容，投标人中标后须提供，且中标价以投标报价为准。若投标人不同意，</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p>
    <w:p w14:paraId="1BB0A87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15.4投标人所报的投标价在合同执行过程中是固定不变的</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不得以任何理由予以变更。投标人应对所有招标内容进行投标，且只提供最优方案一套，投标人提交任何包含价格调整要求的投标将按非实质性响应投标，</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p>
    <w:p w14:paraId="7B1076FB">
      <w:pPr>
        <w:keepNext w:val="0"/>
        <w:keepLines w:val="0"/>
        <w:pageBreakBefore w:val="0"/>
        <w:widowControl/>
        <w:kinsoku w:val="0"/>
        <w:wordWrap/>
        <w:overflowPunct/>
        <w:topLinePunct w:val="0"/>
        <w:autoSpaceDE w:val="0"/>
        <w:autoSpaceDN w:val="0"/>
        <w:bidi w:val="0"/>
        <w:adjustRightInd/>
        <w:snapToGrid/>
        <w:spacing w:line="404" w:lineRule="exact"/>
        <w:ind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15.5 </w:t>
      </w:r>
      <w:r>
        <w:rPr>
          <w:rFonts w:hint="eastAsia" w:ascii="仿宋" w:hAnsi="仿宋" w:eastAsia="仿宋" w:cs="仿宋"/>
          <w:color w:val="000000" w:themeColor="text1"/>
          <w:sz w:val="24"/>
          <w:szCs w:val="24"/>
          <w:highlight w:val="none"/>
          <w:lang w:eastAsia="zh-CN"/>
          <w14:textFill>
            <w14:solidFill>
              <w14:schemeClr w14:val="tx1"/>
            </w14:solidFill>
          </w14:textFill>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人不能作出合理解释的，视为投标文件含有采购人不能接受的附加条件的，</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p>
    <w:p w14:paraId="0FC4B1E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投标人如需用外汇购入某些投标货物，须折合人民币（包含进口环节税）计入总报价中。</w:t>
      </w:r>
    </w:p>
    <w:p w14:paraId="6112AC0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15.</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7 投标人不能提供任何有选择性或可调整的报价(招标文件另有规定的除外），否则</w:t>
      </w:r>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其投标无效</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w:t>
      </w:r>
    </w:p>
    <w:p w14:paraId="440F10C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86" w:name="bookmark29"/>
      <w:bookmarkEnd w:id="586"/>
      <w:bookmarkStart w:id="587" w:name="_Toc9056"/>
      <w:bookmarkStart w:id="588" w:name="_Toc8709"/>
      <w:bookmarkStart w:id="589" w:name="_Toc12966"/>
      <w:bookmarkStart w:id="590" w:name="_Toc17665"/>
      <w:bookmarkStart w:id="591" w:name="_Toc25566"/>
      <w:bookmarkStart w:id="592" w:name="_Toc27764"/>
      <w:bookmarkStart w:id="593" w:name="_Toc15990"/>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16.投标保证金</w:t>
      </w:r>
      <w:bookmarkEnd w:id="587"/>
      <w:bookmarkEnd w:id="588"/>
      <w:bookmarkEnd w:id="589"/>
      <w:bookmarkEnd w:id="590"/>
      <w:bookmarkEnd w:id="591"/>
      <w:bookmarkEnd w:id="592"/>
      <w:bookmarkEnd w:id="593"/>
    </w:p>
    <w:p w14:paraId="4B171E5B">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人须在投标文件递交截止时间之前向采购代理机构提交投标保证金，并作为其投标文件的一部分，详见“投标人须知前附表”。联合体投标的，可以由联合体中的一方或者共同提交投标保证金，以一方名义提交投标保证金的，对联合体各方均具有约束力。</w:t>
      </w:r>
      <w:r>
        <w:rPr>
          <w:rFonts w:hint="eastAsia" w:ascii="仿宋" w:hAnsi="仿宋" w:eastAsia="仿宋" w:cs="仿宋"/>
          <w:b/>
          <w:bCs/>
          <w:color w:val="000000" w:themeColor="text1"/>
          <w:spacing w:val="0"/>
          <w:w w:val="100"/>
          <w:position w:val="0"/>
          <w:sz w:val="24"/>
          <w:szCs w:val="24"/>
          <w:highlight w:val="none"/>
          <w:lang w:eastAsia="zh-CN"/>
          <w14:textFill>
            <w14:solidFill>
              <w14:schemeClr w14:val="tx1"/>
            </w14:solidFill>
          </w14:textFill>
        </w:rPr>
        <w:t>（适用联合体投标）</w:t>
      </w:r>
    </w:p>
    <w:p w14:paraId="32A1EB7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16.2任何未按“投标人须知第16.1条”要求提交投标保证金的投标文件，</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p>
    <w:p w14:paraId="260B1B63">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16.3投标保证金有效期同投标有效期。</w:t>
      </w:r>
    </w:p>
    <w:p w14:paraId="0C984F53">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16.4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B118A2B">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自中标通知书发出之日起5个工作日内退还未中标人的投标保证金，自采购合同签订之日起5个工作日内退还中标人的投标保证金。</w:t>
      </w:r>
    </w:p>
    <w:p w14:paraId="2B2BD5BE">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16.6</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投标人在投标截止时间前撤回已提交的投标文件的，采购代理机构自收到投标人书面撤回通知之日起5个工作日内退还已收取的投标保证金；但因投标人自身原因导致无法及时退还的除外。</w:t>
      </w:r>
    </w:p>
    <w:p w14:paraId="7B17780B">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采购人或者采购代理机构逾期退还投标保证金的，除应当退还投标保证金本金外，还应当按中</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国</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人民银行同期贷款基准利率上浮20%后的利率支付超期资金占用费，但因投标人自身原因导致无法及时退还的除外。</w:t>
      </w:r>
    </w:p>
    <w:p w14:paraId="6136870A">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16.8终止招标项目已收取投标保证金的，自终止采购活动后5个工作日内退还已收取的投标保证金。</w:t>
      </w:r>
    </w:p>
    <w:p w14:paraId="6A9C96C5">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16.</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下列任何情况发生时，投标保证金不予退：</w:t>
      </w:r>
    </w:p>
    <w:p w14:paraId="020AD66A">
      <w:pPr>
        <w:pStyle w:val="10"/>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bookmarkStart w:id="594" w:name="_Toc19497"/>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（1）投标人在投标有效期内要求撤回投标的；</w:t>
      </w:r>
    </w:p>
    <w:p w14:paraId="691EA229">
      <w:pPr>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（2）投标人在投标文件中提供虚假材料的；</w:t>
      </w:r>
    </w:p>
    <w:p w14:paraId="67CD1B32">
      <w:pPr>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（3）投标人存在违法违规行为的；</w:t>
      </w:r>
    </w:p>
    <w:p w14:paraId="3FDB1387">
      <w:pPr>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（4）中标人中标后除因不可抗力拒绝与采购人签订合同的；</w:t>
      </w:r>
    </w:p>
    <w:p w14:paraId="54C06CB1">
      <w:pPr>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（5）中标人将中标项目转让给他人，或者在投标文件中未说明，且未经采购人同意，将中标项目分包给他人的；</w:t>
      </w:r>
    </w:p>
    <w:p w14:paraId="49AF1D42">
      <w:pPr>
        <w:keepNext w:val="0"/>
        <w:keepLines w:val="0"/>
        <w:pageBreakBefore w:val="0"/>
        <w:overflowPunct/>
        <w:bidi w:val="0"/>
        <w:spacing w:line="404" w:lineRule="exact"/>
        <w:ind w:firstLine="484" w:firstLineChars="202"/>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（6）招标文件规定的其他情形的。</w:t>
      </w:r>
    </w:p>
    <w:p w14:paraId="2724054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595" w:name="_Toc7501"/>
      <w:bookmarkStart w:id="596" w:name="_Toc1686"/>
      <w:bookmarkStart w:id="597" w:name="_Toc9180"/>
      <w:bookmarkStart w:id="598" w:name="_Toc5540"/>
      <w:bookmarkStart w:id="599" w:name="_Toc24238"/>
      <w:bookmarkStart w:id="600" w:name="_Toc13867"/>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17.投标有效期</w:t>
      </w:r>
      <w:bookmarkEnd w:id="594"/>
      <w:bookmarkEnd w:id="595"/>
      <w:bookmarkEnd w:id="596"/>
      <w:bookmarkEnd w:id="597"/>
      <w:bookmarkEnd w:id="598"/>
      <w:bookmarkEnd w:id="599"/>
      <w:bookmarkEnd w:id="600"/>
    </w:p>
    <w:p w14:paraId="1437D0F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17.1投标有效期从提交投标文件的截止之日起算。投标文件中承诺的投标有效期应不少于招标文件中载明的投标有效期。并在投标文件中承诺的投标有效期内保持有效。招标文件中载明的投标有效期详见“投标人须知前附表”，投标有效期不足的投标，</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230DCE9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17.2在特殊情况下，采购代理机构可延长投标有效期。延长投标有效期在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云南省政府采购网</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（网址</w:t>
      </w:r>
      <w:r>
        <w:rPr>
          <w:rFonts w:hint="eastAsia" w:ascii="仿宋" w:hAnsi="仿宋" w:eastAsia="仿宋" w:cs="仿宋"/>
          <w:color w:val="000000" w:themeColor="text1"/>
          <w:spacing w:val="0"/>
          <w:w w:val="100"/>
          <w:position w:val="0"/>
          <w:sz w:val="24"/>
          <w:szCs w:val="24"/>
          <w:highlight w:val="none"/>
          <w:u w:val="none"/>
          <w:lang w:val="en-US" w:eastAsia="zh-CN"/>
          <w14:textFill>
            <w14:solidFill>
              <w14:schemeClr w14:val="tx1"/>
            </w14:solidFill>
          </w14:textFill>
        </w:rPr>
        <w:t>http://www.yngp.com/</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）和政采云平台（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2CD5A50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01" w:name="bookmark31"/>
      <w:bookmarkEnd w:id="601"/>
      <w:bookmarkStart w:id="602" w:name="_Toc2100"/>
      <w:bookmarkStart w:id="603" w:name="_Toc22112"/>
      <w:bookmarkStart w:id="604" w:name="_Toc10334"/>
      <w:bookmarkStart w:id="605" w:name="_Toc18287"/>
      <w:bookmarkStart w:id="606" w:name="_Toc19642"/>
      <w:bookmarkStart w:id="607" w:name="_Toc20027"/>
      <w:bookmarkStart w:id="608" w:name="_Toc28378"/>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18.投标文件的递交</w:t>
      </w:r>
      <w:bookmarkEnd w:id="602"/>
      <w:bookmarkEnd w:id="603"/>
      <w:bookmarkEnd w:id="604"/>
      <w:bookmarkEnd w:id="605"/>
      <w:bookmarkEnd w:id="606"/>
      <w:bookmarkEnd w:id="607"/>
      <w:bookmarkEnd w:id="608"/>
    </w:p>
    <w:p w14:paraId="357B36C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18.1投标截止时间</w:t>
      </w:r>
    </w:p>
    <w:p w14:paraId="1B58F9B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18.1.1投标截止时间详见“第一章</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招标公告”。</w:t>
      </w:r>
    </w:p>
    <w:p w14:paraId="5CF9ED9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18.1.2电子版投标文件必须在招标文件规定的投标截止时间前上传到政采云平台（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否则投标无效。</w:t>
      </w:r>
    </w:p>
    <w:p w14:paraId="66D4AD2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18.1.3采购代理机构推迟投标截止时间，在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云南省政府采购网</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（网址</w:t>
      </w:r>
      <w:r>
        <w:rPr>
          <w:rFonts w:hint="eastAsia" w:ascii="仿宋" w:hAnsi="仿宋" w:eastAsia="仿宋" w:cs="仿宋"/>
          <w:color w:val="000000" w:themeColor="text1"/>
          <w:spacing w:val="0"/>
          <w:w w:val="100"/>
          <w:position w:val="0"/>
          <w:sz w:val="24"/>
          <w:szCs w:val="24"/>
          <w:highlight w:val="none"/>
          <w:u w:val="none"/>
          <w:lang w:val="en-US" w:eastAsia="zh-CN"/>
          <w14:textFill>
            <w14:solidFill>
              <w14:schemeClr w14:val="tx1"/>
            </w14:solidFill>
          </w14:textFill>
        </w:rPr>
        <w:t>http://www.yngp.com/</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）和政采云平台（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）发布延期公告，延期函以网上公告的形式通知所有已下载招标文件的投标人。在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此</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情况下，采购代理机构、采购人和投标人受投标截止时间制约的所有权利和义务均应延长至新的投标截止时间。</w:t>
      </w:r>
    </w:p>
    <w:p w14:paraId="6539AA43">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18.2迟交的投标文件</w:t>
      </w:r>
    </w:p>
    <w:p w14:paraId="4B317C41">
      <w:pPr>
        <w:pStyle w:val="8"/>
        <w:keepNext w:val="0"/>
        <w:keepLines w:val="0"/>
        <w:pageBreakBefore w:val="0"/>
        <w:widowControl w:val="0"/>
        <w:kinsoku/>
        <w:wordWrap w:val="0"/>
        <w:overflowPunct/>
        <w:topLinePunct/>
        <w:autoSpaceDE/>
        <w:autoSpaceDN/>
        <w:bidi w:val="0"/>
        <w:adjustRightInd/>
        <w:snapToGrid/>
        <w:spacing w:beforeAutospacing="0" w:after="0" w:afterAutospacing="0" w:line="404" w:lineRule="exact"/>
        <w:ind w:left="0" w:leftChars="0" w:right="0" w:firstLine="480" w:firstLineChars="200"/>
        <w:textAlignment w:val="baseline"/>
        <w:rPr>
          <w:rFonts w:hint="eastAsia" w:ascii="仿宋" w:hAnsi="仿宋" w:eastAsia="仿宋" w:cs="仿宋"/>
          <w:snapToGrid w:val="0"/>
          <w:color w:val="000000" w:themeColor="text1"/>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Fill>
            <w14:solidFill>
              <w14:schemeClr w14:val="tx1"/>
            </w14:solidFill>
          </w14:textFill>
        </w:rPr>
        <w:t>18.2.1在投标截止时间以后送达的投标文件，采购代理机构将拒绝接收。</w:t>
      </w: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t>（适用于见面开标方式）</w:t>
      </w:r>
    </w:p>
    <w:p w14:paraId="7211A9E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snapToGrid w:val="0"/>
          <w:color w:val="000000" w:themeColor="text1"/>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18.2.2未在投标截止时间前上传加密电子投标文件的，视为投标无效。</w:t>
      </w:r>
      <w:r>
        <w:rPr>
          <w:rFonts w:hint="eastAsia" w:ascii="仿宋" w:hAnsi="仿宋" w:eastAsia="仿宋" w:cs="仿宋"/>
          <w:snapToGrid w:val="0"/>
          <w:color w:val="000000" w:themeColor="text1"/>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t>（适用于不见面开标方式）</w:t>
      </w:r>
    </w:p>
    <w:p w14:paraId="25619AB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18.3投标文件的修改和撤回</w:t>
      </w:r>
    </w:p>
    <w:p w14:paraId="33D10750">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18.3.1在投标截止时间前，投标人修改或撤回投标文件的，投标人可以在政采云平台（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）上重新上传修改后的投标文件或撤回其投标。</w:t>
      </w:r>
    </w:p>
    <w:p w14:paraId="02588723">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18.3.2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投标有效期内，投标人不得撤销或修改其投标文件</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，否则不予退还其交纳的投标保证金。</w:t>
      </w:r>
    </w:p>
    <w:p w14:paraId="387AB7A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18.4原件及样品递交要求</w:t>
      </w:r>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（若有）</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：招标文件要求提供材料原件、样品佐证的，所提供的物品必须在投标文件递交截止时间前递交至开标地点，逾期不予接收。具体要求详见“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w:t>
      </w:r>
    </w:p>
    <w:p w14:paraId="72A17A4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09" w:name="_Toc32102"/>
      <w:bookmarkStart w:id="610" w:name="_Toc15806"/>
      <w:bookmarkStart w:id="611" w:name="_Toc27372"/>
      <w:bookmarkStart w:id="612" w:name="_Toc29912"/>
      <w:bookmarkStart w:id="613" w:name="_Toc28497"/>
      <w:bookmarkStart w:id="614" w:name="_Toc3577"/>
      <w:bookmarkStart w:id="615" w:name="_Toc28990"/>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19.分包的规定</w:t>
      </w:r>
      <w:bookmarkEnd w:id="609"/>
      <w:bookmarkEnd w:id="610"/>
      <w:bookmarkEnd w:id="611"/>
      <w:bookmarkEnd w:id="612"/>
      <w:bookmarkEnd w:id="613"/>
      <w:bookmarkEnd w:id="614"/>
      <w:bookmarkEnd w:id="615"/>
    </w:p>
    <w:p w14:paraId="430A58D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19.1本项目是否允许分包：详见“</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552ADEBD">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19.2在中标后将中标项目的非主体、非关键性工作分包的，应当在投标文件中载明分包承担主体，分包承担主体应当具备相应资质条件且不得再次分包。</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（适用于允许分包）</w:t>
      </w:r>
    </w:p>
    <w:p w14:paraId="387996EA">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616" w:name="bookmark33"/>
      <w:bookmarkEnd w:id="616"/>
      <w:bookmarkStart w:id="617" w:name="_Toc18734"/>
      <w:bookmarkStart w:id="618" w:name="_Toc16671"/>
      <w:bookmarkStart w:id="619" w:name="_Toc12761"/>
      <w:bookmarkStart w:id="620" w:name="_Toc21259"/>
      <w:bookmarkStart w:id="621" w:name="_Toc15982"/>
      <w:bookmarkStart w:id="622" w:name="_Toc21726"/>
      <w:bookmarkStart w:id="623" w:name="_Toc13502"/>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19.3</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bookmarkEnd w:id="617"/>
      <w:bookmarkEnd w:id="618"/>
      <w:bookmarkEnd w:id="619"/>
      <w:bookmarkEnd w:id="620"/>
      <w:bookmarkEnd w:id="621"/>
      <w:bookmarkEnd w:id="622"/>
      <w:bookmarkEnd w:id="623"/>
      <w:bookmarkStart w:id="624" w:name="_Toc17184"/>
      <w:bookmarkStart w:id="625" w:name="_Toc14840"/>
      <w:bookmarkStart w:id="626" w:name="_Toc25150"/>
    </w:p>
    <w:p w14:paraId="0DBBCE8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27" w:name="_Toc20575"/>
      <w:bookmarkStart w:id="628" w:name="_Toc27481"/>
      <w:bookmarkStart w:id="629" w:name="_Toc15225"/>
      <w:bookmarkStart w:id="630" w:name="_Toc22060"/>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20.恶意串通等行为的处理及串通投标情形的认定</w:t>
      </w:r>
      <w:bookmarkEnd w:id="624"/>
      <w:bookmarkEnd w:id="625"/>
      <w:bookmarkEnd w:id="626"/>
      <w:bookmarkEnd w:id="627"/>
      <w:bookmarkEnd w:id="628"/>
      <w:bookmarkEnd w:id="629"/>
      <w:bookmarkEnd w:id="630"/>
    </w:p>
    <w:p w14:paraId="7575880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20.1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BC84C9C">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left"/>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20.2有下列情形之一的，视为投标人串通投标，其</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r>
        <w:rPr>
          <w:rFonts w:hint="eastAsia" w:ascii="仿宋" w:hAnsi="仿宋" w:eastAsia="仿宋" w:cs="仿宋"/>
          <w:b w:val="0"/>
          <w:bCs w:val="0"/>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详见</w:t>
      </w:r>
      <w:r>
        <w:rPr>
          <w:rFonts w:hint="eastAsia" w:ascii="仿宋" w:hAnsi="仿宋" w:eastAsia="仿宋" w:cs="仿宋"/>
          <w:b/>
          <w:bCs/>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6CD4EACC">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31" w:name="bookmark34"/>
      <w:bookmarkEnd w:id="631"/>
      <w:bookmarkStart w:id="632" w:name="_Toc5920"/>
      <w:bookmarkStart w:id="633" w:name="_Toc25519"/>
      <w:bookmarkStart w:id="634" w:name="_Toc23090"/>
      <w:bookmarkStart w:id="635" w:name="_Toc24122"/>
      <w:bookmarkStart w:id="636" w:name="_Toc18848"/>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四、</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开标</w:t>
      </w:r>
      <w:bookmarkEnd w:id="632"/>
      <w:bookmarkEnd w:id="633"/>
      <w:bookmarkEnd w:id="634"/>
      <w:bookmarkEnd w:id="635"/>
      <w:bookmarkEnd w:id="636"/>
      <w:bookmarkStart w:id="637" w:name="bookmark35"/>
      <w:bookmarkEnd w:id="637"/>
    </w:p>
    <w:p w14:paraId="219A1DF6">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bookmarkStart w:id="638" w:name="_Toc17335"/>
      <w:bookmarkStart w:id="639" w:name="_Toc16806"/>
      <w:bookmarkStart w:id="640" w:name="_Toc12483"/>
      <w:bookmarkStart w:id="641" w:name="_Toc2488"/>
      <w:bookmarkStart w:id="642" w:name="_Toc16338"/>
      <w:bookmarkStart w:id="643" w:name="_Toc12931"/>
      <w:bookmarkStart w:id="644" w:name="_Toc17821"/>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21.开标</w:t>
      </w:r>
      <w:bookmarkEnd w:id="638"/>
      <w:bookmarkEnd w:id="639"/>
      <w:bookmarkEnd w:id="640"/>
      <w:bookmarkEnd w:id="641"/>
      <w:bookmarkEnd w:id="642"/>
      <w:bookmarkEnd w:id="643"/>
      <w:bookmarkEnd w:id="644"/>
    </w:p>
    <w:p w14:paraId="55FA894D">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645" w:name="_Toc1425"/>
      <w:bookmarkStart w:id="646" w:name="_Toc30168"/>
      <w:bookmarkStart w:id="647" w:name="_Toc6400"/>
      <w:bookmarkStart w:id="648" w:name="_Toc21686"/>
      <w:bookmarkStart w:id="649" w:name="_Toc19365"/>
      <w:bookmarkStart w:id="650" w:name="_Toc18474"/>
      <w:bookmarkStart w:id="651" w:name="_Toc12430"/>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21.1开标：本项目</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开标方式及</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开标注意事项详见第</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章“</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招标公告</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bookmarkEnd w:id="645"/>
      <w:bookmarkEnd w:id="646"/>
      <w:bookmarkEnd w:id="647"/>
      <w:bookmarkEnd w:id="648"/>
      <w:bookmarkEnd w:id="649"/>
      <w:bookmarkEnd w:id="650"/>
      <w:bookmarkEnd w:id="651"/>
    </w:p>
    <w:p w14:paraId="0459754A">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auto"/>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21.2开标由采购代理机构主持，邀请</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参加。评标委员会成员不得参加开标活动。</w:t>
      </w:r>
    </w:p>
    <w:p w14:paraId="5F7C8D8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auto"/>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21.3</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投标人未在规定时间内使用CA数字证书完成解密投标文件的，</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投标无效。</w:t>
      </w:r>
    </w:p>
    <w:p w14:paraId="63242197">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21.4开标时，采购代理机构将宣读投标人名称、投标</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报</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价以及其</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他内容。</w:t>
      </w:r>
    </w:p>
    <w:p w14:paraId="0ACEE80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投标人不足3家的，不得开标。</w:t>
      </w:r>
    </w:p>
    <w:p w14:paraId="4D9FC92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21.5开标过程应当由采购代理机构负责记录，并随</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果。</w:t>
      </w:r>
    </w:p>
    <w:p w14:paraId="61D42C5B">
      <w:pPr>
        <w:keepNext w:val="0"/>
        <w:keepLines w:val="0"/>
        <w:pageBreakBefore w:val="0"/>
        <w:widowControl w:val="0"/>
        <w:numPr>
          <w:ilvl w:val="0"/>
          <w:numId w:val="0"/>
        </w:numPr>
        <w:kinsoku/>
        <w:wordWrap w:val="0"/>
        <w:overflowPunct/>
        <w:topLinePunct/>
        <w:autoSpaceDE/>
        <w:autoSpaceDN/>
        <w:bidi w:val="0"/>
        <w:adjustRightInd/>
        <w:snapToGrid/>
        <w:spacing w:afterAutospacing="0" w:line="404" w:lineRule="exact"/>
        <w:ind w:left="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52" w:name="_Toc9799"/>
      <w:bookmarkStart w:id="653" w:name="_Toc366"/>
      <w:bookmarkStart w:id="654" w:name="_Toc10844"/>
      <w:bookmarkStart w:id="655" w:name="_Toc20234"/>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五、评标</w:t>
      </w:r>
      <w:bookmarkEnd w:id="652"/>
      <w:bookmarkEnd w:id="653"/>
      <w:bookmarkEnd w:id="654"/>
      <w:bookmarkEnd w:id="655"/>
    </w:p>
    <w:p w14:paraId="53F5EE70">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56" w:name="bookmark37"/>
      <w:bookmarkEnd w:id="656"/>
      <w:bookmarkStart w:id="657" w:name="_Toc15648"/>
      <w:bookmarkStart w:id="658" w:name="_Toc3173"/>
      <w:bookmarkStart w:id="659" w:name="_Toc17203"/>
      <w:bookmarkStart w:id="660" w:name="_Toc28804"/>
      <w:bookmarkStart w:id="661" w:name="_Toc25251"/>
      <w:bookmarkStart w:id="662" w:name="_Toc2184"/>
      <w:bookmarkStart w:id="663" w:name="_Toc24594"/>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22.评标</w:t>
      </w:r>
      <w:bookmarkEnd w:id="657"/>
      <w:bookmarkEnd w:id="658"/>
      <w:bookmarkEnd w:id="659"/>
      <w:bookmarkEnd w:id="660"/>
      <w:bookmarkEnd w:id="661"/>
      <w:bookmarkEnd w:id="662"/>
      <w:bookmarkEnd w:id="663"/>
    </w:p>
    <w:p w14:paraId="46BD6C2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22.1公开招标采购项目开标结束后，采购人或者采购代理机构应当依法对投标人的资格进行审查。</w:t>
      </w:r>
    </w:p>
    <w:p w14:paraId="24C584F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合格投标人不足3家的，不得评标。</w:t>
      </w:r>
    </w:p>
    <w:p w14:paraId="62B4B15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w:t>
      </w:r>
    </w:p>
    <w:p w14:paraId="3D0422EB">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评标由依照有关法规组建的评标委员会负责。</w:t>
      </w:r>
    </w:p>
    <w:p w14:paraId="04E7C87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评标委员会应当对符合资格的投标人的投标文件进行符合性审查，以确定其是否满足招标文件的实质性要求。</w:t>
      </w:r>
    </w:p>
    <w:p w14:paraId="6BC154D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对于投标文件中含义不明确、同类问题表述不一致或者有明显文字和计算错误的内容，评标委员会应当以书面形式要求投标人做出必要的澄清、说明或者补正。</w:t>
      </w:r>
    </w:p>
    <w:p w14:paraId="57C986A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14:paraId="299F3EA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评标委员会应当按照招标文件中规定的评标方法和标准，对符合性审查合格的投标文件进行商务和技术评估，综合比较与评价。</w:t>
      </w:r>
    </w:p>
    <w:p w14:paraId="131BF3F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评标委员会根据全体评标成员签字的原始评标记录和评标结果编写评标报告。</w:t>
      </w:r>
    </w:p>
    <w:p w14:paraId="35700821">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投标文件报价出现前后不一致的，除招标文件另有规定外，按照下列规定修正：</w:t>
      </w:r>
    </w:p>
    <w:p w14:paraId="2EB0504B">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（1）投标文件中开标一览表（报价表）内容与投标文件中相应内容不一致的，以开标一览表（报价表）为准；</w:t>
      </w:r>
    </w:p>
    <w:p w14:paraId="244BC08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（2）大写金额和小写金额不一致的，以大写金额为准；</w:t>
      </w:r>
    </w:p>
    <w:p w14:paraId="685C20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（3）单价金额小数点或者百分比有明显错位的，以开标一览表的总价为准，并修改单价；</w:t>
      </w:r>
    </w:p>
    <w:p w14:paraId="0A568DF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（4）总价金额与按单价汇总金额不一致的，以单价金额计算结果为准。</w:t>
      </w:r>
    </w:p>
    <w:p w14:paraId="5F94BA66">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6311CC7A">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为无效投标处理。</w:t>
      </w:r>
    </w:p>
    <w:p w14:paraId="4EBFC34E">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投标人存在下列情况之一的，</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投标无效</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61343CD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（1）未按照招标文件的规定提交投标保证金的；</w:t>
      </w:r>
    </w:p>
    <w:p w14:paraId="07C5F8FC">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（2）投标文件未按招标文件要求签署、盖章的；</w:t>
      </w:r>
    </w:p>
    <w:p w14:paraId="653D4C44">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（3）不具备招标文件中规定的资格要求的；</w:t>
      </w:r>
    </w:p>
    <w:p w14:paraId="0B0A2BE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（4）报价超过招标文件中规定的预算金额或者最高限价的；</w:t>
      </w:r>
    </w:p>
    <w:p w14:paraId="4439AA37">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（5）投标文件含有采购人不能接受的附加条件的；</w:t>
      </w:r>
    </w:p>
    <w:p w14:paraId="25879F11">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（6）法律法规和招标文件规定的其他无效情形。</w:t>
      </w:r>
    </w:p>
    <w:p w14:paraId="33595FB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22.1</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在招标采购中，出现下列情形之一的，</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应予废标：</w:t>
      </w:r>
    </w:p>
    <w:p w14:paraId="1184CEB5">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（1）符合专业条件的投标人或者对招标文件作实质响应的投标人不足三家的；</w:t>
      </w:r>
    </w:p>
    <w:p w14:paraId="3C3CAF77">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（2）出现影响采购公正的违法、违规行为的；</w:t>
      </w:r>
    </w:p>
    <w:p w14:paraId="0051AB99">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（3）投标人的报价均超过了采购预算，采购人不能支付的；</w:t>
      </w:r>
    </w:p>
    <w:p w14:paraId="5E5CED84">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（4）因重大变故，采购任务取消。</w:t>
      </w:r>
    </w:p>
    <w:p w14:paraId="1A5403A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auto"/>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22.1</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174FB5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textAlignment w:val="auto"/>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22.1</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highlight w:val="none"/>
          <w14:textFill>
            <w14:solidFill>
              <w14:schemeClr w14:val="tx1"/>
            </w14:solidFill>
          </w14:textFill>
        </w:rPr>
        <w:t>评标委员会决定投标的实质性响应，只根据投标本身的真实无误的</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内</w:t>
      </w:r>
      <w:r>
        <w:rPr>
          <w:rFonts w:hint="eastAsia" w:ascii="仿宋" w:hAnsi="仿宋" w:eastAsia="仿宋" w:cs="仿宋"/>
          <w:color w:val="000000" w:themeColor="text1"/>
          <w:spacing w:val="0"/>
          <w:w w:val="100"/>
          <w:position w:val="0"/>
          <w:sz w:val="24"/>
          <w:szCs w:val="24"/>
          <w:highlight w:val="none"/>
          <w14:textFill>
            <w14:solidFill>
              <w14:schemeClr w14:val="tx1"/>
            </w14:solidFill>
          </w14:textFill>
        </w:rPr>
        <w:t>容，评审工作不依据外部的证据，但投标有不真实不正确的内容时除外。</w:t>
      </w:r>
    </w:p>
    <w:p w14:paraId="4AF3ECB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64" w:name="bookmark38"/>
      <w:bookmarkEnd w:id="664"/>
      <w:bookmarkStart w:id="665" w:name="_Toc24237"/>
      <w:bookmarkStart w:id="666" w:name="_Toc26815"/>
      <w:bookmarkStart w:id="667" w:name="_Toc28449"/>
      <w:bookmarkStart w:id="668" w:name="_Toc8780"/>
      <w:bookmarkStart w:id="669" w:name="_Toc25849"/>
      <w:bookmarkStart w:id="670" w:name="_Toc1082"/>
      <w:bookmarkStart w:id="671" w:name="_Toc12839"/>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23.评标方法和评标标准</w:t>
      </w:r>
      <w:bookmarkEnd w:id="665"/>
      <w:bookmarkEnd w:id="666"/>
      <w:bookmarkEnd w:id="667"/>
      <w:bookmarkEnd w:id="668"/>
      <w:bookmarkEnd w:id="669"/>
      <w:bookmarkEnd w:id="670"/>
      <w:bookmarkEnd w:id="671"/>
    </w:p>
    <w:p w14:paraId="161589AB">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23.1</w:t>
      </w:r>
      <w:r>
        <w:rPr>
          <w:rFonts w:hint="eastAsia" w:ascii="仿宋" w:hAnsi="仿宋" w:eastAsia="仿宋" w:cs="仿宋"/>
          <w:color w:val="000000" w:themeColor="text1"/>
          <w:sz w:val="24"/>
          <w:szCs w:val="24"/>
          <w:highlight w:val="none"/>
          <w:lang w:eastAsia="zh-CN"/>
          <w14:textFill>
            <w14:solidFill>
              <w14:schemeClr w14:val="tx1"/>
            </w14:solidFill>
          </w14:textFill>
        </w:rPr>
        <w:t>评标方法：货物、工程、服务招标采购的评标方法采用最低评标价法、综合评分法。</w:t>
      </w:r>
    </w:p>
    <w:p w14:paraId="1015A8D0">
      <w:pPr>
        <w:keepNext w:val="0"/>
        <w:keepLines w:val="0"/>
        <w:pageBreakBefore w:val="0"/>
        <w:widowControl w:val="0"/>
        <w:kinsoku/>
        <w:wordWrap w:val="0"/>
        <w:overflowPunct/>
        <w:topLinePunct/>
        <w:autoSpaceDE/>
        <w:autoSpaceDN/>
        <w:bidi w:val="0"/>
        <w:adjustRightInd/>
        <w:snapToGrid/>
        <w:spacing w:line="404" w:lineRule="exact"/>
        <w:ind w:left="0" w:leftChars="0" w:right="0" w:firstLine="482"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本项目评分方法：详见</w:t>
      </w:r>
      <w:r>
        <w:rPr>
          <w:rFonts w:hint="eastAsia" w:ascii="仿宋" w:hAnsi="仿宋" w:eastAsia="仿宋" w:cs="仿宋"/>
          <w:b/>
          <w:bCs/>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25A9291F">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23.1.1</w:t>
      </w:r>
      <w:r>
        <w:rPr>
          <w:rFonts w:hint="eastAsia" w:ascii="仿宋" w:hAnsi="仿宋" w:eastAsia="仿宋" w:cs="仿宋"/>
          <w:color w:val="000000" w:themeColor="text1"/>
          <w:sz w:val="24"/>
          <w:szCs w:val="24"/>
          <w:highlight w:val="none"/>
          <w:lang w:eastAsia="zh-CN"/>
          <w14:textFill>
            <w14:solidFill>
              <w14:schemeClr w14:val="tx1"/>
            </w14:solidFill>
          </w14:textFill>
        </w:rPr>
        <w:t>最低评标价法：是指以价格为主要因素确定中标候选投标人的评标方法，即在全部满足招标文件实质性要求前提下，依据统一的价格要素评定最低报价，以提出最低报价的投标人作为中标候选投标人或者中标投标人的评标方法。</w:t>
      </w:r>
      <w:r>
        <w:rPr>
          <w:rFonts w:hint="eastAsia" w:ascii="仿宋" w:hAnsi="仿宋" w:eastAsia="仿宋" w:cs="仿宋"/>
          <w:color w:val="000000" w:themeColor="text1"/>
          <w:sz w:val="24"/>
          <w:szCs w:val="24"/>
          <w:highlight w:val="none"/>
          <w:lang w:eastAsia="zh-CN"/>
          <w14:textFill>
            <w14:solidFill>
              <w14:schemeClr w14:val="tx1"/>
            </w14:solidFill>
          </w14:textFill>
        </w:rPr>
        <w:br w:type="textWrapping"/>
      </w:r>
      <w:r>
        <w:rPr>
          <w:rFonts w:hint="eastAsia" w:ascii="仿宋" w:hAnsi="仿宋" w:eastAsia="仿宋" w:cs="仿宋"/>
          <w:color w:val="000000" w:themeColor="text1"/>
          <w:sz w:val="24"/>
          <w:szCs w:val="24"/>
          <w:highlight w:val="none"/>
          <w:lang w:eastAsia="zh-CN"/>
          <w14:textFill>
            <w14:solidFill>
              <w14:schemeClr w14:val="tx1"/>
            </w14:solidFill>
          </w14:textFill>
        </w:rPr>
        <w:t>最低评标价法适用于标准定制商品及通用服务项目。</w:t>
      </w:r>
    </w:p>
    <w:p w14:paraId="1936C571">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23.1.2</w:t>
      </w:r>
      <w:r>
        <w:rPr>
          <w:rFonts w:hint="eastAsia" w:ascii="仿宋" w:hAnsi="仿宋" w:eastAsia="仿宋" w:cs="仿宋"/>
          <w:color w:val="000000" w:themeColor="text1"/>
          <w:sz w:val="24"/>
          <w:szCs w:val="24"/>
          <w:highlight w:val="none"/>
          <w:lang w:eastAsia="zh-CN"/>
          <w14:textFill>
            <w14:solidFill>
              <w14:schemeClr w14:val="tx1"/>
            </w14:solidFill>
          </w14:textFill>
        </w:rPr>
        <w:t>综合评分法：是指在最大限度地满足招标文件实质性要求前提下，按照招标文件中规定的各项因素进行综合评审后，以评标总得分最高的投标人作为中标候选投标人或者中标投标人的评标方法。</w:t>
      </w:r>
    </w:p>
    <w:p w14:paraId="3FC1B0F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综合评分的主要因素是：价格、技术、财务状况、信誉、业绩、服务、对招标文件的响应程度，以及相应的比重或者权值等。上述因素应当在招标文件中事先规定。</w:t>
      </w:r>
    </w:p>
    <w:p w14:paraId="70254166">
      <w:pPr>
        <w:keepNext w:val="0"/>
        <w:keepLines w:val="0"/>
        <w:pageBreakBefore w:val="0"/>
        <w:widowControl w:val="0"/>
        <w:kinsoku/>
        <w:wordWrap w:val="0"/>
        <w:overflowPunct/>
        <w:topLinePunct/>
        <w:autoSpaceDE/>
        <w:autoSpaceDN/>
        <w:bidi w:val="0"/>
        <w:adjustRightInd/>
        <w:snapToGrid/>
        <w:spacing w:line="404" w:lineRule="exact"/>
        <w:ind w:left="0" w:leftChars="0" w:right="0" w:firstLine="482" w:firstLineChars="200"/>
        <w:textAlignment w:val="baseline"/>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评标时，评标委员会各成员应当独立对每个有效投标人的标书进行评价、打分，然后汇总每个投标人每项评分因素的得分。</w:t>
      </w:r>
    </w:p>
    <w:p w14:paraId="535502AD">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23.2</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过程中评标委员会需要投标人对投标、投标文件作出澄清、说明或者补正的。评标委员会和投标人应当通过电子交易平台交换数据电文，不接受线下提供的补正资料。给予投标人提交澄清说明或补正的时间不得少于30分钟，投标人已经明确表示澄清说明或补正完毕的除外。因投标人自身原因导致错过澄清，应承担其不利后果。</w:t>
      </w:r>
    </w:p>
    <w:p w14:paraId="1D01D057">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404" w:lineRule="exact"/>
        <w:ind w:left="0" w:right="0" w:rightChars="0" w:firstLine="482"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bookmarkStart w:id="672" w:name="_Toc21456"/>
      <w:bookmarkStart w:id="673" w:name="_Toc19402"/>
      <w:bookmarkStart w:id="674" w:name="_Toc468"/>
      <w:bookmarkStart w:id="675" w:name="_Toc12611"/>
      <w:r>
        <w:rPr>
          <w:rFonts w:hint="eastAsia" w:ascii="仿宋" w:hAnsi="仿宋" w:eastAsia="仿宋" w:cs="仿宋"/>
          <w:b/>
          <w:bCs/>
          <w:snapToGrid w:val="0"/>
          <w:color w:val="000000" w:themeColor="text1"/>
          <w:spacing w:val="0"/>
          <w:w w:val="100"/>
          <w:position w:val="0"/>
          <w:sz w:val="24"/>
          <w:szCs w:val="24"/>
          <w:highlight w:val="none"/>
          <w:lang w:val="en-US" w:eastAsia="zh-CN" w:bidi="ar-SA"/>
          <w14:textOutline w14:w="4356" w14:cap="sq" w14:cmpd="sng" w14:algn="ctr">
            <w14:solidFill>
              <w14:srgbClr w14:val="000000"/>
            </w14:solidFill>
            <w14:prstDash w14:val="solid"/>
            <w14:bevel/>
          </w14:textOutline>
          <w14:textFill>
            <w14:solidFill>
              <w14:schemeClr w14:val="tx1"/>
            </w14:solidFill>
          </w14:textFill>
        </w:rPr>
        <w:t>六、</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意外情况的情形和处理</w:t>
      </w:r>
      <w:bookmarkEnd w:id="672"/>
      <w:bookmarkEnd w:id="673"/>
      <w:bookmarkEnd w:id="674"/>
      <w:bookmarkEnd w:id="675"/>
    </w:p>
    <w:p w14:paraId="1F8B31F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76" w:name="_Toc20844"/>
      <w:bookmarkStart w:id="677" w:name="_Toc7618"/>
      <w:bookmarkStart w:id="678" w:name="_Toc11128"/>
      <w:bookmarkStart w:id="679" w:name="_Toc28363"/>
      <w:bookmarkStart w:id="680" w:name="_Toc20528"/>
      <w:bookmarkStart w:id="681" w:name="_Toc10906"/>
      <w:bookmarkStart w:id="682" w:name="_Toc16132"/>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24.意外情况的情形</w:t>
      </w:r>
      <w:bookmarkEnd w:id="676"/>
      <w:bookmarkEnd w:id="677"/>
      <w:bookmarkEnd w:id="678"/>
      <w:bookmarkEnd w:id="679"/>
      <w:bookmarkEnd w:id="680"/>
      <w:bookmarkEnd w:id="681"/>
      <w:bookmarkEnd w:id="682"/>
    </w:p>
    <w:p w14:paraId="717B1CA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83" w:name="_Toc23703"/>
      <w:bookmarkStart w:id="684" w:name="_Toc31237"/>
      <w:bookmarkStart w:id="685" w:name="_Toc29717"/>
      <w:bookmarkStart w:id="686" w:name="_Toc15279"/>
      <w:bookmarkStart w:id="687" w:name="_Toc7991"/>
      <w:bookmarkStart w:id="688" w:name="_Toc5743"/>
      <w:bookmarkStart w:id="689" w:name="_Toc10036"/>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24.1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因客观原因造成电子化政府采购系统无法正常运行或者无法保证采购活动信息安全，应采取意外情况的处理措施。意外情况包括以下情形：</w:t>
      </w:r>
      <w:bookmarkEnd w:id="683"/>
      <w:bookmarkEnd w:id="684"/>
      <w:bookmarkEnd w:id="685"/>
      <w:bookmarkEnd w:id="686"/>
      <w:bookmarkEnd w:id="687"/>
      <w:bookmarkEnd w:id="688"/>
      <w:bookmarkEnd w:id="689"/>
    </w:p>
    <w:p w14:paraId="49FBEE2A">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90" w:name="_Toc10987"/>
      <w:bookmarkStart w:id="691" w:name="_Toc21576"/>
      <w:bookmarkStart w:id="692" w:name="_Toc7204"/>
      <w:bookmarkStart w:id="693" w:name="_Toc27428"/>
      <w:bookmarkStart w:id="694" w:name="_Toc30030"/>
      <w:bookmarkStart w:id="695" w:name="_Toc25132"/>
      <w:bookmarkStart w:id="696" w:name="_Toc14135"/>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（1）网络系统及其他设备发生故障，导致无法访问网站或无法使用电子化政府采购系统的；</w:t>
      </w:r>
      <w:bookmarkEnd w:id="690"/>
      <w:bookmarkEnd w:id="691"/>
      <w:bookmarkEnd w:id="692"/>
      <w:bookmarkEnd w:id="693"/>
      <w:bookmarkEnd w:id="694"/>
      <w:bookmarkEnd w:id="695"/>
      <w:bookmarkEnd w:id="696"/>
    </w:p>
    <w:p w14:paraId="7C39F39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697" w:name="_Toc513"/>
      <w:bookmarkStart w:id="698" w:name="_Toc13264"/>
      <w:bookmarkStart w:id="699" w:name="_Toc15048"/>
      <w:bookmarkStart w:id="700" w:name="_Toc8025"/>
      <w:bookmarkStart w:id="701" w:name="_Toc30152"/>
      <w:bookmarkStart w:id="702" w:name="_Toc21268"/>
      <w:bookmarkStart w:id="703" w:name="_Toc10974"/>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（2）电子化政府采购系统的软件或网络数据库出现错误，导致无法正常操作的；</w:t>
      </w:r>
      <w:bookmarkEnd w:id="697"/>
      <w:bookmarkEnd w:id="698"/>
      <w:bookmarkEnd w:id="699"/>
      <w:bookmarkEnd w:id="700"/>
      <w:bookmarkEnd w:id="701"/>
      <w:bookmarkEnd w:id="702"/>
      <w:bookmarkEnd w:id="703"/>
    </w:p>
    <w:p w14:paraId="6EDEC556">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04" w:name="_Toc4899"/>
      <w:bookmarkStart w:id="705" w:name="_Toc28578"/>
      <w:bookmarkStart w:id="706" w:name="_Toc18671"/>
      <w:bookmarkStart w:id="707" w:name="_Toc10089"/>
      <w:bookmarkStart w:id="708" w:name="_Toc22303"/>
      <w:bookmarkStart w:id="709" w:name="_Toc32146"/>
      <w:bookmarkStart w:id="710" w:name="_Toc12466"/>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（3）电子化政府采购系统发现有安全漏洞，有潜在泄密危险的；</w:t>
      </w:r>
      <w:bookmarkEnd w:id="704"/>
      <w:bookmarkEnd w:id="705"/>
      <w:bookmarkEnd w:id="706"/>
      <w:bookmarkEnd w:id="707"/>
      <w:bookmarkEnd w:id="708"/>
      <w:bookmarkEnd w:id="709"/>
      <w:bookmarkEnd w:id="710"/>
    </w:p>
    <w:p w14:paraId="3084BDF5">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11" w:name="_Toc9106"/>
      <w:bookmarkStart w:id="712" w:name="_Toc29500"/>
      <w:bookmarkStart w:id="713" w:name="_Toc4029"/>
      <w:bookmarkStart w:id="714" w:name="_Toc16419"/>
      <w:bookmarkStart w:id="715" w:name="_Toc25458"/>
      <w:bookmarkStart w:id="716" w:name="_Toc10700"/>
      <w:bookmarkStart w:id="717" w:name="_Toc15651"/>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（4）其他无法保证采购活动正常进行的。</w:t>
      </w:r>
      <w:bookmarkEnd w:id="711"/>
      <w:bookmarkEnd w:id="712"/>
      <w:bookmarkEnd w:id="713"/>
      <w:bookmarkEnd w:id="714"/>
      <w:bookmarkEnd w:id="715"/>
      <w:bookmarkEnd w:id="716"/>
      <w:bookmarkEnd w:id="717"/>
    </w:p>
    <w:p w14:paraId="571BE607">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pPr>
      <w:bookmarkStart w:id="718" w:name="bookmark42"/>
      <w:bookmarkEnd w:id="718"/>
      <w:bookmarkStart w:id="719" w:name="_Toc14504"/>
      <w:bookmarkStart w:id="720" w:name="_Toc9371"/>
      <w:bookmarkStart w:id="721" w:name="_Toc28978"/>
      <w:bookmarkStart w:id="722" w:name="_Toc6419"/>
      <w:bookmarkStart w:id="723" w:name="_Toc12177"/>
      <w:bookmarkStart w:id="724" w:name="_Toc27329"/>
      <w:bookmarkStart w:id="725" w:name="_Toc32244"/>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25.</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意外情况的处理</w:t>
      </w:r>
      <w:bookmarkEnd w:id="719"/>
      <w:bookmarkEnd w:id="720"/>
      <w:bookmarkEnd w:id="721"/>
      <w:bookmarkEnd w:id="722"/>
      <w:bookmarkEnd w:id="723"/>
      <w:bookmarkEnd w:id="724"/>
      <w:bookmarkEnd w:id="725"/>
    </w:p>
    <w:p w14:paraId="298EE96E">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26" w:name="_Toc5664"/>
      <w:bookmarkStart w:id="727" w:name="_Toc17623"/>
      <w:bookmarkStart w:id="728" w:name="_Toc30842"/>
      <w:bookmarkStart w:id="729" w:name="_Toc10877"/>
      <w:bookmarkStart w:id="730" w:name="_Toc22033"/>
      <w:bookmarkStart w:id="731" w:name="_Toc32743"/>
      <w:bookmarkStart w:id="732" w:name="_Toc14108"/>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出现</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24.1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情况，故障当日（工作时间内）可排除的，电子化政府采购恢复进行；如故障当日无法排除的，采购活动终止，重新组织采购活动。</w:t>
      </w:r>
      <w:bookmarkEnd w:id="726"/>
      <w:bookmarkEnd w:id="727"/>
      <w:bookmarkEnd w:id="728"/>
      <w:bookmarkEnd w:id="729"/>
      <w:bookmarkEnd w:id="730"/>
      <w:bookmarkEnd w:id="731"/>
      <w:bookmarkEnd w:id="732"/>
    </w:p>
    <w:p w14:paraId="3A9EA78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33" w:name="_Toc28253"/>
      <w:bookmarkStart w:id="734" w:name="_Toc10402"/>
      <w:bookmarkStart w:id="735" w:name="_Toc12978"/>
      <w:bookmarkStart w:id="736" w:name="_Toc30211"/>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七、中标和合同</w:t>
      </w:r>
      <w:bookmarkEnd w:id="733"/>
      <w:bookmarkEnd w:id="734"/>
      <w:bookmarkEnd w:id="735"/>
      <w:bookmarkEnd w:id="736"/>
    </w:p>
    <w:p w14:paraId="21533A88">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37" w:name="bookmark43"/>
      <w:bookmarkEnd w:id="737"/>
      <w:bookmarkStart w:id="738" w:name="_Toc10377"/>
      <w:bookmarkStart w:id="739" w:name="_Toc32630"/>
      <w:bookmarkStart w:id="740" w:name="_Toc29140"/>
      <w:bookmarkStart w:id="741" w:name="_Toc14769"/>
      <w:bookmarkStart w:id="742" w:name="_Toc7345"/>
      <w:bookmarkStart w:id="743" w:name="_Toc6539"/>
      <w:bookmarkStart w:id="744" w:name="_Toc16247"/>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26.中标人的确定</w:t>
      </w:r>
      <w:bookmarkEnd w:id="738"/>
      <w:bookmarkEnd w:id="739"/>
      <w:bookmarkEnd w:id="740"/>
      <w:bookmarkEnd w:id="741"/>
      <w:bookmarkEnd w:id="742"/>
      <w:bookmarkEnd w:id="743"/>
      <w:bookmarkEnd w:id="744"/>
    </w:p>
    <w:p w14:paraId="374410E1">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26.1采购人应当自收到评标报告之日起5个工作日内，在评标报告确定的中标候选人名单</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中按顺序确定中标人。</w:t>
      </w:r>
    </w:p>
    <w:p w14:paraId="2FEAAE12">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45" w:name="bookmark44"/>
      <w:bookmarkEnd w:id="745"/>
      <w:bookmarkStart w:id="746" w:name="_Toc27972"/>
      <w:bookmarkStart w:id="747" w:name="_Toc29146"/>
      <w:bookmarkStart w:id="748" w:name="_Toc11404"/>
      <w:bookmarkStart w:id="749" w:name="_Toc30897"/>
      <w:bookmarkStart w:id="750" w:name="_Toc16930"/>
      <w:bookmarkStart w:id="751" w:name="_Toc32046"/>
      <w:bookmarkStart w:id="752" w:name="_Toc28403"/>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27.中标结果公告</w:t>
      </w:r>
      <w:bookmarkEnd w:id="746"/>
      <w:bookmarkEnd w:id="747"/>
      <w:bookmarkEnd w:id="748"/>
      <w:bookmarkEnd w:id="749"/>
      <w:bookmarkEnd w:id="750"/>
      <w:bookmarkEnd w:id="751"/>
      <w:bookmarkEnd w:id="752"/>
    </w:p>
    <w:p w14:paraId="40263CD4">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jc w:val="both"/>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27.1</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中标人确定后，采购代理机构在</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云南省政府采购网</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（网址</w:t>
      </w:r>
      <w:r>
        <w:rPr>
          <w:rFonts w:hint="eastAsia" w:ascii="仿宋" w:hAnsi="仿宋" w:eastAsia="仿宋" w:cs="仿宋"/>
          <w:color w:val="000000" w:themeColor="text1"/>
          <w:spacing w:val="0"/>
          <w:w w:val="100"/>
          <w:position w:val="0"/>
          <w:sz w:val="24"/>
          <w:szCs w:val="24"/>
          <w:highlight w:val="none"/>
          <w:u w:val="none"/>
          <w:lang w:val="en-US" w:eastAsia="zh-CN"/>
          <w14:textFill>
            <w14:solidFill>
              <w14:schemeClr w14:val="tx1"/>
            </w14:solidFill>
          </w14:textFill>
        </w:rPr>
        <w:t>http://www.yngp.com/</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）和政采云平台（</w:t>
      </w:r>
      <w:r>
        <w:rPr>
          <w:rFonts w:hint="eastAsia" w:ascii="仿宋" w:hAnsi="仿宋" w:eastAsia="仿宋" w:cs="仿宋"/>
          <w:color w:val="000000" w:themeColor="text1"/>
          <w:spacing w:val="0"/>
          <w:w w:val="100"/>
          <w:position w:val="0"/>
          <w:sz w:val="24"/>
          <w:szCs w:val="24"/>
          <w:highlight w:val="none"/>
          <w:u w:val="none"/>
          <w:lang w:eastAsia="zh-CN"/>
          <w14:textFill>
            <w14:solidFill>
              <w14:schemeClr w14:val="tx1"/>
            </w14:solidFill>
          </w14:textFill>
        </w:rPr>
        <w:t>http：/www.zcygov.cn</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）上公告中标结果，中标公告期限为1个工作日。</w:t>
      </w:r>
    </w:p>
    <w:p w14:paraId="57E965D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53" w:name="bookmark45"/>
      <w:bookmarkEnd w:id="753"/>
      <w:bookmarkStart w:id="754" w:name="_Toc24708"/>
      <w:bookmarkStart w:id="755" w:name="_Toc11501"/>
      <w:bookmarkStart w:id="756" w:name="_Toc9612"/>
      <w:bookmarkStart w:id="757" w:name="_Toc26071"/>
      <w:bookmarkStart w:id="758" w:name="_Toc21079"/>
      <w:bookmarkStart w:id="759" w:name="_Toc11947"/>
      <w:bookmarkStart w:id="760" w:name="_Toc522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28.履约保证金</w:t>
      </w:r>
      <w:bookmarkEnd w:id="754"/>
      <w:bookmarkEnd w:id="755"/>
      <w:bookmarkEnd w:id="756"/>
      <w:bookmarkEnd w:id="757"/>
      <w:bookmarkEnd w:id="758"/>
      <w:bookmarkEnd w:id="759"/>
      <w:bookmarkEnd w:id="760"/>
    </w:p>
    <w:p w14:paraId="3AC1947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28.1中标人在与采购人签订采购合同时，应向采购人提交“</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”规定的履约保证金。</w:t>
      </w:r>
    </w:p>
    <w:p w14:paraId="5EEA4657">
      <w:pPr>
        <w:keepNext w:val="0"/>
        <w:keepLines w:val="0"/>
        <w:pageBreakBefore w:val="0"/>
        <w:widowControl w:val="0"/>
        <w:kinsoku/>
        <w:wordWrap w:val="0"/>
        <w:overflowPunct/>
        <w:topLinePunct/>
        <w:autoSpaceDE/>
        <w:autoSpaceDN/>
        <w:bidi w:val="0"/>
        <w:adjustRightInd/>
        <w:snapToGrid/>
        <w:spacing w:before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28.2履约保证金用于补偿因中标人不能完成其合同义务而使采购人蒙受的损失。</w:t>
      </w:r>
    </w:p>
    <w:p w14:paraId="77BD227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761" w:name="bookmark46"/>
      <w:bookmarkEnd w:id="761"/>
      <w:bookmarkStart w:id="762" w:name="_Toc5720"/>
      <w:bookmarkStart w:id="763" w:name="_Toc1999"/>
      <w:bookmarkStart w:id="764" w:name="_Toc14076"/>
      <w:bookmarkStart w:id="765" w:name="_Toc11410"/>
      <w:bookmarkStart w:id="766" w:name="_Toc7966"/>
      <w:bookmarkStart w:id="767" w:name="_Toc18829"/>
      <w:bookmarkStart w:id="768" w:name="_Toc29184"/>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29.签订合同</w:t>
      </w:r>
      <w:bookmarkEnd w:id="762"/>
      <w:bookmarkEnd w:id="763"/>
      <w:bookmarkEnd w:id="764"/>
      <w:bookmarkEnd w:id="765"/>
      <w:bookmarkEnd w:id="766"/>
      <w:bookmarkEnd w:id="767"/>
      <w:bookmarkEnd w:id="768"/>
    </w:p>
    <w:p w14:paraId="37AE92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29.1中标人应按中标通知书规定的时间与采购人签订合同，否则按拒绝签订合同处理。</w:t>
      </w:r>
    </w:p>
    <w:p w14:paraId="1452C6E1">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29.2招标文件、中标人的投标文件及评标过程中有关澄清文件均为签订合同的依据。</w:t>
      </w:r>
    </w:p>
    <w:p w14:paraId="1344B00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29.3中标通知书是合同的一个组成部分。</w:t>
      </w:r>
    </w:p>
    <w:p w14:paraId="6CB6486E">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29.4采购人与中标人应当根据合同的约定依法履行合同义务。</w:t>
      </w:r>
    </w:p>
    <w:p w14:paraId="2CA005B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left"/>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政府采购合同的履行、违约责任和解决争议的方法等适用《中华人民共和国民法典》。</w:t>
      </w:r>
      <w:bookmarkStart w:id="769" w:name="bookmark40"/>
      <w:bookmarkEnd w:id="769"/>
      <w:bookmarkStart w:id="770" w:name="bookmark39"/>
      <w:bookmarkEnd w:id="770"/>
    </w:p>
    <w:p w14:paraId="7B4DB632">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29.5采购人应当加强对中标人的履约管理，并按照采购合同约定，及时向中标人支付采购资金。对于中标人违反采购合同约定的行为，采购人应当及时处理，依法追究其违约责任。</w:t>
      </w:r>
    </w:p>
    <w:p w14:paraId="268DB9E0">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29.6合同履行中，采购人需追加与合同标的相同的货物的，在不改变合同其他条款的前提下，可以与中标人协商签订补充合同，但所有补充合同的采购金额不得超过原合同采购金额的百分之十。</w:t>
      </w:r>
    </w:p>
    <w:p w14:paraId="622E7108">
      <w:pPr>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29.7中标人拒绝与采购人签订合同的，采购人可以按照评审报告推荐的中标候选人名单排序，确定下一候选人为中标人，也可以重新开展政府采购活动；拒绝签订政府采购合同的中标人视为撤销投标文件，不予退还其交纳的投标保证金。</w:t>
      </w:r>
    </w:p>
    <w:p w14:paraId="7FCA6575">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29.</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中标人与采购人签订合同</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后两个工作日内</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将采购合同彩色扫描件交予采购代理机构，以便退还投标保证金</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w:t>
      </w:r>
    </w:p>
    <w:p w14:paraId="0DA2241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textAlignment w:val="baseline"/>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771" w:name="bookmark47"/>
      <w:bookmarkEnd w:id="771"/>
      <w:bookmarkStart w:id="772" w:name="_Toc2601"/>
      <w:bookmarkStart w:id="773" w:name="_Toc9362"/>
      <w:bookmarkStart w:id="774" w:name="_Toc32169"/>
      <w:bookmarkStart w:id="775" w:name="_Toc4436"/>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八、询问、质疑</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和投诉</w:t>
      </w:r>
      <w:bookmarkEnd w:id="772"/>
      <w:bookmarkEnd w:id="773"/>
      <w:bookmarkEnd w:id="774"/>
      <w:bookmarkEnd w:id="775"/>
    </w:p>
    <w:p w14:paraId="2BEBC8A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2" w:firstLineChars="200"/>
        <w:jc w:val="both"/>
        <w:outlineLvl w:val="1"/>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pPr>
      <w:bookmarkStart w:id="776" w:name="bookmark32"/>
      <w:bookmarkEnd w:id="776"/>
      <w:bookmarkStart w:id="777" w:name="bookmark36"/>
      <w:bookmarkEnd w:id="777"/>
      <w:bookmarkStart w:id="778" w:name="bookmark22"/>
      <w:bookmarkEnd w:id="778"/>
      <w:bookmarkStart w:id="779" w:name="bookmark25"/>
      <w:bookmarkEnd w:id="779"/>
      <w:bookmarkStart w:id="780" w:name="bookmark21"/>
      <w:bookmarkEnd w:id="780"/>
      <w:bookmarkStart w:id="781" w:name="bookmark30"/>
      <w:bookmarkEnd w:id="781"/>
      <w:bookmarkStart w:id="782" w:name="bookmark41"/>
      <w:bookmarkEnd w:id="782"/>
      <w:bookmarkStart w:id="783" w:name="bookmark24"/>
      <w:bookmarkEnd w:id="783"/>
      <w:bookmarkStart w:id="784" w:name="bookmark27"/>
      <w:bookmarkEnd w:id="784"/>
      <w:bookmarkStart w:id="785" w:name="bookmark23"/>
      <w:bookmarkEnd w:id="785"/>
      <w:bookmarkStart w:id="786" w:name="bookmark48"/>
      <w:bookmarkEnd w:id="786"/>
      <w:bookmarkStart w:id="787" w:name="bookmark28"/>
      <w:bookmarkEnd w:id="787"/>
      <w:bookmarkStart w:id="788" w:name="_Toc25500"/>
      <w:bookmarkStart w:id="789" w:name="_Toc12930"/>
      <w:bookmarkStart w:id="790" w:name="_Toc31338"/>
      <w:bookmarkStart w:id="791" w:name="_Toc2405"/>
      <w:bookmarkStart w:id="792" w:name="_Toc7978"/>
      <w:bookmarkStart w:id="793" w:name="_Toc5926"/>
      <w:bookmarkStart w:id="794" w:name="_Toc2935"/>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30.询问</w:t>
      </w:r>
      <w:bookmarkEnd w:id="788"/>
      <w:bookmarkEnd w:id="789"/>
      <w:bookmarkEnd w:id="790"/>
      <w:bookmarkEnd w:id="791"/>
      <w:bookmarkEnd w:id="792"/>
      <w:bookmarkEnd w:id="793"/>
      <w:bookmarkEnd w:id="794"/>
    </w:p>
    <w:p w14:paraId="7C23508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795" w:name="_Toc25649"/>
      <w:bookmarkStart w:id="796" w:name="_Toc11455"/>
      <w:bookmarkStart w:id="797" w:name="_Toc26966"/>
      <w:bookmarkStart w:id="798" w:name="_Toc2809"/>
      <w:bookmarkStart w:id="799" w:name="_Toc10810"/>
      <w:bookmarkStart w:id="800" w:name="_Toc30482"/>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30.</w:t>
      </w:r>
      <w:bookmarkEnd w:id="795"/>
      <w:bookmarkEnd w:id="796"/>
      <w:bookmarkEnd w:id="797"/>
      <w:bookmarkEnd w:id="798"/>
      <w:bookmarkEnd w:id="799"/>
      <w:bookmarkEnd w:id="800"/>
      <w:bookmarkStart w:id="801" w:name="_Toc17682"/>
      <w:bookmarkStart w:id="802" w:name="_Toc25664"/>
      <w:bookmarkStart w:id="803" w:name="_Toc17585"/>
      <w:bookmarkStart w:id="804" w:name="_Toc13139"/>
      <w:bookmarkStart w:id="805" w:name="_Toc1398"/>
      <w:bookmarkStart w:id="806" w:name="_Toc26837"/>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根据《中华人民共和国政府采购法》第五十一条“供应商对政府采购活动事项有疑问的，可以向采购人提出询问，采购人应当及时作出答复，但答复的内容不得涉及商业秘密。”及《中华人民共和国政府采购法实施条例》第五十二条“供应商对政府采购活动事项有疑问的，可以向采购人提出询问，采购人应当及时作出答复，但答复的内容不得涉及商业秘密。”进行答复。</w:t>
      </w:r>
    </w:p>
    <w:p w14:paraId="316C1F2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2" w:firstLineChars="200"/>
        <w:jc w:val="both"/>
        <w:outlineLvl w:val="1"/>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31.质疑</w:t>
      </w:r>
      <w:bookmarkEnd w:id="801"/>
      <w:bookmarkEnd w:id="802"/>
      <w:bookmarkEnd w:id="803"/>
      <w:bookmarkEnd w:id="804"/>
      <w:bookmarkEnd w:id="805"/>
      <w:bookmarkEnd w:id="806"/>
    </w:p>
    <w:p w14:paraId="3D058668">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07" w:name="_Toc26226"/>
      <w:bookmarkStart w:id="808" w:name="_Toc5946"/>
      <w:bookmarkStart w:id="809" w:name="_Toc4797"/>
      <w:bookmarkStart w:id="810" w:name="_Toc25910"/>
      <w:bookmarkStart w:id="811" w:name="_Toc22648"/>
      <w:bookmarkStart w:id="812" w:name="_Toc27065"/>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31.1投标人认为招标文件、采购过程、中标或者成交结果使自己的合法权益受到损害的，在知道或者应知其权益受到损害之日起7个工作日内，可以向采购人、采购代理机构提出质疑。</w:t>
      </w:r>
      <w:bookmarkEnd w:id="807"/>
      <w:bookmarkEnd w:id="808"/>
      <w:bookmarkEnd w:id="809"/>
      <w:bookmarkEnd w:id="810"/>
      <w:bookmarkEnd w:id="811"/>
      <w:bookmarkEnd w:id="812"/>
    </w:p>
    <w:p w14:paraId="09101F7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13" w:name="_Toc20865"/>
      <w:bookmarkStart w:id="814" w:name="_Toc27884"/>
      <w:bookmarkStart w:id="815" w:name="_Toc19593"/>
      <w:bookmarkStart w:id="816" w:name="_Toc370"/>
      <w:bookmarkStart w:id="817" w:name="_Toc31792"/>
      <w:bookmarkStart w:id="818" w:name="_Toc1399"/>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“知道或者应知其权益受到损害之日”是指：</w:t>
      </w:r>
      <w:bookmarkEnd w:id="813"/>
      <w:bookmarkEnd w:id="814"/>
      <w:bookmarkEnd w:id="815"/>
      <w:bookmarkEnd w:id="816"/>
      <w:bookmarkEnd w:id="817"/>
      <w:bookmarkEnd w:id="818"/>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ab/>
      </w:r>
    </w:p>
    <w:p w14:paraId="294C836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19" w:name="_Toc739"/>
      <w:bookmarkStart w:id="820" w:name="_Toc6984"/>
      <w:bookmarkStart w:id="821" w:name="_Toc14494"/>
      <w:bookmarkStart w:id="822" w:name="_Toc869"/>
      <w:bookmarkStart w:id="823" w:name="_Toc12971"/>
      <w:bookmarkStart w:id="824" w:name="_Toc22250"/>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（一）对可以质疑的招标文件提出质疑的，为收到招标文件之日或者招标文件公告期限届满之日；</w:t>
      </w:r>
      <w:bookmarkEnd w:id="819"/>
      <w:bookmarkEnd w:id="820"/>
      <w:bookmarkEnd w:id="821"/>
      <w:bookmarkEnd w:id="822"/>
      <w:bookmarkEnd w:id="823"/>
      <w:bookmarkEnd w:id="824"/>
    </w:p>
    <w:p w14:paraId="10C0B48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25" w:name="_Toc32458"/>
      <w:bookmarkStart w:id="826" w:name="_Toc29636"/>
      <w:bookmarkStart w:id="827" w:name="_Toc4580"/>
      <w:bookmarkStart w:id="828" w:name="_Toc283"/>
      <w:bookmarkStart w:id="829" w:name="_Toc28284"/>
      <w:bookmarkStart w:id="830" w:name="_Toc3250"/>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（二）对采购过程提出质疑的，为各采购程序环节结束之日；</w:t>
      </w:r>
      <w:bookmarkEnd w:id="825"/>
      <w:bookmarkEnd w:id="826"/>
      <w:bookmarkEnd w:id="827"/>
      <w:bookmarkEnd w:id="828"/>
      <w:bookmarkEnd w:id="829"/>
      <w:bookmarkEnd w:id="830"/>
    </w:p>
    <w:p w14:paraId="57E83EE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31" w:name="_Toc30511"/>
      <w:bookmarkStart w:id="832" w:name="_Toc6857"/>
      <w:bookmarkStart w:id="833" w:name="_Toc23636"/>
      <w:bookmarkStart w:id="834" w:name="_Toc22101"/>
      <w:bookmarkStart w:id="835" w:name="_Toc19712"/>
      <w:bookmarkStart w:id="836" w:name="_Toc29890"/>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（三）对中标或者成交结果提出质疑的，为中标或者成交结果公告期限届满之日。</w:t>
      </w:r>
      <w:bookmarkEnd w:id="831"/>
      <w:bookmarkEnd w:id="832"/>
      <w:bookmarkEnd w:id="833"/>
      <w:bookmarkEnd w:id="834"/>
      <w:bookmarkEnd w:id="835"/>
      <w:bookmarkEnd w:id="836"/>
    </w:p>
    <w:p w14:paraId="7F60ABC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37" w:name="_Toc3222"/>
      <w:bookmarkStart w:id="838" w:name="_Toc7461"/>
      <w:bookmarkStart w:id="839" w:name="_Toc15357"/>
      <w:bookmarkStart w:id="840" w:name="_Toc5523"/>
      <w:bookmarkStart w:id="841" w:name="_Toc13749"/>
      <w:bookmarkStart w:id="842" w:name="_Toc14877"/>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投标人针对同一采购程序环节的质疑应当在法定质疑期内一次性提出，提出质疑时应当有明确的请求和必要的证明材料；法定质疑期内针对同一采购程序环节再次提出的质疑，采购人、采购代理机构有权不予答复。</w:t>
      </w:r>
      <w:bookmarkEnd w:id="837"/>
      <w:bookmarkEnd w:id="838"/>
      <w:bookmarkEnd w:id="839"/>
      <w:bookmarkEnd w:id="840"/>
      <w:bookmarkEnd w:id="841"/>
      <w:bookmarkEnd w:id="842"/>
    </w:p>
    <w:p w14:paraId="7BAE6F22">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43" w:name="_Toc144646680"/>
      <w:bookmarkStart w:id="844" w:name="_Toc145067578"/>
      <w:bookmarkStart w:id="845" w:name="_Toc4535"/>
      <w:bookmarkStart w:id="846" w:name="_Toc24899"/>
      <w:bookmarkStart w:id="847" w:name="_Toc25869"/>
      <w:bookmarkStart w:id="848" w:name="_Toc6614"/>
      <w:bookmarkStart w:id="849" w:name="_Toc16195"/>
      <w:bookmarkStart w:id="850" w:name="_Toc27649"/>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31.2</w:t>
      </w:r>
      <w:bookmarkEnd w:id="843"/>
      <w:bookmarkEnd w:id="844"/>
      <w:bookmarkStart w:id="851" w:name="_Toc144646686"/>
      <w:bookmarkStart w:id="852" w:name="_Toc145067584"/>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本项目实行全流程电子化交易和在线监督，投标人询问、质疑可通过线上方式进行，也可采用线下纸质书面方式进行。</w:t>
      </w:r>
      <w:bookmarkEnd w:id="845"/>
      <w:bookmarkEnd w:id="846"/>
      <w:bookmarkEnd w:id="847"/>
      <w:bookmarkEnd w:id="848"/>
      <w:bookmarkEnd w:id="849"/>
      <w:bookmarkEnd w:id="850"/>
    </w:p>
    <w:p w14:paraId="72D529A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53" w:name="_Toc25766"/>
      <w:bookmarkStart w:id="854" w:name="_Toc11183"/>
      <w:bookmarkStart w:id="855" w:name="_Toc19172"/>
      <w:bookmarkStart w:id="856" w:name="_Toc28544"/>
      <w:bookmarkStart w:id="857" w:name="_Toc6760"/>
      <w:bookmarkStart w:id="858" w:name="_Toc14878"/>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31.3根据系统功能和要求，直接参与具体项目交易的投标人可线上询问、质疑，使用CA数字证书通过“政采云”平台（https://www.zcygov.cn/）“投标人”模块进行提交。</w:t>
      </w:r>
      <w:bookmarkEnd w:id="853"/>
      <w:bookmarkEnd w:id="854"/>
      <w:bookmarkEnd w:id="855"/>
      <w:bookmarkEnd w:id="856"/>
      <w:bookmarkEnd w:id="857"/>
      <w:bookmarkEnd w:id="858"/>
    </w:p>
    <w:p w14:paraId="3BE3B7DF">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59" w:name="_Toc27694"/>
      <w:bookmarkStart w:id="860" w:name="_Toc25961"/>
      <w:bookmarkStart w:id="861" w:name="_Toc21264"/>
      <w:bookmarkStart w:id="862" w:name="_Toc13260"/>
      <w:bookmarkStart w:id="863" w:name="_Toc15348"/>
      <w:bookmarkStart w:id="864" w:name="_Toc7004"/>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31.4采购人及采购代理机构对线上询问、质疑的，采用线上方式进行受理答复，对采用线下询问、质疑的，采用线下方式进行受理答复。</w:t>
      </w:r>
      <w:bookmarkEnd w:id="859"/>
      <w:bookmarkEnd w:id="860"/>
      <w:bookmarkEnd w:id="861"/>
      <w:bookmarkEnd w:id="862"/>
      <w:bookmarkEnd w:id="863"/>
      <w:bookmarkEnd w:id="864"/>
    </w:p>
    <w:p w14:paraId="754FC75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65" w:name="_Toc22045"/>
      <w:bookmarkStart w:id="866" w:name="_Toc13537"/>
      <w:bookmarkStart w:id="867" w:name="_Toc18033"/>
      <w:bookmarkStart w:id="868" w:name="_Toc5659"/>
      <w:bookmarkStart w:id="869" w:name="_Toc3987"/>
      <w:bookmarkStart w:id="870" w:name="_Toc8929"/>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31.5就同一内容同时进行线上询问、质疑和提交纸质询问、质疑的，以线上答复为主，通过在线答复后不再进行书面答复。</w:t>
      </w:r>
      <w:bookmarkEnd w:id="865"/>
      <w:bookmarkEnd w:id="866"/>
      <w:bookmarkEnd w:id="867"/>
      <w:bookmarkEnd w:id="868"/>
      <w:bookmarkEnd w:id="869"/>
      <w:bookmarkEnd w:id="870"/>
    </w:p>
    <w:bookmarkEnd w:id="851"/>
    <w:bookmarkEnd w:id="852"/>
    <w:p w14:paraId="10205D5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71" w:name="_Toc11653"/>
      <w:bookmarkStart w:id="872" w:name="_Toc20937"/>
      <w:bookmarkStart w:id="873" w:name="_Toc26758"/>
      <w:bookmarkStart w:id="874" w:name="_Toc27182"/>
      <w:bookmarkStart w:id="875" w:name="_Toc5385"/>
      <w:bookmarkStart w:id="876" w:name="_Toc24876"/>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31.6质疑内容不得含有虚假、恶意成分。当事人对自己提出的主张，有责任提供证据，提出质疑时应同时提交相关证据材料和注明事实的确切来源。</w:t>
      </w:r>
      <w:bookmarkEnd w:id="871"/>
      <w:bookmarkEnd w:id="872"/>
      <w:bookmarkEnd w:id="873"/>
      <w:bookmarkEnd w:id="874"/>
      <w:bookmarkEnd w:id="875"/>
      <w:bookmarkEnd w:id="876"/>
    </w:p>
    <w:p w14:paraId="6FAAF14D">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77" w:name="_Toc21557"/>
      <w:bookmarkStart w:id="878" w:name="_Toc24773"/>
      <w:bookmarkStart w:id="879" w:name="_Toc10540"/>
      <w:bookmarkStart w:id="880" w:name="_Toc18705"/>
      <w:bookmarkStart w:id="881" w:name="_Toc16161"/>
      <w:bookmarkStart w:id="882" w:name="_Toc3814"/>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31.7投标人提供的质疑函应符合中华人民共和国财政部第94号令《政府采购质疑和投诉办法》的规定。投标人提供的质疑函（质疑函应当使用中文。相关当事人提供外文书证或者外国语视听资料的，应当附有中文译本，由翻译机构盖章或者翻译人员签名）应当包括以下主要内容：</w:t>
      </w:r>
      <w:bookmarkEnd w:id="877"/>
      <w:bookmarkEnd w:id="878"/>
      <w:bookmarkEnd w:id="879"/>
      <w:bookmarkEnd w:id="880"/>
      <w:bookmarkEnd w:id="881"/>
      <w:bookmarkEnd w:id="882"/>
    </w:p>
    <w:p w14:paraId="51AFD08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83" w:name="_Toc14581"/>
      <w:bookmarkStart w:id="884" w:name="_Toc27080"/>
      <w:bookmarkStart w:id="885" w:name="_Toc32747"/>
      <w:bookmarkStart w:id="886" w:name="_Toc23361"/>
      <w:bookmarkStart w:id="887" w:name="_Toc32340"/>
      <w:bookmarkStart w:id="888" w:name="_Toc27311"/>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（1）投标人的姓名或者名称、地址、邮编、联系人及联系电话；</w:t>
      </w:r>
      <w:bookmarkEnd w:id="883"/>
      <w:bookmarkEnd w:id="884"/>
      <w:bookmarkEnd w:id="885"/>
      <w:bookmarkEnd w:id="886"/>
      <w:bookmarkEnd w:id="887"/>
      <w:bookmarkEnd w:id="888"/>
    </w:p>
    <w:p w14:paraId="6F33E75B">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89" w:name="_Toc5642"/>
      <w:bookmarkStart w:id="890" w:name="_Toc14698"/>
      <w:bookmarkStart w:id="891" w:name="_Toc7443"/>
      <w:bookmarkStart w:id="892" w:name="_Toc15525"/>
      <w:bookmarkStart w:id="893" w:name="_Toc2375"/>
      <w:bookmarkStart w:id="894" w:name="_Toc6600"/>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（2）质疑项目的名称、编号；</w:t>
      </w:r>
      <w:bookmarkEnd w:id="889"/>
      <w:bookmarkEnd w:id="890"/>
      <w:bookmarkEnd w:id="891"/>
      <w:bookmarkEnd w:id="892"/>
      <w:bookmarkEnd w:id="893"/>
      <w:bookmarkEnd w:id="894"/>
    </w:p>
    <w:p w14:paraId="172EAAB4">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895" w:name="_Toc31452"/>
      <w:bookmarkStart w:id="896" w:name="_Toc32087"/>
      <w:bookmarkStart w:id="897" w:name="_Toc12252"/>
      <w:bookmarkStart w:id="898" w:name="_Toc30294"/>
      <w:bookmarkStart w:id="899" w:name="_Toc13450"/>
      <w:bookmarkStart w:id="900" w:name="_Toc11366"/>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（3）具体、明确的质疑事项和与质疑事项相关的请求；</w:t>
      </w:r>
      <w:bookmarkEnd w:id="895"/>
      <w:bookmarkEnd w:id="896"/>
      <w:bookmarkEnd w:id="897"/>
      <w:bookmarkEnd w:id="898"/>
      <w:bookmarkEnd w:id="899"/>
      <w:bookmarkEnd w:id="900"/>
    </w:p>
    <w:p w14:paraId="28F7B859">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01" w:name="_Toc2069"/>
      <w:bookmarkStart w:id="902" w:name="_Toc12863"/>
      <w:bookmarkStart w:id="903" w:name="_Toc1516"/>
      <w:bookmarkStart w:id="904" w:name="_Toc10857"/>
      <w:bookmarkStart w:id="905" w:name="_Toc11572"/>
      <w:bookmarkStart w:id="906" w:name="_Toc28346"/>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（4）事实依据；</w:t>
      </w:r>
      <w:bookmarkEnd w:id="901"/>
      <w:bookmarkEnd w:id="902"/>
      <w:bookmarkEnd w:id="903"/>
      <w:bookmarkEnd w:id="904"/>
      <w:bookmarkEnd w:id="905"/>
      <w:bookmarkEnd w:id="906"/>
    </w:p>
    <w:p w14:paraId="21C4EA4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07" w:name="_Toc31120"/>
      <w:bookmarkStart w:id="908" w:name="_Toc28783"/>
      <w:bookmarkStart w:id="909" w:name="_Toc15951"/>
      <w:bookmarkStart w:id="910" w:name="_Toc19674"/>
      <w:bookmarkStart w:id="911" w:name="_Toc7310"/>
      <w:bookmarkStart w:id="912" w:name="_Toc8334"/>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（5）必要的法律依据；</w:t>
      </w:r>
      <w:bookmarkEnd w:id="907"/>
      <w:bookmarkEnd w:id="908"/>
      <w:bookmarkEnd w:id="909"/>
      <w:bookmarkEnd w:id="910"/>
      <w:bookmarkEnd w:id="911"/>
      <w:bookmarkEnd w:id="912"/>
    </w:p>
    <w:p w14:paraId="04D920E6">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13" w:name="_Toc32104"/>
      <w:bookmarkStart w:id="914" w:name="_Toc6533"/>
      <w:bookmarkStart w:id="915" w:name="_Toc25514"/>
      <w:bookmarkStart w:id="916" w:name="_Toc14405"/>
      <w:bookmarkStart w:id="917" w:name="_Toc28976"/>
      <w:bookmarkStart w:id="918" w:name="_Toc23926"/>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（6）提出质疑的日期。</w:t>
      </w:r>
      <w:bookmarkEnd w:id="913"/>
      <w:bookmarkEnd w:id="914"/>
      <w:bookmarkEnd w:id="915"/>
      <w:bookmarkEnd w:id="916"/>
      <w:bookmarkEnd w:id="917"/>
      <w:bookmarkEnd w:id="918"/>
    </w:p>
    <w:p w14:paraId="0C32535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19" w:name="_Toc15813"/>
      <w:bookmarkStart w:id="920" w:name="_Toc25262"/>
      <w:bookmarkStart w:id="921" w:name="_Toc6212"/>
      <w:bookmarkStart w:id="922" w:name="_Toc11007"/>
      <w:bookmarkStart w:id="923" w:name="_Toc12169"/>
      <w:bookmarkStart w:id="924" w:name="_Toc17893"/>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31.8投标人为自然人的，应当由本人签字；投标人为法人或者其他组织的，应当由法定代表人、主要负责人，或者其授权代表签字或者盖章，并加盖公章。</w:t>
      </w:r>
      <w:bookmarkEnd w:id="919"/>
      <w:bookmarkEnd w:id="920"/>
      <w:bookmarkEnd w:id="921"/>
      <w:bookmarkEnd w:id="922"/>
      <w:bookmarkEnd w:id="923"/>
      <w:bookmarkEnd w:id="924"/>
    </w:p>
    <w:p w14:paraId="4D1D89C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25" w:name="_Toc11828"/>
      <w:bookmarkStart w:id="926" w:name="_Toc8110"/>
      <w:bookmarkStart w:id="927" w:name="_Toc4087"/>
      <w:bookmarkStart w:id="928" w:name="_Toc12227"/>
      <w:bookmarkStart w:id="929" w:name="_Toc32560"/>
      <w:bookmarkStart w:id="930" w:name="_Toc21342"/>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质疑书实行实名制，并提交由法定代表人或其授权代理人签字并加盖单位公章的原件。</w:t>
      </w:r>
      <w:bookmarkEnd w:id="925"/>
      <w:bookmarkEnd w:id="926"/>
      <w:bookmarkEnd w:id="927"/>
      <w:bookmarkEnd w:id="928"/>
      <w:bookmarkEnd w:id="929"/>
      <w:bookmarkEnd w:id="930"/>
    </w:p>
    <w:p w14:paraId="659A98E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31" w:name="_Toc28002"/>
      <w:bookmarkStart w:id="932" w:name="_Toc16128"/>
      <w:bookmarkStart w:id="933" w:name="_Toc21987"/>
      <w:bookmarkStart w:id="934" w:name="_Toc22917"/>
      <w:bookmarkStart w:id="935" w:name="_Toc11222"/>
      <w:bookmarkStart w:id="936" w:name="_Toc18629"/>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接收质疑函的方式：书面方式。</w:t>
      </w:r>
      <w:bookmarkEnd w:id="931"/>
      <w:bookmarkEnd w:id="932"/>
      <w:bookmarkEnd w:id="933"/>
      <w:bookmarkEnd w:id="934"/>
      <w:bookmarkEnd w:id="935"/>
      <w:bookmarkEnd w:id="936"/>
    </w:p>
    <w:p w14:paraId="03F0C653">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37" w:name="_Toc17031"/>
      <w:bookmarkStart w:id="938" w:name="_Toc5273"/>
      <w:bookmarkStart w:id="939" w:name="_Toc6124"/>
      <w:bookmarkStart w:id="940" w:name="_Toc2311"/>
      <w:bookmarkStart w:id="941" w:name="_Toc14137"/>
      <w:bookmarkStart w:id="942" w:name="_Toc29731"/>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31.9采购人、采购代理机构将在收到投标人的书面质疑后七个工作日内作出答复，并以书面形式通知质疑投标人和其他有关投标人，质疑答复的内容不涉及商业秘密。</w:t>
      </w:r>
      <w:bookmarkEnd w:id="937"/>
      <w:bookmarkEnd w:id="938"/>
      <w:bookmarkEnd w:id="939"/>
      <w:bookmarkEnd w:id="940"/>
      <w:bookmarkEnd w:id="941"/>
      <w:bookmarkEnd w:id="942"/>
    </w:p>
    <w:p w14:paraId="44574310">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43" w:name="_Toc18204"/>
      <w:bookmarkStart w:id="944" w:name="_Toc1224"/>
      <w:bookmarkStart w:id="945" w:name="_Toc31104"/>
      <w:bookmarkStart w:id="946" w:name="_Toc31490"/>
      <w:bookmarkStart w:id="947" w:name="_Toc27617"/>
      <w:bookmarkStart w:id="948" w:name="_Toc23418"/>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31.10参与政府采购活动的投标人对评审过程、中标或者成交结果提出质疑的，采购人或采购代理机构可以组织原评审委员会协助答复质疑事项，并依据评审委员会出具的意见进行答复。质疑答复导致中标结果改变的，采购人或采购代理机构应当将相关情况书面报财政部门备案。</w:t>
      </w:r>
      <w:bookmarkEnd w:id="943"/>
      <w:bookmarkEnd w:id="944"/>
      <w:bookmarkEnd w:id="945"/>
      <w:bookmarkEnd w:id="946"/>
      <w:bookmarkEnd w:id="947"/>
      <w:bookmarkEnd w:id="948"/>
    </w:p>
    <w:p w14:paraId="6C1F62BA">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2" w:firstLineChars="200"/>
        <w:jc w:val="both"/>
        <w:outlineLvl w:val="1"/>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pPr>
      <w:bookmarkStart w:id="949" w:name="_Toc12541"/>
      <w:bookmarkStart w:id="950" w:name="_Toc18431"/>
      <w:bookmarkStart w:id="951" w:name="_Toc19738"/>
      <w:bookmarkStart w:id="952" w:name="_Toc26722"/>
      <w:bookmarkStart w:id="953" w:name="_Toc27473"/>
      <w:bookmarkStart w:id="954" w:name="_Toc20172"/>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32.投诉</w:t>
      </w:r>
      <w:bookmarkEnd w:id="949"/>
      <w:bookmarkEnd w:id="950"/>
      <w:bookmarkEnd w:id="951"/>
      <w:bookmarkEnd w:id="952"/>
      <w:bookmarkEnd w:id="953"/>
      <w:bookmarkEnd w:id="954"/>
    </w:p>
    <w:p w14:paraId="4BAD57EE">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55" w:name="_Toc25535"/>
      <w:bookmarkStart w:id="956" w:name="_Toc10539"/>
      <w:bookmarkStart w:id="957" w:name="_Toc8282"/>
      <w:bookmarkStart w:id="958" w:name="_Toc2515"/>
      <w:bookmarkStart w:id="959" w:name="_Toc31694"/>
      <w:bookmarkStart w:id="960" w:name="_Toc30590"/>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32.1投诉必须首先经过质疑程序。质疑人对采购人、采购代理机构的答复不满意，或者采购人、采购代理机构未在规定的时间内做出答复的，可以在答复期满后15个工作日内书面向同级财政部门提出投诉。</w:t>
      </w:r>
      <w:bookmarkEnd w:id="955"/>
      <w:bookmarkEnd w:id="956"/>
      <w:bookmarkEnd w:id="957"/>
      <w:bookmarkEnd w:id="958"/>
      <w:bookmarkEnd w:id="959"/>
      <w:bookmarkEnd w:id="960"/>
    </w:p>
    <w:p w14:paraId="35607487">
      <w:pPr>
        <w:keepNext w:val="0"/>
        <w:keepLines w:val="0"/>
        <w:pageBreakBefore w:val="0"/>
        <w:widowControl w:val="0"/>
        <w:kinsoku/>
        <w:wordWrap w:val="0"/>
        <w:overflowPunct/>
        <w:topLinePunct/>
        <w:autoSpaceDE/>
        <w:autoSpaceDN/>
        <w:bidi w:val="0"/>
        <w:adjustRightInd/>
        <w:snapToGrid/>
        <w:spacing w:afterAutospacing="0" w:line="404" w:lineRule="exact"/>
        <w:ind w:left="0" w:leftChars="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pPr>
      <w:bookmarkStart w:id="961" w:name="_Toc2333"/>
      <w:bookmarkStart w:id="962" w:name="_Toc29331"/>
      <w:bookmarkStart w:id="963" w:name="_Toc17026"/>
      <w:bookmarkStart w:id="964" w:name="_Toc27446"/>
      <w:bookmarkStart w:id="965" w:name="_Toc21821"/>
      <w:bookmarkStart w:id="966" w:name="_Toc4244"/>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32.2质疑函、投诉书须使用财政部制定的范本文件。质疑函、投诉书格式：投标人可在中国政府采购网“http://www.ccgp.gov.cn/”下载专区自行下载。</w:t>
      </w:r>
      <w:bookmarkEnd w:id="961"/>
      <w:bookmarkEnd w:id="962"/>
      <w:bookmarkEnd w:id="963"/>
      <w:bookmarkEnd w:id="964"/>
      <w:bookmarkEnd w:id="965"/>
      <w:bookmarkEnd w:id="966"/>
    </w:p>
    <w:p w14:paraId="221CA449">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right="0" w:firstLine="480" w:firstLineChars="200"/>
        <w:jc w:val="both"/>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967" w:name="_Toc19"/>
      <w:bookmarkStart w:id="968" w:name="_Toc13951"/>
      <w:bookmarkStart w:id="969" w:name="_Toc9557"/>
      <w:bookmarkStart w:id="970" w:name="_Toc30975"/>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九、</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其他事项</w:t>
      </w:r>
      <w:bookmarkEnd w:id="967"/>
      <w:bookmarkEnd w:id="968"/>
      <w:bookmarkEnd w:id="969"/>
      <w:bookmarkEnd w:id="970"/>
    </w:p>
    <w:p w14:paraId="307CFD24">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bookmarkStart w:id="971" w:name="_Toc7270"/>
      <w:bookmarkStart w:id="972" w:name="_Toc11600"/>
      <w:bookmarkStart w:id="973" w:name="_Toc32408"/>
      <w:bookmarkStart w:id="974" w:name="_Toc20405"/>
      <w:bookmarkStart w:id="975" w:name="_Toc7983"/>
      <w:bookmarkStart w:id="976" w:name="_Toc5968"/>
      <w:bookmarkStart w:id="977" w:name="_Toc10673"/>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3</w:t>
      </w:r>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3</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.采购代理服务费</w:t>
      </w:r>
      <w:bookmarkEnd w:id="971"/>
      <w:bookmarkEnd w:id="972"/>
      <w:bookmarkEnd w:id="973"/>
      <w:bookmarkEnd w:id="974"/>
      <w:bookmarkEnd w:id="975"/>
      <w:bookmarkEnd w:id="976"/>
      <w:bookmarkEnd w:id="977"/>
    </w:p>
    <w:p w14:paraId="0AB4E5F5">
      <w:pPr>
        <w:keepNext w:val="0"/>
        <w:keepLines w:val="0"/>
        <w:pageBreakBefore w:val="0"/>
        <w:widowControl w:val="0"/>
        <w:kinsoku/>
        <w:wordWrap w:val="0"/>
        <w:overflowPunct/>
        <w:topLinePunct/>
        <w:autoSpaceDE/>
        <w:autoSpaceDN/>
        <w:bidi w:val="0"/>
        <w:adjustRightInd/>
        <w:snapToGrid/>
        <w:spacing w:beforeAutospacing="0" w:afterAutospacing="0" w:line="404" w:lineRule="exact"/>
        <w:ind w:left="0" w:leftChars="0" w:right="0" w:firstLine="480" w:firstLineChars="200"/>
        <w:textAlignment w:val="baseline"/>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如为中标人支付采购代理服务费，须按“</w:t>
      </w:r>
      <w:r>
        <w:rPr>
          <w:rFonts w:hint="eastAsia" w:ascii="仿宋" w:hAnsi="仿宋" w:eastAsia="仿宋" w:cs="仿宋"/>
          <w:color w:val="000000" w:themeColor="text1"/>
          <w:spacing w:val="0"/>
          <w:w w:val="100"/>
          <w:position w:val="0"/>
          <w:sz w:val="24"/>
          <w:szCs w:val="24"/>
          <w:highlight w:val="none"/>
          <w:lang w:eastAsia="zh-CN"/>
          <w14:textOutline w14:w="4356" w14:cap="sq" w14:cmpd="sng" w14:algn="ctr">
            <w14:solidFill>
              <w14:srgbClr w14:val="000000"/>
            </w14:solidFill>
            <w14:prstDash w14:val="solid"/>
            <w14:bevel/>
          </w14:textOutline>
          <w14:textFill>
            <w14:solidFill>
              <w14:schemeClr w14:val="tx1"/>
            </w14:solidFill>
          </w14:textFill>
        </w:rPr>
        <w:t>投标人须知前附表</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”规定的收费标准</w:t>
      </w:r>
      <w:r>
        <w:rPr>
          <w:rFonts w:hint="eastAsia" w:ascii="仿宋" w:hAnsi="仿宋" w:eastAsia="仿宋" w:cs="仿宋"/>
          <w:color w:val="000000" w:themeColor="text1"/>
          <w:spacing w:val="0"/>
          <w:w w:val="100"/>
          <w:position w:val="0"/>
          <w:sz w:val="24"/>
          <w:szCs w:val="24"/>
          <w:highlight w:val="none"/>
          <w:lang w:val="en-US" w:eastAsia="zh-CN"/>
          <w14:textFill>
            <w14:solidFill>
              <w14:schemeClr w14:val="tx1"/>
            </w14:solidFill>
          </w14:textFill>
        </w:rPr>
        <w:t>及缴纳时间</w:t>
      </w:r>
      <w:r>
        <w:rPr>
          <w:rFonts w:hint="eastAsia" w:ascii="仿宋" w:hAnsi="仿宋" w:eastAsia="仿宋" w:cs="仿宋"/>
          <w:color w:val="000000" w:themeColor="text1"/>
          <w:spacing w:val="0"/>
          <w:w w:val="100"/>
          <w:position w:val="0"/>
          <w:sz w:val="24"/>
          <w:szCs w:val="24"/>
          <w:highlight w:val="none"/>
          <w:lang w:eastAsia="zh-CN"/>
          <w14:textFill>
            <w14:solidFill>
              <w14:schemeClr w14:val="tx1"/>
            </w14:solidFill>
          </w14:textFill>
        </w:rPr>
        <w:t>，向采购代理机构缴纳采购代理服务费。</w:t>
      </w:r>
    </w:p>
    <w:p w14:paraId="45C36F11">
      <w:pPr>
        <w:keepNext w:val="0"/>
        <w:keepLines w:val="0"/>
        <w:pageBreakBefore w:val="0"/>
        <w:widowControl w:val="0"/>
        <w:numPr>
          <w:ilvl w:val="0"/>
          <w:numId w:val="0"/>
        </w:numPr>
        <w:kinsoku/>
        <w:wordWrap w:val="0"/>
        <w:overflowPunct/>
        <w:topLinePunct/>
        <w:autoSpaceDE/>
        <w:autoSpaceDN/>
        <w:bidi w:val="0"/>
        <w:adjustRightInd/>
        <w:snapToGrid/>
        <w:spacing w:beforeAutospacing="0" w:line="404" w:lineRule="exact"/>
        <w:ind w:left="0" w:leftChars="0" w:right="0" w:firstLine="480" w:firstLineChars="200"/>
        <w:textAlignment w:val="baseline"/>
        <w:outlineLvl w:val="1"/>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bookmarkStart w:id="978" w:name="_Toc31874"/>
      <w:bookmarkStart w:id="979" w:name="_Toc14204"/>
      <w:bookmarkStart w:id="980" w:name="_Toc26554"/>
      <w:bookmarkStart w:id="981" w:name="_Toc20421"/>
      <w:bookmarkStart w:id="982" w:name="_Toc4828"/>
      <w:bookmarkStart w:id="983" w:name="_Toc4077"/>
      <w:bookmarkStart w:id="984" w:name="_Toc24584"/>
      <w:r>
        <w:rPr>
          <w:rFonts w:hint="eastAsia" w:ascii="仿宋" w:hAnsi="仿宋" w:eastAsia="仿宋" w:cs="仿宋"/>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34.适用法律</w:t>
      </w:r>
      <w:bookmarkEnd w:id="978"/>
      <w:bookmarkEnd w:id="979"/>
      <w:bookmarkEnd w:id="980"/>
      <w:bookmarkEnd w:id="981"/>
      <w:bookmarkEnd w:id="982"/>
      <w:bookmarkEnd w:id="983"/>
      <w:bookmarkEnd w:id="984"/>
    </w:p>
    <w:p w14:paraId="0742E041">
      <w:pPr>
        <w:pStyle w:val="10"/>
        <w:keepNext w:val="0"/>
        <w:keepLines w:val="0"/>
        <w:pageBreakBefore w:val="0"/>
        <w:widowControl w:val="0"/>
        <w:kinsoku/>
        <w:wordWrap w:val="0"/>
        <w:overflowPunct/>
        <w:topLinePunct/>
        <w:autoSpaceDE/>
        <w:autoSpaceDN/>
        <w:bidi w:val="0"/>
        <w:adjustRightInd/>
        <w:snapToGrid/>
        <w:spacing w:line="404" w:lineRule="exact"/>
        <w:ind w:left="0" w:leftChars="0" w:right="0" w:firstLine="480" w:firstLineChars="200"/>
        <w:jc w:val="left"/>
        <w:textAlignment w:val="baseline"/>
        <w:rPr>
          <w:rFonts w:hint="eastAsia" w:ascii="仿宋" w:hAnsi="仿宋" w:eastAsia="仿宋" w:cs="仿宋"/>
          <w:bCs/>
          <w:color w:val="000000" w:themeColor="text1"/>
          <w:spacing w:val="0"/>
          <w:w w:val="100"/>
          <w:position w:val="0"/>
          <w:sz w:val="24"/>
          <w:szCs w:val="24"/>
          <w:highlight w:val="none"/>
          <w14:textFill>
            <w14:solidFill>
              <w14:schemeClr w14:val="tx1"/>
            </w14:solidFill>
          </w14:textFill>
        </w:rPr>
      </w:pPr>
      <w:r>
        <w:rPr>
          <w:rFonts w:hint="eastAsia" w:ascii="仿宋" w:hAnsi="仿宋" w:eastAsia="仿宋" w:cs="仿宋"/>
          <w:bCs/>
          <w:color w:val="000000" w:themeColor="text1"/>
          <w:spacing w:val="0"/>
          <w:w w:val="100"/>
          <w:position w:val="0"/>
          <w:sz w:val="24"/>
          <w:szCs w:val="24"/>
          <w:highlight w:val="none"/>
          <w14:textFill>
            <w14:solidFill>
              <w14:schemeClr w14:val="tx1"/>
            </w14:solidFill>
          </w14:textFill>
        </w:rPr>
        <w:t>采购代理机构及投标人的一切招标投标活动均适用于《中华人民共和国政府采购</w:t>
      </w:r>
      <w:r>
        <w:rPr>
          <w:rFonts w:hint="eastAsia" w:ascii="仿宋" w:hAnsi="仿宋" w:eastAsia="仿宋" w:cs="仿宋"/>
          <w:bCs/>
          <w:color w:val="000000" w:themeColor="text1"/>
          <w:spacing w:val="0"/>
          <w:w w:val="100"/>
          <w:position w:val="0"/>
          <w:sz w:val="24"/>
          <w:szCs w:val="24"/>
          <w:highlight w:val="none"/>
          <w:lang w:val="en-US" w:eastAsia="zh-CN"/>
          <w14:textFill>
            <w14:solidFill>
              <w14:schemeClr w14:val="tx1"/>
            </w14:solidFill>
          </w14:textFill>
        </w:rPr>
        <w:t>法</w:t>
      </w:r>
      <w:r>
        <w:rPr>
          <w:rFonts w:hint="eastAsia" w:ascii="仿宋" w:hAnsi="仿宋" w:eastAsia="仿宋" w:cs="仿宋"/>
          <w:bCs/>
          <w:color w:val="000000" w:themeColor="text1"/>
          <w:spacing w:val="0"/>
          <w:w w:val="100"/>
          <w:position w:val="0"/>
          <w:sz w:val="24"/>
          <w:szCs w:val="24"/>
          <w:highlight w:val="none"/>
          <w14:textFill>
            <w14:solidFill>
              <w14:schemeClr w14:val="tx1"/>
            </w14:solidFill>
          </w14:textFill>
        </w:rPr>
        <w:t>》及相关规定。</w:t>
      </w:r>
    </w:p>
    <w:p w14:paraId="5C5584DA">
      <w:pPr>
        <w:keepNext w:val="0"/>
        <w:keepLines w:val="0"/>
        <w:pageBreakBefore w:val="0"/>
        <w:widowControl w:val="0"/>
        <w:numPr>
          <w:ilvl w:val="0"/>
          <w:numId w:val="0"/>
        </w:numPr>
        <w:kinsoku/>
        <w:wordWrap w:val="0"/>
        <w:overflowPunct/>
        <w:topLinePunct/>
        <w:autoSpaceDE/>
        <w:autoSpaceDN/>
        <w:bidi w:val="0"/>
        <w:adjustRightInd/>
        <w:snapToGrid/>
        <w:spacing w:line="404" w:lineRule="exact"/>
        <w:ind w:left="0" w:leftChars="0" w:right="0" w:firstLine="480" w:firstLineChars="200"/>
        <w:textAlignment w:val="baseline"/>
        <w:outlineLvl w:val="1"/>
        <w:rPr>
          <w:rFonts w:hint="eastAsia" w:ascii="仿宋" w:hAnsi="仿宋" w:eastAsia="仿宋" w:cs="仿宋"/>
          <w:b w:val="0"/>
          <w:bCs w:val="0"/>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bookmarkStart w:id="985" w:name="_Toc22189"/>
      <w:bookmarkStart w:id="986" w:name="_Toc7541"/>
      <w:bookmarkStart w:id="987" w:name="_Toc14202"/>
      <w:bookmarkStart w:id="988" w:name="_Toc17487"/>
      <w:bookmarkStart w:id="989" w:name="_Toc24805"/>
      <w:bookmarkStart w:id="990" w:name="_Toc20386"/>
      <w:bookmarkStart w:id="991" w:name="_Toc17696"/>
      <w:r>
        <w:rPr>
          <w:rFonts w:hint="eastAsia" w:ascii="仿宋" w:hAnsi="仿宋" w:eastAsia="仿宋" w:cs="仿宋"/>
          <w:b w:val="0"/>
          <w:bCs w:val="0"/>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35.解释权</w:t>
      </w:r>
      <w:bookmarkEnd w:id="985"/>
      <w:bookmarkEnd w:id="986"/>
      <w:bookmarkEnd w:id="987"/>
      <w:bookmarkEnd w:id="988"/>
      <w:bookmarkEnd w:id="989"/>
      <w:bookmarkEnd w:id="990"/>
      <w:bookmarkEnd w:id="991"/>
    </w:p>
    <w:p w14:paraId="4E67ADC5">
      <w:pPr>
        <w:pStyle w:val="3"/>
        <w:keepNext w:val="0"/>
        <w:keepLines w:val="0"/>
        <w:pageBreakBefore w:val="0"/>
        <w:widowControl w:val="0"/>
        <w:kinsoku/>
        <w:wordWrap w:val="0"/>
        <w:overflowPunct/>
        <w:topLinePunct/>
        <w:autoSpaceDE/>
        <w:autoSpaceDN/>
        <w:bidi w:val="0"/>
        <w:adjustRightInd/>
        <w:snapToGrid/>
        <w:spacing w:before="0" w:after="0" w:line="404" w:lineRule="exact"/>
        <w:ind w:left="0" w:leftChars="0" w:right="0" w:firstLine="480" w:firstLineChars="200"/>
        <w:jc w:val="both"/>
        <w:textAlignment w:val="auto"/>
        <w:rPr>
          <w:rFonts w:hint="eastAsia" w:ascii="仿宋" w:hAnsi="仿宋" w:eastAsia="仿宋" w:cs="仿宋"/>
          <w:b w:val="0"/>
          <w:bCs w:val="0"/>
          <w:color w:val="000000" w:themeColor="text1"/>
          <w:spacing w:val="0"/>
          <w:w w:val="100"/>
          <w:position w:val="0"/>
          <w:sz w:val="24"/>
          <w:szCs w:val="24"/>
          <w:highlight w:val="none"/>
          <w14:textFill>
            <w14:solidFill>
              <w14:schemeClr w14:val="tx1"/>
            </w14:solidFill>
          </w14:textFill>
        </w:rPr>
      </w:pPr>
      <w:bookmarkStart w:id="992" w:name="_Toc1522"/>
      <w:bookmarkStart w:id="993" w:name="_Toc17802"/>
      <w:bookmarkStart w:id="994" w:name="_Toc4200"/>
      <w:bookmarkStart w:id="995" w:name="_Toc29205"/>
      <w:bookmarkStart w:id="996" w:name="_Toc24351"/>
      <w:bookmarkStart w:id="997" w:name="_Toc26893"/>
      <w:bookmarkStart w:id="998" w:name="_Toc3326"/>
      <w:r>
        <w:rPr>
          <w:rFonts w:hint="eastAsia" w:ascii="仿宋" w:hAnsi="仿宋" w:eastAsia="仿宋" w:cs="仿宋"/>
          <w:b w:val="0"/>
          <w:bCs w:val="0"/>
          <w:color w:val="000000" w:themeColor="text1"/>
          <w:spacing w:val="0"/>
          <w:w w:val="100"/>
          <w:position w:val="0"/>
          <w:sz w:val="24"/>
          <w:szCs w:val="24"/>
          <w:highlight w:val="none"/>
          <w14:textFill>
            <w14:solidFill>
              <w14:schemeClr w14:val="tx1"/>
            </w14:solidFill>
          </w14:textFill>
        </w:rPr>
        <w:t>本招标文件是根据国家有关</w:t>
      </w:r>
      <w:r>
        <w:rPr>
          <w:rFonts w:hint="eastAsia" w:ascii="仿宋" w:hAnsi="仿宋" w:eastAsia="仿宋" w:cs="仿宋"/>
          <w:b w:val="0"/>
          <w:bCs w:val="0"/>
          <w:color w:val="000000" w:themeColor="text1"/>
          <w:spacing w:val="0"/>
          <w:w w:val="100"/>
          <w:position w:val="0"/>
          <w:sz w:val="24"/>
          <w:szCs w:val="24"/>
          <w:highlight w:val="none"/>
          <w:lang w:eastAsia="zh-CN"/>
          <w14:textFill>
            <w14:solidFill>
              <w14:schemeClr w14:val="tx1"/>
            </w14:solidFill>
          </w14:textFill>
        </w:rPr>
        <w:t>法律法规</w:t>
      </w:r>
      <w:r>
        <w:rPr>
          <w:rFonts w:hint="eastAsia" w:ascii="仿宋" w:hAnsi="仿宋" w:eastAsia="仿宋" w:cs="仿宋"/>
          <w:b w:val="0"/>
          <w:bCs w:val="0"/>
          <w:color w:val="000000" w:themeColor="text1"/>
          <w:spacing w:val="0"/>
          <w:w w:val="100"/>
          <w:position w:val="0"/>
          <w:sz w:val="24"/>
          <w:szCs w:val="24"/>
          <w:highlight w:val="none"/>
          <w14:textFill>
            <w14:solidFill>
              <w14:schemeClr w14:val="tx1"/>
            </w14:solidFill>
          </w14:textFill>
        </w:rPr>
        <w:t>以及政府采购管理有关规定编制，招标文件的最终解释权</w:t>
      </w:r>
      <w:bookmarkStart w:id="999" w:name="_Hlk99122309"/>
      <w:r>
        <w:rPr>
          <w:rFonts w:hint="eastAsia" w:ascii="仿宋" w:hAnsi="仿宋" w:eastAsia="仿宋" w:cs="仿宋"/>
          <w:b w:val="0"/>
          <w:bCs w:val="0"/>
          <w:color w:val="000000" w:themeColor="text1"/>
          <w:spacing w:val="0"/>
          <w:w w:val="100"/>
          <w:position w:val="0"/>
          <w:sz w:val="24"/>
          <w:szCs w:val="24"/>
          <w:highlight w:val="none"/>
          <w14:textFill>
            <w14:solidFill>
              <w14:schemeClr w14:val="tx1"/>
            </w14:solidFill>
          </w14:textFill>
        </w:rPr>
        <w:t>属于采购人、采购代理机构。</w:t>
      </w:r>
      <w:bookmarkEnd w:id="992"/>
      <w:bookmarkEnd w:id="993"/>
      <w:bookmarkEnd w:id="994"/>
      <w:bookmarkEnd w:id="995"/>
      <w:bookmarkEnd w:id="996"/>
      <w:bookmarkEnd w:id="997"/>
      <w:bookmarkEnd w:id="998"/>
      <w:bookmarkEnd w:id="999"/>
      <w:bookmarkStart w:id="1000" w:name="_Toc9107"/>
      <w:bookmarkStart w:id="1001" w:name="_Toc24756"/>
      <w:bookmarkStart w:id="1002" w:name="_Toc27765"/>
      <w:bookmarkStart w:id="1003" w:name="_Toc8087"/>
    </w:p>
    <w:bookmarkEnd w:id="1000"/>
    <w:bookmarkEnd w:id="1001"/>
    <w:bookmarkEnd w:id="1002"/>
    <w:bookmarkEnd w:id="1003"/>
    <w:p w14:paraId="423185A9">
      <w:pPr>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004" w:name="_Toc10852"/>
      <w:bookmarkStart w:id="1005" w:name="_Toc9945"/>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5E0B3B33">
      <w:pPr>
        <w:pStyle w:val="2"/>
        <w:keepNext w:val="0"/>
        <w:keepLines w:val="0"/>
        <w:pageBreakBefore w:val="0"/>
        <w:widowControl w:val="0"/>
        <w:kinsoku/>
        <w:wordWrap w:val="0"/>
        <w:overflowPunct/>
        <w:topLinePunct/>
        <w:autoSpaceDE/>
        <w:autoSpaceDN/>
        <w:bidi w:val="0"/>
        <w:adjustRightInd/>
        <w:snapToGrid/>
        <w:spacing w:line="20" w:lineRule="atLeast"/>
        <w:ind w:left="0" w:leftChars="0" w:right="0"/>
        <w:jc w:val="center"/>
        <w:rPr>
          <w:rStyle w:val="32"/>
          <w:rFonts w:hint="eastAsia" w:ascii="仿宋" w:hAnsi="仿宋" w:eastAsia="仿宋" w:cs="仿宋"/>
          <w:b/>
          <w:bCs w:val="0"/>
          <w:color w:val="000000" w:themeColor="text1"/>
          <w:sz w:val="32"/>
          <w:szCs w:val="32"/>
          <w:highlight w:val="none"/>
          <w:lang w:eastAsia="zh-CN"/>
          <w14:textFill>
            <w14:solidFill>
              <w14:schemeClr w14:val="tx1"/>
            </w14:solidFill>
          </w14:textFill>
        </w:rPr>
      </w:pPr>
      <w:bookmarkStart w:id="1006" w:name="_Toc4636"/>
      <w:r>
        <w:rPr>
          <w:rFonts w:hint="eastAsia" w:ascii="仿宋" w:hAnsi="仿宋" w:eastAsia="仿宋" w:cs="仿宋"/>
          <w:color w:val="000000" w:themeColor="text1"/>
          <w:sz w:val="32"/>
          <w:szCs w:val="32"/>
          <w:highlight w:val="none"/>
          <w:lang w:eastAsia="zh-CN"/>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lang w:eastAsia="zh-CN"/>
          <w14:textFill>
            <w14:solidFill>
              <w14:schemeClr w14:val="tx1"/>
            </w14:solidFill>
          </w14:textFill>
        </w:rPr>
        <w:t>章 采购需求及要求</w:t>
      </w:r>
      <w:bookmarkEnd w:id="1004"/>
      <w:bookmarkEnd w:id="1005"/>
      <w:bookmarkEnd w:id="1006"/>
    </w:p>
    <w:p w14:paraId="765F916B">
      <w:pPr>
        <w:pStyle w:val="7"/>
        <w:keepNext w:val="0"/>
        <w:keepLines w:val="0"/>
        <w:pageBreakBefore w:val="0"/>
        <w:widowControl w:val="0"/>
        <w:kinsoku/>
        <w:wordWrap w:val="0"/>
        <w:overflowPunct/>
        <w:topLinePunct/>
        <w:autoSpaceDE/>
        <w:autoSpaceDN/>
        <w:bidi w:val="0"/>
        <w:adjustRightInd/>
        <w:snapToGrid/>
        <w:spacing w:line="410" w:lineRule="exact"/>
        <w:ind w:left="0" w:right="0"/>
        <w:jc w:val="left"/>
        <w:textAlignment w:val="auto"/>
        <w:outlineLvl w:val="1"/>
        <w:rPr>
          <w:rStyle w:val="32"/>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07" w:name="_Toc28517"/>
      <w:bookmarkStart w:id="1008" w:name="_Toc18232"/>
      <w:bookmarkStart w:id="1009" w:name="_Toc18675"/>
      <w:bookmarkStart w:id="1010" w:name="_Toc24048"/>
      <w:bookmarkStart w:id="1011" w:name="_Toc17870"/>
      <w:bookmarkStart w:id="1012" w:name="_Toc5955"/>
      <w:r>
        <w:rPr>
          <w:rStyle w:val="32"/>
          <w:rFonts w:hint="eastAsia" w:ascii="仿宋" w:hAnsi="仿宋" w:eastAsia="仿宋" w:cs="仿宋"/>
          <w:color w:val="000000" w:themeColor="text1"/>
          <w:sz w:val="24"/>
          <w:szCs w:val="24"/>
          <w:highlight w:val="none"/>
          <w:lang w:val="en-US" w:eastAsia="zh-CN"/>
          <w14:textFill>
            <w14:solidFill>
              <w14:schemeClr w14:val="tx1"/>
            </w14:solidFill>
          </w14:textFill>
        </w:rPr>
        <w:t>一、特别说明与规定</w:t>
      </w:r>
      <w:bookmarkEnd w:id="1007"/>
      <w:bookmarkEnd w:id="1008"/>
      <w:bookmarkEnd w:id="1009"/>
      <w:bookmarkEnd w:id="1010"/>
      <w:bookmarkEnd w:id="1011"/>
      <w:bookmarkEnd w:id="1012"/>
    </w:p>
    <w:p w14:paraId="2DFB08B0">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本部分内容均为</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基本要求，须在《</w:t>
      </w:r>
      <w:r>
        <w:rPr>
          <w:rFonts w:hint="eastAsia" w:ascii="仿宋" w:hAnsi="仿宋" w:eastAsia="仿宋" w:cs="仿宋"/>
          <w:color w:val="000000" w:themeColor="text1"/>
          <w:sz w:val="24"/>
          <w:szCs w:val="24"/>
          <w:highlight w:val="none"/>
          <w:lang w:eastAsia="zh-CN"/>
          <w14:textFill>
            <w14:solidFill>
              <w14:schemeClr w14:val="tx1"/>
            </w14:solidFill>
          </w14:textFill>
        </w:rPr>
        <w:t>技术需求响应/偏离表</w:t>
      </w:r>
      <w:r>
        <w:rPr>
          <w:rFonts w:hint="eastAsia" w:ascii="仿宋" w:hAnsi="仿宋" w:eastAsia="仿宋" w:cs="仿宋"/>
          <w:color w:val="000000" w:themeColor="text1"/>
          <w:sz w:val="24"/>
          <w:szCs w:val="24"/>
          <w:highlight w:val="none"/>
          <w14:textFill>
            <w14:solidFill>
              <w14:schemeClr w14:val="tx1"/>
            </w14:solidFill>
          </w14:textFill>
        </w:rPr>
        <w:t>》中详细说明，未说明的，视为完全响应，中标后必须严格遵守，否则视为违约。</w:t>
      </w:r>
    </w:p>
    <w:p w14:paraId="28E2185A">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所提供的设备必须为原厂生产的全新正品，来源合法。所有货物到达现场应有完整的包装，随机技术、服务性资料和软件齐全。</w:t>
      </w:r>
    </w:p>
    <w:p w14:paraId="0B7C7EEA">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2.采购需求及要求中“技术要求”</w:t>
      </w:r>
      <w:r>
        <w:rPr>
          <w:rFonts w:hint="eastAsia" w:ascii="仿宋" w:hAnsi="仿宋" w:eastAsia="仿宋" w:cs="仿宋"/>
          <w:color w:val="000000" w:themeColor="text1"/>
          <w:sz w:val="24"/>
          <w:szCs w:val="24"/>
          <w:highlight w:val="none"/>
          <w14:textFill>
            <w14:solidFill>
              <w14:schemeClr w14:val="tx1"/>
            </w14:solidFill>
          </w14:textFill>
        </w:rPr>
        <w:t>的各项技术参数和规格要求如出现引用某一特定的专利技术、商标、名称、设计、原产地或供应者等情况，则仅起参考作用。</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可选用实质上“相当于”或“优于”该参考技术规格要求的产品投标，同时填写《</w:t>
      </w:r>
      <w:r>
        <w:rPr>
          <w:rFonts w:hint="eastAsia" w:ascii="仿宋" w:hAnsi="仿宋" w:eastAsia="仿宋" w:cs="仿宋"/>
          <w:color w:val="000000" w:themeColor="text1"/>
          <w:sz w:val="24"/>
          <w:szCs w:val="24"/>
          <w:highlight w:val="none"/>
          <w:lang w:eastAsia="zh-CN"/>
          <w14:textFill>
            <w14:solidFill>
              <w14:schemeClr w14:val="tx1"/>
            </w14:solidFill>
          </w14:textFill>
        </w:rPr>
        <w:t>技术需求响应/偏离表</w:t>
      </w:r>
      <w:r>
        <w:rPr>
          <w:rFonts w:hint="eastAsia" w:ascii="仿宋" w:hAnsi="仿宋" w:eastAsia="仿宋" w:cs="仿宋"/>
          <w:color w:val="000000" w:themeColor="text1"/>
          <w:sz w:val="24"/>
          <w:szCs w:val="24"/>
          <w:highlight w:val="none"/>
          <w14:textFill>
            <w14:solidFill>
              <w14:schemeClr w14:val="tx1"/>
            </w14:solidFill>
          </w14:textFill>
        </w:rPr>
        <w:t>》。</w:t>
      </w:r>
    </w:p>
    <w:p w14:paraId="52C78C2D">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投标人必须根据采购需求及要求中“技术要求”在</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技术需求响应/偏离表</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中作出全面、真实地反映，投标人除如实填写技术规格偏离表外，投标文件中必须提供技术支持资料和支持参数和技术规格偏离表应答（包括但不限于投标产品公开发布的技术白皮书、检测报告、彩页资料）。若投标文件中技术支持资料参数与技术规格偏离表应答不符，以技术支持资料为准；若无技术支持资料导致评审委员会无法判断的，评审委员会可认定为不响应该条技术参数要求。若出现制造商公开发布的技术白皮书、检测报告、彩页资料等技术证明文件中，同一技术参数或指标互相矛盾，以检测机构出具的检测报告为准。</w:t>
      </w:r>
    </w:p>
    <w:p w14:paraId="1E010876">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本章内容是采购人需求的最基本组成，在满足此项目功能要求的前提条</w:t>
      </w:r>
      <w:r>
        <w:rPr>
          <w:rFonts w:hint="eastAsia" w:ascii="仿宋" w:hAnsi="仿宋" w:eastAsia="仿宋" w:cs="仿宋"/>
          <w:color w:val="000000" w:themeColor="text1"/>
          <w:sz w:val="24"/>
          <w:szCs w:val="24"/>
          <w:highlight w:val="none"/>
          <w:lang w:eastAsia="zh-CN"/>
          <w14:textFill>
            <w14:solidFill>
              <w14:schemeClr w14:val="tx1"/>
            </w14:solidFill>
          </w14:textFill>
        </w:rPr>
        <w:t>件下</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不可擅自改动或减</w:t>
      </w:r>
      <w:r>
        <w:rPr>
          <w:rFonts w:hint="eastAsia" w:ascii="仿宋" w:hAnsi="仿宋" w:eastAsia="仿宋" w:cs="仿宋"/>
          <w:color w:val="000000" w:themeColor="text1"/>
          <w:sz w:val="24"/>
          <w:szCs w:val="24"/>
          <w:highlight w:val="none"/>
          <w:lang w:val="en-US" w:eastAsia="zh-CN"/>
          <w14:textFill>
            <w14:solidFill>
              <w14:schemeClr w14:val="tx1"/>
            </w14:solidFill>
          </w14:textFill>
        </w:rPr>
        <w:t>少</w:t>
      </w:r>
      <w:r>
        <w:rPr>
          <w:rFonts w:hint="eastAsia" w:ascii="仿宋" w:hAnsi="仿宋" w:eastAsia="仿宋" w:cs="仿宋"/>
          <w:color w:val="000000" w:themeColor="text1"/>
          <w:sz w:val="24"/>
          <w:szCs w:val="24"/>
          <w:highlight w:val="none"/>
          <w14:textFill>
            <w14:solidFill>
              <w14:schemeClr w14:val="tx1"/>
            </w14:solidFill>
          </w14:textFill>
        </w:rPr>
        <w:t>。如果</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认为采购需求</w:t>
      </w:r>
      <w:r>
        <w:rPr>
          <w:rFonts w:hint="eastAsia" w:ascii="仿宋" w:hAnsi="仿宋" w:eastAsia="仿宋" w:cs="仿宋"/>
          <w:color w:val="000000" w:themeColor="text1"/>
          <w:sz w:val="24"/>
          <w:szCs w:val="24"/>
          <w:highlight w:val="none"/>
          <w:lang w:val="en-US" w:eastAsia="zh-CN"/>
          <w14:textFill>
            <w14:solidFill>
              <w14:schemeClr w14:val="tx1"/>
            </w14:solidFill>
          </w14:textFill>
        </w:rPr>
        <w:t>及要求</w:t>
      </w:r>
      <w:r>
        <w:rPr>
          <w:rFonts w:hint="eastAsia" w:ascii="仿宋" w:hAnsi="仿宋" w:eastAsia="仿宋" w:cs="仿宋"/>
          <w:color w:val="000000" w:themeColor="text1"/>
          <w:sz w:val="24"/>
          <w:szCs w:val="24"/>
          <w:highlight w:val="none"/>
          <w14:textFill>
            <w14:solidFill>
              <w14:schemeClr w14:val="tx1"/>
            </w14:solidFill>
          </w14:textFill>
        </w:rPr>
        <w:t>中缺少了满足采购要求所必需的设备、材料或其他工作内容，</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应在投标时自行完成补齐，并在投标文件中详细说明增加内容及增加理由，同时由此产生的费用包含在投标总价内。对没有填报的费用，采购人将不予支付，并认为此项费用已包含在投标总价中。</w:t>
      </w:r>
    </w:p>
    <w:p w14:paraId="2D60BF3F">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请投标人在制作投标文件时仔细研究项目采购需求及要求。投标人不能简单照搬照抄采购单位项目需求说明中的技术要求，必须作实事求是的响应。如照搬照抄项目需求说明中的技术要求的，中标后在同采购单位签订合同和履约环节中不得提出异议，一切后果和损失由投标人承担。如投标人提供的货物和服务同采购单位提出的项目需求说明中的技术要求不同的，必须在</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技术需求响应/偏离表</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上明示，如不明示的视同完全响应</w:t>
      </w:r>
      <w:r>
        <w:rPr>
          <w:rFonts w:hint="eastAsia" w:ascii="仿宋" w:hAnsi="仿宋" w:eastAsia="仿宋" w:cs="仿宋"/>
          <w:color w:val="000000" w:themeColor="text1"/>
          <w:sz w:val="24"/>
          <w:szCs w:val="24"/>
          <w:highlight w:val="none"/>
          <w14:textFill>
            <w14:solidFill>
              <w14:schemeClr w14:val="tx1"/>
            </w14:solidFill>
          </w14:textFill>
        </w:rPr>
        <w:t>。中标后必须严格遵守，否则视为违约。</w:t>
      </w:r>
    </w:p>
    <w:p w14:paraId="5EF43777">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6.中标后设备的品牌应当是投标文件中约定的品牌,不能随意更换</w:t>
      </w:r>
      <w:r>
        <w:rPr>
          <w:rFonts w:hint="eastAsia" w:ascii="仿宋" w:hAnsi="仿宋" w:eastAsia="仿宋" w:cs="仿宋"/>
          <w:color w:val="000000" w:themeColor="text1"/>
          <w:sz w:val="24"/>
          <w:szCs w:val="24"/>
          <w:highlight w:val="none"/>
          <w14:textFill>
            <w14:solidFill>
              <w14:schemeClr w14:val="tx1"/>
            </w14:solidFill>
          </w14:textFill>
        </w:rPr>
        <w:t>。</w:t>
      </w:r>
      <w:bookmarkStart w:id="1013" w:name="_Toc15845"/>
    </w:p>
    <w:p w14:paraId="454DCFA1">
      <w:pPr>
        <w:pStyle w:val="7"/>
        <w:keepNext w:val="0"/>
        <w:keepLines w:val="0"/>
        <w:pageBreakBefore w:val="0"/>
        <w:widowControl w:val="0"/>
        <w:kinsoku/>
        <w:wordWrap w:val="0"/>
        <w:overflowPunct/>
        <w:topLinePunct/>
        <w:autoSpaceDE/>
        <w:autoSpaceDN/>
        <w:bidi w:val="0"/>
        <w:adjustRightInd/>
        <w:snapToGrid/>
        <w:spacing w:line="410" w:lineRule="exact"/>
        <w:ind w:left="0" w:right="0" w:firstLine="480" w:firstLineChars="200"/>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7"/>
        <w:gridCol w:w="1200"/>
        <w:gridCol w:w="5557"/>
      </w:tblGrid>
      <w:tr w14:paraId="08A5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097" w:type="dxa"/>
            <w:vAlign w:val="center"/>
          </w:tcPr>
          <w:p w14:paraId="026F9A32">
            <w:pPr>
              <w:pStyle w:val="7"/>
              <w:keepNext w:val="0"/>
              <w:keepLines w:val="0"/>
              <w:pageBreakBefore w:val="0"/>
              <w:widowControl w:val="0"/>
              <w:kinsoku/>
              <w:wordWrap w:val="0"/>
              <w:overflowPunct/>
              <w:topLinePunct/>
              <w:autoSpaceDE/>
              <w:autoSpaceDN/>
              <w:bidi w:val="0"/>
              <w:adjustRightInd/>
              <w:snapToGrid/>
              <w:spacing w:line="360" w:lineRule="exact"/>
              <w:ind w:left="0" w:leftChars="0" w:right="0" w:right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cs="仿宋"/>
                <w:b/>
                <w:bCs/>
                <w:color w:val="auto"/>
                <w:sz w:val="24"/>
                <w:szCs w:val="24"/>
                <w:highlight w:val="none"/>
                <w:vertAlign w:val="baseline"/>
                <w:lang w:val="en-US" w:eastAsia="zh-CN"/>
              </w:rPr>
              <w:t>相关标识</w:t>
            </w:r>
          </w:p>
        </w:tc>
        <w:tc>
          <w:tcPr>
            <w:tcW w:w="1200" w:type="dxa"/>
            <w:vAlign w:val="center"/>
          </w:tcPr>
          <w:p w14:paraId="7E628760">
            <w:pPr>
              <w:pStyle w:val="7"/>
              <w:keepNext w:val="0"/>
              <w:keepLines w:val="0"/>
              <w:pageBreakBefore w:val="0"/>
              <w:widowControl w:val="0"/>
              <w:kinsoku/>
              <w:wordWrap w:val="0"/>
              <w:overflowPunct/>
              <w:topLinePunct/>
              <w:autoSpaceDE/>
              <w:autoSpaceDN/>
              <w:bidi w:val="0"/>
              <w:adjustRightInd/>
              <w:snapToGrid/>
              <w:spacing w:line="360" w:lineRule="exact"/>
              <w:ind w:left="0" w:leftChars="0" w:right="0" w:right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cs="仿宋"/>
                <w:b/>
                <w:bCs/>
                <w:color w:val="auto"/>
                <w:sz w:val="24"/>
                <w:szCs w:val="24"/>
                <w:highlight w:val="none"/>
                <w:vertAlign w:val="baseline"/>
                <w:lang w:val="en-US" w:eastAsia="zh-CN"/>
              </w:rPr>
              <w:t>符号</w:t>
            </w:r>
          </w:p>
        </w:tc>
        <w:tc>
          <w:tcPr>
            <w:tcW w:w="5557" w:type="dxa"/>
            <w:vAlign w:val="center"/>
          </w:tcPr>
          <w:p w14:paraId="27433C1F">
            <w:pPr>
              <w:pStyle w:val="7"/>
              <w:keepNext w:val="0"/>
              <w:keepLines w:val="0"/>
              <w:pageBreakBefore w:val="0"/>
              <w:widowControl w:val="0"/>
              <w:kinsoku/>
              <w:wordWrap w:val="0"/>
              <w:overflowPunct/>
              <w:topLinePunct/>
              <w:autoSpaceDE/>
              <w:autoSpaceDN/>
              <w:bidi w:val="0"/>
              <w:adjustRightInd/>
              <w:snapToGrid/>
              <w:spacing w:line="360" w:lineRule="exact"/>
              <w:ind w:left="0" w:leftChars="0" w:right="0" w:right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cs="仿宋"/>
                <w:b/>
                <w:bCs/>
                <w:color w:val="auto"/>
                <w:sz w:val="24"/>
                <w:szCs w:val="24"/>
                <w:highlight w:val="none"/>
                <w:vertAlign w:val="baseline"/>
                <w:lang w:val="en-US" w:eastAsia="zh-CN"/>
              </w:rPr>
              <w:t>含义</w:t>
            </w:r>
          </w:p>
        </w:tc>
      </w:tr>
      <w:tr w14:paraId="021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7" w:type="dxa"/>
            <w:vAlign w:val="center"/>
          </w:tcPr>
          <w:p w14:paraId="732A9860">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实质性参数</w:t>
            </w:r>
          </w:p>
        </w:tc>
        <w:tc>
          <w:tcPr>
            <w:tcW w:w="1200" w:type="dxa"/>
            <w:vAlign w:val="center"/>
          </w:tcPr>
          <w:p w14:paraId="59AE2C3E">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5557" w:type="dxa"/>
            <w:vAlign w:val="center"/>
          </w:tcPr>
          <w:p w14:paraId="47CE528B">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 xml:space="preserve">负偏离或未响应视为实质性不响应招标文件要求。 </w:t>
            </w:r>
          </w:p>
        </w:tc>
      </w:tr>
      <w:tr w14:paraId="505E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7" w:type="dxa"/>
            <w:vAlign w:val="center"/>
          </w:tcPr>
          <w:p w14:paraId="3AA21E98">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重要指标项</w:t>
            </w:r>
          </w:p>
        </w:tc>
        <w:tc>
          <w:tcPr>
            <w:tcW w:w="1200" w:type="dxa"/>
            <w:vAlign w:val="center"/>
          </w:tcPr>
          <w:p w14:paraId="0FE69B9F">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w:t>
            </w:r>
          </w:p>
        </w:tc>
        <w:tc>
          <w:tcPr>
            <w:tcW w:w="5557" w:type="dxa"/>
            <w:vAlign w:val="center"/>
          </w:tcPr>
          <w:p w14:paraId="0879B3BA">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作为评分项，详见“第四章”中评分细则。</w:t>
            </w:r>
          </w:p>
        </w:tc>
      </w:tr>
      <w:tr w14:paraId="7AAA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7" w:type="dxa"/>
            <w:vAlign w:val="center"/>
          </w:tcPr>
          <w:p w14:paraId="71AE1148">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一般技术指标（无标识项）</w:t>
            </w:r>
          </w:p>
        </w:tc>
        <w:tc>
          <w:tcPr>
            <w:tcW w:w="1200" w:type="dxa"/>
            <w:vAlign w:val="center"/>
          </w:tcPr>
          <w:p w14:paraId="231A8B6D">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无</w:t>
            </w:r>
          </w:p>
        </w:tc>
        <w:tc>
          <w:tcPr>
            <w:tcW w:w="5557" w:type="dxa"/>
            <w:vAlign w:val="center"/>
          </w:tcPr>
          <w:p w14:paraId="556929EB">
            <w:pPr>
              <w:pStyle w:val="7"/>
              <w:keepNext w:val="0"/>
              <w:keepLines w:val="0"/>
              <w:pageBreakBefore w:val="0"/>
              <w:widowControl w:val="0"/>
              <w:kinsoku/>
              <w:wordWrap w:val="0"/>
              <w:overflowPunct/>
              <w:topLinePunct/>
              <w:autoSpaceDE/>
              <w:autoSpaceDN/>
              <w:bidi w:val="0"/>
              <w:adjustRightInd/>
              <w:snapToGrid/>
              <w:spacing w:line="360" w:lineRule="exact"/>
              <w:ind w:left="0" w:right="0"/>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作为评分项，详见“第四章”中评分细则。</w:t>
            </w:r>
          </w:p>
        </w:tc>
      </w:tr>
    </w:tbl>
    <w:p w14:paraId="1E23A36F">
      <w:pPr>
        <w:pStyle w:val="7"/>
        <w:keepNext w:val="0"/>
        <w:keepLines w:val="0"/>
        <w:pageBreakBefore w:val="0"/>
        <w:widowControl w:val="0"/>
        <w:kinsoku/>
        <w:wordWrap w:val="0"/>
        <w:overflowPunct/>
        <w:topLinePunct/>
        <w:autoSpaceDE/>
        <w:autoSpaceDN/>
        <w:bidi w:val="0"/>
        <w:adjustRightInd/>
        <w:snapToGrid/>
        <w:spacing w:line="420" w:lineRule="exact"/>
        <w:ind w:left="0" w:right="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注：以投标文件中提供的投标响应表及采购需求要求提供的相关证明材料作为评审依据，投标人应诚实应答。</w:t>
      </w:r>
    </w:p>
    <w:p w14:paraId="0E71CFFA">
      <w:pPr>
        <w:pStyle w:val="7"/>
        <w:keepNext w:val="0"/>
        <w:keepLines w:val="0"/>
        <w:pageBreakBefore w:val="0"/>
        <w:widowControl w:val="0"/>
        <w:kinsoku/>
        <w:wordWrap w:val="0"/>
        <w:overflowPunct/>
        <w:topLinePunct/>
        <w:autoSpaceDE/>
        <w:autoSpaceDN/>
        <w:bidi w:val="0"/>
        <w:adjustRightInd/>
        <w:snapToGrid/>
        <w:spacing w:line="42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sectPr>
          <w:pgSz w:w="11906" w:h="16838"/>
          <w:pgMar w:top="1134" w:right="1134" w:bottom="1134" w:left="1134" w:header="794"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C25314E">
      <w:pPr>
        <w:pStyle w:val="17"/>
        <w:numPr>
          <w:ilvl w:val="0"/>
          <w:numId w:val="2"/>
        </w:numPr>
        <w:ind w:left="0" w:leftChars="0" w:firstLine="0" w:firstLineChars="0"/>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bookmarkStart w:id="1014" w:name="_Toc16099"/>
      <w:bookmarkStart w:id="1015" w:name="_Toc26541"/>
      <w:bookmarkStart w:id="1016" w:name="_Toc25641"/>
      <w:bookmarkStart w:id="1017" w:name="_Toc6501"/>
      <w:bookmarkStart w:id="1018" w:name="_Toc28103"/>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技术要求</w:t>
      </w:r>
      <w:bookmarkEnd w:id="1013"/>
      <w:bookmarkEnd w:id="1014"/>
      <w:bookmarkEnd w:id="1015"/>
      <w:bookmarkEnd w:id="1016"/>
      <w:bookmarkEnd w:id="1017"/>
      <w:bookmarkEnd w:id="1018"/>
    </w:p>
    <w:p w14:paraId="5B971AEB">
      <w:pPr>
        <w:pStyle w:val="17"/>
        <w:numPr>
          <w:ilvl w:val="0"/>
          <w:numId w:val="0"/>
        </w:numPr>
        <w:kinsoku w:val="0"/>
        <w:autoSpaceDE w:val="0"/>
        <w:autoSpaceDN w:val="0"/>
        <w:adjustRightInd w:val="0"/>
        <w:snapToGrid w:val="0"/>
        <w:jc w:val="both"/>
        <w:textAlignment w:val="baseline"/>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p>
    <w:tbl>
      <w:tblPr>
        <w:tblStyle w:val="19"/>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7"/>
        <w:gridCol w:w="4530"/>
        <w:gridCol w:w="3837"/>
        <w:gridCol w:w="1847"/>
        <w:gridCol w:w="905"/>
        <w:gridCol w:w="2514"/>
      </w:tblGrid>
      <w:tr w14:paraId="608C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4760" w:type="dxa"/>
            <w:gridSpan w:val="6"/>
            <w:tcBorders>
              <w:top w:val="single" w:color="000000" w:sz="4" w:space="0"/>
              <w:left w:val="single" w:color="000000" w:sz="4" w:space="0"/>
              <w:bottom w:val="single" w:color="000000" w:sz="4" w:space="0"/>
              <w:right w:val="single" w:color="000000" w:sz="4" w:space="0"/>
            </w:tcBorders>
            <w:shd w:val="clear" w:color="auto" w:fill="FBE6D6" w:themeFill="accent2" w:themeFillTint="32"/>
            <w:noWrap/>
            <w:vAlign w:val="center"/>
          </w:tcPr>
          <w:p w14:paraId="4ECAC4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标项2</w:t>
            </w:r>
          </w:p>
        </w:tc>
      </w:tr>
      <w:tr w14:paraId="1A66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BE6D6" w:themeFill="accent2" w:themeFillTint="32"/>
            <w:noWrap/>
            <w:vAlign w:val="center"/>
          </w:tcPr>
          <w:p w14:paraId="0A987C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全自动清洗工作站技术参数</w:t>
            </w:r>
          </w:p>
        </w:tc>
      </w:tr>
      <w:tr w14:paraId="7988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983" w:type="dxa"/>
            <w:tcBorders>
              <w:top w:val="nil"/>
              <w:left w:val="single" w:color="000000" w:sz="8" w:space="0"/>
              <w:bottom w:val="nil"/>
              <w:right w:val="single" w:color="000000" w:sz="8" w:space="0"/>
            </w:tcBorders>
            <w:shd w:val="clear" w:color="auto" w:fill="FBE6D6" w:themeFill="accent2" w:themeFillTint="32"/>
            <w:vAlign w:val="center"/>
          </w:tcPr>
          <w:p w14:paraId="7F2095C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4252" w:type="dxa"/>
            <w:tcBorders>
              <w:top w:val="nil"/>
              <w:left w:val="single" w:color="000000" w:sz="8" w:space="0"/>
              <w:bottom w:val="nil"/>
              <w:right w:val="single" w:color="000000" w:sz="8" w:space="0"/>
            </w:tcBorders>
            <w:shd w:val="clear" w:color="auto" w:fill="FBE6D6" w:themeFill="accent2" w:themeFillTint="32"/>
            <w:vAlign w:val="center"/>
          </w:tcPr>
          <w:p w14:paraId="3F6160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设备/功能名称</w:t>
            </w:r>
          </w:p>
        </w:tc>
        <w:tc>
          <w:tcPr>
            <w:tcW w:w="4204" w:type="dxa"/>
            <w:tcBorders>
              <w:top w:val="nil"/>
              <w:left w:val="single" w:color="000000" w:sz="8" w:space="0"/>
              <w:bottom w:val="nil"/>
              <w:right w:val="single" w:color="000000" w:sz="8" w:space="0"/>
            </w:tcBorders>
            <w:shd w:val="clear" w:color="auto" w:fill="FBE6D6" w:themeFill="accent2" w:themeFillTint="32"/>
            <w:vAlign w:val="center"/>
          </w:tcPr>
          <w:p w14:paraId="535A0FE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技术参数、性能指标或需求</w:t>
            </w:r>
          </w:p>
        </w:tc>
        <w:tc>
          <w:tcPr>
            <w:tcW w:w="0" w:type="auto"/>
            <w:tcBorders>
              <w:top w:val="nil"/>
              <w:left w:val="single" w:color="000000" w:sz="8" w:space="0"/>
              <w:bottom w:val="nil"/>
              <w:right w:val="single" w:color="000000" w:sz="8" w:space="0"/>
            </w:tcBorders>
            <w:shd w:val="clear" w:color="auto" w:fill="FBE6D6" w:themeFill="accent2" w:themeFillTint="32"/>
            <w:noWrap/>
            <w:vAlign w:val="center"/>
          </w:tcPr>
          <w:p w14:paraId="3D4408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采购数量</w:t>
            </w:r>
          </w:p>
        </w:tc>
        <w:tc>
          <w:tcPr>
            <w:tcW w:w="0" w:type="auto"/>
            <w:tcBorders>
              <w:top w:val="nil"/>
              <w:left w:val="single" w:color="000000" w:sz="8" w:space="0"/>
              <w:bottom w:val="nil"/>
              <w:right w:val="single" w:color="000000" w:sz="8" w:space="0"/>
            </w:tcBorders>
            <w:shd w:val="clear" w:color="auto" w:fill="FBE6D6" w:themeFill="accent2" w:themeFillTint="32"/>
            <w:noWrap/>
            <w:vAlign w:val="center"/>
          </w:tcPr>
          <w:p w14:paraId="45D54B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1套</w:t>
            </w:r>
          </w:p>
        </w:tc>
        <w:tc>
          <w:tcPr>
            <w:tcW w:w="0" w:type="auto"/>
            <w:tcBorders>
              <w:top w:val="nil"/>
              <w:left w:val="single" w:color="000000" w:sz="8" w:space="0"/>
              <w:bottom w:val="nil"/>
              <w:right w:val="single" w:color="000000" w:sz="8" w:space="0"/>
            </w:tcBorders>
            <w:shd w:val="clear" w:color="auto" w:fill="FBE6D6" w:themeFill="accent2" w:themeFillTint="32"/>
            <w:noWrap/>
            <w:vAlign w:val="center"/>
          </w:tcPr>
          <w:p w14:paraId="40EFA4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备注</w:t>
            </w:r>
          </w:p>
        </w:tc>
      </w:tr>
      <w:tr w14:paraId="4C2E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C54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1D5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整体设备符合GB 4793.1-2007要求。</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4C9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 防电击保护的结构符合GB4793.1（6.9.1、6.9.2）要求。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F925">
            <w:pPr>
              <w:jc w:val="center"/>
              <w:rPr>
                <w:rFonts w:hint="eastAsia" w:ascii="仿宋" w:hAnsi="仿宋" w:eastAsia="仿宋" w:cs="仿宋"/>
                <w:i w:val="0"/>
                <w:iCs w:val="0"/>
                <w:color w:val="000000"/>
                <w:sz w:val="24"/>
                <w:szCs w:val="24"/>
                <w:u w:val="none"/>
              </w:rPr>
            </w:pPr>
          </w:p>
        </w:tc>
      </w:tr>
      <w:tr w14:paraId="17B4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26B6">
            <w:pPr>
              <w:jc w:val="center"/>
              <w:rPr>
                <w:rFonts w:hint="eastAsia" w:ascii="仿宋" w:hAnsi="仿宋" w:eastAsia="仿宋" w:cs="仿宋"/>
                <w:i w:val="0"/>
                <w:iCs w:val="0"/>
                <w:color w:val="000000"/>
                <w:sz w:val="24"/>
                <w:szCs w:val="24"/>
                <w:u w:val="none"/>
              </w:rPr>
            </w:pPr>
          </w:p>
        </w:tc>
        <w:tc>
          <w:tcPr>
            <w:tcW w:w="4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0309">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387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 供电电源的断开符合GB4793.1（6.11.2.2、6.11.3）要求。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F92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提供检测报告证明文件，并标明在附件中的页码</w:t>
            </w:r>
          </w:p>
        </w:tc>
      </w:tr>
      <w:tr w14:paraId="3D8B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7AE3">
            <w:pPr>
              <w:jc w:val="center"/>
              <w:rPr>
                <w:rFonts w:hint="eastAsia" w:ascii="仿宋" w:hAnsi="仿宋" w:eastAsia="仿宋" w:cs="仿宋"/>
                <w:i w:val="0"/>
                <w:iCs w:val="0"/>
                <w:color w:val="000000"/>
                <w:sz w:val="24"/>
                <w:szCs w:val="24"/>
                <w:u w:val="none"/>
              </w:rPr>
            </w:pPr>
          </w:p>
        </w:tc>
        <w:tc>
          <w:tcPr>
            <w:tcW w:w="4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E90B">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3D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 防器械的危险符合GB 4793.1（7.2、7.3）要求。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E1B2">
            <w:pPr>
              <w:jc w:val="center"/>
              <w:rPr>
                <w:rFonts w:hint="eastAsia" w:ascii="仿宋" w:hAnsi="仿宋" w:eastAsia="仿宋" w:cs="仿宋"/>
                <w:i w:val="0"/>
                <w:iCs w:val="0"/>
                <w:color w:val="000000"/>
                <w:sz w:val="24"/>
                <w:szCs w:val="24"/>
                <w:u w:val="none"/>
              </w:rPr>
            </w:pPr>
          </w:p>
        </w:tc>
      </w:tr>
      <w:tr w14:paraId="12C8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7E79">
            <w:pPr>
              <w:jc w:val="center"/>
              <w:rPr>
                <w:rFonts w:hint="eastAsia" w:ascii="仿宋" w:hAnsi="仿宋" w:eastAsia="仿宋" w:cs="仿宋"/>
                <w:i w:val="0"/>
                <w:iCs w:val="0"/>
                <w:color w:val="000000"/>
                <w:sz w:val="24"/>
                <w:szCs w:val="24"/>
                <w:u w:val="none"/>
              </w:rPr>
            </w:pPr>
          </w:p>
        </w:tc>
        <w:tc>
          <w:tcPr>
            <w:tcW w:w="4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D84D">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E5C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 设备耐冲击和撞击符合GB 4793.1中规定要求。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E9B9">
            <w:pPr>
              <w:jc w:val="center"/>
              <w:rPr>
                <w:rFonts w:hint="eastAsia" w:ascii="仿宋" w:hAnsi="仿宋" w:eastAsia="仿宋" w:cs="仿宋"/>
                <w:i w:val="0"/>
                <w:iCs w:val="0"/>
                <w:color w:val="000000"/>
                <w:sz w:val="24"/>
                <w:szCs w:val="24"/>
                <w:u w:val="none"/>
              </w:rPr>
            </w:pPr>
          </w:p>
        </w:tc>
      </w:tr>
      <w:tr w14:paraId="6129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7C5CC">
            <w:pPr>
              <w:jc w:val="center"/>
              <w:rPr>
                <w:rFonts w:hint="eastAsia" w:ascii="仿宋" w:hAnsi="仿宋" w:eastAsia="仿宋" w:cs="仿宋"/>
                <w:i w:val="0"/>
                <w:iCs w:val="0"/>
                <w:color w:val="000000"/>
                <w:sz w:val="24"/>
                <w:szCs w:val="24"/>
                <w:u w:val="none"/>
              </w:rPr>
            </w:pPr>
          </w:p>
        </w:tc>
        <w:tc>
          <w:tcPr>
            <w:tcW w:w="4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6240">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324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 设备防火或着火符合GB 4793.1中规定要求。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E40">
            <w:pPr>
              <w:jc w:val="center"/>
              <w:rPr>
                <w:rFonts w:hint="eastAsia" w:ascii="仿宋" w:hAnsi="仿宋" w:eastAsia="仿宋" w:cs="仿宋"/>
                <w:i w:val="0"/>
                <w:iCs w:val="0"/>
                <w:color w:val="000000"/>
                <w:sz w:val="24"/>
                <w:szCs w:val="24"/>
                <w:u w:val="none"/>
              </w:rPr>
            </w:pPr>
          </w:p>
        </w:tc>
      </w:tr>
      <w:tr w14:paraId="2C0F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B226">
            <w:pPr>
              <w:jc w:val="center"/>
              <w:rPr>
                <w:rFonts w:hint="eastAsia" w:ascii="仿宋" w:hAnsi="仿宋" w:eastAsia="仿宋" w:cs="仿宋"/>
                <w:i w:val="0"/>
                <w:iCs w:val="0"/>
                <w:color w:val="000000"/>
                <w:sz w:val="24"/>
                <w:szCs w:val="24"/>
                <w:u w:val="none"/>
              </w:rPr>
            </w:pPr>
          </w:p>
        </w:tc>
        <w:tc>
          <w:tcPr>
            <w:tcW w:w="4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7782">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3CB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 设备保护连接符合GB 4793.1（6.5.1.1、6.5.1.2）要求。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5B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提供检测报告证明文件，并标明在附件中的页码</w:t>
            </w:r>
          </w:p>
        </w:tc>
      </w:tr>
      <w:tr w14:paraId="71E2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B8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背板、台面、清洗槽</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DA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均采用PMMA高分子材料，经历多层复合。</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04E8">
            <w:pPr>
              <w:jc w:val="center"/>
              <w:rPr>
                <w:rFonts w:hint="eastAsia" w:ascii="仿宋" w:hAnsi="仿宋" w:eastAsia="仿宋" w:cs="仿宋"/>
                <w:i w:val="0"/>
                <w:iCs w:val="0"/>
                <w:color w:val="000000"/>
                <w:sz w:val="24"/>
                <w:szCs w:val="24"/>
                <w:u w:val="none"/>
              </w:rPr>
            </w:pPr>
          </w:p>
        </w:tc>
      </w:tr>
      <w:tr w14:paraId="454E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F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干燥台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0DF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规格根据现场场地尺寸定制。</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2E7C">
            <w:pPr>
              <w:jc w:val="center"/>
              <w:rPr>
                <w:rFonts w:hint="eastAsia" w:ascii="仿宋" w:hAnsi="仿宋" w:eastAsia="仿宋" w:cs="仿宋"/>
                <w:i w:val="0"/>
                <w:iCs w:val="0"/>
                <w:color w:val="000000"/>
                <w:sz w:val="24"/>
                <w:szCs w:val="24"/>
                <w:u w:val="none"/>
              </w:rPr>
            </w:pPr>
          </w:p>
        </w:tc>
      </w:tr>
      <w:tr w14:paraId="37F5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8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背板材料</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69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采用PMMA复合材料，厚度：≥6mm，无须玻璃钢加固。</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B39D">
            <w:pPr>
              <w:jc w:val="center"/>
              <w:rPr>
                <w:rFonts w:hint="eastAsia" w:ascii="仿宋" w:hAnsi="仿宋" w:eastAsia="仿宋" w:cs="仿宋"/>
                <w:i w:val="0"/>
                <w:iCs w:val="0"/>
                <w:color w:val="000000"/>
                <w:sz w:val="24"/>
                <w:szCs w:val="24"/>
                <w:u w:val="none"/>
              </w:rPr>
            </w:pPr>
          </w:p>
        </w:tc>
      </w:tr>
      <w:tr w14:paraId="0FB3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0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背板和干燥台</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116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仰角设计，便于各种功能键的操作，有效的防止内镜和其他正在干燥的附件等意外滑落。</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FFF">
            <w:pPr>
              <w:jc w:val="center"/>
              <w:rPr>
                <w:rFonts w:hint="eastAsia" w:ascii="仿宋" w:hAnsi="仿宋" w:eastAsia="仿宋" w:cs="仿宋"/>
                <w:i w:val="0"/>
                <w:iCs w:val="0"/>
                <w:color w:val="000000"/>
                <w:sz w:val="24"/>
                <w:szCs w:val="24"/>
                <w:u w:val="none"/>
              </w:rPr>
            </w:pPr>
          </w:p>
        </w:tc>
      </w:tr>
      <w:tr w14:paraId="1FDA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6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台面支架选用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C73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≥304不锈钢，厚度：≥1.2mm。带万向轮，所有柜体均有防腐、防潮、承重的T优质PVC储物底板。底部采用悬空设计符合院感要求。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A318">
            <w:pPr>
              <w:jc w:val="center"/>
              <w:rPr>
                <w:rFonts w:hint="eastAsia" w:ascii="仿宋" w:hAnsi="仿宋" w:eastAsia="仿宋" w:cs="仿宋"/>
                <w:i w:val="0"/>
                <w:iCs w:val="0"/>
                <w:color w:val="000000"/>
                <w:sz w:val="24"/>
                <w:szCs w:val="24"/>
                <w:u w:val="none"/>
              </w:rPr>
            </w:pPr>
          </w:p>
        </w:tc>
      </w:tr>
      <w:tr w14:paraId="1A4F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F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给水龙头和去水器选用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DD0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≥304不锈钢材质，其它所有给水管和排水管均采用PRPP管材和管件，符合GB/T 18742.2-2002中PP-R技术要求和SH-T 1750-2005技术要求，非PVC钢丝软管及PVC-U管材及管件组成。供气管道系统外径：≥8mm，内径：≥5mm。</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850F">
            <w:pPr>
              <w:jc w:val="center"/>
              <w:rPr>
                <w:rFonts w:hint="eastAsia" w:ascii="仿宋" w:hAnsi="仿宋" w:eastAsia="仿宋" w:cs="仿宋"/>
                <w:i w:val="0"/>
                <w:iCs w:val="0"/>
                <w:color w:val="000000"/>
                <w:sz w:val="24"/>
                <w:szCs w:val="24"/>
                <w:u w:val="none"/>
              </w:rPr>
            </w:pPr>
          </w:p>
        </w:tc>
      </w:tr>
      <w:tr w14:paraId="3F1A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DC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▲内镜清洗消毒</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6E2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内镜清洗消毒工作站中相关管路、弯头、三通等材料，在邻苯二甲醛消毒液中，保持在 37℃条件下浸泡时间 60h（等同于室温保持在 20~25℃浸泡时间：≥486 小时），观察外观无变化。</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A6C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提供检测报告证明文件，并标明在附件中的页码</w:t>
            </w:r>
          </w:p>
        </w:tc>
      </w:tr>
      <w:tr w14:paraId="20AC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83" w:type="dxa"/>
            <w:vMerge w:val="restart"/>
            <w:tcBorders>
              <w:top w:val="nil"/>
              <w:left w:val="single" w:color="000000" w:sz="4" w:space="0"/>
              <w:bottom w:val="single" w:color="000000" w:sz="4" w:space="0"/>
              <w:right w:val="single" w:color="000000" w:sz="4" w:space="0"/>
            </w:tcBorders>
            <w:shd w:val="clear" w:color="auto" w:fill="auto"/>
            <w:vAlign w:val="center"/>
          </w:tcPr>
          <w:p w14:paraId="35E60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4252" w:type="dxa"/>
            <w:vMerge w:val="restart"/>
            <w:tcBorders>
              <w:top w:val="nil"/>
              <w:left w:val="single" w:color="000000" w:sz="4" w:space="0"/>
              <w:bottom w:val="single" w:color="000000" w:sz="4" w:space="0"/>
              <w:right w:val="single" w:color="000000" w:sz="4" w:space="0"/>
            </w:tcBorders>
            <w:shd w:val="clear" w:color="auto" w:fill="auto"/>
            <w:vAlign w:val="center"/>
          </w:tcPr>
          <w:p w14:paraId="77EC4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自动注水器</w:t>
            </w:r>
          </w:p>
        </w:tc>
        <w:tc>
          <w:tcPr>
            <w:tcW w:w="7011" w:type="dxa"/>
            <w:gridSpan w:val="3"/>
            <w:tcBorders>
              <w:top w:val="nil"/>
              <w:left w:val="single" w:color="000000" w:sz="4" w:space="0"/>
              <w:bottom w:val="single" w:color="000000" w:sz="4" w:space="0"/>
              <w:right w:val="single" w:color="000000" w:sz="4" w:space="0"/>
            </w:tcBorders>
            <w:shd w:val="clear" w:color="auto" w:fill="auto"/>
            <w:vAlign w:val="center"/>
          </w:tcPr>
          <w:p w14:paraId="6201B7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9.1 隐藏式设计。</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0C1">
            <w:pPr>
              <w:jc w:val="center"/>
              <w:rPr>
                <w:rFonts w:hint="eastAsia" w:ascii="仿宋" w:hAnsi="仿宋" w:eastAsia="仿宋" w:cs="仿宋"/>
                <w:i w:val="0"/>
                <w:iCs w:val="0"/>
                <w:color w:val="000000"/>
                <w:sz w:val="24"/>
                <w:szCs w:val="24"/>
                <w:u w:val="none"/>
              </w:rPr>
            </w:pPr>
          </w:p>
        </w:tc>
      </w:tr>
      <w:tr w14:paraId="1029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983" w:type="dxa"/>
            <w:vMerge w:val="continue"/>
            <w:tcBorders>
              <w:top w:val="nil"/>
              <w:left w:val="single" w:color="000000" w:sz="4" w:space="0"/>
              <w:bottom w:val="single" w:color="000000" w:sz="4" w:space="0"/>
              <w:right w:val="single" w:color="000000" w:sz="4" w:space="0"/>
            </w:tcBorders>
            <w:shd w:val="clear" w:color="auto" w:fill="auto"/>
            <w:vAlign w:val="center"/>
          </w:tcPr>
          <w:p w14:paraId="119656A5">
            <w:pPr>
              <w:jc w:val="center"/>
              <w:rPr>
                <w:rFonts w:hint="eastAsia" w:ascii="仿宋" w:hAnsi="仿宋" w:eastAsia="仿宋" w:cs="仿宋"/>
                <w:i w:val="0"/>
                <w:iCs w:val="0"/>
                <w:color w:val="000000"/>
                <w:sz w:val="24"/>
                <w:szCs w:val="24"/>
                <w:u w:val="none"/>
              </w:rPr>
            </w:pPr>
          </w:p>
        </w:tc>
        <w:tc>
          <w:tcPr>
            <w:tcW w:w="4252" w:type="dxa"/>
            <w:vMerge w:val="continue"/>
            <w:tcBorders>
              <w:top w:val="nil"/>
              <w:left w:val="single" w:color="000000" w:sz="4" w:space="0"/>
              <w:bottom w:val="single" w:color="000000" w:sz="4" w:space="0"/>
              <w:right w:val="single" w:color="000000" w:sz="4" w:space="0"/>
            </w:tcBorders>
            <w:shd w:val="clear" w:color="auto" w:fill="auto"/>
            <w:vAlign w:val="center"/>
          </w:tcPr>
          <w:p w14:paraId="4C1679C4">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706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9.2 注液器与电脑控制器，控制实际操作流程，并具备定时、计时功能，结束时声音报警提示功能。</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895E">
            <w:pPr>
              <w:jc w:val="center"/>
              <w:rPr>
                <w:rFonts w:hint="eastAsia" w:ascii="仿宋" w:hAnsi="仿宋" w:eastAsia="仿宋" w:cs="仿宋"/>
                <w:i w:val="0"/>
                <w:iCs w:val="0"/>
                <w:color w:val="000000"/>
                <w:sz w:val="24"/>
                <w:szCs w:val="24"/>
                <w:u w:val="none"/>
              </w:rPr>
            </w:pPr>
          </w:p>
        </w:tc>
      </w:tr>
      <w:tr w14:paraId="6AF9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983" w:type="dxa"/>
            <w:vMerge w:val="continue"/>
            <w:tcBorders>
              <w:top w:val="nil"/>
              <w:left w:val="single" w:color="000000" w:sz="4" w:space="0"/>
              <w:bottom w:val="single" w:color="000000" w:sz="4" w:space="0"/>
              <w:right w:val="single" w:color="000000" w:sz="4" w:space="0"/>
            </w:tcBorders>
            <w:shd w:val="clear" w:color="auto" w:fill="auto"/>
            <w:vAlign w:val="center"/>
          </w:tcPr>
          <w:p w14:paraId="499FEF8C">
            <w:pPr>
              <w:jc w:val="center"/>
              <w:rPr>
                <w:rFonts w:hint="eastAsia" w:ascii="仿宋" w:hAnsi="仿宋" w:eastAsia="仿宋" w:cs="仿宋"/>
                <w:i w:val="0"/>
                <w:iCs w:val="0"/>
                <w:color w:val="000000"/>
                <w:sz w:val="24"/>
                <w:szCs w:val="24"/>
                <w:u w:val="none"/>
              </w:rPr>
            </w:pPr>
          </w:p>
        </w:tc>
        <w:tc>
          <w:tcPr>
            <w:tcW w:w="4252" w:type="dxa"/>
            <w:vMerge w:val="continue"/>
            <w:tcBorders>
              <w:top w:val="nil"/>
              <w:left w:val="single" w:color="000000" w:sz="4" w:space="0"/>
              <w:bottom w:val="single" w:color="000000" w:sz="4" w:space="0"/>
              <w:right w:val="single" w:color="000000" w:sz="4" w:space="0"/>
            </w:tcBorders>
            <w:shd w:val="clear" w:color="auto" w:fill="auto"/>
            <w:vAlign w:val="center"/>
          </w:tcPr>
          <w:p w14:paraId="4793378F">
            <w:pPr>
              <w:jc w:val="center"/>
              <w:rPr>
                <w:rFonts w:hint="eastAsia" w:ascii="仿宋" w:hAnsi="仿宋" w:eastAsia="仿宋" w:cs="仿宋"/>
                <w:i w:val="0"/>
                <w:iCs w:val="0"/>
                <w:color w:val="000000"/>
                <w:sz w:val="24"/>
                <w:szCs w:val="24"/>
                <w:u w:val="none"/>
              </w:rPr>
            </w:pP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466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9.3采用液晶触摸屏，PLC控制，触摸屏尺寸：≥97*56mm，各状态功能均有微电脑控制隐藏式设计，显示屏实时显示自动灌流状态。采用原装快插接头，拔插方便。</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6CA5">
            <w:pPr>
              <w:jc w:val="center"/>
              <w:rPr>
                <w:rFonts w:hint="eastAsia" w:ascii="仿宋" w:hAnsi="仿宋" w:eastAsia="仿宋" w:cs="仿宋"/>
                <w:i w:val="0"/>
                <w:iCs w:val="0"/>
                <w:color w:val="000000"/>
                <w:sz w:val="24"/>
                <w:szCs w:val="24"/>
                <w:u w:val="none"/>
              </w:rPr>
            </w:pPr>
          </w:p>
        </w:tc>
      </w:tr>
      <w:tr w14:paraId="13FA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9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F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▲自动灌流器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FE8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自动灌流器带排水控制键为一整体，普通模式、追溯模式可快速切换。</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303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提供实物图片证明，并标明在附件中的页码</w:t>
            </w:r>
          </w:p>
        </w:tc>
      </w:tr>
      <w:tr w14:paraId="714C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6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E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▲排水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62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排水需输密码二次确认。</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BC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提供实物图片证明，并标明在附件中的页码</w:t>
            </w:r>
          </w:p>
        </w:tc>
      </w:tr>
      <w:tr w14:paraId="2437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D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▲电动阀</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40E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PVC材质，耐腐蚀。</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DE2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提供实物图片证明，并标明在附件中的页码</w:t>
            </w:r>
          </w:p>
        </w:tc>
      </w:tr>
      <w:tr w14:paraId="1FFD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医用无油空气压缩机</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5AF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采用静音医用无油气泵，容积：≥20L，全自动控制。当气罐内压力达到设定的最小值或最大值时，压缩机自动开机或停机。</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9F22">
            <w:pPr>
              <w:jc w:val="center"/>
              <w:rPr>
                <w:rFonts w:hint="eastAsia" w:ascii="仿宋" w:hAnsi="仿宋" w:eastAsia="仿宋" w:cs="仿宋"/>
                <w:i w:val="0"/>
                <w:iCs w:val="0"/>
                <w:color w:val="000000"/>
                <w:sz w:val="24"/>
                <w:szCs w:val="24"/>
                <w:u w:val="none"/>
              </w:rPr>
            </w:pPr>
          </w:p>
        </w:tc>
      </w:tr>
      <w:tr w14:paraId="075B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8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专用水龙头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11D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SUS304不锈钢材质；全不锈钢软式编织管，连接软管两端为全不锈钢螺母，采用铜螺母；取水360度旋转式设计；有冷、热水接口。</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C24E">
            <w:pPr>
              <w:jc w:val="center"/>
              <w:rPr>
                <w:rFonts w:hint="eastAsia" w:ascii="仿宋" w:hAnsi="仿宋" w:eastAsia="仿宋" w:cs="仿宋"/>
                <w:i w:val="0"/>
                <w:iCs w:val="0"/>
                <w:color w:val="000000"/>
                <w:sz w:val="24"/>
                <w:szCs w:val="24"/>
                <w:u w:val="none"/>
              </w:rPr>
            </w:pPr>
          </w:p>
        </w:tc>
      </w:tr>
      <w:tr w14:paraId="5E74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高压气枪</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553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额定压力：≥0.29Mpa。压力和出水，出气方向可调。内镜专用，采用304不锈钢材料一次性开模铸造，无接缝，防腐蚀电镀处理，开关压力可调。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599">
            <w:pPr>
              <w:jc w:val="center"/>
              <w:rPr>
                <w:rFonts w:hint="eastAsia" w:ascii="仿宋" w:hAnsi="仿宋" w:eastAsia="仿宋" w:cs="仿宋"/>
                <w:i w:val="0"/>
                <w:iCs w:val="0"/>
                <w:color w:val="000000"/>
                <w:sz w:val="24"/>
                <w:szCs w:val="24"/>
                <w:u w:val="none"/>
              </w:rPr>
            </w:pPr>
          </w:p>
        </w:tc>
      </w:tr>
      <w:tr w14:paraId="0186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0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A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消毒槽盖</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698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采用ABS材质，独立开模制造，全方位观看到物品浸泡情况，配置强塑材质手柄。</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971">
            <w:pPr>
              <w:jc w:val="center"/>
              <w:rPr>
                <w:rFonts w:hint="eastAsia" w:ascii="仿宋" w:hAnsi="仿宋" w:eastAsia="仿宋" w:cs="仿宋"/>
                <w:i w:val="0"/>
                <w:iCs w:val="0"/>
                <w:color w:val="000000"/>
                <w:sz w:val="24"/>
                <w:szCs w:val="24"/>
                <w:u w:val="none"/>
              </w:rPr>
            </w:pPr>
          </w:p>
        </w:tc>
      </w:tr>
      <w:tr w14:paraId="5590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B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控制系统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875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采用与设备一体式的设计控制面板外置，一键式操作。</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CF1D">
            <w:pPr>
              <w:jc w:val="center"/>
              <w:rPr>
                <w:rFonts w:hint="eastAsia" w:ascii="仿宋" w:hAnsi="仿宋" w:eastAsia="仿宋" w:cs="仿宋"/>
                <w:i w:val="0"/>
                <w:iCs w:val="0"/>
                <w:color w:val="000000"/>
                <w:sz w:val="24"/>
                <w:szCs w:val="24"/>
                <w:u w:val="none"/>
              </w:rPr>
            </w:pPr>
          </w:p>
        </w:tc>
      </w:tr>
      <w:tr w14:paraId="1553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6"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84D0">
            <w:pPr>
              <w:jc w:val="center"/>
              <w:rPr>
                <w:rFonts w:hint="eastAsia" w:ascii="仿宋" w:hAnsi="仿宋" w:eastAsia="仿宋" w:cs="仿宋"/>
                <w:i w:val="0"/>
                <w:iCs w:val="0"/>
                <w:color w:val="000000"/>
                <w:sz w:val="24"/>
                <w:szCs w:val="24"/>
                <w:u w:val="none"/>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 配置要求（实质性内容，必须整体满足）</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194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18.1 配置容积：≥140L升降式医用数控煮沸消毒器1套，材质为304不锈钢拉丝板，装载量为标准篮筐：≥4只。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18.2 洗、消槽：5槽。</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18.3 功能背板：1套。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18.4 干燥台：1套。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18.5 多功能灌流器：5套。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18.6 高压水枪：4套。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18.7 高压气枪：4套。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18.8 无油静音空压机：1套。</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18.9 折叠水龙头，材质304不锈钢：5个。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18.10 手套、纱布盒、挂钩 ：1套。</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C29F">
            <w:pPr>
              <w:jc w:val="center"/>
              <w:rPr>
                <w:rFonts w:hint="eastAsia" w:ascii="仿宋" w:hAnsi="仿宋" w:eastAsia="仿宋" w:cs="仿宋"/>
                <w:i w:val="0"/>
                <w:iCs w:val="0"/>
                <w:color w:val="000000"/>
                <w:sz w:val="24"/>
                <w:szCs w:val="24"/>
                <w:u w:val="none"/>
              </w:rPr>
            </w:pPr>
          </w:p>
        </w:tc>
      </w:tr>
      <w:tr w14:paraId="365F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gridSpan w:val="6"/>
            <w:tcBorders>
              <w:top w:val="single" w:color="000000" w:sz="4" w:space="0"/>
              <w:left w:val="single" w:color="000000" w:sz="4" w:space="0"/>
              <w:bottom w:val="single" w:color="auto" w:sz="4" w:space="0"/>
              <w:right w:val="single" w:color="000000" w:sz="4" w:space="0"/>
            </w:tcBorders>
            <w:shd w:val="clear" w:color="auto" w:fill="FBE6D6" w:themeFill="accent2" w:themeFillTint="32"/>
            <w:noWrap/>
            <w:vAlign w:val="center"/>
          </w:tcPr>
          <w:p w14:paraId="5C6638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过氧化氢低温等离子灭菌器技术参数</w:t>
            </w:r>
          </w:p>
        </w:tc>
      </w:tr>
      <w:tr w14:paraId="4FE3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83" w:type="dxa"/>
            <w:tcBorders>
              <w:top w:val="single" w:color="auto" w:sz="4" w:space="0"/>
              <w:left w:val="single" w:color="auto" w:sz="4" w:space="0"/>
              <w:bottom w:val="single" w:color="auto" w:sz="4" w:space="0"/>
              <w:right w:val="single" w:color="auto" w:sz="4" w:space="0"/>
            </w:tcBorders>
            <w:shd w:val="clear" w:color="auto" w:fill="FBE6D6" w:themeFill="accent2" w:themeFillTint="32"/>
            <w:vAlign w:val="center"/>
          </w:tcPr>
          <w:p w14:paraId="5CAE18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序号</w:t>
            </w:r>
          </w:p>
        </w:tc>
        <w:tc>
          <w:tcPr>
            <w:tcW w:w="4252" w:type="dxa"/>
            <w:tcBorders>
              <w:top w:val="single" w:color="auto" w:sz="4" w:space="0"/>
              <w:left w:val="single" w:color="auto" w:sz="4" w:space="0"/>
              <w:bottom w:val="single" w:color="auto" w:sz="4" w:space="0"/>
              <w:right w:val="single" w:color="auto" w:sz="4" w:space="0"/>
            </w:tcBorders>
            <w:shd w:val="clear" w:color="auto" w:fill="FBE6D6" w:themeFill="accent2" w:themeFillTint="32"/>
            <w:vAlign w:val="center"/>
          </w:tcPr>
          <w:p w14:paraId="509F70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设备/功能名称</w:t>
            </w:r>
          </w:p>
        </w:tc>
        <w:tc>
          <w:tcPr>
            <w:tcW w:w="4204" w:type="dxa"/>
            <w:tcBorders>
              <w:top w:val="single" w:color="auto" w:sz="4" w:space="0"/>
              <w:left w:val="single" w:color="auto" w:sz="4" w:space="0"/>
              <w:bottom w:val="single" w:color="auto" w:sz="4" w:space="0"/>
              <w:right w:val="single" w:color="auto" w:sz="4" w:space="0"/>
            </w:tcBorders>
            <w:shd w:val="clear" w:color="auto" w:fill="FBE6D6" w:themeFill="accent2" w:themeFillTint="32"/>
            <w:vAlign w:val="center"/>
          </w:tcPr>
          <w:p w14:paraId="19629E5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技术参数、性能指标或需求</w:t>
            </w:r>
          </w:p>
        </w:tc>
        <w:tc>
          <w:tcPr>
            <w:tcW w:w="0" w:type="auto"/>
            <w:tcBorders>
              <w:top w:val="single" w:color="auto" w:sz="4" w:space="0"/>
              <w:left w:val="single" w:color="auto" w:sz="4" w:space="0"/>
              <w:bottom w:val="single" w:color="auto" w:sz="4" w:space="0"/>
              <w:right w:val="single" w:color="auto" w:sz="4" w:space="0"/>
            </w:tcBorders>
            <w:shd w:val="clear" w:color="auto" w:fill="FBE6D6" w:themeFill="accent2" w:themeFillTint="32"/>
            <w:noWrap/>
            <w:vAlign w:val="center"/>
          </w:tcPr>
          <w:p w14:paraId="1167BF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采购数量</w:t>
            </w:r>
          </w:p>
        </w:tc>
        <w:tc>
          <w:tcPr>
            <w:tcW w:w="0" w:type="auto"/>
            <w:tcBorders>
              <w:top w:val="single" w:color="auto" w:sz="4" w:space="0"/>
              <w:left w:val="single" w:color="auto" w:sz="4" w:space="0"/>
              <w:bottom w:val="single" w:color="auto" w:sz="4" w:space="0"/>
              <w:right w:val="single" w:color="auto" w:sz="4" w:space="0"/>
            </w:tcBorders>
            <w:shd w:val="clear" w:color="auto" w:fill="FBE6D6" w:themeFill="accent2" w:themeFillTint="32"/>
            <w:noWrap/>
            <w:vAlign w:val="center"/>
          </w:tcPr>
          <w:p w14:paraId="2B296F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1台</w:t>
            </w:r>
          </w:p>
        </w:tc>
        <w:tc>
          <w:tcPr>
            <w:tcW w:w="0" w:type="auto"/>
            <w:tcBorders>
              <w:top w:val="single" w:color="auto" w:sz="4" w:space="0"/>
              <w:left w:val="single" w:color="auto" w:sz="4" w:space="0"/>
              <w:bottom w:val="single" w:color="auto" w:sz="4" w:space="0"/>
              <w:right w:val="single" w:color="auto" w:sz="4" w:space="0"/>
            </w:tcBorders>
            <w:shd w:val="clear" w:color="auto" w:fill="FBE6D6" w:themeFill="accent2" w:themeFillTint="32"/>
            <w:noWrap/>
            <w:vAlign w:val="center"/>
          </w:tcPr>
          <w:p w14:paraId="707036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备注</w:t>
            </w:r>
          </w:p>
        </w:tc>
      </w:tr>
      <w:tr w14:paraId="6F0E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26A0F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2CAF7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灭菌方法</w:t>
            </w:r>
          </w:p>
        </w:tc>
        <w:tc>
          <w:tcPr>
            <w:tcW w:w="70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2CE9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过氧化氢低温等离子灭菌技术。</w:t>
            </w:r>
          </w:p>
        </w:tc>
        <w:tc>
          <w:tcPr>
            <w:tcW w:w="2514" w:type="dxa"/>
            <w:tcBorders>
              <w:top w:val="single" w:color="auto" w:sz="4" w:space="0"/>
              <w:left w:val="single" w:color="auto" w:sz="4" w:space="0"/>
              <w:bottom w:val="single" w:color="auto" w:sz="4" w:space="0"/>
              <w:right w:val="single" w:color="auto" w:sz="4" w:space="0"/>
            </w:tcBorders>
            <w:shd w:val="clear" w:color="auto" w:fill="auto"/>
            <w:vAlign w:val="center"/>
          </w:tcPr>
          <w:p w14:paraId="1421A33F">
            <w:pPr>
              <w:jc w:val="center"/>
              <w:rPr>
                <w:rFonts w:hint="eastAsia" w:ascii="仿宋" w:hAnsi="仿宋" w:eastAsia="仿宋" w:cs="仿宋"/>
                <w:i w:val="0"/>
                <w:iCs w:val="0"/>
                <w:color w:val="000000"/>
                <w:sz w:val="24"/>
                <w:szCs w:val="24"/>
                <w:u w:val="none"/>
              </w:rPr>
            </w:pPr>
          </w:p>
        </w:tc>
      </w:tr>
      <w:tr w14:paraId="5EEF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FC30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3C756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▲灭菌剂</w:t>
            </w:r>
          </w:p>
        </w:tc>
        <w:tc>
          <w:tcPr>
            <w:tcW w:w="70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4878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53%~59%的过氧化氢灭菌剂，无有毒物质残留，对人体及环境无伤害。</w:t>
            </w:r>
          </w:p>
        </w:tc>
        <w:tc>
          <w:tcPr>
            <w:tcW w:w="2514" w:type="dxa"/>
            <w:tcBorders>
              <w:top w:val="single" w:color="auto" w:sz="4" w:space="0"/>
              <w:left w:val="single" w:color="auto" w:sz="4" w:space="0"/>
              <w:bottom w:val="single" w:color="auto" w:sz="4" w:space="0"/>
              <w:right w:val="single" w:color="auto" w:sz="4" w:space="0"/>
            </w:tcBorders>
            <w:shd w:val="clear" w:color="auto" w:fill="auto"/>
            <w:vAlign w:val="center"/>
          </w:tcPr>
          <w:p w14:paraId="7AE465B5">
            <w:pPr>
              <w:jc w:val="center"/>
              <w:rPr>
                <w:rFonts w:hint="eastAsia" w:ascii="仿宋" w:hAnsi="仿宋" w:eastAsia="仿宋" w:cs="仿宋"/>
                <w:i w:val="0"/>
                <w:iCs w:val="0"/>
                <w:color w:val="000000"/>
                <w:sz w:val="24"/>
                <w:szCs w:val="24"/>
                <w:u w:val="none"/>
              </w:rPr>
            </w:pPr>
          </w:p>
        </w:tc>
      </w:tr>
      <w:tr w14:paraId="7FC0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A725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353A6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灭菌周期</w:t>
            </w:r>
          </w:p>
        </w:tc>
        <w:tc>
          <w:tcPr>
            <w:tcW w:w="70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0F0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最短灭菌用时：≤30分钟。</w:t>
            </w:r>
          </w:p>
        </w:tc>
        <w:tc>
          <w:tcPr>
            <w:tcW w:w="2514" w:type="dxa"/>
            <w:tcBorders>
              <w:top w:val="single" w:color="auto" w:sz="4" w:space="0"/>
              <w:left w:val="single" w:color="auto" w:sz="4" w:space="0"/>
              <w:bottom w:val="single" w:color="auto" w:sz="4" w:space="0"/>
              <w:right w:val="single" w:color="auto" w:sz="4" w:space="0"/>
            </w:tcBorders>
            <w:shd w:val="clear" w:color="auto" w:fill="auto"/>
            <w:vAlign w:val="center"/>
          </w:tcPr>
          <w:p w14:paraId="0425CC90">
            <w:pPr>
              <w:jc w:val="center"/>
              <w:rPr>
                <w:rFonts w:hint="eastAsia" w:ascii="仿宋" w:hAnsi="仿宋" w:eastAsia="仿宋" w:cs="仿宋"/>
                <w:i w:val="0"/>
                <w:iCs w:val="0"/>
                <w:color w:val="000000"/>
                <w:sz w:val="24"/>
                <w:szCs w:val="24"/>
                <w:u w:val="none"/>
              </w:rPr>
            </w:pPr>
          </w:p>
        </w:tc>
      </w:tr>
      <w:tr w14:paraId="038A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258E2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7C806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▲灭菌模式</w:t>
            </w:r>
          </w:p>
        </w:tc>
        <w:tc>
          <w:tcPr>
            <w:tcW w:w="70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577F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≥4种可选择操作模式。</w:t>
            </w:r>
          </w:p>
        </w:tc>
        <w:tc>
          <w:tcPr>
            <w:tcW w:w="2514" w:type="dxa"/>
            <w:tcBorders>
              <w:top w:val="single" w:color="auto" w:sz="4" w:space="0"/>
              <w:left w:val="single" w:color="auto" w:sz="4" w:space="0"/>
              <w:bottom w:val="single" w:color="auto" w:sz="4" w:space="0"/>
              <w:right w:val="single" w:color="auto" w:sz="4" w:space="0"/>
            </w:tcBorders>
            <w:shd w:val="clear" w:color="auto" w:fill="auto"/>
            <w:vAlign w:val="center"/>
          </w:tcPr>
          <w:p w14:paraId="74025B3E">
            <w:pPr>
              <w:jc w:val="center"/>
              <w:rPr>
                <w:rFonts w:hint="eastAsia" w:ascii="仿宋" w:hAnsi="仿宋" w:eastAsia="仿宋" w:cs="仿宋"/>
                <w:i w:val="0"/>
                <w:iCs w:val="0"/>
                <w:color w:val="000000"/>
                <w:sz w:val="24"/>
                <w:szCs w:val="24"/>
                <w:u w:val="none"/>
              </w:rPr>
            </w:pPr>
          </w:p>
        </w:tc>
      </w:tr>
      <w:tr w14:paraId="78CE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75EE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w:t>
            </w:r>
          </w:p>
        </w:tc>
        <w:tc>
          <w:tcPr>
            <w:tcW w:w="4252" w:type="dxa"/>
            <w:tcBorders>
              <w:top w:val="single" w:color="auto" w:sz="4" w:space="0"/>
              <w:left w:val="single" w:color="000000" w:sz="4" w:space="0"/>
              <w:bottom w:val="single" w:color="000000" w:sz="4" w:space="0"/>
              <w:right w:val="single" w:color="000000" w:sz="4" w:space="0"/>
            </w:tcBorders>
            <w:shd w:val="clear" w:color="auto" w:fill="auto"/>
            <w:vAlign w:val="center"/>
          </w:tcPr>
          <w:p w14:paraId="604DF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操作界面</w:t>
            </w:r>
          </w:p>
        </w:tc>
        <w:tc>
          <w:tcPr>
            <w:tcW w:w="7011"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00E03D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全中文显示。</w:t>
            </w:r>
          </w:p>
        </w:tc>
        <w:tc>
          <w:tcPr>
            <w:tcW w:w="2514" w:type="dxa"/>
            <w:tcBorders>
              <w:top w:val="single" w:color="auto" w:sz="4" w:space="0"/>
              <w:left w:val="single" w:color="000000" w:sz="4" w:space="0"/>
              <w:bottom w:val="single" w:color="000000" w:sz="4" w:space="0"/>
              <w:right w:val="single" w:color="000000" w:sz="4" w:space="0"/>
            </w:tcBorders>
            <w:shd w:val="clear" w:color="auto" w:fill="auto"/>
            <w:vAlign w:val="center"/>
          </w:tcPr>
          <w:p w14:paraId="550D8DD0">
            <w:pPr>
              <w:jc w:val="center"/>
              <w:rPr>
                <w:rFonts w:hint="eastAsia" w:ascii="仿宋" w:hAnsi="仿宋" w:eastAsia="仿宋" w:cs="仿宋"/>
                <w:i w:val="0"/>
                <w:iCs w:val="0"/>
                <w:color w:val="000000"/>
                <w:sz w:val="24"/>
                <w:szCs w:val="24"/>
                <w:u w:val="none"/>
              </w:rPr>
            </w:pPr>
          </w:p>
        </w:tc>
      </w:tr>
      <w:tr w14:paraId="75F6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F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6</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2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灭菌技术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A08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双循环加强模式灭菌技术。</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859F">
            <w:pPr>
              <w:jc w:val="center"/>
              <w:rPr>
                <w:rFonts w:hint="eastAsia" w:ascii="仿宋" w:hAnsi="仿宋" w:eastAsia="仿宋" w:cs="仿宋"/>
                <w:i w:val="0"/>
                <w:iCs w:val="0"/>
                <w:color w:val="000000"/>
                <w:sz w:val="24"/>
                <w:szCs w:val="24"/>
                <w:u w:val="none"/>
              </w:rPr>
            </w:pPr>
          </w:p>
        </w:tc>
      </w:tr>
      <w:tr w14:paraId="68E1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7</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D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灭菌循环温度</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87C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55℃±5℃。</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96CC">
            <w:pPr>
              <w:jc w:val="center"/>
              <w:rPr>
                <w:rFonts w:hint="eastAsia" w:ascii="仿宋" w:hAnsi="仿宋" w:eastAsia="仿宋" w:cs="仿宋"/>
                <w:i w:val="0"/>
                <w:iCs w:val="0"/>
                <w:color w:val="000000"/>
                <w:sz w:val="24"/>
                <w:szCs w:val="24"/>
                <w:u w:val="none"/>
              </w:rPr>
            </w:pPr>
          </w:p>
        </w:tc>
      </w:tr>
      <w:tr w14:paraId="2B23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0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9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灭菌腔</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6B6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灭菌腔为竹节式分段结构组装而成，单节可拆卸和更换。</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5DEA">
            <w:pPr>
              <w:jc w:val="center"/>
              <w:rPr>
                <w:rFonts w:hint="eastAsia" w:ascii="仿宋" w:hAnsi="仿宋" w:eastAsia="仿宋" w:cs="仿宋"/>
                <w:i w:val="0"/>
                <w:iCs w:val="0"/>
                <w:color w:val="000000"/>
                <w:sz w:val="24"/>
                <w:szCs w:val="24"/>
                <w:u w:val="none"/>
              </w:rPr>
            </w:pPr>
          </w:p>
        </w:tc>
      </w:tr>
      <w:tr w14:paraId="4EBD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0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▲腔体总容积</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2DB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≥240L。</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C86">
            <w:pPr>
              <w:jc w:val="center"/>
              <w:rPr>
                <w:rFonts w:hint="eastAsia" w:ascii="仿宋" w:hAnsi="仿宋" w:eastAsia="仿宋" w:cs="仿宋"/>
                <w:i w:val="0"/>
                <w:iCs w:val="0"/>
                <w:color w:val="000000"/>
                <w:sz w:val="24"/>
                <w:szCs w:val="24"/>
                <w:u w:val="none"/>
              </w:rPr>
            </w:pPr>
          </w:p>
        </w:tc>
      </w:tr>
      <w:tr w14:paraId="6219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4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显示灭菌时间</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034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倒计时。</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B72">
            <w:pPr>
              <w:jc w:val="center"/>
              <w:rPr>
                <w:rFonts w:hint="eastAsia" w:ascii="仿宋" w:hAnsi="仿宋" w:eastAsia="仿宋" w:cs="仿宋"/>
                <w:i w:val="0"/>
                <w:iCs w:val="0"/>
                <w:color w:val="000000"/>
                <w:sz w:val="24"/>
                <w:szCs w:val="24"/>
                <w:u w:val="none"/>
              </w:rPr>
            </w:pPr>
          </w:p>
        </w:tc>
      </w:tr>
      <w:tr w14:paraId="7D69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6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11</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灭菌记录</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AEB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设备具有自动USB储存灭菌记录功能。电脑打印注液量、压力数值，运行模式和灭菌过程、日期及故障信息等。</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23B3">
            <w:pPr>
              <w:jc w:val="center"/>
              <w:rPr>
                <w:rFonts w:hint="eastAsia" w:ascii="仿宋" w:hAnsi="仿宋" w:eastAsia="仿宋" w:cs="仿宋"/>
                <w:i w:val="0"/>
                <w:iCs w:val="0"/>
                <w:color w:val="000000"/>
                <w:sz w:val="24"/>
                <w:szCs w:val="24"/>
                <w:u w:val="none"/>
              </w:rPr>
            </w:pPr>
          </w:p>
        </w:tc>
      </w:tr>
      <w:tr w14:paraId="47CE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7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12</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监测系统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B9C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具备灭菌各阶段压力及时间、日期和故障显示。灭菌剂剩余量监测功能，可在灭菌剂用尽前，进行提醒；灭菌剂质保期检测功能，可以对注入灭菌器内部的灭菌剂的质保期进行监测，确保灭菌剂安全使用。灭菌腔体分别配置温度保护装置，可自动进行预热控制；配置密封门关门自动避障保护功能。</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68D">
            <w:pPr>
              <w:jc w:val="center"/>
              <w:rPr>
                <w:rFonts w:hint="eastAsia" w:ascii="仿宋" w:hAnsi="仿宋" w:eastAsia="仿宋" w:cs="仿宋"/>
                <w:i w:val="0"/>
                <w:iCs w:val="0"/>
                <w:color w:val="000000"/>
                <w:sz w:val="24"/>
                <w:szCs w:val="24"/>
                <w:u w:val="none"/>
              </w:rPr>
            </w:pPr>
          </w:p>
        </w:tc>
      </w:tr>
      <w:tr w14:paraId="1CBC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6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9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▲报警系统</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3AC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具备过程监控报警装置，可以针对影响灭菌的最关键因素—真空度、器械表面潮湿程度和灭菌舱内H2O2含量，进行检测报警。具备新风干燥系统，可对器械干湿度自动进行检测，并自动对湿度过高的器械进行干燥。</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7147">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提供证明材料，并标注证明材料详细所在页码</w:t>
            </w:r>
          </w:p>
        </w:tc>
      </w:tr>
      <w:tr w14:paraId="53A1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D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4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灭菌舱门</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DA2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非触碰式自动感应门。</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510">
            <w:pPr>
              <w:jc w:val="center"/>
              <w:rPr>
                <w:rFonts w:hint="eastAsia" w:ascii="仿宋" w:hAnsi="仿宋" w:eastAsia="仿宋" w:cs="仿宋"/>
                <w:i w:val="0"/>
                <w:iCs w:val="0"/>
                <w:color w:val="000000"/>
                <w:sz w:val="24"/>
                <w:szCs w:val="24"/>
                <w:u w:val="none"/>
              </w:rPr>
            </w:pPr>
          </w:p>
        </w:tc>
      </w:tr>
      <w:tr w14:paraId="611E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B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1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▲检验依据</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F0A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至少3种或以上检验依据检测资质相关报告，依据中国CDC（中国疾病预防控制中心）出具的包括枯草杆菌黑色变种芽孢（ATCC9372）和嗜热脂肪杆菌芽孢（ATCC7953）灭菌效果的检测报告、依据GB27955灭菌效果检验方法软镜灭菌、依据GBZ 159-2004有害物质检测规范。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64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提供相关检测报告，并标注证明材料详细所在页码</w:t>
            </w:r>
          </w:p>
        </w:tc>
      </w:tr>
      <w:tr w14:paraId="407B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16</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▲灭菌性能</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DF3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对内径：≥1mm，长度：≤4000mm的聚四氟乙烯软管和对不锈钢内径：≥0.7mm，长度：≤600mm管腔经半周期达到完全灭菌。</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E866">
            <w:pPr>
              <w:jc w:val="center"/>
              <w:rPr>
                <w:rFonts w:hint="eastAsia" w:ascii="仿宋" w:hAnsi="仿宋" w:eastAsia="仿宋" w:cs="仿宋"/>
                <w:i w:val="0"/>
                <w:iCs w:val="0"/>
                <w:color w:val="000000"/>
                <w:sz w:val="24"/>
                <w:szCs w:val="24"/>
                <w:u w:val="none"/>
              </w:rPr>
            </w:pPr>
          </w:p>
        </w:tc>
      </w:tr>
      <w:tr w14:paraId="02E1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A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17</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D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▲软式内镜灭菌程序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A42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软式内镜灭菌程序，能对内径1mm长度1500mm管腔的软式内窥镜灭菌。</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49E">
            <w:pPr>
              <w:jc w:val="center"/>
              <w:rPr>
                <w:rFonts w:hint="eastAsia" w:ascii="仿宋" w:hAnsi="仿宋" w:eastAsia="仿宋" w:cs="仿宋"/>
                <w:i w:val="0"/>
                <w:iCs w:val="0"/>
                <w:color w:val="000000"/>
                <w:sz w:val="24"/>
                <w:szCs w:val="24"/>
                <w:u w:val="none"/>
              </w:rPr>
            </w:pPr>
          </w:p>
        </w:tc>
      </w:tr>
      <w:tr w14:paraId="2C72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5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18</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D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生产企业</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45E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生产企业通过ISO14937、ISO9001质量管理体系认证及ISO14001环境管理体系认证和ISO45001职业健康安全管理体系认证。</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C38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提供相关检测报告，并标注证明材料详细所在页码</w:t>
            </w:r>
          </w:p>
        </w:tc>
      </w:tr>
      <w:tr w14:paraId="1482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E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19</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▲采用真实标称浓度的过氧化氢注入灭菌腔</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816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采用真实标称浓度的过氧化氢注入灭菌腔。确保注入灭菌腔内的过氧化氢浓度于过氧化氢灭菌剂外包装上标称的浓度一致，在灭菌器内不另设提纯过氧化氢的零部件或系统。</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464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提供相关的国家级检测报告，并标注证明材料详细所在页码</w:t>
            </w:r>
          </w:p>
        </w:tc>
      </w:tr>
      <w:tr w14:paraId="09FF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6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20</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2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▲灭菌残留空气中的过氧化氢浓度</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E25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灭菌残留空气中的过氧化氢浓度＜0.8mg/m³。</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DB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提供相关的检测报告，并标注证明材料详细所在页码</w:t>
            </w:r>
          </w:p>
        </w:tc>
      </w:tr>
      <w:tr w14:paraId="6849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F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灭菌剂的稳定性、PH值，可证实灭菌处理后聚四氟乙烯管腔中H2O2残留量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8A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灭菌剂的稳定性、PH值，可证实灭菌处理后聚四氟乙烯管腔中H2O2残留量：≤0.002mg/cm2，不锈钢中残留量：≤0.006mg/cm2。</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554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提供国家级检测报告证明文件，并标注证明材料详细所在页码</w:t>
            </w:r>
          </w:p>
        </w:tc>
      </w:tr>
      <w:tr w14:paraId="0D55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9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▲对金属材质器械的兼容性的评价</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542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对金属材质器械的兼容性的评价应为无腐蚀、不影响预期临床使用寿命的结果。</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04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提供第三方检测机构出具的检测报告，并标注证明材料详细所在页码</w:t>
            </w:r>
          </w:p>
        </w:tc>
      </w:tr>
      <w:tr w14:paraId="2D63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每个灭菌舱的置物栏</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9BD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≥3层，且置物栏可根据装载物品的需要均分为3层或2层；</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5939">
            <w:pPr>
              <w:jc w:val="center"/>
              <w:rPr>
                <w:rFonts w:hint="eastAsia" w:ascii="仿宋" w:hAnsi="仿宋" w:eastAsia="仿宋" w:cs="仿宋"/>
                <w:i w:val="0"/>
                <w:iCs w:val="0"/>
                <w:color w:val="000000"/>
                <w:sz w:val="24"/>
                <w:szCs w:val="24"/>
                <w:u w:val="none"/>
              </w:rPr>
            </w:pPr>
          </w:p>
        </w:tc>
      </w:tr>
      <w:tr w14:paraId="2F53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7"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B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5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 配置要求（实质性内容，必须整体满足）:</w:t>
            </w:r>
          </w:p>
        </w:tc>
        <w:tc>
          <w:tcPr>
            <w:tcW w:w="70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CAE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24.1 过氧化氢低温等离子体灭菌器1台。</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24.2 铝合金器械盒带硅胶垫3个。</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24.3 灭菌剂：≥1400ML。</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24.4 化学指示卡：≥500枚。</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24.5 化学指示胶带：≥1200枚。</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24.6 无纺布，规格为：1.2m*1.2m/张，100张。</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24.7 热敏打印纸5卷。</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u w:val="none"/>
                <w:lang w:val="en-US" w:eastAsia="zh-CN" w:bidi="ar"/>
              </w:rPr>
              <w:t xml:space="preserve">24.8 化学指示灭菌包装袋，规格：200mm*100m/卷，1卷。 </w:t>
            </w:r>
            <w:r>
              <w:rPr>
                <w:rFonts w:hint="eastAsia" w:ascii="仿宋" w:hAnsi="仿宋" w:eastAsia="仿宋" w:cs="仿宋"/>
                <w:i w:val="0"/>
                <w:iCs w:val="0"/>
                <w:snapToGrid w:val="0"/>
                <w:color w:val="000000"/>
                <w:kern w:val="0"/>
                <w:sz w:val="24"/>
                <w:szCs w:val="24"/>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24.9 过氧化氢四类包内化学指示卡250片。</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24.10 过氧化氢化学PCD 150片。</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24.11 过氧化氢低温等离子灭菌极速</w:t>
            </w:r>
            <w:bookmarkStart w:id="2695" w:name="_GoBack"/>
            <w:bookmarkEnd w:id="2695"/>
            <w:r>
              <w:rPr>
                <w:rFonts w:hint="eastAsia" w:ascii="仿宋" w:hAnsi="仿宋" w:eastAsia="仿宋" w:cs="仿宋"/>
                <w:i w:val="0"/>
                <w:iCs w:val="0"/>
                <w:snapToGrid w:val="0"/>
                <w:color w:val="000000"/>
                <w:kern w:val="0"/>
                <w:sz w:val="24"/>
                <w:szCs w:val="24"/>
                <w:highlight w:val="none"/>
                <w:u w:val="none"/>
                <w:lang w:val="en-US" w:eastAsia="zh-CN" w:bidi="ar"/>
              </w:rPr>
              <w:t>生物指示剂60支。</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24.12 过氧化氢浓度监测传感器1台。</w:t>
            </w:r>
            <w:r>
              <w:rPr>
                <w:rFonts w:hint="eastAsia" w:ascii="仿宋" w:hAnsi="仿宋" w:eastAsia="仿宋" w:cs="仿宋"/>
                <w:i w:val="0"/>
                <w:iCs w:val="0"/>
                <w:snapToGrid w:val="0"/>
                <w:color w:val="000000"/>
                <w:kern w:val="0"/>
                <w:sz w:val="24"/>
                <w:szCs w:val="24"/>
                <w:highlight w:val="none"/>
                <w:u w:val="none"/>
                <w:lang w:val="en-US" w:eastAsia="zh-CN" w:bidi="ar"/>
              </w:rPr>
              <w:br w:type="textWrapping"/>
            </w:r>
            <w:r>
              <w:rPr>
                <w:rFonts w:hint="eastAsia" w:ascii="仿宋" w:hAnsi="仿宋" w:eastAsia="仿宋" w:cs="仿宋"/>
                <w:i w:val="0"/>
                <w:iCs w:val="0"/>
                <w:snapToGrid w:val="0"/>
                <w:color w:val="000000"/>
                <w:kern w:val="0"/>
                <w:sz w:val="24"/>
                <w:szCs w:val="24"/>
                <w:highlight w:val="none"/>
                <w:u w:val="none"/>
                <w:lang w:val="en-US" w:eastAsia="zh-CN" w:bidi="ar"/>
              </w:rPr>
              <w:t>24.13 极速生物阅读器1台。</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3C1">
            <w:pPr>
              <w:jc w:val="center"/>
              <w:rPr>
                <w:rFonts w:hint="eastAsia" w:ascii="仿宋" w:hAnsi="仿宋" w:eastAsia="仿宋" w:cs="仿宋"/>
                <w:i w:val="0"/>
                <w:iCs w:val="0"/>
                <w:color w:val="000000"/>
                <w:sz w:val="24"/>
                <w:szCs w:val="24"/>
                <w:u w:val="none"/>
              </w:rPr>
            </w:pPr>
          </w:p>
        </w:tc>
      </w:tr>
    </w:tbl>
    <w:p w14:paraId="50FF5A9B">
      <w:pPr>
        <w:pStyle w:val="17"/>
        <w:ind w:left="0" w:leftChars="0" w:firstLine="0" w:firstLineChars="0"/>
        <w:jc w:val="both"/>
        <w:rPr>
          <w:rFonts w:hint="eastAsia" w:ascii="仿宋" w:hAnsi="仿宋" w:eastAsia="仿宋" w:cs="仿宋"/>
          <w:b/>
          <w:bCs/>
          <w:color w:val="000000" w:themeColor="text1"/>
          <w:sz w:val="24"/>
          <w:szCs w:val="24"/>
          <w:highlight w:val="none"/>
          <w:lang w:val="en-US" w:eastAsia="zh-CN"/>
          <w14:textFill>
            <w14:solidFill>
              <w14:schemeClr w14:val="tx1"/>
            </w14:solidFill>
          </w14:textFill>
        </w:rPr>
        <w:sectPr>
          <w:pgSz w:w="16838" w:h="11906" w:orient="landscape"/>
          <w:pgMar w:top="1134" w:right="1134" w:bottom="1134" w:left="1134" w:header="851" w:footer="907" w:gutter="0"/>
          <w:pgNumType w:fmt="decimal"/>
          <w:cols w:space="425" w:num="1"/>
          <w:docGrid w:type="lines" w:linePitch="312" w:charSpace="0"/>
        </w:sectPr>
      </w:pPr>
    </w:p>
    <w:p w14:paraId="75F29EF9">
      <w:pPr>
        <w:pStyle w:val="3"/>
        <w:keepNext w:val="0"/>
        <w:keepLines w:val="0"/>
        <w:pageBreakBefore w:val="0"/>
        <w:widowControl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1019" w:name="_Toc14117"/>
      <w:bookmarkStart w:id="1020" w:name="_Toc10762"/>
      <w:bookmarkStart w:id="1021" w:name="_Toc15039"/>
      <w:bookmarkStart w:id="1022" w:name="_Toc28664"/>
      <w:bookmarkStart w:id="1023" w:name="_Toc6531"/>
      <w:r>
        <w:rPr>
          <w:rFonts w:hint="eastAsia" w:ascii="仿宋" w:hAnsi="仿宋" w:eastAsia="仿宋" w:cs="仿宋"/>
          <w:color w:val="000000" w:themeColor="text1"/>
          <w:sz w:val="32"/>
          <w:szCs w:val="32"/>
          <w:highlight w:val="none"/>
          <w:lang w:val="en-US" w:eastAsia="zh-CN"/>
          <w14:textFill>
            <w14:solidFill>
              <w14:schemeClr w14:val="tx1"/>
            </w14:solidFill>
          </w14:textFill>
        </w:rPr>
        <w:t>三、★商务要求</w:t>
      </w:r>
      <w:bookmarkEnd w:id="1019"/>
      <w:bookmarkEnd w:id="1020"/>
      <w:bookmarkEnd w:id="1021"/>
      <w:bookmarkEnd w:id="1022"/>
      <w:bookmarkEnd w:id="1023"/>
    </w:p>
    <w:p w14:paraId="2B086FB1">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firstLine="482" w:firstLineChars="200"/>
        <w:jc w:val="left"/>
        <w:textAlignment w:val="auto"/>
        <w:rPr>
          <w:rFonts w:hint="eastAsia" w:ascii="仿宋" w:hAnsi="仿宋" w:eastAsia="仿宋" w:cs="仿宋"/>
          <w:color w:val="auto"/>
          <w:sz w:val="24"/>
          <w:szCs w:val="24"/>
          <w:highlight w:val="none"/>
        </w:rPr>
      </w:pPr>
      <w:bookmarkStart w:id="1024" w:name="_Toc7900"/>
      <w:r>
        <w:rPr>
          <w:rFonts w:hint="eastAsia" w:ascii="仿宋" w:hAnsi="仿宋" w:eastAsia="仿宋" w:cs="仿宋"/>
          <w:b/>
          <w:bCs/>
          <w:color w:val="auto"/>
          <w:kern w:val="0"/>
          <w:sz w:val="24"/>
          <w:szCs w:val="24"/>
          <w:highlight w:val="none"/>
          <w:lang w:val="en-US" w:eastAsia="zh-CN" w:bidi="ar"/>
        </w:rPr>
        <w:t>1.售后要求：</w:t>
      </w:r>
    </w:p>
    <w:p w14:paraId="676666DB">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360" w:lineRule="auto"/>
        <w:ind w:left="0" w:leftChars="0" w:right="0" w:firstLine="480" w:firstLineChars="200"/>
        <w:jc w:val="left"/>
        <w:textAlignment w:val="auto"/>
        <w:rPr>
          <w:rFonts w:hint="eastAsia" w:ascii="仿宋" w:hAnsi="仿宋" w:eastAsia="仿宋" w:cs="仿宋"/>
          <w:color w:val="auto"/>
          <w:kern w:val="0"/>
          <w:sz w:val="24"/>
          <w:szCs w:val="24"/>
          <w:highlight w:val="green"/>
          <w:lang w:val="en-US" w:eastAsia="zh-CN" w:bidi="ar"/>
        </w:rPr>
      </w:pPr>
      <w:r>
        <w:rPr>
          <w:rFonts w:hint="eastAsia" w:ascii="仿宋" w:hAnsi="仿宋" w:eastAsia="仿宋" w:cs="仿宋"/>
          <w:color w:val="auto"/>
          <w:kern w:val="0"/>
          <w:sz w:val="24"/>
          <w:szCs w:val="24"/>
          <w:highlight w:val="none"/>
          <w:lang w:val="en-US" w:eastAsia="zh-CN" w:bidi="ar"/>
        </w:rPr>
        <w:t>1.1.交货（交付）期：</w:t>
      </w:r>
      <w:r>
        <w:rPr>
          <w:rFonts w:hint="eastAsia" w:ascii="仿宋" w:hAnsi="仿宋" w:eastAsia="仿宋" w:cs="仿宋"/>
          <w:b w:val="0"/>
          <w:bCs w:val="0"/>
          <w:color w:val="auto"/>
          <w:kern w:val="0"/>
          <w:sz w:val="24"/>
          <w:szCs w:val="24"/>
          <w:lang w:val="en-US" w:eastAsia="zh-CN" w:bidi="ar"/>
        </w:rPr>
        <w:t>合同签订之日起30个日历天内安装调试完毕并达到验收标准。投标人可提供更优的交货（交付）期。</w:t>
      </w:r>
    </w:p>
    <w:p w14:paraId="302F33E5">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交货</w:t>
      </w:r>
      <w:r>
        <w:rPr>
          <w:rFonts w:hint="eastAsia" w:ascii="仿宋" w:hAnsi="仿宋" w:eastAsia="仿宋" w:cs="仿宋"/>
          <w:color w:val="auto"/>
          <w:kern w:val="0"/>
          <w:sz w:val="24"/>
          <w:szCs w:val="24"/>
          <w:highlight w:val="none"/>
          <w:lang w:val="en-US" w:eastAsia="zh-CN" w:bidi="ar"/>
        </w:rPr>
        <w:t>地点：楚雄彝族自治州人民医院指定地点。</w:t>
      </w:r>
    </w:p>
    <w:p w14:paraId="3C4CA7AA">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1.3.交货方式：中标人与采购人共同开箱，对照采购清单逐项核对设备型号、规格、数量、配件及资料，确认无误后签署交货确认单，交货确认单作为付款依据质疑。</w:t>
      </w:r>
    </w:p>
    <w:p w14:paraId="53D6E9B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1.4. 自设备安装合格之日起保修：≥5年，终身保养，免费培训、维护。</w:t>
      </w:r>
    </w:p>
    <w:p w14:paraId="2D459211">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1.5.所交付的设备，须在交付日前6个月内生产的设备，以铭牌上出厂日期或生产日期为准。</w:t>
      </w:r>
    </w:p>
    <w:p w14:paraId="32670FF4">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1.6中标后设备需接入医院信息系统（LIS、HIS、PACS或专科信息系统等）的，涉及接口费用由中标供应商承担；涉及需检测合格后才能验收使用的设备，相关检测费用由中标供应商承担。</w:t>
      </w:r>
    </w:p>
    <w:p w14:paraId="40A20380">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1.7设备软件终身免费升级且定期应有升级。</w:t>
      </w:r>
    </w:p>
    <w:p w14:paraId="329AE267">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1.8在货物到达使用单位后，卖方应在七天内派工程技术人员到达现场，在买方技术人员在场的情况下开箱清点货物，组织安装调试，并承担因此发生的一切费用。</w:t>
      </w:r>
    </w:p>
    <w:p w14:paraId="2B5CE53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1.9 设备性能测试后操作培训：≥3次</w:t>
      </w:r>
    </w:p>
    <w:p w14:paraId="783F1DCA">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1.10开机率：≥98 %，仪器故障要求12小时内应答，24小时形成解决方案。</w:t>
      </w:r>
    </w:p>
    <w:p w14:paraId="18CD1774">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1.11以上每台设备分别提供纸质版、电子版简易操作流程图一套。</w:t>
      </w:r>
    </w:p>
    <w:p w14:paraId="3C707768">
      <w:pPr>
        <w:keepNext w:val="0"/>
        <w:keepLines w:val="0"/>
        <w:pageBreakBefore w:val="0"/>
        <w:widowControl w:val="0"/>
        <w:suppressLineNumbers w:val="0"/>
        <w:kinsoku/>
        <w:wordWrap w:val="0"/>
        <w:overflowPunct/>
        <w:topLinePunct/>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2.质量保证期服务要求</w:t>
      </w:r>
    </w:p>
    <w:p w14:paraId="1EA4219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中标人提供的技术人员、工具、备件和联系方式，质量保证期服务响应、到达现场和解决问题的时限，中标人技术人员的交通、食宿费用承担主体，中标人技术人员撤换费用承担主体，质量保证期服务情况记录要求等。并提供7×24小时不间断服务联系方式。</w:t>
      </w:r>
    </w:p>
    <w:p w14:paraId="57FDBAC7">
      <w:pPr>
        <w:keepNext w:val="0"/>
        <w:keepLines w:val="0"/>
        <w:pageBreakBefore w:val="0"/>
        <w:widowControl w:val="0"/>
        <w:suppressLineNumbers w:val="0"/>
        <w:kinsoku/>
        <w:wordWrap w:val="0"/>
        <w:overflowPunct/>
        <w:topLinePunct/>
        <w:autoSpaceDE/>
        <w:autoSpaceDN/>
        <w:bidi w:val="0"/>
        <w:adjustRightInd/>
        <w:snapToGrid/>
        <w:spacing w:line="360" w:lineRule="auto"/>
        <w:ind w:firstLine="482"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3.技术培训要求</w:t>
      </w:r>
    </w:p>
    <w:p w14:paraId="2F23907A">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中标人应提供现场技术培训，以及远程技术支持等，为使用人员提供技术指导，保证使用人员正常操作设备各种功能。</w:t>
      </w:r>
    </w:p>
    <w:bookmarkEnd w:id="1024"/>
    <w:p w14:paraId="6E7AD671">
      <w:pPr>
        <w:keepNext w:val="0"/>
        <w:keepLines w:val="0"/>
        <w:pageBreakBefore w:val="0"/>
        <w:widowControl w:val="0"/>
        <w:suppressLineNumbers w:val="0"/>
        <w:kinsoku/>
        <w:wordWrap w:val="0"/>
        <w:overflowPunct/>
        <w:topLinePunct/>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4、履约验收方式</w:t>
      </w:r>
    </w:p>
    <w:p w14:paraId="44719844">
      <w:pPr>
        <w:bidi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由使用单位组织验收人员按照招标文件、投标文件、合同及国家有关的质量标准规定进行验收。</w:t>
      </w:r>
    </w:p>
    <w:p w14:paraId="23AD6342">
      <w:pPr>
        <w:keepNext w:val="0"/>
        <w:keepLines w:val="0"/>
        <w:pageBreakBefore w:val="0"/>
        <w:widowControl w:val="0"/>
        <w:suppressLineNumbers w:val="0"/>
        <w:kinsoku/>
        <w:wordWrap w:val="0"/>
        <w:overflowPunct/>
        <w:topLinePunct/>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5、包装运输</w:t>
      </w:r>
    </w:p>
    <w:p w14:paraId="6C8908C9">
      <w:pPr>
        <w:bidi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负责设备包装、办理运输和保险，将设备安全运抵交货地点。设备制造完成并通过试验后应及时包装，否则应得到切实的保护，确保其不受污损。在包装箱外应标明采购人的订货号、发货号。各种包装应能确保各零部件在运输过程中不致遭到损坏、丢失、变形、受潮和腐蚀。包装箱上应有明显的包装储运图示标志。整体产品或分别运输的部件都要适应运输和装载的要求。随产品提供的技术资料应完整无缺</w:t>
      </w:r>
    </w:p>
    <w:p w14:paraId="26E0A8A6">
      <w:pPr>
        <w:keepNext w:val="0"/>
        <w:keepLines w:val="0"/>
        <w:pageBreakBefore w:val="0"/>
        <w:widowControl w:val="0"/>
        <w:suppressLineNumbers w:val="0"/>
        <w:kinsoku/>
        <w:wordWrap w:val="0"/>
        <w:overflowPunct/>
        <w:topLinePunct/>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6.付款方式：</w:t>
      </w:r>
    </w:p>
    <w:p w14:paraId="4991660C">
      <w:pPr>
        <w:bidi w:val="0"/>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sectPr>
          <w:pgSz w:w="11906" w:h="16838"/>
          <w:pgMar w:top="1440" w:right="1080" w:bottom="1440" w:left="1080" w:header="567"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000000" w:themeColor="text1"/>
          <w:sz w:val="24"/>
          <w:szCs w:val="24"/>
          <w:highlight w:val="none"/>
          <w:lang w:val="en-US" w:eastAsia="zh-CN"/>
          <w14:textFill>
            <w14:solidFill>
              <w14:schemeClr w14:val="tx1"/>
            </w14:solidFill>
          </w14:textFill>
        </w:rPr>
        <w:t>设备到货安装完成并验收合格后，乙方向甲方提供合同金额合法有效的全额发票，甲方在收到发票后30个日历天内支付合同总价100%的货款。</w:t>
      </w:r>
    </w:p>
    <w:p w14:paraId="4A043204">
      <w:pPr>
        <w:pStyle w:val="2"/>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baseline"/>
        <w:rPr>
          <w:rFonts w:hint="eastAsia" w:ascii="仿宋" w:hAnsi="仿宋" w:eastAsia="仿宋" w:cs="仿宋"/>
          <w:color w:val="000000" w:themeColor="text1"/>
          <w:spacing w:val="0"/>
          <w:w w:val="100"/>
          <w:position w:val="0"/>
          <w:sz w:val="32"/>
          <w:szCs w:val="32"/>
          <w:highlight w:val="none"/>
          <w:lang w:eastAsia="zh-CN"/>
          <w14:textFill>
            <w14:solidFill>
              <w14:schemeClr w14:val="tx1"/>
            </w14:solidFill>
          </w14:textFill>
        </w:rPr>
      </w:pPr>
      <w:bookmarkStart w:id="1025" w:name="_Toc24317"/>
      <w:r>
        <w:rPr>
          <w:rFonts w:hint="eastAsia" w:ascii="仿宋" w:hAnsi="仿宋" w:eastAsia="仿宋" w:cs="仿宋"/>
          <w:color w:val="000000" w:themeColor="text1"/>
          <w:sz w:val="32"/>
          <w:szCs w:val="32"/>
          <w:highlight w:val="none"/>
          <w:lang w:val="en-US" w:eastAsia="zh-CN"/>
          <w14:textFill>
            <w14:solidFill>
              <w14:schemeClr w14:val="tx1"/>
            </w14:solidFill>
          </w14:textFill>
        </w:rPr>
        <w:t>第四章 评审办法</w:t>
      </w:r>
      <w:bookmarkEnd w:id="1025"/>
    </w:p>
    <w:p w14:paraId="71ACFCD0">
      <w:pPr>
        <w:pStyle w:val="3"/>
        <w:keepNext w:val="0"/>
        <w:keepLines w:val="0"/>
        <w:pageBreakBefore w:val="0"/>
        <w:widowControl w:val="0"/>
        <w:kinsoku/>
        <w:wordWrap w:val="0"/>
        <w:overflowPunct/>
        <w:topLinePunct/>
        <w:autoSpaceDE/>
        <w:autoSpaceDN/>
        <w:bidi w:val="0"/>
        <w:adjustRightInd/>
        <w:snapToGrid/>
        <w:spacing w:before="0" w:after="0" w:line="360" w:lineRule="auto"/>
        <w:ind w:left="0" w:leftChars="0" w:right="0" w:firstLine="562" w:firstLineChars="200"/>
        <w:jc w:val="center"/>
        <w:textAlignment w:val="auto"/>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026" w:name="_Toc20717"/>
      <w:bookmarkStart w:id="1027" w:name="_Toc31130"/>
      <w:bookmarkStart w:id="1028" w:name="_Toc28596"/>
      <w:bookmarkStart w:id="1029" w:name="_Toc29359"/>
      <w:bookmarkStart w:id="1030" w:name="_Toc25340"/>
      <w:bookmarkStart w:id="1031" w:name="_Toc17429"/>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资格审查</w:t>
      </w:r>
      <w:r>
        <w:rPr>
          <w:rFonts w:hint="eastAsia" w:ascii="仿宋" w:hAnsi="仿宋" w:eastAsia="仿宋" w:cs="仿宋"/>
          <w:color w:val="000000" w:themeColor="text1"/>
          <w:sz w:val="28"/>
          <w:szCs w:val="28"/>
          <w:highlight w:val="none"/>
          <w:lang w:val="en-US" w:eastAsia="zh-CN"/>
          <w14:textFill>
            <w14:solidFill>
              <w14:schemeClr w14:val="tx1"/>
            </w14:solidFill>
          </w14:textFill>
        </w:rPr>
        <w:t>标准</w:t>
      </w:r>
      <w:bookmarkEnd w:id="1026"/>
      <w:bookmarkEnd w:id="1027"/>
      <w:bookmarkEnd w:id="1028"/>
      <w:bookmarkEnd w:id="1029"/>
      <w:bookmarkEnd w:id="1030"/>
      <w:bookmarkEnd w:id="1031"/>
    </w:p>
    <w:tbl>
      <w:tblPr>
        <w:tblStyle w:val="19"/>
        <w:tblW w:w="96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0"/>
        <w:gridCol w:w="5406"/>
        <w:gridCol w:w="2633"/>
      </w:tblGrid>
      <w:tr w14:paraId="636155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 w:hRule="atLeast"/>
          <w:jc w:val="center"/>
        </w:trPr>
        <w:tc>
          <w:tcPr>
            <w:tcW w:w="1630" w:type="dxa"/>
            <w:noWrap w:val="0"/>
            <w:vAlign w:val="center"/>
          </w:tcPr>
          <w:p w14:paraId="413E06F5">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类型</w:t>
            </w:r>
          </w:p>
        </w:tc>
        <w:tc>
          <w:tcPr>
            <w:tcW w:w="5406" w:type="dxa"/>
            <w:noWrap w:val="0"/>
            <w:vAlign w:val="center"/>
          </w:tcPr>
          <w:p w14:paraId="3CA13AF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审查要求</w:t>
            </w:r>
          </w:p>
        </w:tc>
        <w:tc>
          <w:tcPr>
            <w:tcW w:w="2633" w:type="dxa"/>
            <w:noWrap w:val="0"/>
            <w:vAlign w:val="center"/>
          </w:tcPr>
          <w:p w14:paraId="0459CF31">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要求说明</w:t>
            </w:r>
          </w:p>
        </w:tc>
      </w:tr>
      <w:tr w14:paraId="5AFE61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253DE33D">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营业执照等证明材料</w:t>
            </w:r>
          </w:p>
        </w:tc>
        <w:tc>
          <w:tcPr>
            <w:tcW w:w="5406" w:type="dxa"/>
            <w:shd w:val="clear" w:color="auto" w:fill="auto"/>
            <w:noWrap w:val="0"/>
            <w:vAlign w:val="center"/>
          </w:tcPr>
          <w:p w14:paraId="12C4FB4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具有独立承担民事责任能力的法人或其他组织，提供有效存续的营业执照或事业单位法人证书或非企业专业服务机构执业许可证或民办非企业单位登记证书或自然人的身份证明。</w:t>
            </w:r>
          </w:p>
        </w:tc>
        <w:tc>
          <w:tcPr>
            <w:tcW w:w="2633" w:type="dxa"/>
            <w:shd w:val="clear" w:color="auto" w:fill="auto"/>
            <w:noWrap w:val="0"/>
            <w:vAlign w:val="center"/>
          </w:tcPr>
          <w:p w14:paraId="7E0FD422">
            <w:pPr>
              <w:keepNext w:val="0"/>
              <w:keepLines w:val="0"/>
              <w:pageBreakBefore w:val="0"/>
              <w:widowControl w:val="0"/>
              <w:kinsoku/>
              <w:wordWrap w:val="0"/>
              <w:overflowPunct/>
              <w:topLinePunct/>
              <w:autoSpaceDE/>
              <w:autoSpaceDN/>
              <w:bidi w:val="0"/>
              <w:adjustRightInd/>
              <w:snapToGrid/>
              <w:spacing w:line="20" w:lineRule="atLeast"/>
              <w:ind w:right="0" w:rightChars="0" w:firstLine="0" w:firstLineChars="0"/>
              <w:jc w:val="center"/>
              <w:textAlignment w:val="auto"/>
              <w:rPr>
                <w:rFonts w:hint="eastAsia" w:ascii="仿宋" w:hAnsi="仿宋" w:eastAsia="仿宋" w:cs="仿宋"/>
                <w:b w:val="0"/>
                <w:bCs/>
                <w:snapToGrid w:val="0"/>
                <w:color w:val="000000" w:themeColor="text1"/>
                <w:kern w:val="2"/>
                <w:sz w:val="24"/>
                <w:szCs w:val="24"/>
                <w:highlight w:val="none"/>
                <w:u w:val="singl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提供材料扫描件或电子证照，应完整地体现出材料或电子证照全部内容。</w:t>
            </w:r>
          </w:p>
        </w:tc>
      </w:tr>
      <w:tr w14:paraId="634DE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1630" w:type="dxa"/>
            <w:noWrap w:val="0"/>
            <w:vAlign w:val="center"/>
          </w:tcPr>
          <w:p w14:paraId="11CB15AC">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财务报表证明材料</w:t>
            </w:r>
          </w:p>
        </w:tc>
        <w:tc>
          <w:tcPr>
            <w:tcW w:w="5406" w:type="dxa"/>
            <w:noWrap w:val="0"/>
            <w:vAlign w:val="center"/>
          </w:tcPr>
          <w:p w14:paraId="17E6EEF0">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具备健全的财务会计制度的证明材料｛注（任选其一）：①可提供投标文件递交截止日前三年内至少1年经会计师事务所或审计机构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出具的</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财务审计报告（除报告外至少包含资产负债表、利润表、现金流量表）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w:t>
            </w:r>
            <w:r>
              <w:rPr>
                <w:rFonts w:hint="eastAsia" w:ascii="仿宋" w:hAnsi="仿宋" w:eastAsia="仿宋" w:cs="仿宋"/>
                <w:b w:val="0"/>
                <w:bCs/>
                <w:color w:val="auto"/>
                <w:sz w:val="24"/>
                <w:szCs w:val="24"/>
                <w:highlight w:val="none"/>
                <w:lang w:eastAsia="zh-CN"/>
              </w:rPr>
              <w:t>司章程复印件｝。</w:t>
            </w:r>
          </w:p>
          <w:p w14:paraId="45A1A22C">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auto"/>
                <w:sz w:val="24"/>
                <w:szCs w:val="24"/>
                <w:highlight w:val="none"/>
                <w:lang w:eastAsia="zh-CN"/>
              </w:rPr>
              <w:t>注:根据财政部、国务院国资委、金融监管总局《关于加强审计报告查验工作的通知》(财会(2023)15号)和《云南省财政厅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云南省人民政府国有资产监督管理委员会</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国家金融监督管理总局云南监管局关于进一步加强审计报告报备和查验工作的通知》(云财会(2026)23号)的规定，供应商提供的年度财务审计报告须在注册会计师行业统一监管平台(http://acc.mof.gov.cn)报备赋码，且查验结果正常。未赋码、无法查验或查验异常的，</w:t>
            </w:r>
            <w:r>
              <w:rPr>
                <w:rFonts w:hint="eastAsia" w:ascii="仿宋" w:hAnsi="仿宋" w:eastAsia="仿宋" w:cs="仿宋"/>
                <w:b w:val="0"/>
                <w:bCs/>
                <w:color w:val="auto"/>
                <w:sz w:val="24"/>
                <w:szCs w:val="24"/>
                <w:highlight w:val="none"/>
                <w:lang w:val="en-US" w:eastAsia="zh-CN"/>
              </w:rPr>
              <w:t>审计报告视为无效</w:t>
            </w:r>
            <w:r>
              <w:rPr>
                <w:rFonts w:hint="eastAsia" w:ascii="仿宋" w:hAnsi="仿宋" w:eastAsia="仿宋" w:cs="仿宋"/>
                <w:b w:val="0"/>
                <w:bCs/>
                <w:color w:val="auto"/>
                <w:sz w:val="24"/>
                <w:szCs w:val="24"/>
                <w:highlight w:val="none"/>
                <w:lang w:eastAsia="zh-CN"/>
              </w:rPr>
              <w:t>。</w:t>
            </w:r>
          </w:p>
        </w:tc>
        <w:tc>
          <w:tcPr>
            <w:tcW w:w="2633" w:type="dxa"/>
            <w:noWrap w:val="0"/>
            <w:vAlign w:val="center"/>
          </w:tcPr>
          <w:p w14:paraId="7D5B143D">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提供的材料</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合法有效，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应完整地体现出材料或电子证照全部内容。</w:t>
            </w:r>
          </w:p>
        </w:tc>
      </w:tr>
      <w:tr w14:paraId="3AE6D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0DC5B559">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基本资质证明材料</w:t>
            </w:r>
          </w:p>
        </w:tc>
        <w:tc>
          <w:tcPr>
            <w:tcW w:w="5406" w:type="dxa"/>
            <w:noWrap w:val="0"/>
            <w:vAlign w:val="center"/>
          </w:tcPr>
          <w:p w14:paraId="62D7F86A">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b w:val="0"/>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en-US" w:eastAsia="zh-CN" w:bidi="ar"/>
                <w14:textFill>
                  <w14:solidFill>
                    <w14:schemeClr w14:val="tx1"/>
                  </w14:solidFill>
                </w14:textFill>
              </w:rPr>
              <w:t>投标人</w:t>
            </w:r>
            <w:r>
              <w:rPr>
                <w:rFonts w:hint="eastAsia" w:ascii="仿宋" w:hAnsi="仿宋" w:eastAsia="仿宋" w:cs="仿宋"/>
                <w:b w:val="0"/>
                <w:bCs/>
                <w:color w:val="000000" w:themeColor="text1"/>
                <w:kern w:val="0"/>
                <w:sz w:val="24"/>
                <w:szCs w:val="24"/>
                <w:highlight w:val="none"/>
                <w:lang w:bidi="ar"/>
                <w14:textFill>
                  <w14:solidFill>
                    <w14:schemeClr w14:val="tx1"/>
                  </w14:solidFill>
                </w14:textFill>
              </w:rPr>
              <w:t>应具有履行合同相应的专业团队、设备等。</w:t>
            </w:r>
          </w:p>
        </w:tc>
        <w:tc>
          <w:tcPr>
            <w:tcW w:w="2633" w:type="dxa"/>
            <w:noWrap w:val="0"/>
            <w:vAlign w:val="center"/>
          </w:tcPr>
          <w:p w14:paraId="33A0F5F2">
            <w:pPr>
              <w:keepNext w:val="0"/>
              <w:keepLines w:val="0"/>
              <w:pageBreakBefore w:val="0"/>
              <w:widowControl w:val="0"/>
              <w:kinsoku/>
              <w:wordWrap w:val="0"/>
              <w:overflowPunct/>
              <w:topLinePunct/>
              <w:autoSpaceDE/>
              <w:autoSpaceDN/>
              <w:bidi w:val="0"/>
              <w:adjustRightInd/>
              <w:snapToGrid/>
              <w:spacing w:line="20" w:lineRule="atLeast"/>
              <w:ind w:right="0" w:firstLine="0" w:firstLineChars="0"/>
              <w:jc w:val="center"/>
              <w:textAlignment w:val="auto"/>
              <w:rPr>
                <w:rFonts w:hint="eastAsia" w:ascii="仿宋" w:hAnsi="仿宋" w:eastAsia="仿宋" w:cs="仿宋"/>
                <w:b w:val="0"/>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color w:val="000000" w:themeColor="text1"/>
                <w:kern w:val="0"/>
                <w:sz w:val="24"/>
                <w:szCs w:val="24"/>
                <w:highlight w:val="none"/>
                <w:lang w:bidi="ar"/>
                <w14:textFill>
                  <w14:solidFill>
                    <w14:schemeClr w14:val="tx1"/>
                  </w14:solidFill>
                </w14:textFill>
              </w:rPr>
              <w:t>须附相关证明材料或承诺书</w:t>
            </w:r>
            <w:r>
              <w:rPr>
                <w:rFonts w:hint="eastAsia" w:ascii="仿宋" w:hAnsi="仿宋" w:eastAsia="仿宋" w:cs="仿宋"/>
                <w:b w:val="0"/>
                <w:bCs/>
                <w:color w:val="000000" w:themeColor="text1"/>
                <w:kern w:val="0"/>
                <w:sz w:val="24"/>
                <w:szCs w:val="24"/>
                <w:highlight w:val="none"/>
                <w:lang w:eastAsia="zh-CN" w:bidi="ar"/>
                <w14:textFill>
                  <w14:solidFill>
                    <w14:schemeClr w14:val="tx1"/>
                  </w14:solidFill>
                </w14:textFill>
              </w:rPr>
              <w:t>。</w:t>
            </w:r>
          </w:p>
        </w:tc>
      </w:tr>
      <w:tr w14:paraId="04992A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1630" w:type="dxa"/>
            <w:noWrap w:val="0"/>
            <w:vAlign w:val="center"/>
          </w:tcPr>
          <w:p w14:paraId="41B84757">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基本资质证明材料</w:t>
            </w:r>
          </w:p>
        </w:tc>
        <w:tc>
          <w:tcPr>
            <w:tcW w:w="5406" w:type="dxa"/>
            <w:noWrap w:val="0"/>
            <w:vAlign w:val="center"/>
          </w:tcPr>
          <w:p w14:paraId="0EAE59F3">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有依法缴纳税收和社会保障资金的良好记录</w:t>
            </w:r>
          </w:p>
          <w:p w14:paraId="57F1557C">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税收缴纳证明：提供截至投标文件递交截止日前六个月内已缴纳至少1个月的纳税证明或完税证明（成立未满3个月的，提供成立以来的纳税证明或完税证明凭证或相关情况说明）；依法免税的投标人应提供相关文件证明；（注：依法免税或零申报的投标人应提供相关文件证明）</w:t>
            </w:r>
          </w:p>
          <w:p w14:paraId="0E8B8D13">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（复印件加盖投标人公章或提供网上可查询的网址信息）</w:t>
            </w:r>
          </w:p>
          <w:p w14:paraId="2FDF7CCE">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社会保障资金缴纳证明：提供截至投标文件递交截止日前六个月内已缴纳至少1个月的社会保障资金缴存单据或社保机构开具的社会保险参保缴费情况证明（成立未满3个月的，提供成立以来的社会保障资金缴纳凭证或相关情况说明）。依法不需要缴纳社会保障资金的投标人应提供相关文件证明；</w:t>
            </w:r>
          </w:p>
          <w:p w14:paraId="24EBEE9A">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（复印件加盖投标人公章或提供网上可查询的网址信息）</w:t>
            </w:r>
          </w:p>
        </w:tc>
        <w:tc>
          <w:tcPr>
            <w:tcW w:w="2633" w:type="dxa"/>
            <w:noWrap w:val="0"/>
            <w:vAlign w:val="center"/>
          </w:tcPr>
          <w:p w14:paraId="188CA9D1">
            <w:pPr>
              <w:keepNext w:val="0"/>
              <w:keepLines w:val="0"/>
              <w:pageBreakBefore w:val="0"/>
              <w:widowControl w:val="0"/>
              <w:numPr>
                <w:ilvl w:val="0"/>
                <w:numId w:val="0"/>
              </w:numPr>
              <w:kinsoku/>
              <w:wordWrap w:val="0"/>
              <w:overflowPunct/>
              <w:topLinePunct/>
              <w:autoSpaceDE/>
              <w:autoSpaceDN/>
              <w:bidi w:val="0"/>
              <w:adjustRightInd/>
              <w:snapToGrid/>
              <w:spacing w:line="20" w:lineRule="atLeast"/>
              <w:ind w:left="0" w:right="0" w:rightChars="0" w:firstLine="0" w:firstLineChars="0"/>
              <w:jc w:val="center"/>
              <w:textAlignment w:val="auto"/>
              <w:rPr>
                <w:rFonts w:hint="eastAsia" w:ascii="仿宋" w:hAnsi="仿宋" w:eastAsia="仿宋" w:cs="仿宋"/>
                <w:b w:val="0"/>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提供的材料</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合法有效，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应完整地体现出材料或电子证照全部内容。</w:t>
            </w:r>
          </w:p>
        </w:tc>
      </w:tr>
      <w:tr w14:paraId="5F0FA8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30" w:type="dxa"/>
            <w:noWrap w:val="0"/>
            <w:vAlign w:val="center"/>
          </w:tcPr>
          <w:p w14:paraId="59246DDE">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基本资质证明材料</w:t>
            </w:r>
          </w:p>
        </w:tc>
        <w:tc>
          <w:tcPr>
            <w:tcW w:w="5406" w:type="dxa"/>
            <w:shd w:val="clear" w:color="auto" w:fill="auto"/>
            <w:noWrap w:val="0"/>
            <w:vAlign w:val="center"/>
          </w:tcPr>
          <w:p w14:paraId="78AA12E6">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b w:val="0"/>
                <w:bCs/>
                <w:color w:val="000000" w:themeColor="text1"/>
                <w:sz w:val="24"/>
                <w:szCs w:val="24"/>
                <w:highlight w:val="none"/>
                <w14:textFill>
                  <w14:solidFill>
                    <w14:schemeClr w14:val="tx1"/>
                  </w14:solidFill>
                </w14:textFill>
              </w:rPr>
              <w:t>参加政府采购活动前三年内，在经营活动中没有重大违法记录</w:t>
            </w:r>
          </w:p>
        </w:tc>
        <w:tc>
          <w:tcPr>
            <w:tcW w:w="2633" w:type="dxa"/>
            <w:shd w:val="clear" w:color="auto" w:fill="auto"/>
            <w:noWrap w:val="0"/>
            <w:vAlign w:val="center"/>
          </w:tcPr>
          <w:p w14:paraId="3F1BDE37">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en-US" w:eastAsia="zh-CN" w:bidi="ar"/>
                <w14:textFill>
                  <w14:solidFill>
                    <w14:schemeClr w14:val="tx1"/>
                  </w14:solidFill>
                </w14:textFill>
              </w:rPr>
              <w:t>据实</w:t>
            </w:r>
            <w:r>
              <w:rPr>
                <w:rFonts w:hint="eastAsia" w:ascii="仿宋" w:hAnsi="仿宋" w:eastAsia="仿宋" w:cs="仿宋"/>
                <w:b w:val="0"/>
                <w:bCs/>
                <w:color w:val="000000" w:themeColor="text1"/>
                <w:sz w:val="24"/>
                <w:szCs w:val="24"/>
                <w:highlight w:val="none"/>
                <w14:textFill>
                  <w14:solidFill>
                    <w14:schemeClr w14:val="tx1"/>
                  </w14:solidFill>
                </w14:textFill>
              </w:rPr>
              <w:t>提供</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《参加采购活动前三年内在经营活动中没有重大违法记录的书面声明》</w:t>
            </w:r>
            <w:r>
              <w:rPr>
                <w:rFonts w:hint="eastAsia" w:ascii="仿宋" w:hAnsi="仿宋" w:eastAsia="仿宋" w:cs="仿宋"/>
                <w:b w:val="0"/>
                <w:bCs/>
                <w:color w:val="000000" w:themeColor="text1"/>
                <w:sz w:val="24"/>
                <w:szCs w:val="24"/>
                <w:highlight w:val="none"/>
                <w14:textFill>
                  <w14:solidFill>
                    <w14:schemeClr w14:val="tx1"/>
                  </w14:solidFill>
                </w14:textFill>
              </w:rPr>
              <w:t>。</w:t>
            </w:r>
          </w:p>
        </w:tc>
      </w:tr>
      <w:tr w14:paraId="4E4C11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30" w:type="dxa"/>
            <w:shd w:val="clear" w:color="auto" w:fill="auto"/>
            <w:noWrap w:val="0"/>
            <w:vAlign w:val="center"/>
          </w:tcPr>
          <w:p w14:paraId="09CB6C72">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基本资质证明材料</w:t>
            </w:r>
          </w:p>
        </w:tc>
        <w:tc>
          <w:tcPr>
            <w:tcW w:w="5406" w:type="dxa"/>
            <w:shd w:val="clear" w:color="auto" w:fill="auto"/>
            <w:noWrap w:val="0"/>
            <w:vAlign w:val="center"/>
          </w:tcPr>
          <w:p w14:paraId="751339A8">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投标人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失信信息材料，由采购人或招标（采购）代理机构负责查询并存档。</w:t>
            </w:r>
          </w:p>
        </w:tc>
        <w:tc>
          <w:tcPr>
            <w:tcW w:w="2633" w:type="dxa"/>
            <w:shd w:val="clear" w:color="auto" w:fill="auto"/>
            <w:noWrap w:val="0"/>
            <w:vAlign w:val="center"/>
          </w:tcPr>
          <w:p w14:paraId="39DE65D7">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firstLine="0" w:firstLineChars="0"/>
              <w:jc w:val="center"/>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p>
          <w:p w14:paraId="4F8C78EF">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据实提供《未被列入失信被执行人、重大税收违法案件当事人、政府采购严重违法失信行为名单的承诺函》。</w:t>
            </w:r>
          </w:p>
        </w:tc>
      </w:tr>
      <w:tr w14:paraId="732DC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30" w:type="dxa"/>
            <w:shd w:val="clear" w:color="auto" w:fill="auto"/>
            <w:noWrap w:val="0"/>
            <w:vAlign w:val="center"/>
          </w:tcPr>
          <w:p w14:paraId="2AB9CA9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其他证明材料</w:t>
            </w:r>
          </w:p>
        </w:tc>
        <w:tc>
          <w:tcPr>
            <w:tcW w:w="5406" w:type="dxa"/>
            <w:shd w:val="clear" w:color="auto" w:fill="auto"/>
            <w:noWrap w:val="0"/>
            <w:vAlign w:val="center"/>
          </w:tcPr>
          <w:p w14:paraId="35FF7FBD">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right="0" w:righ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法律、行政法规规定的其他条件</w:t>
            </w:r>
          </w:p>
        </w:tc>
        <w:tc>
          <w:tcPr>
            <w:tcW w:w="2633" w:type="dxa"/>
            <w:shd w:val="clear" w:color="auto" w:fill="auto"/>
            <w:noWrap w:val="0"/>
            <w:vAlign w:val="center"/>
          </w:tcPr>
          <w:p w14:paraId="609BE1CC">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rightChars="0" w:firstLine="0" w:firstLineChars="0"/>
              <w:jc w:val="center"/>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据实提供《未被列入失信被执行人、重大税收违法案件当事人、政府采购严重违法失信行为名单的承诺函》《资格声明函》《无串通投标行为的承诺函》。</w:t>
            </w:r>
          </w:p>
        </w:tc>
      </w:tr>
      <w:tr w14:paraId="24898D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630" w:type="dxa"/>
            <w:noWrap w:val="0"/>
            <w:vAlign w:val="center"/>
          </w:tcPr>
          <w:p w14:paraId="47B89B0A">
            <w:pPr>
              <w:keepNext w:val="0"/>
              <w:keepLines w:val="0"/>
              <w:pageBreakBefore w:val="0"/>
              <w:widowControl w:val="0"/>
              <w:kinsoku/>
              <w:wordWrap w:val="0"/>
              <w:overflowPunct/>
              <w:topLinePunct/>
              <w:autoSpaceDE/>
              <w:autoSpaceDN/>
              <w:bidi w:val="0"/>
              <w:adjustRightInd/>
              <w:snapToGrid/>
              <w:spacing w:line="20" w:lineRule="atLeast"/>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本项目的特定资格要求</w:t>
            </w:r>
          </w:p>
        </w:tc>
        <w:tc>
          <w:tcPr>
            <w:tcW w:w="5406" w:type="dxa"/>
            <w:noWrap w:val="0"/>
            <w:vAlign w:val="center"/>
          </w:tcPr>
          <w:p w14:paraId="65ADBF7D">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right="0" w:rightChars="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① 投标产品属于医疗器械的，投标人须按照国家最新的《医疗器械监督管理条例》的规定生产或经营医疗器械</w:t>
            </w:r>
            <w:r>
              <w:rPr>
                <w:rFonts w:hint="eastAsia" w:cs="仿宋"/>
                <w:bCs/>
                <w:color w:val="000000" w:themeColor="text1"/>
                <w:sz w:val="24"/>
                <w:szCs w:val="24"/>
                <w:highlight w:val="none"/>
                <w:lang w:eastAsia="zh-CN"/>
                <w14:textFill>
                  <w14:solidFill>
                    <w14:schemeClr w14:val="tx1"/>
                  </w14:solidFill>
                </w14:textFill>
              </w:rPr>
              <w:t>；</w:t>
            </w:r>
          </w:p>
          <w:p w14:paraId="34EBB426">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right="0" w:rightChars="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投标人为生产企业的：</w:t>
            </w:r>
            <w:r>
              <w:rPr>
                <w:rFonts w:hint="eastAsia" w:ascii="仿宋" w:hAnsi="仿宋" w:eastAsia="仿宋" w:cs="仿宋"/>
                <w:bCs/>
                <w:color w:val="000000" w:themeColor="text1"/>
                <w:sz w:val="24"/>
                <w:szCs w:val="24"/>
                <w:highlight w:val="none"/>
                <w:lang w:eastAsia="zh-CN"/>
                <w14:textFill>
                  <w14:solidFill>
                    <w14:schemeClr w14:val="tx1"/>
                  </w14:solidFill>
                </w14:textFill>
              </w:rPr>
              <w:t>所投产品为第一类医疗器械的，应具有《第一类医疗器械生产备案凭证》；所投产品为第二类、第三类医疗器械的，应具有《医疗器械生产许可证》（具备相应生产范围）。</w:t>
            </w:r>
          </w:p>
          <w:p w14:paraId="5A38357B">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right="0" w:rightChars="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投标人为经营企业（含代理商、经销商）的：</w:t>
            </w:r>
            <w:r>
              <w:rPr>
                <w:rFonts w:hint="eastAsia" w:ascii="仿宋" w:hAnsi="仿宋" w:eastAsia="仿宋" w:cs="仿宋"/>
                <w:bCs/>
                <w:color w:val="000000" w:themeColor="text1"/>
                <w:sz w:val="24"/>
                <w:szCs w:val="24"/>
                <w:highlight w:val="none"/>
                <w:lang w:eastAsia="zh-CN"/>
                <w14:textFill>
                  <w14:solidFill>
                    <w14:schemeClr w14:val="tx1"/>
                  </w14:solidFill>
                </w14:textFill>
              </w:rPr>
              <w:t>所投产品为第二类医疗器械的，应具有《第二类医疗器械经营备案凭证》（具备相应经营范围）；所投产品为第三类医疗器械的，应具有《医疗器械经营许可证》（具备相应经营范围）。</w:t>
            </w:r>
          </w:p>
          <w:p w14:paraId="231EB670">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right="0" w:rightChars="0" w:firstLine="480" w:firstLineChars="20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注：医疗器械注册人、备案人在其住所或生产地址销售其注册、备案的医疗器械，无需办理医疗器械经营许可或备案，但应当符合《医疗器械监督管理条例》规定的经营条件，并提供相关说明。</w:t>
            </w:r>
          </w:p>
          <w:p w14:paraId="38E86BB7">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② 投标产品属于医疗器械管理范围的，须提供所投产品有效的《医疗器械注册证》或《医疗器械备案凭证》。</w:t>
            </w:r>
          </w:p>
          <w:p w14:paraId="13882C02">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③ 投标产品为进口医疗器械的，可豁免国内生产许可证，但须提供境外制造商的合法资格证明及中文翻译件；同时须提供所投产品有效的进口《医疗器械注册证》或《医疗器械备案凭证》。</w:t>
            </w:r>
          </w:p>
          <w:p w14:paraId="789F56D6">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④ 非医疗器械产品无需提供上述医疗器械相关资质，但须提交书面声明，声明所投产品不属于医疗器械管理范围。</w:t>
            </w:r>
          </w:p>
          <w:p w14:paraId="7DFAD45A">
            <w:pPr>
              <w:pStyle w:val="7"/>
              <w:keepNext w:val="0"/>
              <w:keepLines w:val="0"/>
              <w:pageBreakBefore w:val="0"/>
              <w:widowControl w:val="0"/>
              <w:numPr>
                <w:ilvl w:val="0"/>
                <w:numId w:val="0"/>
              </w:numPr>
              <w:tabs>
                <w:tab w:val="left" w:pos="2812"/>
                <w:tab w:val="left" w:pos="4300"/>
              </w:tabs>
              <w:kinsoku/>
              <w:wordWrap w:val="0"/>
              <w:overflowPunct/>
              <w:topLinePunct/>
              <w:autoSpaceDE/>
              <w:autoSpaceDN/>
              <w:bidi w:val="0"/>
              <w:adjustRightInd/>
              <w:snapToGrid/>
              <w:spacing w:line="20" w:lineRule="atLeast"/>
              <w:ind w:left="0" w:leftChars="0" w:right="0" w:righ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授权要求（如适用）：投标产品为进口产品或非生产厂家直接投标的，须提供产品制造商或具有授权资格的代理商针对本项目出具的授权书（授权链须完整可追溯至生产厂家或境外制造商）。</w:t>
            </w:r>
          </w:p>
        </w:tc>
        <w:tc>
          <w:tcPr>
            <w:tcW w:w="2633" w:type="dxa"/>
            <w:noWrap w:val="0"/>
            <w:vAlign w:val="center"/>
          </w:tcPr>
          <w:p w14:paraId="46637ECB">
            <w:pPr>
              <w:pStyle w:val="7"/>
              <w:keepNext w:val="0"/>
              <w:keepLines w:val="0"/>
              <w:pageBreakBefore w:val="0"/>
              <w:widowControl w:val="0"/>
              <w:tabs>
                <w:tab w:val="left" w:pos="2412"/>
              </w:tabs>
              <w:kinsoku/>
              <w:wordWrap w:val="0"/>
              <w:overflowPunct/>
              <w:topLinePunct/>
              <w:autoSpaceDE/>
              <w:autoSpaceDN/>
              <w:bidi w:val="0"/>
              <w:adjustRightInd/>
              <w:snapToGrid/>
              <w:spacing w:line="20" w:lineRule="atLeast"/>
              <w:ind w:left="0" w:leftChars="0" w:right="0" w:firstLine="0" w:firstLineChars="0"/>
              <w:jc w:val="center"/>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提供材料扫描件或电子证照，应完整地体现出材料或电子证照全部内容。</w:t>
            </w:r>
          </w:p>
        </w:tc>
      </w:tr>
    </w:tbl>
    <w:p w14:paraId="09D60436">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公开招标采购项目开标结束后，采购人或采购代理机构依据招标文件的规定，对投标人的资格进行审查。合格投标人不足3家的，不得评审，只有通过资格审查的投标文件才能进入评审。</w:t>
      </w:r>
    </w:p>
    <w:p w14:paraId="0BC70245">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center"/>
        <w:outlineLvl w:val="1"/>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sectPr>
          <w:pgSz w:w="11906" w:h="16838"/>
          <w:pgMar w:top="1134" w:right="1134" w:bottom="1134" w:left="1134" w:header="851" w:footer="907" w:gutter="0"/>
          <w:pgNumType w:fmt="decimal"/>
          <w:cols w:space="425" w:num="1"/>
          <w:docGrid w:type="lines" w:linePitch="312" w:charSpace="0"/>
        </w:sectPr>
      </w:pPr>
      <w:bookmarkStart w:id="1032" w:name="_Toc12957"/>
      <w:bookmarkStart w:id="1033" w:name="_Toc29461"/>
      <w:bookmarkStart w:id="1034" w:name="_Toc22184"/>
      <w:bookmarkStart w:id="1035" w:name="_Toc927"/>
    </w:p>
    <w:p w14:paraId="43C93CE6">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jc w:val="center"/>
        <w:outlineLvl w:val="1"/>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pPr>
      <w:bookmarkStart w:id="1036" w:name="_Toc16574"/>
      <w:bookmarkStart w:id="1037" w:name="_Toc31251"/>
      <w:bookmarkStart w:id="1038" w:name="_Toc19861"/>
      <w:bookmarkStart w:id="1039" w:name="_Toc19847"/>
      <w:r>
        <w:rPr>
          <w:rStyle w:val="31"/>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Style w:val="31"/>
          <w:rFonts w:hint="eastAsia" w:ascii="仿宋" w:hAnsi="仿宋" w:eastAsia="仿宋" w:cs="仿宋"/>
          <w:b/>
          <w:bCs/>
          <w:color w:val="000000" w:themeColor="text1"/>
          <w:sz w:val="24"/>
          <w:szCs w:val="24"/>
          <w:highlight w:val="none"/>
          <w:lang w:eastAsia="zh-CN"/>
          <w14:textFill>
            <w14:solidFill>
              <w14:schemeClr w14:val="tx1"/>
            </w14:solidFill>
          </w14:textFill>
        </w:rPr>
        <w:t>符合性评审标准</w:t>
      </w:r>
      <w:bookmarkEnd w:id="1032"/>
      <w:bookmarkEnd w:id="1033"/>
      <w:bookmarkEnd w:id="1036"/>
      <w:bookmarkEnd w:id="1037"/>
      <w:bookmarkEnd w:id="1038"/>
      <w:bookmarkEnd w:id="1039"/>
    </w:p>
    <w:bookmarkEnd w:id="1034"/>
    <w:bookmarkEnd w:id="1035"/>
    <w:p w14:paraId="17A6D31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040" w:name="_Toc524152292"/>
      <w:bookmarkStart w:id="1041" w:name="_Toc521313388"/>
      <w:bookmarkStart w:id="1042" w:name="_Toc512145677"/>
      <w:bookmarkStart w:id="1043" w:name="_Toc535053841"/>
      <w:bookmarkStart w:id="1044" w:name="_Toc510164598"/>
      <w:bookmarkStart w:id="1045" w:name="_Toc532026899"/>
      <w:bookmarkStart w:id="1046" w:name="_Toc532026507"/>
      <w:bookmarkStart w:id="1047" w:name="_Toc522249814"/>
      <w:bookmarkStart w:id="1048" w:name="_Toc510168028"/>
      <w:bookmarkStart w:id="1049" w:name="_Toc510164454"/>
      <w:bookmarkStart w:id="1050" w:name="_Toc427534"/>
      <w:bookmarkStart w:id="1051" w:name="_Toc510164551"/>
      <w:bookmarkStart w:id="1052" w:name="_Toc510164803"/>
      <w:bookmarkStart w:id="1053" w:name="_Toc522705438"/>
      <w:bookmarkStart w:id="1054" w:name="_Toc535054230"/>
      <w:bookmarkStart w:id="1055" w:name="_Toc24531792"/>
      <w:bookmarkStart w:id="1056" w:name="_Toc532025724"/>
      <w:bookmarkStart w:id="1057" w:name="_Toc510168199"/>
      <w:bookmarkStart w:id="1058" w:name="_Toc522792533"/>
      <w:bookmarkStart w:id="1059" w:name="_Toc522249415"/>
      <w:bookmarkStart w:id="1060" w:name="_Toc36621972"/>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委员会对符合资格审查的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的投标文件进行符合性审查，以确定其是否满足</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的实质性要求。有下列情形投标文件不能通过符合性评审，未通过符合性评审的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将不进入综合评分</w:t>
      </w:r>
      <w:r>
        <w:rPr>
          <w:rFonts w:hint="eastAsia" w:ascii="仿宋" w:hAnsi="仿宋" w:eastAsia="仿宋" w:cs="仿宋"/>
          <w:color w:val="000000" w:themeColor="text1"/>
          <w:sz w:val="24"/>
          <w:szCs w:val="24"/>
          <w:highlight w:val="none"/>
          <w:lang w:eastAsia="zh-CN"/>
          <w14:textFill>
            <w14:solidFill>
              <w14:schemeClr w14:val="tx1"/>
            </w14:solidFill>
          </w14:textFill>
        </w:rPr>
        <w:t>。</w:t>
      </w:r>
    </w:p>
    <w:tbl>
      <w:tblPr>
        <w:tblStyle w:val="19"/>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7701"/>
      </w:tblGrid>
      <w:tr w14:paraId="06BC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79F07EA6">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 审 内 容</w:t>
            </w:r>
          </w:p>
        </w:tc>
        <w:tc>
          <w:tcPr>
            <w:tcW w:w="7701" w:type="dxa"/>
            <w:noWrap w:val="0"/>
            <w:vAlign w:val="center"/>
          </w:tcPr>
          <w:p w14:paraId="7E37291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 审 标 准</w:t>
            </w:r>
          </w:p>
        </w:tc>
      </w:tr>
      <w:tr w14:paraId="23A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3BD6AB0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投标文件格式</w:t>
            </w:r>
          </w:p>
        </w:tc>
        <w:tc>
          <w:tcPr>
            <w:tcW w:w="7701" w:type="dxa"/>
            <w:noWrap w:val="0"/>
            <w:vAlign w:val="center"/>
          </w:tcPr>
          <w:p w14:paraId="1CEF7D9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投标文件未按招标文件 第六章 投标文件格式“实质性格式”要求编制的。</w:t>
            </w:r>
          </w:p>
        </w:tc>
      </w:tr>
      <w:tr w14:paraId="7701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01CB620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投标文件的签署</w:t>
            </w:r>
          </w:p>
        </w:tc>
        <w:tc>
          <w:tcPr>
            <w:tcW w:w="7701" w:type="dxa"/>
            <w:noWrap w:val="0"/>
            <w:vAlign w:val="center"/>
          </w:tcPr>
          <w:p w14:paraId="0BBF4C13">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投标文件未按招标文件要求签署、盖章的。</w:t>
            </w:r>
          </w:p>
        </w:tc>
      </w:tr>
      <w:tr w14:paraId="7F9B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18B6303C">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投标报价</w:t>
            </w:r>
          </w:p>
        </w:tc>
        <w:tc>
          <w:tcPr>
            <w:tcW w:w="7701" w:type="dxa"/>
            <w:noWrap w:val="0"/>
            <w:vAlign w:val="center"/>
          </w:tcPr>
          <w:p w14:paraId="0BC1098A">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投标报价超过招标文件中规定的预算金额或者最高限价的。</w:t>
            </w:r>
          </w:p>
        </w:tc>
      </w:tr>
      <w:tr w14:paraId="6E8D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40D70BB6">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投标有效期</w:t>
            </w:r>
          </w:p>
        </w:tc>
        <w:tc>
          <w:tcPr>
            <w:tcW w:w="7701" w:type="dxa"/>
            <w:noWrap w:val="0"/>
            <w:vAlign w:val="center"/>
          </w:tcPr>
          <w:p w14:paraId="14A76511">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投标文件未按招标文件要求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确定投标有效期</w:t>
            </w:r>
            <w:r>
              <w:rPr>
                <w:rFonts w:hint="eastAsia" w:ascii="仿宋" w:hAnsi="仿宋" w:eastAsia="仿宋" w:cs="仿宋"/>
                <w:color w:val="000000" w:themeColor="text1"/>
                <w:sz w:val="24"/>
                <w:szCs w:val="24"/>
                <w:highlight w:val="none"/>
                <w:lang w:eastAsia="zh-CN"/>
                <w14:textFill>
                  <w14:solidFill>
                    <w14:schemeClr w14:val="tx1"/>
                  </w14:solidFill>
                </w14:textFill>
              </w:rPr>
              <w:t>的。</w:t>
            </w:r>
          </w:p>
        </w:tc>
      </w:tr>
      <w:tr w14:paraId="5611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25612ED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实质性条款</w:t>
            </w:r>
          </w:p>
        </w:tc>
        <w:tc>
          <w:tcPr>
            <w:tcW w:w="7701" w:type="dxa"/>
            <w:noWrap w:val="0"/>
            <w:vAlign w:val="center"/>
          </w:tcPr>
          <w:p w14:paraId="704E1CD8">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未实质性响应招标文件中标注★条款内容的。</w:t>
            </w:r>
          </w:p>
        </w:tc>
      </w:tr>
      <w:tr w14:paraId="4984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9" w:type="dxa"/>
            <w:noWrap w:val="0"/>
            <w:vAlign w:val="center"/>
          </w:tcPr>
          <w:p w14:paraId="25C7F7F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投标保证金</w:t>
            </w:r>
          </w:p>
        </w:tc>
        <w:tc>
          <w:tcPr>
            <w:tcW w:w="7701" w:type="dxa"/>
            <w:noWrap w:val="0"/>
            <w:vAlign w:val="center"/>
          </w:tcPr>
          <w:p w14:paraId="16B2E874">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color w:val="000000" w:themeColor="text1"/>
                <w:sz w:val="24"/>
                <w:szCs w:val="24"/>
                <w:highlight w:val="none"/>
                <w:lang w:eastAsia="zh-CN"/>
                <w14:textFill>
                  <w14:solidFill>
                    <w14:schemeClr w14:val="tx1"/>
                  </w14:solidFill>
                </w14:textFill>
              </w:rPr>
              <w:t>按照招标文件的规定提交投标保证金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20E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989" w:type="dxa"/>
            <w:noWrap w:val="0"/>
            <w:vAlign w:val="center"/>
          </w:tcPr>
          <w:p w14:paraId="026AB95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仿宋" w:hAnsi="仿宋" w:eastAsia="仿宋" w:cs="仿宋"/>
                <w:color w:val="000000" w:themeColor="text1"/>
                <w:sz w:val="24"/>
                <w:szCs w:val="24"/>
                <w:highlight w:val="none"/>
                <w:lang w:val="en-US" w:eastAsia="en-US"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无串通投标情形</w:t>
            </w:r>
          </w:p>
        </w:tc>
        <w:tc>
          <w:tcPr>
            <w:tcW w:w="7701" w:type="dxa"/>
            <w:noWrap w:val="0"/>
            <w:vAlign w:val="center"/>
          </w:tcPr>
          <w:p w14:paraId="7DF58092">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有下列情形之一的，视为</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串通投标：</w:t>
            </w:r>
          </w:p>
          <w:p w14:paraId="4AC1765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的投标文件由同一单位或者个人编制；</w:t>
            </w:r>
          </w:p>
          <w:p w14:paraId="251EB11B">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委托同一单位或者个人办理投标事宜；</w:t>
            </w:r>
          </w:p>
          <w:p w14:paraId="378C11B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的投标文件载明的项目管理成员或者联系人员为同一人；</w:t>
            </w:r>
          </w:p>
          <w:p w14:paraId="7BCC8CDE">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的投标文件异常一致或者投标报价呈规律性差异；</w:t>
            </w:r>
          </w:p>
          <w:p w14:paraId="1EF8079F">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的投标文件相互混装；</w:t>
            </w:r>
          </w:p>
          <w:p w14:paraId="7143CDB5">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⑥不同</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的投标保证金从同一单位或者个人的账户转出</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E63716D">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⑦其他围标串标的情形</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5253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9" w:type="dxa"/>
            <w:noWrap w:val="0"/>
            <w:vAlign w:val="center"/>
          </w:tcPr>
          <w:p w14:paraId="1FFDCF89">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leftChars="0" w:right="0" w:firstLine="0" w:firstLineChars="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snapToGrid w:val="0"/>
                <w:color w:val="000000" w:themeColor="text1"/>
                <w:kern w:val="0"/>
                <w:sz w:val="24"/>
                <w:szCs w:val="24"/>
                <w:highlight w:val="none"/>
                <w:lang w:val="en-US" w:eastAsia="zh-CN" w:bidi="ar-SA"/>
                <w14:textFill>
                  <w14:solidFill>
                    <w14:schemeClr w14:val="tx1"/>
                  </w14:solidFill>
                </w14:textFill>
              </w:rPr>
              <w:t>权利义务</w:t>
            </w:r>
          </w:p>
        </w:tc>
        <w:tc>
          <w:tcPr>
            <w:tcW w:w="7701" w:type="dxa"/>
            <w:noWrap w:val="0"/>
            <w:vAlign w:val="center"/>
          </w:tcPr>
          <w:p w14:paraId="4DF26D90">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snapToGrid w:val="0"/>
                <w:color w:val="000000" w:themeColor="text1"/>
                <w:kern w:val="0"/>
                <w:sz w:val="24"/>
                <w:szCs w:val="24"/>
                <w:highlight w:val="none"/>
                <w:lang w:val="en-US" w:eastAsia="zh-CN" w:bidi="ar-SA"/>
                <w14:textFill>
                  <w14:solidFill>
                    <w14:schemeClr w14:val="tx1"/>
                  </w14:solidFill>
                </w14:textFill>
              </w:rPr>
              <w:t>投标文件中</w:t>
            </w:r>
            <w:r>
              <w:rPr>
                <w:rFonts w:hint="eastAsia" w:ascii="仿宋" w:hAnsi="仿宋" w:eastAsia="仿宋" w:cs="仿宋"/>
                <w:color w:val="000000" w:themeColor="text1"/>
                <w:sz w:val="24"/>
                <w:szCs w:val="24"/>
                <w:highlight w:val="none"/>
                <w14:textFill>
                  <w14:solidFill>
                    <w14:schemeClr w14:val="tx1"/>
                  </w14:solidFill>
                </w14:textFill>
              </w:rPr>
              <w:t>含有采购人不能接受的附加条件的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0FEF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89" w:type="dxa"/>
            <w:noWrap w:val="0"/>
            <w:vAlign w:val="center"/>
          </w:tcPr>
          <w:p w14:paraId="4935FE57">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jc w:val="center"/>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其他无效情形</w:t>
            </w:r>
          </w:p>
        </w:tc>
        <w:tc>
          <w:tcPr>
            <w:tcW w:w="7701" w:type="dxa"/>
            <w:noWrap w:val="0"/>
            <w:vAlign w:val="center"/>
          </w:tcPr>
          <w:p w14:paraId="5875829E">
            <w:pPr>
              <w:keepNext w:val="0"/>
              <w:keepLines w:val="0"/>
              <w:pageBreakBefore w:val="0"/>
              <w:widowControl w:val="0"/>
              <w:kinsoku/>
              <w:wordWrap w:val="0"/>
              <w:overflowPunct/>
              <w:topLinePunct/>
              <w:autoSpaceDE/>
              <w:autoSpaceDN/>
              <w:bidi w:val="0"/>
              <w:adjustRightInd/>
              <w:snapToGrid/>
              <w:spacing w:beforeAutospacing="0" w:afterAutospacing="0" w:line="20" w:lineRule="atLeast"/>
              <w:ind w:left="0" w:right="0" w:firstLine="480" w:firstLineChars="200"/>
              <w:textAlignment w:val="auto"/>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法律法规</w:t>
            </w:r>
            <w:r>
              <w:rPr>
                <w:rFonts w:hint="eastAsia" w:ascii="仿宋" w:hAnsi="仿宋" w:eastAsia="仿宋" w:cs="仿宋"/>
                <w:snapToGrid w:val="0"/>
                <w:color w:val="000000" w:themeColor="text1"/>
                <w:kern w:val="0"/>
                <w:sz w:val="24"/>
                <w:szCs w:val="24"/>
                <w:highlight w:val="none"/>
                <w14:textFill>
                  <w14:solidFill>
                    <w14:schemeClr w14:val="tx1"/>
                  </w14:solidFill>
                </w14:textFill>
              </w:rPr>
              <w:t>和</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招标文件</w:t>
            </w:r>
            <w:r>
              <w:rPr>
                <w:rFonts w:hint="eastAsia" w:ascii="仿宋" w:hAnsi="仿宋" w:eastAsia="仿宋" w:cs="仿宋"/>
                <w:snapToGrid w:val="0"/>
                <w:color w:val="000000" w:themeColor="text1"/>
                <w:kern w:val="0"/>
                <w:sz w:val="24"/>
                <w:szCs w:val="24"/>
                <w:highlight w:val="none"/>
                <w14:textFill>
                  <w14:solidFill>
                    <w14:schemeClr w14:val="tx1"/>
                  </w14:solidFill>
                </w14:textFill>
              </w:rPr>
              <w:t>规定的其他无效情形。</w:t>
            </w:r>
          </w:p>
        </w:tc>
      </w:t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tbl>
    <w:p w14:paraId="347BEAEE">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left="0" w:leftChars="0" w:right="0" w:firstLine="482" w:firstLineChars="200"/>
        <w:jc w:val="center"/>
        <w:textAlignment w:val="baseline"/>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sectPr>
          <w:pgSz w:w="11906" w:h="16838"/>
          <w:pgMar w:top="1134" w:right="1134" w:bottom="1134" w:left="1134" w:header="851" w:footer="907" w:gutter="0"/>
          <w:pgNumType w:fmt="decimal"/>
          <w:cols w:space="425" w:num="1"/>
          <w:docGrid w:type="lines" w:linePitch="312" w:charSpace="0"/>
        </w:sectPr>
      </w:pPr>
      <w:bookmarkStart w:id="1061" w:name="_Toc29344"/>
    </w:p>
    <w:p w14:paraId="22DCBBBE">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ind w:left="0" w:leftChars="0" w:right="0" w:firstLine="482" w:firstLineChars="200"/>
        <w:jc w:val="center"/>
        <w:textAlignment w:val="baseline"/>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pPr>
      <w:bookmarkStart w:id="1062" w:name="_Toc3569"/>
      <w:bookmarkStart w:id="1063" w:name="_Toc20311"/>
      <w:bookmarkStart w:id="1064" w:name="_Toc20293"/>
      <w:bookmarkStart w:id="1065" w:name="_Toc6312"/>
      <w:r>
        <w:rPr>
          <w:rFonts w:hint="eastAsia" w:ascii="仿宋" w:hAnsi="仿宋" w:eastAsia="仿宋" w:cs="仿宋"/>
          <w:b/>
          <w:bCs/>
          <w:color w:val="000000" w:themeColor="text1"/>
          <w:spacing w:val="0"/>
          <w:w w:val="100"/>
          <w:position w:val="0"/>
          <w:sz w:val="24"/>
          <w:szCs w:val="24"/>
          <w:highlight w:val="none"/>
          <w:lang w:val="en-US" w:eastAsia="zh-CN"/>
          <w14:textFill>
            <w14:solidFill>
              <w14:schemeClr w14:val="tx1"/>
            </w14:solidFill>
          </w14:textFill>
        </w:rPr>
        <w:t>三、评分标准</w:t>
      </w:r>
      <w:bookmarkEnd w:id="1061"/>
      <w:bookmarkEnd w:id="1062"/>
      <w:bookmarkEnd w:id="1063"/>
      <w:bookmarkEnd w:id="1064"/>
      <w:bookmarkEnd w:id="1065"/>
    </w:p>
    <w:p w14:paraId="5606D739">
      <w:pPr>
        <w:pStyle w:val="3"/>
        <w:keepNext w:val="0"/>
        <w:keepLines w:val="0"/>
        <w:pageBreakBefore w:val="0"/>
        <w:widowControl w:val="0"/>
        <w:kinsoku/>
        <w:wordWrap w:val="0"/>
        <w:overflowPunct/>
        <w:topLinePunct/>
        <w:autoSpaceDE/>
        <w:autoSpaceDN/>
        <w:bidi w:val="0"/>
        <w:adjustRightInd/>
        <w:snapToGrid/>
        <w:spacing w:before="0" w:after="0" w:line="20" w:lineRule="atLeast"/>
        <w:ind w:left="0" w:right="0"/>
        <w:jc w:val="center"/>
        <w:textAlignment w:val="auto"/>
        <w:outlineLvl w:val="2"/>
        <w:rPr>
          <w:rFonts w:hint="eastAsia" w:ascii="仿宋" w:hAnsi="仿宋" w:eastAsia="仿宋" w:cs="仿宋"/>
          <w:i w:val="0"/>
          <w:iCs w:val="0"/>
          <w:color w:val="000000" w:themeColor="text1"/>
          <w:sz w:val="24"/>
          <w:szCs w:val="24"/>
          <w:highlight w:val="none"/>
          <w:lang w:eastAsia="zh-CN"/>
          <w14:textFill>
            <w14:solidFill>
              <w14:schemeClr w14:val="tx1"/>
            </w14:solidFill>
          </w14:textFill>
        </w:rPr>
      </w:pPr>
      <w:bookmarkStart w:id="1066" w:name="_Toc10981"/>
      <w:bookmarkStart w:id="1067" w:name="_Toc8449"/>
      <w:bookmarkStart w:id="1068" w:name="_Toc6308"/>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评分标准（</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满分</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30</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分）</w:t>
      </w:r>
      <w:bookmarkEnd w:id="1066"/>
      <w:bookmarkEnd w:id="1067"/>
      <w:bookmarkEnd w:id="1068"/>
    </w:p>
    <w:tbl>
      <w:tblPr>
        <w:tblStyle w:val="1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325"/>
        <w:gridCol w:w="869"/>
        <w:gridCol w:w="793"/>
      </w:tblGrid>
      <w:tr w14:paraId="1408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0650DC23">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类型</w:t>
            </w:r>
          </w:p>
        </w:tc>
        <w:tc>
          <w:tcPr>
            <w:tcW w:w="7325" w:type="dxa"/>
            <w:vAlign w:val="center"/>
          </w:tcPr>
          <w:p w14:paraId="11A46E4E">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评分标准</w:t>
            </w:r>
          </w:p>
        </w:tc>
        <w:tc>
          <w:tcPr>
            <w:tcW w:w="869" w:type="dxa"/>
            <w:vAlign w:val="center"/>
          </w:tcPr>
          <w:p w14:paraId="5D811BEA">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分值</w:t>
            </w:r>
          </w:p>
        </w:tc>
        <w:tc>
          <w:tcPr>
            <w:tcW w:w="793" w:type="dxa"/>
            <w:shd w:val="clear" w:color="auto" w:fill="auto"/>
            <w:vAlign w:val="center"/>
          </w:tcPr>
          <w:p w14:paraId="61378431">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打分方法</w:t>
            </w:r>
          </w:p>
        </w:tc>
      </w:tr>
      <w:tr w14:paraId="6F66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19" w:type="dxa"/>
            <w:vAlign w:val="center"/>
          </w:tcPr>
          <w:p w14:paraId="146A291D">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i w:val="0"/>
                <w:iCs w:val="0"/>
                <w:color w:val="000000" w:themeColor="text1"/>
                <w:sz w:val="24"/>
                <w:szCs w:val="24"/>
                <w:highlight w:val="none"/>
                <w:lang w:val="en-US" w:eastAsia="en-US" w:bidi="ar-SA"/>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i w:val="0"/>
                <w:iCs w:val="0"/>
                <w:color w:val="000000" w:themeColor="text1"/>
                <w:sz w:val="24"/>
                <w:szCs w:val="24"/>
                <w:highlight w:val="none"/>
                <w14:textFill>
                  <w14:solidFill>
                    <w14:schemeClr w14:val="tx1"/>
                  </w14:solidFill>
                </w14:textFill>
              </w:rPr>
              <w:t>报价</w:t>
            </w:r>
          </w:p>
        </w:tc>
        <w:tc>
          <w:tcPr>
            <w:tcW w:w="7325" w:type="dxa"/>
            <w:vAlign w:val="center"/>
          </w:tcPr>
          <w:p w14:paraId="537B6CD9">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 xml:space="preserve">投标报价计算公式= </w:t>
            </w:r>
            <w:r>
              <w:rPr>
                <w:rFonts w:hint="eastAsia" w:ascii="仿宋" w:hAnsi="仿宋" w:eastAsia="仿宋" w:cs="仿宋"/>
                <w:i w:val="0"/>
                <w:iCs w:val="0"/>
                <w:color w:val="000000" w:themeColor="text1"/>
                <w:position w:val="-26"/>
                <w:sz w:val="24"/>
                <w:szCs w:val="24"/>
                <w:highlight w:val="none"/>
                <w14:textFill>
                  <w14:solidFill>
                    <w14:schemeClr w14:val="tx1"/>
                  </w14:solidFill>
                </w14:textFill>
              </w:rPr>
              <w:object>
                <v:shape id="_x0000_i1025" o:spt="75" alt="341228446826312" type="#_x0000_t75" style="height:31.5pt;width:66.95pt;" o:ole="t" filled="f" o:preferrelative="t" stroked="f" coordsize="21600,21600">
                  <v:path/>
                  <v:fill on="f" focussize="0,0"/>
                  <v:stroke on="f"/>
                  <v:imagedata r:id="rId25" o:title=""/>
                  <o:lock v:ext="edit" aspectratio="t"/>
                  <w10:wrap type="none"/>
                  <w10:anchorlock/>
                </v:shape>
                <o:OLEObject Type="Embed" ProgID="Equation.3" ShapeID="_x0000_i1025" DrawAspect="Content" ObjectID="_1468075725" r:id="rId24">
                  <o:LockedField>false</o:LockedField>
                </o:OLEObject>
              </w:object>
            </w:r>
            <w:r>
              <w:rPr>
                <w:rFonts w:hint="eastAsia" w:ascii="仿宋" w:hAnsi="仿宋" w:eastAsia="仿宋" w:cs="仿宋"/>
                <w:i w:val="0"/>
                <w:iCs w:val="0"/>
                <w:color w:val="000000" w:themeColor="text1"/>
                <w:sz w:val="24"/>
                <w:szCs w:val="24"/>
                <w:highlight w:val="none"/>
                <w14:textFill>
                  <w14:solidFill>
                    <w14:schemeClr w14:val="tx1"/>
                  </w14:solidFill>
                </w14:textFill>
              </w:rPr>
              <w:t>×</w:t>
            </w:r>
            <w:r>
              <w:rPr>
                <w:rFonts w:hint="eastAsia" w:ascii="仿宋" w:hAnsi="仿宋" w:eastAsia="仿宋" w:cs="仿宋"/>
                <w:i w:val="0"/>
                <w:iCs w:val="0"/>
                <w:color w:val="000000" w:themeColor="text1"/>
                <w:sz w:val="24"/>
                <w:szCs w:val="24"/>
                <w:highlight w:val="none"/>
                <w:u w:val="none"/>
                <w14:textFill>
                  <w14:solidFill>
                    <w14:schemeClr w14:val="tx1"/>
                  </w14:solidFill>
                </w14:textFill>
              </w:rPr>
              <w:t>30</w:t>
            </w:r>
          </w:p>
          <w:p w14:paraId="6A88C9CD">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即：</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F1</w:t>
            </w:r>
            <w:r>
              <w:rPr>
                <w:rFonts w:hint="eastAsia" w:ascii="仿宋" w:hAnsi="仿宋" w:eastAsia="仿宋" w:cs="仿宋"/>
                <w:i w:val="0"/>
                <w:iCs w:val="0"/>
                <w:color w:val="000000" w:themeColor="text1"/>
                <w:sz w:val="24"/>
                <w:szCs w:val="24"/>
                <w:highlight w:val="none"/>
                <w14:textFill>
                  <w14:solidFill>
                    <w14:schemeClr w14:val="tx1"/>
                  </w14:solidFill>
                </w14:textFill>
              </w:rPr>
              <w:t>=[C/（B1，B2，…，Bn）]×</w:t>
            </w:r>
            <w:r>
              <w:rPr>
                <w:rFonts w:hint="eastAsia" w:ascii="仿宋" w:hAnsi="仿宋" w:eastAsia="仿宋" w:cs="仿宋"/>
                <w:i w:val="0"/>
                <w:iCs w:val="0"/>
                <w:color w:val="000000" w:themeColor="text1"/>
                <w:sz w:val="24"/>
                <w:szCs w:val="24"/>
                <w:highlight w:val="none"/>
                <w:u w:val="none"/>
                <w14:textFill>
                  <w14:solidFill>
                    <w14:schemeClr w14:val="tx1"/>
                  </w14:solidFill>
                </w14:textFill>
              </w:rPr>
              <w:t>30</w:t>
            </w:r>
          </w:p>
          <w:p w14:paraId="7EEB7668">
            <w:pPr>
              <w:keepNext w:val="0"/>
              <w:keepLines w:val="0"/>
              <w:pageBreakBefore w:val="0"/>
              <w:widowControl w:val="0"/>
              <w:kinsoku/>
              <w:wordWrap w:val="0"/>
              <w:overflowPunct/>
              <w:topLinePunct/>
              <w:autoSpaceDE/>
              <w:autoSpaceDN/>
              <w:bidi w:val="0"/>
              <w:adjustRightInd/>
              <w:snapToGrid/>
              <w:spacing w:line="20" w:lineRule="atLeast"/>
              <w:ind w:left="0" w:right="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注：</w:t>
            </w:r>
            <w:r>
              <w:rPr>
                <w:rFonts w:hint="eastAsia" w:ascii="仿宋" w:hAnsi="仿宋" w:eastAsia="仿宋" w:cs="仿宋"/>
                <w:i w:val="0"/>
                <w:iCs w:val="0"/>
                <w:color w:val="000000" w:themeColor="text1"/>
                <w:sz w:val="24"/>
                <w:szCs w:val="24"/>
                <w:highlight w:val="none"/>
                <w14:textFill>
                  <w14:solidFill>
                    <w14:schemeClr w14:val="tx1"/>
                  </w14:solidFill>
                </w14:textFill>
              </w:rPr>
              <w:t>C为</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评审</w:t>
            </w:r>
            <w:r>
              <w:rPr>
                <w:rFonts w:hint="eastAsia" w:ascii="仿宋" w:hAnsi="仿宋" w:eastAsia="仿宋" w:cs="仿宋"/>
                <w:i w:val="0"/>
                <w:iCs w:val="0"/>
                <w:color w:val="000000" w:themeColor="text1"/>
                <w:sz w:val="24"/>
                <w:szCs w:val="24"/>
                <w:highlight w:val="none"/>
                <w14:textFill>
                  <w14:solidFill>
                    <w14:schemeClr w14:val="tx1"/>
                  </w14:solidFill>
                </w14:textFill>
              </w:rPr>
              <w:t>基准价，即经符合性评审合格且投标价格最低的投标报价；</w:t>
            </w:r>
          </w:p>
          <w:p w14:paraId="3FFEFB13">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14:textFill>
                  <w14:solidFill>
                    <w14:schemeClr w14:val="tx1"/>
                  </w14:solidFill>
                </w14:textFill>
              </w:rPr>
              <w:t>B1，B2，…，Bn为第n个经符合性评审合格的投标报价。</w:t>
            </w:r>
          </w:p>
          <w:p w14:paraId="3C3A5FAC">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14:textFill>
                  <w14:solidFill>
                    <w14:schemeClr w14:val="tx1"/>
                  </w14:solidFill>
                </w14:textFill>
              </w:rPr>
              <w:t>在计算投标报价得分时，对小型或微型企业报价给予10%的扣除，用扣除后的价格参加评审。</w:t>
            </w:r>
          </w:p>
          <w:p w14:paraId="32CAFE6D">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2.</w:t>
            </w:r>
            <w:r>
              <w:rPr>
                <w:rFonts w:hint="eastAsia" w:ascii="仿宋" w:hAnsi="仿宋" w:eastAsia="仿宋" w:cs="仿宋"/>
                <w:i w:val="0"/>
                <w:iCs w:val="0"/>
                <w:color w:val="000000" w:themeColor="text1"/>
                <w:sz w:val="24"/>
                <w:szCs w:val="24"/>
                <w:highlight w:val="none"/>
                <w14:textFill>
                  <w14:solidFill>
                    <w14:schemeClr w14:val="tx1"/>
                  </w14:solidFill>
                </w14:textFill>
              </w:rPr>
              <w:t>残疾人福利性单位、监狱企业视同小型、微型企业。</w:t>
            </w:r>
          </w:p>
          <w:p w14:paraId="7C3B263E">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3.</w:t>
            </w:r>
            <w:r>
              <w:rPr>
                <w:rFonts w:hint="eastAsia" w:ascii="仿宋" w:hAnsi="仿宋" w:eastAsia="仿宋" w:cs="仿宋"/>
                <w:i w:val="0"/>
                <w:iCs w:val="0"/>
                <w:color w:val="000000" w:themeColor="text1"/>
                <w:sz w:val="24"/>
                <w:szCs w:val="24"/>
                <w:highlight w:val="none"/>
                <w14:textFill>
                  <w14:solidFill>
                    <w14:schemeClr w14:val="tx1"/>
                  </w14:solidFill>
                </w14:textFill>
              </w:rPr>
              <w:t>监狱企业或残疾人福利性单位属于小型、微型企业的，不重复计算，只进行一次价格扣除。</w:t>
            </w:r>
          </w:p>
          <w:p w14:paraId="31874825">
            <w:pPr>
              <w:keepNext w:val="0"/>
              <w:keepLines w:val="0"/>
              <w:pageBreakBefore w:val="0"/>
              <w:widowControl w:val="0"/>
              <w:kinsoku/>
              <w:wordWrap w:val="0"/>
              <w:overflowPunct/>
              <w:topLinePunct/>
              <w:autoSpaceDE/>
              <w:autoSpaceDN/>
              <w:bidi w:val="0"/>
              <w:adjustRightInd/>
              <w:snapToGrid/>
              <w:spacing w:line="20" w:lineRule="atLeast"/>
              <w:ind w:left="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4.政府采购活动中既有本国产品又有非本国产品参与竞争的，依法对本国产品给予价格评审优惠，对本国产品的报价给予20%的价格扣除，用扣除后的价格参与评审。</w:t>
            </w:r>
          </w:p>
          <w:p w14:paraId="6E346C1C">
            <w:pPr>
              <w:keepNext w:val="0"/>
              <w:keepLines w:val="0"/>
              <w:pageBreakBefore w:val="0"/>
              <w:widowControl w:val="0"/>
              <w:kinsoku/>
              <w:wordWrap w:val="0"/>
              <w:overflowPunct/>
              <w:topLinePunct/>
              <w:autoSpaceDE/>
              <w:autoSpaceDN/>
              <w:bidi w:val="0"/>
              <w:adjustRightInd/>
              <w:snapToGrid/>
              <w:spacing w:line="360" w:lineRule="exact"/>
              <w:ind w:left="0" w:right="0" w:firstLine="480" w:firstLineChars="200"/>
              <w:jc w:val="left"/>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5.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w:t>
            </w:r>
          </w:p>
          <w:p w14:paraId="29220339">
            <w:pPr>
              <w:keepNext w:val="0"/>
              <w:keepLines w:val="0"/>
              <w:pageBreakBefore w:val="0"/>
              <w:widowControl w:val="0"/>
              <w:kinsoku/>
              <w:wordWrap w:val="0"/>
              <w:overflowPunct/>
              <w:topLinePunct/>
              <w:autoSpaceDE/>
              <w:autoSpaceDN/>
              <w:bidi w:val="0"/>
              <w:adjustRightInd/>
              <w:snapToGrid/>
              <w:spacing w:line="360" w:lineRule="exact"/>
              <w:ind w:left="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6.对于仅有本国产品参与竞争的政府采购项目，本国产品不享受价格扣除评审优惠。</w:t>
            </w:r>
          </w:p>
          <w:p w14:paraId="563286AA">
            <w:pPr>
              <w:keepNext w:val="0"/>
              <w:keepLines w:val="0"/>
              <w:pageBreakBefore w:val="0"/>
              <w:widowControl w:val="0"/>
              <w:kinsoku/>
              <w:wordWrap w:val="0"/>
              <w:overflowPunct/>
              <w:topLinePunct/>
              <w:autoSpaceDE/>
              <w:autoSpaceDN/>
              <w:bidi w:val="0"/>
              <w:adjustRightInd/>
              <w:snapToGrid/>
              <w:spacing w:line="360" w:lineRule="exact"/>
              <w:ind w:left="0" w:right="0" w:firstLine="480" w:firstLineChars="200"/>
              <w:jc w:val="left"/>
              <w:textAlignment w:val="auto"/>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7.当涉及以上政府采购政策叠加适用的，相关价格评审扣除优惠，均在供应商原始报价基础上计算，用扣除后的价格参与评审。</w:t>
            </w:r>
          </w:p>
          <w:p w14:paraId="6D619BC6">
            <w:pPr>
              <w:keepNext w:val="0"/>
              <w:keepLines w:val="0"/>
              <w:pageBreakBefore w:val="0"/>
              <w:widowControl w:val="0"/>
              <w:kinsoku/>
              <w:wordWrap w:val="0"/>
              <w:overflowPunct/>
              <w:topLinePunct/>
              <w:autoSpaceDE/>
              <w:autoSpaceDN/>
              <w:bidi w:val="0"/>
              <w:adjustRightInd/>
              <w:snapToGrid/>
              <w:spacing w:line="360" w:lineRule="exact"/>
              <w:ind w:left="0" w:right="0" w:firstLine="480" w:firstLineChars="200"/>
              <w:jc w:val="lef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8.得分保留小数点后两位，第三位四舍五入。</w:t>
            </w:r>
          </w:p>
          <w:p w14:paraId="5686FCC6">
            <w:pPr>
              <w:keepNext w:val="0"/>
              <w:keepLines w:val="0"/>
              <w:pageBreakBefore w:val="0"/>
              <w:overflowPunct/>
              <w:bidi w:val="0"/>
              <w:spacing w:line="3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3277CB6D">
            <w:pPr>
              <w:keepNext w:val="0"/>
              <w:keepLines w:val="0"/>
              <w:pageBreakBefore w:val="0"/>
              <w:overflowPunct/>
              <w:bidi w:val="0"/>
              <w:spacing w:line="3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①如果评标委员会认为投标人的报价属于《关于推动解决政府采购异常低价问题的通知》【财库（2026）2号】规定的情形，应当启动异常低价投标（响应）审查程序，并按上述文件的有关规定作出处理。</w:t>
            </w:r>
          </w:p>
          <w:p w14:paraId="5C4CEAA0">
            <w:pPr>
              <w:keepNext w:val="0"/>
              <w:keepLines w:val="0"/>
              <w:pageBreakBefore w:val="0"/>
              <w:overflowPunct/>
              <w:bidi w:val="0"/>
              <w:spacing w:line="3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②</w:t>
            </w:r>
            <w:r>
              <w:rPr>
                <w:rFonts w:hint="eastAsia" w:ascii="仿宋" w:hAnsi="仿宋" w:eastAsia="仿宋" w:cs="仿宋"/>
                <w:b/>
                <w:bCs/>
                <w:color w:val="auto"/>
                <w:sz w:val="24"/>
                <w:szCs w:val="24"/>
                <w:highlight w:val="none"/>
              </w:rPr>
              <w:t>评标委员会根据供应商提供的小微企业或监狱企业或残疾人福利性单位相关声明函，认定其是否属于小微企业或监狱企业或残疾人福利性单位并享受相应的优惠政策。供应商对其提供的声明函的真实性负责，如有虚假，自行承担相应责任。</w:t>
            </w:r>
          </w:p>
          <w:p w14:paraId="73D5F2A0">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lang w:val="en-US" w:eastAsia="zh-CN"/>
              </w:rPr>
              <w:t>③</w:t>
            </w:r>
            <w:r>
              <w:rPr>
                <w:rFonts w:hint="eastAsia" w:ascii="仿宋" w:hAnsi="仿宋" w:eastAsia="仿宋" w:cs="仿宋"/>
                <w:b/>
                <w:bCs/>
                <w:color w:val="auto"/>
                <w:sz w:val="24"/>
                <w:szCs w:val="24"/>
                <w:highlight w:val="none"/>
              </w:rPr>
              <w:t>评标委员会根据</w:t>
            </w:r>
            <w:r>
              <w:rPr>
                <w:rFonts w:hint="eastAsia" w:ascii="仿宋" w:hAnsi="仿宋" w:eastAsia="仿宋" w:cs="仿宋"/>
                <w:b/>
                <w:bCs/>
                <w:color w:val="auto"/>
                <w:sz w:val="24"/>
                <w:szCs w:val="24"/>
                <w:highlight w:val="none"/>
                <w:lang w:val="en-US" w:eastAsia="zh-CN"/>
              </w:rPr>
              <w:t>供应商对其提供的产品出具《关于符合本国产品标准的声明函》，认定</w:t>
            </w:r>
            <w:r>
              <w:rPr>
                <w:rFonts w:hint="eastAsia" w:ascii="仿宋" w:hAnsi="仿宋" w:eastAsia="仿宋" w:cs="仿宋"/>
                <w:b/>
                <w:bCs/>
                <w:color w:val="auto"/>
                <w:sz w:val="24"/>
                <w:szCs w:val="24"/>
                <w:highlight w:val="none"/>
              </w:rPr>
              <w:t>其是否</w:t>
            </w:r>
            <w:r>
              <w:rPr>
                <w:rFonts w:hint="eastAsia" w:ascii="仿宋" w:hAnsi="仿宋" w:eastAsia="仿宋" w:cs="仿宋"/>
                <w:b/>
                <w:bCs/>
                <w:color w:val="auto"/>
                <w:sz w:val="24"/>
                <w:szCs w:val="24"/>
                <w:highlight w:val="none"/>
                <w:lang w:val="en-US" w:eastAsia="zh-CN"/>
              </w:rPr>
              <w:t>享受相应优惠政策。</w:t>
            </w:r>
            <w:r>
              <w:rPr>
                <w:rFonts w:hint="eastAsia" w:ascii="仿宋" w:hAnsi="仿宋" w:eastAsia="仿宋" w:cs="仿宋"/>
                <w:b/>
                <w:bCs/>
                <w:color w:val="auto"/>
                <w:sz w:val="24"/>
                <w:szCs w:val="24"/>
                <w:highlight w:val="none"/>
              </w:rPr>
              <w:t>供应商对其提供的声明函的真实性负责，如有虚假，自行承担相应责任。</w:t>
            </w:r>
          </w:p>
        </w:tc>
        <w:tc>
          <w:tcPr>
            <w:tcW w:w="869" w:type="dxa"/>
            <w:vAlign w:val="center"/>
          </w:tcPr>
          <w:p w14:paraId="58C15EF6">
            <w:pPr>
              <w:keepNext w:val="0"/>
              <w:keepLines w:val="0"/>
              <w:pageBreakBefore w:val="0"/>
              <w:widowControl w:val="0"/>
              <w:kinsoku/>
              <w:wordWrap w:val="0"/>
              <w:overflowPunct/>
              <w:topLinePunct/>
              <w:autoSpaceDE/>
              <w:autoSpaceDN/>
              <w:bidi w:val="0"/>
              <w:adjustRightInd/>
              <w:snapToGrid/>
              <w:spacing w:line="20" w:lineRule="atLeast"/>
              <w:ind w:left="0" w:right="0"/>
              <w:jc w:val="center"/>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u w:val="none"/>
                <w:lang w:val="en-US" w:eastAsia="zh-CN"/>
                <w14:textFill>
                  <w14:solidFill>
                    <w14:schemeClr w14:val="tx1"/>
                  </w14:solidFill>
                </w14:textFill>
              </w:rPr>
              <w:t>30</w:t>
            </w: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分</w:t>
            </w:r>
          </w:p>
        </w:tc>
        <w:tc>
          <w:tcPr>
            <w:tcW w:w="793" w:type="dxa"/>
            <w:shd w:val="clear" w:color="auto" w:fill="auto"/>
            <w:vAlign w:val="center"/>
          </w:tcPr>
          <w:p w14:paraId="3F254268">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客观分</w:t>
            </w:r>
          </w:p>
        </w:tc>
      </w:tr>
    </w:tbl>
    <w:p w14:paraId="685C310E">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zh-CN" w:eastAsia="zh-CN"/>
          <w14:textFill>
            <w14:solidFill>
              <w14:schemeClr w14:val="tx1"/>
            </w14:solidFill>
          </w14:textFill>
        </w:rPr>
      </w:pPr>
      <w:bookmarkStart w:id="1069" w:name="_Toc27135"/>
      <w:bookmarkStart w:id="1070" w:name="_Toc27017"/>
    </w:p>
    <w:p w14:paraId="7A6485A1">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000000" w:themeColor="text1"/>
          <w:sz w:val="24"/>
          <w:szCs w:val="24"/>
          <w:highlight w:val="none"/>
          <w:lang w:val="zh-CN" w:eastAsia="zh-CN"/>
          <w14:textFill>
            <w14:solidFill>
              <w14:schemeClr w14:val="tx1"/>
            </w14:solidFill>
          </w14:textFill>
        </w:rPr>
      </w:pPr>
    </w:p>
    <w:p w14:paraId="34EA0038">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000000" w:themeColor="text1"/>
          <w:sz w:val="24"/>
          <w:szCs w:val="24"/>
          <w:highlight w:val="none"/>
          <w:lang w:val="zh-CN" w:eastAsia="zh-CN"/>
          <w14:textFill>
            <w14:solidFill>
              <w14:schemeClr w14:val="tx1"/>
            </w14:solidFill>
          </w14:textFill>
        </w:rPr>
      </w:pPr>
    </w:p>
    <w:p w14:paraId="6C0C20A3">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b/>
          <w:bCs/>
          <w:color w:val="000000" w:themeColor="text1"/>
          <w:sz w:val="24"/>
          <w:szCs w:val="24"/>
          <w:highlight w:val="none"/>
          <w:lang w:val="zh-CN" w:eastAsia="zh-CN"/>
          <w14:textFill>
            <w14:solidFill>
              <w14:schemeClr w14:val="tx1"/>
            </w14:solidFill>
          </w14:textFill>
        </w:rPr>
        <w:sectPr>
          <w:pgSz w:w="11906" w:h="16838"/>
          <w:pgMar w:top="1134" w:right="1134" w:bottom="1134" w:left="1134" w:header="851" w:footer="907" w:gutter="0"/>
          <w:pgNumType w:fmt="decimal"/>
          <w:cols w:space="425" w:num="1"/>
          <w:docGrid w:type="lines" w:linePitch="312" w:charSpace="0"/>
        </w:sectPr>
      </w:pPr>
    </w:p>
    <w:p w14:paraId="270355A4">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zh-CN"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val="zh-CN" w:eastAsia="zh-CN"/>
          <w14:textFill>
            <w14:solidFill>
              <w14:schemeClr w14:val="tx1"/>
            </w14:solidFill>
          </w14:textFill>
        </w:rPr>
        <w:t>）商务技术</w:t>
      </w:r>
      <w:r>
        <w:rPr>
          <w:rFonts w:hint="eastAsia" w:ascii="仿宋" w:hAnsi="仿宋" w:eastAsia="仿宋" w:cs="仿宋"/>
          <w:b/>
          <w:bCs/>
          <w:color w:val="000000" w:themeColor="text1"/>
          <w:sz w:val="24"/>
          <w:szCs w:val="24"/>
          <w:highlight w:val="none"/>
          <w:lang w:val="zh-CN"/>
          <w14:textFill>
            <w14:solidFill>
              <w14:schemeClr w14:val="tx1"/>
            </w14:solidFill>
          </w14:textFill>
        </w:rPr>
        <w:t>评分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标准（满分70分）</w:t>
      </w:r>
      <w:bookmarkEnd w:id="1069"/>
      <w:bookmarkEnd w:id="1070"/>
    </w:p>
    <w:tbl>
      <w:tblPr>
        <w:tblStyle w:val="19"/>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373"/>
        <w:gridCol w:w="784"/>
        <w:gridCol w:w="774"/>
      </w:tblGrid>
      <w:tr w14:paraId="4D81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4291CB87">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类型</w:t>
            </w:r>
          </w:p>
        </w:tc>
        <w:tc>
          <w:tcPr>
            <w:tcW w:w="7373" w:type="dxa"/>
            <w:vAlign w:val="center"/>
          </w:tcPr>
          <w:p w14:paraId="0C9B20C5">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评分标准</w:t>
            </w:r>
          </w:p>
        </w:tc>
        <w:tc>
          <w:tcPr>
            <w:tcW w:w="784" w:type="dxa"/>
            <w:vAlign w:val="center"/>
          </w:tcPr>
          <w:p w14:paraId="764403D9">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分值</w:t>
            </w:r>
          </w:p>
        </w:tc>
        <w:tc>
          <w:tcPr>
            <w:tcW w:w="774" w:type="dxa"/>
            <w:vAlign w:val="center"/>
          </w:tcPr>
          <w:p w14:paraId="1B8A3922">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打分方法</w:t>
            </w:r>
          </w:p>
        </w:tc>
      </w:tr>
      <w:tr w14:paraId="7E42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Align w:val="center"/>
          </w:tcPr>
          <w:p w14:paraId="65385E94">
            <w:pPr>
              <w:keepNext w:val="0"/>
              <w:keepLines w:val="0"/>
              <w:pageBreakBefore w:val="0"/>
              <w:widowControl w:val="0"/>
              <w:kinsoku/>
              <w:wordWrap w:val="0"/>
              <w:overflowPunct/>
              <w:topLinePunct/>
              <w:autoSpaceDE/>
              <w:autoSpaceDN/>
              <w:bidi w:val="0"/>
              <w:adjustRightInd/>
              <w:snapToGrid/>
              <w:spacing w:line="20" w:lineRule="atLeas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技术</w:t>
            </w:r>
          </w:p>
        </w:tc>
        <w:tc>
          <w:tcPr>
            <w:tcW w:w="7373" w:type="dxa"/>
            <w:vAlign w:val="center"/>
          </w:tcPr>
          <w:p w14:paraId="381DF166">
            <w:pPr>
              <w:keepNext w:val="0"/>
              <w:keepLines w:val="0"/>
              <w:pageBreakBefore w:val="0"/>
              <w:widowControl w:val="0"/>
              <w:kinsoku/>
              <w:wordWrap w:val="0"/>
              <w:overflowPunct/>
              <w:topLinePunct/>
              <w:autoSpaceDE/>
              <w:autoSpaceDN/>
              <w:bidi w:val="0"/>
              <w:adjustRightInd/>
              <w:snapToGrid/>
              <w:spacing w:line="20" w:lineRule="atLeast"/>
              <w:ind w:left="0" w:right="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bookmarkStart w:id="1071" w:name="OLE_LINK6"/>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技术参数指标响应评审：</w:t>
            </w:r>
          </w:p>
          <w:bookmarkEnd w:id="1071"/>
          <w:p w14:paraId="5F608E65">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标项2：</w:t>
            </w:r>
            <w:r>
              <w:rPr>
                <w:rFonts w:hint="eastAsia" w:ascii="仿宋" w:hAnsi="仿宋" w:eastAsia="仿宋" w:cs="仿宋"/>
                <w:bCs/>
                <w:color w:val="000000" w:themeColor="text1"/>
                <w:sz w:val="24"/>
                <w:szCs w:val="24"/>
                <w:highlight w:val="none"/>
                <w14:textFill>
                  <w14:solidFill>
                    <w14:schemeClr w14:val="tx1"/>
                  </w14:solidFill>
                </w14:textFill>
              </w:rPr>
              <w:t>根据</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“第三章 采购需求及要求”</w:t>
            </w:r>
            <w:r>
              <w:rPr>
                <w:rFonts w:hint="eastAsia" w:ascii="仿宋" w:hAnsi="仿宋" w:eastAsia="仿宋" w:cs="仿宋"/>
                <w:bCs/>
                <w:color w:val="000000" w:themeColor="text1"/>
                <w:sz w:val="24"/>
                <w:szCs w:val="24"/>
                <w:highlight w:val="none"/>
                <w14:textFill>
                  <w14:solidFill>
                    <w14:schemeClr w14:val="tx1"/>
                  </w14:solidFill>
                </w14:textFill>
              </w:rPr>
              <w:t>中除标注“★”条款外的技术</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参数</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内容进行评审：</w:t>
            </w:r>
          </w:p>
          <w:p w14:paraId="0927C455">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1.1标注</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的条款为重要技术指标及要求，共</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16</w:t>
            </w:r>
            <w:r>
              <w:rPr>
                <w:rFonts w:hint="eastAsia" w:ascii="仿宋" w:hAnsi="仿宋" w:eastAsia="仿宋" w:cs="仿宋"/>
                <w:bCs/>
                <w:color w:val="000000" w:themeColor="text1"/>
                <w:sz w:val="24"/>
                <w:szCs w:val="24"/>
                <w:highlight w:val="none"/>
                <w14:textFill>
                  <w14:solidFill>
                    <w14:schemeClr w14:val="tx1"/>
                  </w14:solidFill>
                </w14:textFill>
              </w:rPr>
              <w:t>条</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满分</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20.16</w:t>
            </w:r>
            <w:r>
              <w:rPr>
                <w:rFonts w:hint="eastAsia" w:ascii="仿宋" w:hAnsi="仿宋" w:eastAsia="仿宋" w:cs="仿宋"/>
                <w:bCs/>
                <w:color w:val="000000" w:themeColor="text1"/>
                <w:sz w:val="24"/>
                <w:szCs w:val="24"/>
                <w:highlight w:val="none"/>
                <w14:textFill>
                  <w14:solidFill>
                    <w14:schemeClr w14:val="tx1"/>
                  </w14:solidFill>
                </w14:textFill>
              </w:rPr>
              <w:t>分</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每</w:t>
            </w:r>
            <w:r>
              <w:rPr>
                <w:rFonts w:hint="eastAsia" w:ascii="仿宋" w:hAnsi="仿宋" w:eastAsia="仿宋" w:cs="仿宋"/>
                <w:bCs/>
                <w:color w:val="000000" w:themeColor="text1"/>
                <w:sz w:val="24"/>
                <w:szCs w:val="24"/>
                <w:highlight w:val="none"/>
                <w14:textFill>
                  <w14:solidFill>
                    <w14:schemeClr w14:val="tx1"/>
                  </w14:solidFill>
                </w14:textFill>
              </w:rPr>
              <w:t>负偏离一条扣</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1.26</w:t>
            </w:r>
            <w:r>
              <w:rPr>
                <w:rFonts w:hint="eastAsia" w:ascii="仿宋" w:hAnsi="仿宋" w:eastAsia="仿宋" w:cs="仿宋"/>
                <w:bCs/>
                <w:color w:val="000000" w:themeColor="text1"/>
                <w:sz w:val="24"/>
                <w:szCs w:val="24"/>
                <w:highlight w:val="none"/>
                <w14:textFill>
                  <w14:solidFill>
                    <w14:schemeClr w14:val="tx1"/>
                  </w14:solidFill>
                </w14:textFill>
              </w:rPr>
              <w:t>；</w:t>
            </w:r>
          </w:p>
          <w:p w14:paraId="59900DB0">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1.2未标注</w:t>
            </w:r>
            <w:r>
              <w:rPr>
                <w:rFonts w:hint="eastAsia" w:ascii="仿宋" w:hAnsi="仿宋" w:eastAsia="仿宋" w:cs="仿宋"/>
                <w:b w:val="0"/>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”）的条款为一般技术条款，共</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31</w:t>
            </w:r>
            <w:r>
              <w:rPr>
                <w:rFonts w:hint="eastAsia" w:ascii="仿宋" w:hAnsi="仿宋" w:eastAsia="仿宋" w:cs="仿宋"/>
                <w:bCs/>
                <w:color w:val="000000" w:themeColor="text1"/>
                <w:sz w:val="24"/>
                <w:szCs w:val="24"/>
                <w:highlight w:val="none"/>
                <w14:textFill>
                  <w14:solidFill>
                    <w14:schemeClr w14:val="tx1"/>
                  </w14:solidFill>
                </w14:textFill>
              </w:rPr>
              <w:t>条</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满分</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19.84</w:t>
            </w:r>
            <w:r>
              <w:rPr>
                <w:rFonts w:hint="eastAsia" w:ascii="仿宋" w:hAnsi="仿宋" w:eastAsia="仿宋" w:cs="仿宋"/>
                <w:bCs/>
                <w:color w:val="000000" w:themeColor="text1"/>
                <w:sz w:val="24"/>
                <w:szCs w:val="24"/>
                <w:highlight w:val="none"/>
                <w14:textFill>
                  <w14:solidFill>
                    <w14:schemeClr w14:val="tx1"/>
                  </w14:solidFill>
                </w14:textFill>
              </w:rPr>
              <w:t>分</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每</w:t>
            </w:r>
            <w:r>
              <w:rPr>
                <w:rFonts w:hint="eastAsia" w:ascii="仿宋" w:hAnsi="仿宋" w:eastAsia="仿宋" w:cs="仿宋"/>
                <w:bCs/>
                <w:color w:val="000000" w:themeColor="text1"/>
                <w:sz w:val="24"/>
                <w:szCs w:val="24"/>
                <w:highlight w:val="none"/>
                <w14:textFill>
                  <w14:solidFill>
                    <w14:schemeClr w14:val="tx1"/>
                  </w14:solidFill>
                </w14:textFill>
              </w:rPr>
              <w:t>负偏离一条扣</w:t>
            </w:r>
            <w:r>
              <w:rPr>
                <w:rFonts w:hint="eastAsia" w:ascii="仿宋" w:hAnsi="仿宋" w:eastAsia="仿宋" w:cs="仿宋"/>
                <w:b/>
                <w:bCs w:val="0"/>
                <w:color w:val="000000" w:themeColor="text1"/>
                <w:sz w:val="24"/>
                <w:szCs w:val="24"/>
                <w:highlight w:val="none"/>
                <w:u w:val="single"/>
                <w:lang w:val="en-US" w:eastAsia="zh-CN"/>
                <w14:textFill>
                  <w14:solidFill>
                    <w14:schemeClr w14:val="tx1"/>
                  </w14:solidFill>
                </w14:textFill>
              </w:rPr>
              <w:t>0.64</w:t>
            </w:r>
            <w:r>
              <w:rPr>
                <w:rFonts w:hint="eastAsia" w:ascii="仿宋" w:hAnsi="仿宋" w:eastAsia="仿宋" w:cs="仿宋"/>
                <w:bCs/>
                <w:color w:val="000000" w:themeColor="text1"/>
                <w:sz w:val="24"/>
                <w:szCs w:val="24"/>
                <w:highlight w:val="none"/>
                <w14:textFill>
                  <w14:solidFill>
                    <w14:schemeClr w14:val="tx1"/>
                  </w14:solidFill>
                </w14:textFill>
              </w:rPr>
              <w:t>分。</w:t>
            </w:r>
          </w:p>
          <w:p w14:paraId="632DCB52">
            <w:pPr>
              <w:keepNext w:val="0"/>
              <w:keepLines w:val="0"/>
              <w:pageBreakBefore w:val="0"/>
              <w:widowControl w:val="0"/>
              <w:kinsoku/>
              <w:wordWrap w:val="0"/>
              <w:overflowPunct/>
              <w:topLinePunct/>
              <w:autoSpaceDE/>
              <w:autoSpaceDN/>
              <w:bidi w:val="0"/>
              <w:adjustRightInd/>
              <w:snapToGrid/>
              <w:spacing w:line="360" w:lineRule="auto"/>
              <w:ind w:left="0" w:right="0" w:firstLine="482" w:firstLineChars="200"/>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注：以技术规格偏离表和要求提供的证明资料为准。无标识项技术参数响应情况以技术规格偏离表中的响应情况为准；标注“★”和“▲”的条款，须提供相关证明材料，如招标文件中明确要求证明材料类型，则以招标文件明确要求的材料为准，如未明确证明材料的类型，则以技术支持资料作为评审依据，技术支持资料包括：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供应商对证明材料中的评审参数进行标注。</w:t>
            </w:r>
          </w:p>
        </w:tc>
        <w:tc>
          <w:tcPr>
            <w:tcW w:w="784" w:type="dxa"/>
            <w:vAlign w:val="center"/>
          </w:tcPr>
          <w:p w14:paraId="3E8FDD3D">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0～40分</w:t>
            </w:r>
          </w:p>
        </w:tc>
        <w:tc>
          <w:tcPr>
            <w:tcW w:w="774" w:type="dxa"/>
            <w:vAlign w:val="center"/>
          </w:tcPr>
          <w:p w14:paraId="633F4806">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客观分</w:t>
            </w:r>
          </w:p>
        </w:tc>
      </w:tr>
      <w:tr w14:paraId="3E64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1" w:type="dxa"/>
            <w:vMerge w:val="restart"/>
            <w:vAlign w:val="center"/>
          </w:tcPr>
          <w:p w14:paraId="2BF6D4A5">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商务</w:t>
            </w:r>
          </w:p>
        </w:tc>
        <w:tc>
          <w:tcPr>
            <w:tcW w:w="7373" w:type="dxa"/>
            <w:shd w:val="clear" w:color="auto" w:fill="auto"/>
            <w:vAlign w:val="center"/>
          </w:tcPr>
          <w:p w14:paraId="5202F5B5">
            <w:pPr>
              <w:pStyle w:val="7"/>
              <w:keepNext w:val="0"/>
              <w:keepLines w:val="0"/>
              <w:pageBreakBefore w:val="0"/>
              <w:widowControl w:val="0"/>
              <w:kinsoku/>
              <w:wordWrap w:val="0"/>
              <w:overflowPunct/>
              <w:topLinePunct/>
              <w:autoSpaceDE/>
              <w:autoSpaceDN/>
              <w:bidi w:val="0"/>
              <w:adjustRightInd/>
              <w:snapToGrid/>
              <w:spacing w:line="450" w:lineRule="exact"/>
              <w:ind w:left="0" w:leftChars="0" w:right="0" w:firstLine="0" w:firstLineChars="0"/>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根</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据</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文件“第三章 采购需求及要求”</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编制项目实施方案</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1CD72CBF">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方案包括：①安装调试实施方案〔包括但不限于设备安装调试方案（包括但不限于行标校准、仪器性能验证、项目性能验证）、设备配套资料及配件的交付方案〕；②</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工作</w:t>
            </w:r>
            <w:r>
              <w:rPr>
                <w:rFonts w:hint="eastAsia" w:ascii="仿宋" w:hAnsi="仿宋" w:eastAsia="仿宋" w:cs="仿宋"/>
                <w:bCs/>
                <w:color w:val="000000" w:themeColor="text1"/>
                <w:sz w:val="24"/>
                <w:szCs w:val="24"/>
                <w:highlight w:val="none"/>
                <w14:textFill>
                  <w14:solidFill>
                    <w14:schemeClr w14:val="tx1"/>
                  </w14:solidFill>
                </w14:textFill>
              </w:rPr>
              <w:t>进度计划（</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包含但不限于产品运输、安装、调试的时间安排</w:t>
            </w:r>
            <w:r>
              <w:rPr>
                <w:rFonts w:hint="eastAsia" w:ascii="仿宋" w:hAnsi="仿宋" w:eastAsia="仿宋" w:cs="仿宋"/>
                <w:bCs/>
                <w:color w:val="000000" w:themeColor="text1"/>
                <w:sz w:val="24"/>
                <w:szCs w:val="24"/>
                <w:highlight w:val="none"/>
                <w14:textFill>
                  <w14:solidFill>
                    <w14:schemeClr w14:val="tx1"/>
                  </w14:solidFill>
                </w14:textFill>
              </w:rPr>
              <w:t>）；③产品质量保证措施（包括但不限于产品质量保证、违约承诺）；④突发事件紧急事件处置预案（包括</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但不限于产品运输过程中及安装</w:t>
            </w:r>
            <w:r>
              <w:rPr>
                <w:rFonts w:hint="eastAsia" w:ascii="仿宋" w:hAnsi="仿宋" w:eastAsia="仿宋" w:cs="仿宋"/>
                <w:bCs/>
                <w:color w:val="000000" w:themeColor="text1"/>
                <w:sz w:val="24"/>
                <w:szCs w:val="24"/>
                <w:highlight w:val="none"/>
                <w14:textFill>
                  <w14:solidFill>
                    <w14:schemeClr w14:val="tx1"/>
                  </w14:solidFill>
                </w14:textFill>
              </w:rPr>
              <w:t>实施过程中可能遇到的各种风险</w:t>
            </w:r>
            <w:r>
              <w:rPr>
                <w:rFonts w:hint="eastAsia" w:ascii="仿宋" w:hAnsi="仿宋" w:eastAsia="仿宋" w:cs="仿宋"/>
                <w:bCs/>
                <w:color w:val="000000" w:themeColor="text1"/>
                <w:sz w:val="24"/>
                <w:szCs w:val="24"/>
                <w:highlight w:val="none"/>
                <w:lang w:eastAsia="zh-CN"/>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有</w:t>
            </w:r>
            <w:r>
              <w:rPr>
                <w:rFonts w:hint="eastAsia" w:ascii="仿宋" w:hAnsi="仿宋" w:eastAsia="仿宋" w:cs="仿宋"/>
                <w:bCs/>
                <w:color w:val="000000" w:themeColor="text1"/>
                <w:sz w:val="24"/>
                <w:szCs w:val="24"/>
                <w:highlight w:val="none"/>
                <w14:textFill>
                  <w14:solidFill>
                    <w14:schemeClr w14:val="tx1"/>
                  </w14:solidFill>
                </w14:textFill>
              </w:rPr>
              <w:t>应急预案及相应的解决措施）。</w:t>
            </w:r>
          </w:p>
          <w:p w14:paraId="41AFBDDD">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以上</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color w:val="000000" w:themeColor="text1"/>
                <w:sz w:val="24"/>
                <w:szCs w:val="24"/>
                <w:highlight w:val="none"/>
                <w14:textFill>
                  <w14:solidFill>
                    <w14:schemeClr w14:val="tx1"/>
                  </w14:solidFill>
                </w14:textFill>
              </w:rPr>
              <w:t>项内容每项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分，无漏项、无缺陷得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val="0"/>
                <w:bCs/>
                <w:color w:val="000000" w:themeColor="text1"/>
                <w:sz w:val="24"/>
                <w:szCs w:val="24"/>
                <w:highlight w:val="none"/>
                <w14:textFill>
                  <w14:solidFill>
                    <w14:schemeClr w14:val="tx1"/>
                  </w14:solidFill>
                </w14:textFill>
              </w:rPr>
              <w:t>分，每缺少一项扣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14:textFill>
                  <w14:solidFill>
                    <w14:schemeClr w14:val="tx1"/>
                  </w14:solidFill>
                </w14:textFill>
              </w:rPr>
              <w:t>分；每有一项内容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存</w:t>
            </w:r>
            <w:r>
              <w:rPr>
                <w:rFonts w:hint="eastAsia" w:ascii="仿宋" w:hAnsi="仿宋" w:eastAsia="仿宋" w:cs="仿宋"/>
                <w:b w:val="0"/>
                <w:bCs/>
                <w:color w:val="000000" w:themeColor="text1"/>
                <w:sz w:val="24"/>
                <w:szCs w:val="24"/>
                <w:highlight w:val="none"/>
                <w14:textFill>
                  <w14:solidFill>
                    <w14:schemeClr w14:val="tx1"/>
                  </w14:solidFill>
                </w14:textFill>
              </w:rPr>
              <w:t>在缺陷的扣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分数扣完为止，</w:t>
            </w:r>
            <w:r>
              <w:rPr>
                <w:rFonts w:hint="eastAsia" w:ascii="仿宋" w:hAnsi="仿宋" w:eastAsia="仿宋" w:cs="仿宋"/>
                <w:b w:val="0"/>
                <w:bCs/>
                <w:color w:val="000000" w:themeColor="text1"/>
                <w:sz w:val="24"/>
                <w:szCs w:val="24"/>
                <w:highlight w:val="none"/>
                <w14:textFill>
                  <w14:solidFill>
                    <w14:schemeClr w14:val="tx1"/>
                  </w14:solidFill>
                </w14:textFill>
              </w:rPr>
              <w:t>未提供方案的不得分。</w:t>
            </w:r>
          </w:p>
          <w:p w14:paraId="0F3C38D5">
            <w:pPr>
              <w:pStyle w:val="7"/>
              <w:keepNext w:val="0"/>
              <w:keepLines w:val="0"/>
              <w:pageBreakBefore w:val="0"/>
              <w:widowControl w:val="0"/>
              <w:kinsoku/>
              <w:wordWrap w:val="0"/>
              <w:overflowPunct/>
              <w:topLinePunct/>
              <w:autoSpaceDE/>
              <w:autoSpaceDN/>
              <w:bidi w:val="0"/>
              <w:adjustRightInd/>
              <w:snapToGrid/>
              <w:spacing w:line="450" w:lineRule="exact"/>
              <w:ind w:left="0" w:leftChars="0" w:right="0" w:rightChars="0" w:firstLine="480" w:firstLineChars="200"/>
              <w:textAlignment w:val="auto"/>
              <w:rPr>
                <w:rFonts w:hint="eastAsia" w:ascii="仿宋" w:hAnsi="仿宋" w:eastAsia="仿宋" w:cs="仿宋"/>
                <w:b w:val="0"/>
                <w:bCs w:val="0"/>
                <w:i w:val="0"/>
                <w:i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注：以上评审标准中所称“缺陷”是指以下几种情形：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784" w:type="dxa"/>
            <w:shd w:val="clear" w:color="auto" w:fill="auto"/>
            <w:vAlign w:val="center"/>
          </w:tcPr>
          <w:p w14:paraId="6B3C704B">
            <w:pPr>
              <w:keepNext w:val="0"/>
              <w:keepLines w:val="0"/>
              <w:pageBreakBefore w:val="0"/>
              <w:widowControl w:val="0"/>
              <w:kinsoku/>
              <w:wordWrap w:val="0"/>
              <w:overflowPunct/>
              <w:topLinePunct/>
              <w:autoSpaceDE/>
              <w:autoSpaceDN/>
              <w:bidi w:val="0"/>
              <w:adjustRightInd/>
              <w:snapToGrid/>
              <w:spacing w:line="450" w:lineRule="exact"/>
              <w:ind w:left="0" w:leftChars="0" w:right="0" w:rightChars="0"/>
              <w:jc w:val="center"/>
              <w:rPr>
                <w:rFonts w:hint="eastAsia" w:ascii="仿宋" w:hAnsi="仿宋" w:eastAsia="仿宋" w:cs="仿宋"/>
                <w:b w:val="0"/>
                <w:bCs w:val="0"/>
                <w:i w:val="0"/>
                <w:i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4"/>
                <w:szCs w:val="24"/>
                <w:highlight w:val="none"/>
                <w:u w:val="none"/>
                <w:lang w:val="en-US" w:eastAsia="zh-CN"/>
                <w14:textFill>
                  <w14:solidFill>
                    <w14:schemeClr w14:val="tx1"/>
                  </w14:solidFill>
                </w14:textFill>
              </w:rPr>
              <w:t>12分</w:t>
            </w:r>
          </w:p>
        </w:tc>
        <w:tc>
          <w:tcPr>
            <w:tcW w:w="774" w:type="dxa"/>
            <w:shd w:val="clear" w:color="auto" w:fill="auto"/>
            <w:vAlign w:val="center"/>
          </w:tcPr>
          <w:p w14:paraId="1B9D45DD">
            <w:pPr>
              <w:keepNext w:val="0"/>
              <w:keepLines w:val="0"/>
              <w:pageBreakBefore w:val="0"/>
              <w:widowControl w:val="0"/>
              <w:kinsoku/>
              <w:wordWrap w:val="0"/>
              <w:overflowPunct/>
              <w:topLinePunct/>
              <w:autoSpaceDE/>
              <w:autoSpaceDN/>
              <w:bidi w:val="0"/>
              <w:adjustRightInd/>
              <w:snapToGrid/>
              <w:spacing w:line="450" w:lineRule="exact"/>
              <w:ind w:left="0" w:leftChars="0" w:right="0" w:rightChars="0"/>
              <w:jc w:val="center"/>
              <w:rPr>
                <w:rFonts w:hint="eastAsia" w:ascii="仿宋" w:hAnsi="仿宋" w:eastAsia="仿宋" w:cs="仿宋"/>
                <w:b w:val="0"/>
                <w:b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主观分</w:t>
            </w:r>
          </w:p>
        </w:tc>
      </w:tr>
      <w:tr w14:paraId="0B3F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1" w:type="dxa"/>
            <w:vMerge w:val="continue"/>
          </w:tcPr>
          <w:p w14:paraId="7B5FD38E">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373" w:type="dxa"/>
            <w:shd w:val="clear" w:color="auto" w:fill="auto"/>
            <w:vAlign w:val="center"/>
          </w:tcPr>
          <w:p w14:paraId="47633369">
            <w:pPr>
              <w:pStyle w:val="7"/>
              <w:keepNext w:val="0"/>
              <w:keepLines w:val="0"/>
              <w:pageBreakBefore w:val="0"/>
              <w:widowControl w:val="0"/>
              <w:kinsoku/>
              <w:wordWrap w:val="0"/>
              <w:overflowPunct/>
              <w:topLinePunct/>
              <w:autoSpaceDE/>
              <w:autoSpaceDN/>
              <w:bidi w:val="0"/>
              <w:adjustRightInd/>
              <w:snapToGrid/>
              <w:spacing w:line="450" w:lineRule="exact"/>
              <w:ind w:left="0" w:leftChars="0" w:right="0" w:firstLine="0" w:firstLineChars="0"/>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根据招标文件“第三章 采购需求及要求”</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编制培训方案</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060E6AD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方案包含：①培训方式、②培训内容</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包含但不限于</w:t>
            </w:r>
            <w:r>
              <w:rPr>
                <w:rFonts w:hint="eastAsia" w:ascii="仿宋" w:hAnsi="仿宋" w:eastAsia="仿宋" w:cs="仿宋"/>
                <w:bCs/>
                <w:color w:val="000000" w:themeColor="text1"/>
                <w:sz w:val="24"/>
                <w:szCs w:val="24"/>
                <w:highlight w:val="none"/>
                <w14:textFill>
                  <w14:solidFill>
                    <w14:schemeClr w14:val="tx1"/>
                  </w14:solidFill>
                </w14:textFill>
              </w:rPr>
              <w:t>产品的功能、操作及</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日常</w:t>
            </w:r>
            <w:r>
              <w:rPr>
                <w:rFonts w:hint="eastAsia" w:ascii="仿宋" w:hAnsi="仿宋" w:eastAsia="仿宋" w:cs="仿宋"/>
                <w:bCs/>
                <w:color w:val="000000" w:themeColor="text1"/>
                <w:sz w:val="24"/>
                <w:szCs w:val="24"/>
                <w:highlight w:val="none"/>
                <w14:textFill>
                  <w14:solidFill>
                    <w14:schemeClr w14:val="tx1"/>
                  </w14:solidFill>
                </w14:textFill>
              </w:rPr>
              <w:t>维护等</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、③培训计划、④保障措施；</w:t>
            </w:r>
          </w:p>
          <w:p w14:paraId="4C28EE4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以上4项内容每项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分，无漏项、无缺陷得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color w:val="000000" w:themeColor="text1"/>
                <w:sz w:val="24"/>
                <w:szCs w:val="24"/>
                <w:highlight w:val="none"/>
                <w14:textFill>
                  <w14:solidFill>
                    <w14:schemeClr w14:val="tx1"/>
                  </w14:solidFill>
                </w14:textFill>
              </w:rPr>
              <w:t>分，每缺少一项扣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分；每有一项内容存在缺陷的扣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b w:val="0"/>
                <w:bCs/>
                <w:color w:val="000000" w:themeColor="text1"/>
                <w:sz w:val="24"/>
                <w:szCs w:val="24"/>
                <w:highlight w:val="none"/>
                <w14:textFill>
                  <w14:solidFill>
                    <w14:schemeClr w14:val="tx1"/>
                  </w14:solidFill>
                </w14:textFill>
              </w:rPr>
              <w:t>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分数扣完为止，</w:t>
            </w:r>
            <w:r>
              <w:rPr>
                <w:rFonts w:hint="eastAsia" w:ascii="仿宋" w:hAnsi="仿宋" w:eastAsia="仿宋" w:cs="仿宋"/>
                <w:b w:val="0"/>
                <w:bCs/>
                <w:color w:val="000000" w:themeColor="text1"/>
                <w:sz w:val="24"/>
                <w:szCs w:val="24"/>
                <w:highlight w:val="none"/>
                <w14:textFill>
                  <w14:solidFill>
                    <w14:schemeClr w14:val="tx1"/>
                  </w14:solidFill>
                </w14:textFill>
              </w:rPr>
              <w:t>未提供方案的不得分。</w:t>
            </w:r>
          </w:p>
          <w:p w14:paraId="545C9FB2">
            <w:pPr>
              <w:keepNext w:val="0"/>
              <w:keepLines w:val="0"/>
              <w:pageBreakBefore w:val="0"/>
              <w:widowControl w:val="0"/>
              <w:kinsoku/>
              <w:wordWrap w:val="0"/>
              <w:overflowPunct/>
              <w:topLinePunct/>
              <w:autoSpaceDE/>
              <w:autoSpaceDN/>
              <w:bidi w:val="0"/>
              <w:adjustRightInd/>
              <w:snapToGrid/>
              <w:spacing w:line="450" w:lineRule="exact"/>
              <w:ind w:firstLine="480" w:firstLineChars="200"/>
              <w:jc w:val="left"/>
              <w:rPr>
                <w:rFonts w:hint="eastAsia" w:ascii="仿宋" w:hAnsi="仿宋" w:eastAsia="仿宋" w:cs="仿宋"/>
                <w:b w:val="0"/>
                <w:bCs w:val="0"/>
                <w:i w:val="0"/>
                <w:i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注：以上评审标准中所称“缺陷”是指以下几种情形：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784" w:type="dxa"/>
            <w:shd w:val="clear" w:color="auto" w:fill="auto"/>
            <w:vAlign w:val="center"/>
          </w:tcPr>
          <w:p w14:paraId="69F6978D">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b w:val="0"/>
                <w:b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8分</w:t>
            </w:r>
          </w:p>
        </w:tc>
        <w:tc>
          <w:tcPr>
            <w:tcW w:w="0" w:type="auto"/>
            <w:shd w:val="clear" w:color="auto" w:fill="auto"/>
            <w:vAlign w:val="center"/>
          </w:tcPr>
          <w:p w14:paraId="693E2D85">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主观分</w:t>
            </w:r>
          </w:p>
        </w:tc>
      </w:tr>
      <w:tr w14:paraId="27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1" w:type="dxa"/>
            <w:vMerge w:val="continue"/>
          </w:tcPr>
          <w:p w14:paraId="7665B009">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373" w:type="dxa"/>
            <w:shd w:val="clear" w:color="auto" w:fill="auto"/>
            <w:vAlign w:val="center"/>
          </w:tcPr>
          <w:p w14:paraId="51B2289E">
            <w:pPr>
              <w:pStyle w:val="7"/>
              <w:keepNext w:val="0"/>
              <w:keepLines w:val="0"/>
              <w:pageBreakBefore w:val="0"/>
              <w:widowControl w:val="0"/>
              <w:kinsoku/>
              <w:wordWrap w:val="0"/>
              <w:overflowPunct/>
              <w:topLinePunct/>
              <w:autoSpaceDE/>
              <w:autoSpaceDN/>
              <w:bidi w:val="0"/>
              <w:adjustRightInd/>
              <w:snapToGrid/>
              <w:spacing w:line="450" w:lineRule="exact"/>
              <w:ind w:left="0" w:leftChars="0" w:right="0" w:firstLine="0" w:firstLineChars="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根据</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文件“第三章 采购需求及要求”</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编制售后服务方案</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2492B2B9">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方案包括：①售后服务机构（包括但不限于售后服务人员名单、售后服务联系方式、售后服务网点等）；②售后服务内容（包括但不限于巡检内容、设备性能调试、设备升级服务等方面）；③故障处理方案（包括但不限于故障处理流程、故障响应/处理时间）；④质量监管措施。</w:t>
            </w:r>
          </w:p>
          <w:p w14:paraId="583AA89B">
            <w:pPr>
              <w:keepNext w:val="0"/>
              <w:keepLines w:val="0"/>
              <w:pageBreakBefore w:val="0"/>
              <w:widowControl w:val="0"/>
              <w:kinsoku/>
              <w:wordWrap w:val="0"/>
              <w:overflowPunct/>
              <w:topLinePunct/>
              <w:autoSpaceDE/>
              <w:autoSpaceDN/>
              <w:bidi w:val="0"/>
              <w:adjustRightInd/>
              <w:snapToGrid/>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以上4项内容每项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分，无漏项、无缺陷得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color w:val="000000" w:themeColor="text1"/>
                <w:sz w:val="24"/>
                <w:szCs w:val="24"/>
                <w:highlight w:val="none"/>
                <w14:textFill>
                  <w14:solidFill>
                    <w14:schemeClr w14:val="tx1"/>
                  </w14:solidFill>
                </w14:textFill>
              </w:rPr>
              <w:t>分，每缺少一项扣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分；每有一项内容存在缺陷的扣</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b w:val="0"/>
                <w:bCs/>
                <w:color w:val="000000" w:themeColor="text1"/>
                <w:sz w:val="24"/>
                <w:szCs w:val="24"/>
                <w:highlight w:val="none"/>
                <w14:textFill>
                  <w14:solidFill>
                    <w14:schemeClr w14:val="tx1"/>
                  </w14:solidFill>
                </w14:textFill>
              </w:rPr>
              <w:t>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分数扣完为止，</w:t>
            </w:r>
            <w:r>
              <w:rPr>
                <w:rFonts w:hint="eastAsia" w:ascii="仿宋" w:hAnsi="仿宋" w:eastAsia="仿宋" w:cs="仿宋"/>
                <w:b w:val="0"/>
                <w:bCs/>
                <w:color w:val="000000" w:themeColor="text1"/>
                <w:sz w:val="24"/>
                <w:szCs w:val="24"/>
                <w:highlight w:val="none"/>
                <w14:textFill>
                  <w14:solidFill>
                    <w14:schemeClr w14:val="tx1"/>
                  </w14:solidFill>
                </w14:textFill>
              </w:rPr>
              <w:t>未提供方案的不得分。</w:t>
            </w:r>
          </w:p>
          <w:p w14:paraId="47FFE58F">
            <w:pPr>
              <w:keepNext w:val="0"/>
              <w:keepLines w:val="0"/>
              <w:pageBreakBefore w:val="0"/>
              <w:widowControl w:val="0"/>
              <w:kinsoku/>
              <w:wordWrap w:val="0"/>
              <w:overflowPunct/>
              <w:topLinePunct/>
              <w:autoSpaceDE/>
              <w:autoSpaceDN/>
              <w:bidi w:val="0"/>
              <w:adjustRightInd/>
              <w:snapToGrid/>
              <w:spacing w:line="450" w:lineRule="exact"/>
              <w:ind w:firstLine="480" w:firstLineChars="200"/>
              <w:jc w:val="left"/>
              <w:rPr>
                <w:rFonts w:hint="eastAsia" w:ascii="仿宋" w:hAnsi="仿宋" w:eastAsia="仿宋" w:cs="仿宋"/>
                <w:b w:val="0"/>
                <w:bCs w:val="0"/>
                <w:i w:val="0"/>
                <w:i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注：以上评审标准中所称“缺陷”是指以下几种情形：</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针对性不够：方案未能专门针对本项目，或者与项目的具体需求不匹配；2、内容前后矛盾：方案内容存在逻辑不一致或冲突的地方；3、涉及的规范及标准错误：方案中引用的规范或标准已经过期、不适用或存在错误；4、内容不完整或缺少关键节点：方案缺少必要的内容或步骤，无法支持项目的完整实施；5、套用其他项目方案：方案直接复制或修改其他项目的内容，而没有根据当前项目的具体情况进行调整。）</w:t>
            </w:r>
          </w:p>
        </w:tc>
        <w:tc>
          <w:tcPr>
            <w:tcW w:w="784" w:type="dxa"/>
            <w:shd w:val="clear" w:color="auto" w:fill="auto"/>
            <w:vAlign w:val="center"/>
          </w:tcPr>
          <w:p w14:paraId="684AFA89">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b w:val="0"/>
                <w:b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8分</w:t>
            </w:r>
          </w:p>
        </w:tc>
        <w:tc>
          <w:tcPr>
            <w:tcW w:w="0" w:type="auto"/>
            <w:shd w:val="clear" w:color="auto" w:fill="auto"/>
            <w:vAlign w:val="center"/>
          </w:tcPr>
          <w:p w14:paraId="57B4D791">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主观分</w:t>
            </w:r>
          </w:p>
        </w:tc>
      </w:tr>
      <w:tr w14:paraId="5802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1" w:type="dxa"/>
            <w:vMerge w:val="continue"/>
          </w:tcPr>
          <w:p w14:paraId="12E754A0">
            <w:pPr>
              <w:keepNext w:val="0"/>
              <w:keepLines w:val="0"/>
              <w:pageBreakBefore w:val="0"/>
              <w:widowControl w:val="0"/>
              <w:kinsoku/>
              <w:wordWrap w:val="0"/>
              <w:overflowPunct/>
              <w:topLinePunct/>
              <w:autoSpaceDE/>
              <w:autoSpaceDN/>
              <w:bidi w:val="0"/>
              <w:adjustRightInd/>
              <w:snapToGrid/>
              <w:spacing w:line="20" w:lineRule="atLeast"/>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7373" w:type="dxa"/>
            <w:shd w:val="clear" w:color="auto" w:fill="auto"/>
            <w:vAlign w:val="center"/>
          </w:tcPr>
          <w:p w14:paraId="16C0757D">
            <w:pPr>
              <w:pStyle w:val="7"/>
              <w:keepNext w:val="0"/>
              <w:keepLines w:val="0"/>
              <w:pageBreakBefore w:val="0"/>
              <w:widowControl w:val="0"/>
              <w:kinsoku/>
              <w:wordWrap w:val="0"/>
              <w:overflowPunct/>
              <w:topLinePunct/>
              <w:autoSpaceDE/>
              <w:autoSpaceDN/>
              <w:bidi w:val="0"/>
              <w:adjustRightInd/>
              <w:snapToGrid/>
              <w:spacing w:line="450" w:lineRule="exact"/>
              <w:ind w:left="0" w:leftChars="0" w:right="0" w:firstLine="0" w:firstLineChars="0"/>
              <w:textAlignment w:val="auto"/>
              <w:rPr>
                <w:rFonts w:hint="eastAsia" w:ascii="仿宋" w:hAnsi="仿宋" w:eastAsia="仿宋" w:cs="仿宋"/>
                <w:b/>
                <w:bCs/>
                <w:i w:val="0"/>
                <w:i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eastAsia="zh-CN"/>
                <w14:textFill>
                  <w14:solidFill>
                    <w14:schemeClr w14:val="tx1"/>
                  </w14:solidFill>
                </w14:textFill>
              </w:rPr>
              <w:t>类似业绩评审：</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有效业绩的标准详见“投标人须知前附表”</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w:t>
            </w:r>
          </w:p>
          <w:p w14:paraId="6FA0C8E2">
            <w:pPr>
              <w:keepNext w:val="0"/>
              <w:keepLines w:val="0"/>
              <w:pageBreakBefore w:val="0"/>
              <w:widowControl w:val="0"/>
              <w:kinsoku/>
              <w:wordWrap w:val="0"/>
              <w:overflowPunct/>
              <w:topLinePunct/>
              <w:autoSpaceDE/>
              <w:autoSpaceDN/>
              <w:bidi w:val="0"/>
              <w:adjustRightInd/>
              <w:snapToGrid/>
              <w:spacing w:line="450" w:lineRule="exact"/>
              <w:ind w:firstLine="480" w:firstLineChars="200"/>
              <w:jc w:val="left"/>
              <w:rPr>
                <w:rFonts w:hint="eastAsia" w:ascii="仿宋" w:hAnsi="仿宋" w:eastAsia="仿宋" w:cs="仿宋"/>
                <w:b w:val="0"/>
                <w:bCs w:val="0"/>
                <w:i w:val="0"/>
                <w:i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自</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投标截止时间前</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近三年的</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类似业绩，每提供一项得</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分，</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最高得2分</w:t>
            </w:r>
            <w:r>
              <w:rPr>
                <w:rFonts w:hint="eastAsia" w:ascii="仿宋" w:hAnsi="仿宋" w:eastAsia="仿宋" w:cs="仿宋"/>
                <w:b w:val="0"/>
                <w:bCs w:val="0"/>
                <w:i w:val="0"/>
                <w:iCs w:val="0"/>
                <w:color w:val="000000" w:themeColor="text1"/>
                <w:sz w:val="24"/>
                <w:szCs w:val="24"/>
                <w:highlight w:val="none"/>
                <w:lang w:eastAsia="zh-CN"/>
                <w14:textFill>
                  <w14:solidFill>
                    <w14:schemeClr w14:val="tx1"/>
                  </w14:solidFill>
                </w14:textFill>
              </w:rPr>
              <w:t>；业绩如果为同一个项目统招分签的，仅作为一项业绩计分。</w:t>
            </w:r>
          </w:p>
        </w:tc>
        <w:tc>
          <w:tcPr>
            <w:tcW w:w="784" w:type="dxa"/>
            <w:shd w:val="clear" w:color="auto" w:fill="auto"/>
            <w:vAlign w:val="center"/>
          </w:tcPr>
          <w:p w14:paraId="30F69361">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b w:val="0"/>
                <w:bCs w:val="0"/>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2分</w:t>
            </w:r>
          </w:p>
        </w:tc>
        <w:tc>
          <w:tcPr>
            <w:tcW w:w="0" w:type="auto"/>
            <w:shd w:val="clear" w:color="auto" w:fill="auto"/>
            <w:vAlign w:val="center"/>
          </w:tcPr>
          <w:p w14:paraId="36CF9F70">
            <w:pPr>
              <w:keepNext w:val="0"/>
              <w:keepLines w:val="0"/>
              <w:pageBreakBefore w:val="0"/>
              <w:widowControl w:val="0"/>
              <w:kinsoku/>
              <w:wordWrap w:val="0"/>
              <w:overflowPunct/>
              <w:topLinePunct/>
              <w:autoSpaceDE/>
              <w:autoSpaceDN/>
              <w:bidi w:val="0"/>
              <w:adjustRightInd/>
              <w:snapToGrid/>
              <w:spacing w:line="450" w:lineRule="exact"/>
              <w:jc w:val="center"/>
              <w:rPr>
                <w:rFonts w:hint="eastAsia" w:ascii="仿宋" w:hAnsi="仿宋" w:eastAsia="仿宋" w:cs="仿宋"/>
                <w:snapToGrid w:val="0"/>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客观分</w:t>
            </w:r>
          </w:p>
        </w:tc>
      </w:tr>
    </w:tbl>
    <w:p w14:paraId="4299F24B">
      <w:pPr>
        <w:pStyle w:val="3"/>
        <w:keepNext w:val="0"/>
        <w:keepLines w:val="0"/>
        <w:pageBreakBefore w:val="0"/>
        <w:widowControl w:val="0"/>
        <w:kinsoku/>
        <w:wordWrap w:val="0"/>
        <w:overflowPunct/>
        <w:topLinePunct/>
        <w:autoSpaceDE/>
        <w:autoSpaceDN/>
        <w:bidi w:val="0"/>
        <w:adjustRightInd/>
        <w:snapToGrid/>
        <w:spacing w:before="0" w:after="0" w:line="420" w:lineRule="exact"/>
        <w:ind w:left="0" w:right="0" w:firstLine="482" w:firstLineChars="200"/>
        <w:jc w:val="both"/>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072" w:name="_Toc23657"/>
      <w:bookmarkStart w:id="1073" w:name="_Toc16342"/>
      <w:bookmarkStart w:id="1074" w:name="_Toc16718"/>
      <w:bookmarkStart w:id="1075" w:name="_Toc6657"/>
      <w:r>
        <w:rPr>
          <w:rFonts w:hint="eastAsia" w:ascii="仿宋" w:hAnsi="仿宋" w:eastAsia="仿宋" w:cs="仿宋"/>
          <w:color w:val="000000" w:themeColor="text1"/>
          <w:sz w:val="24"/>
          <w:szCs w:val="24"/>
          <w:highlight w:val="none"/>
          <w:lang w:val="en-US" w:eastAsia="zh-CN"/>
          <w14:textFill>
            <w14:solidFill>
              <w14:schemeClr w14:val="tx1"/>
            </w14:solidFill>
          </w14:textFill>
        </w:rPr>
        <w:t>四、评标程序</w:t>
      </w:r>
      <w:bookmarkEnd w:id="1072"/>
      <w:bookmarkEnd w:id="1073"/>
      <w:bookmarkEnd w:id="1074"/>
      <w:bookmarkEnd w:id="1075"/>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2581B336">
      <w:pPr>
        <w:keepNext w:val="0"/>
        <w:keepLines w:val="0"/>
        <w:pageBreakBefore w:val="0"/>
        <w:widowControl w:val="0"/>
        <w:kinsoku/>
        <w:wordWrap w:val="0"/>
        <w:overflowPunct/>
        <w:topLinePunct/>
        <w:autoSpaceDE/>
        <w:autoSpaceDN/>
        <w:bidi w:val="0"/>
        <w:adjustRightInd/>
        <w:snapToGrid/>
        <w:spacing w:line="420" w:lineRule="exact"/>
        <w:ind w:left="0" w:leftChars="0" w:right="0" w:firstLine="482" w:firstLineChars="200"/>
        <w:textAlignment w:val="baseline"/>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评标时，评标委员会各成员应当独立对每个有效投标人的标书进行评价、打分，然后汇总每个投标人每项评分因素的得分。</w:t>
      </w:r>
    </w:p>
    <w:p w14:paraId="32EB94CB">
      <w:pPr>
        <w:keepNext w:val="0"/>
        <w:keepLines w:val="0"/>
        <w:pageBreakBefore w:val="0"/>
        <w:widowControl w:val="0"/>
        <w:kinsoku/>
        <w:wordWrap w:val="0"/>
        <w:overflowPunct/>
        <w:topLinePunct/>
        <w:autoSpaceDE/>
        <w:autoSpaceDN/>
        <w:bidi w:val="0"/>
        <w:adjustRightInd/>
        <w:snapToGrid/>
        <w:spacing w:line="420" w:lineRule="exact"/>
        <w:ind w:left="0" w:leftChars="0" w:right="0" w:firstLine="482" w:firstLineChars="200"/>
        <w:textAlignment w:val="baseline"/>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（1）评标委员会和评标专家的组成</w:t>
      </w:r>
    </w:p>
    <w:p w14:paraId="21762F2E">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根据《政府采购货物和服务招标投标管理办法》第47条规定，评标委员会由采购人代表和评审专家组成，成员人数应当为5人以上单数，其中评审专家不得少于成员总数的三分之二。采购数额在1000万元以上、技术复杂、社会影响较大的项目，评标委员会成员人数应当为7人以上单数。评标委员会应当推选组长，但采购人代表不得担任组长。</w:t>
      </w:r>
    </w:p>
    <w:p w14:paraId="2EFF006C">
      <w:pPr>
        <w:keepNext w:val="0"/>
        <w:keepLines w:val="0"/>
        <w:pageBreakBefore w:val="0"/>
        <w:widowControl w:val="0"/>
        <w:kinsoku/>
        <w:wordWrap w:val="0"/>
        <w:overflowPunct/>
        <w:topLinePunct/>
        <w:autoSpaceDE/>
        <w:autoSpaceDN/>
        <w:bidi w:val="0"/>
        <w:adjustRightInd/>
        <w:snapToGrid/>
        <w:spacing w:line="420" w:lineRule="exact"/>
        <w:ind w:left="0" w:leftChars="0" w:right="0" w:firstLine="482" w:firstLineChars="200"/>
        <w:textAlignment w:val="baseline"/>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（2）评标委员会成员应当履行下列义务</w:t>
      </w:r>
    </w:p>
    <w:p w14:paraId="6302388B">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076" w:name="_Toc4667"/>
      <w:bookmarkStart w:id="1077" w:name="_Toc17250"/>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）遵纪守法，客观、公正、廉洁地履行职责；</w:t>
      </w:r>
    </w:p>
    <w:p w14:paraId="6A9E5A3C">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）按招标文件规定的评标方法和评标标准进行评标，对评审意见承担个人责任；</w:t>
      </w:r>
    </w:p>
    <w:p w14:paraId="7B69CF62">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）对评标过程和结果以及投标人的商业秘密保密；</w:t>
      </w:r>
    </w:p>
    <w:p w14:paraId="68FF2484">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）参与评标报告的起草；</w:t>
      </w:r>
    </w:p>
    <w:p w14:paraId="0E28C4A3">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）配合</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采购人或采购代理机构</w:t>
      </w:r>
      <w:r>
        <w:rPr>
          <w:rFonts w:hint="eastAsia" w:ascii="仿宋" w:hAnsi="仿宋" w:eastAsia="仿宋" w:cs="仿宋"/>
          <w:color w:val="000000" w:themeColor="text1"/>
          <w:sz w:val="24"/>
          <w:szCs w:val="24"/>
          <w:highlight w:val="none"/>
          <w:lang w:eastAsia="zh-CN"/>
          <w14:textFill>
            <w14:solidFill>
              <w14:schemeClr w14:val="tx1"/>
            </w14:solidFill>
          </w14:textFill>
        </w:rPr>
        <w:t>答复投标人提出的质疑；</w:t>
      </w:r>
    </w:p>
    <w:p w14:paraId="1F41FC44">
      <w:pPr>
        <w:keepNext w:val="0"/>
        <w:keepLines w:val="0"/>
        <w:pageBreakBefore w:val="0"/>
        <w:widowControl w:val="0"/>
        <w:kinsoku/>
        <w:wordWrap w:val="0"/>
        <w:overflowPunct/>
        <w:topLinePunct/>
        <w:autoSpaceDE/>
        <w:autoSpaceDN/>
        <w:bidi w:val="0"/>
        <w:adjustRightInd/>
        <w:snapToGrid/>
        <w:spacing w:line="420" w:lineRule="exact"/>
        <w:ind w:left="0" w:leftChars="0" w:right="0" w:firstLine="480" w:firstLineChars="200"/>
        <w:textAlignment w:val="baseline"/>
        <w:rPr>
          <w:rFonts w:hint="eastAsia" w:ascii="仿宋" w:hAnsi="仿宋" w:eastAsia="仿宋" w:cs="仿宋"/>
          <w:b w:val="0"/>
          <w:bCs w:val="0"/>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）配合财政部门受理的投诉处理工作。</w:t>
      </w:r>
    </w:p>
    <w:bookmarkEnd w:id="1076"/>
    <w:p w14:paraId="2B07102D">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（3）比较与评价</w:t>
      </w:r>
      <w:bookmarkEnd w:id="1077"/>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2A1BE60F">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经符合性审查合格的投标文件，评标委员会将根据招标文件确定的评标方法和标准，对其投标文件作进一步的比较与评价。 </w:t>
      </w:r>
    </w:p>
    <w:p w14:paraId="2B509854">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（4）落实政府采购政策：</w:t>
      </w:r>
    </w:p>
    <w:p w14:paraId="3E5EDBD8">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根据《政府采购促进中小企业发展管理办法》（财库〔2020〕46 号）、《三部门联合发布关于促进残疾人就业政府采购政策的通知》（财库〔2017〕141号）和《财政部司法部关于政府采购支持监狱企业发展有关问题的通知》（财库〔2014〕68 号）的规定，对满足价格扣除条件且在投标文件中提交了《中小企业声明函》《残疾人福利性单位声明函》或省级以上监狱管理局、戒毒管理局（含新疆生产建设兵团）出具的属于监狱企业的证明文件的投标人，其投标报价按照投标人须知前附表中规定的标准扣除后的价格参与评审。对于同时属于小微企业、监狱企业或残疾人福利性单位的，不重复进行投标报价扣除。</w:t>
      </w:r>
    </w:p>
    <w:p w14:paraId="5C92A495">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投标人须知前附表中规定的标准扣除后的价格参与评审。组成联合体或者接受分包的小微企业与联合体内其他企业、分包企业之间存在直接控股、管理关系的，不享受价格扣除优惠政策。 </w:t>
      </w:r>
    </w:p>
    <w:p w14:paraId="1DFB7611">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以联合体形式参加政府采购活动，联合体各方均为中小企业的，联合体视同中小企业。其中，联合体各方均为小微企业的，联合体视同小微企业。</w:t>
      </w:r>
    </w:p>
    <w:p w14:paraId="7F6D54E2">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依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w:t>
      </w:r>
    </w:p>
    <w:p w14:paraId="377AB74A">
      <w:pPr>
        <w:pStyle w:val="10"/>
        <w:tabs>
          <w:tab w:val="left" w:pos="2472"/>
        </w:tabs>
        <w:snapToGrid w:val="0"/>
        <w:spacing w:line="360" w:lineRule="auto"/>
        <w:ind w:firstLine="482" w:firstLineChars="200"/>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pPr>
      <w:bookmarkStart w:id="1078" w:name="_Toc15206"/>
      <w:r>
        <w:rPr>
          <w:rFonts w:hint="eastAsia" w:ascii="仿宋" w:hAnsi="仿宋" w:eastAsia="仿宋" w:cs="仿宋"/>
          <w:b/>
          <w:bCs/>
          <w:snapToGrid w:val="0"/>
          <w:color w:val="000000" w:themeColor="text1"/>
          <w:kern w:val="0"/>
          <w:sz w:val="24"/>
          <w:szCs w:val="24"/>
          <w:highlight w:val="none"/>
          <w:lang w:val="en-US" w:eastAsia="zh-CN" w:bidi="ar-SA"/>
          <w14:textFill>
            <w14:solidFill>
              <w14:schemeClr w14:val="tx1"/>
            </w14:solidFill>
          </w14:textFill>
        </w:rPr>
        <w:t>（5）异常低价审查</w:t>
      </w:r>
    </w:p>
    <w:p w14:paraId="794BF533">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在评标过程中出现下列情形之一的，评标委员会应当启动异常低价投标审查程序：</w:t>
      </w:r>
    </w:p>
    <w:p w14:paraId="424F47EA">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1.投标报价低于全部通过符合性审查供应商投标报价平均值50%的，即投标报价（全部通过符合性审查供应商投标报价平均值×50%）；</w:t>
      </w:r>
    </w:p>
    <w:p w14:paraId="3EDBB8B9">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2.投标报价低于通过符合性审查的次低报价供应商投标报价50%的，即投标报价（通过符合性审查的次低报价供应商投标报价×50%）；</w:t>
      </w:r>
    </w:p>
    <w:p w14:paraId="288FF793">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3.投标报价低于采购项目最高限价45%的，即投标报价（采购项目最高限价×45%）；</w:t>
      </w:r>
    </w:p>
    <w:p w14:paraId="63AFA178">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4.评标委员会基于专业判断，认为供应商报价过低，有可能影响产品质量或者不能诚信履约的其他情形。</w:t>
      </w:r>
    </w:p>
    <w:p w14:paraId="369EE4D5">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7506F4E">
      <w:pPr>
        <w:pStyle w:val="10"/>
        <w:tabs>
          <w:tab w:val="left" w:pos="2472"/>
        </w:tabs>
        <w:snapToGrid w:val="0"/>
        <w:spacing w:line="360" w:lineRule="auto"/>
        <w:ind w:firstLine="480" w:firstLineChars="200"/>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FD4BE55">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（6）废标、重新招标与变更采购方式</w:t>
      </w:r>
      <w:bookmarkEnd w:id="1078"/>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14EABF83">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出现下列情形之一，将导致项目废标：</w:t>
      </w:r>
    </w:p>
    <w:p w14:paraId="4EDBB045">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（1）符合专业条件的投标人或者对招标文件做实质性响应的投标人不足规定数量的； </w:t>
      </w:r>
    </w:p>
    <w:p w14:paraId="76C89D54">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（2）出现影响采购公正的违法、违规行为的； </w:t>
      </w:r>
    </w:p>
    <w:p w14:paraId="00824E6B">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（3）投标人的报价均超过了采购预算，采购人不能支付的； </w:t>
      </w:r>
    </w:p>
    <w:p w14:paraId="10E1B3AF">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（4）因重大变故，采购任务取消的。 </w:t>
      </w:r>
    </w:p>
    <w:p w14:paraId="1FC78725">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公开招标数额标准以上的采购项目，投标截止后投标人不足3家或者通过资格审查或符合性审查的投标人不足3家的，除采购任务取消情形外，按照以下方式处理： </w:t>
      </w:r>
    </w:p>
    <w:p w14:paraId="43823E5B">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（1）招标文件存在不合理条款或者招标程序不符合规定的，采购人、采购代理机构改正后依法重新招标； </w:t>
      </w:r>
    </w:p>
    <w:p w14:paraId="7C75007A">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招标文件没有不合理条款、招标程序符合规定，需要采用其他采购方式采购的，采购人应当依法报政府采购监督管理部门批准。（符合专业条件或者对招标文件作出实质性响应的投标人只有一家，经评标委员会出具了招标文件没有不合理条款论证意见的。） </w:t>
      </w:r>
    </w:p>
    <w:p w14:paraId="4842B038">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079" w:name="_Toc30436"/>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w:t>
      </w:r>
      <w:bookmarkEnd w:id="1079"/>
      <w:bookmarkStart w:id="1080" w:name="_Toc646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中标候选人的确定原则及标准</w:t>
      </w:r>
      <w:bookmarkEnd w:id="1080"/>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6E8EECBA">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评标委员会对满足招标文件全部实质性要求（即通过资格性评审及符合性评审）的投标文件，按照本章评分标准进行打分，并按评标总得分计算公式计算评标总得分，按总得分由高到低的顺序推荐3名中标候选人；</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得分相同的，按投标报价由低到高顺序排列。得分且投标报价相同的并列。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按照《政府采购货物和服务招标投标管理办法》第五十七条、第六十八条相关规定执行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3E6D7D58">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081" w:name="_Toc13664"/>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（8）确定中标候选人和中标人</w:t>
      </w:r>
      <w:bookmarkEnd w:id="1081"/>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2AF7B7B2">
      <w:pPr>
        <w:keepNext w:val="0"/>
        <w:keepLines w:val="0"/>
        <w:pageBreakBefore w:val="0"/>
        <w:widowControl w:val="0"/>
        <w:kinsoku/>
        <w:wordWrap w:val="0"/>
        <w:overflowPunct/>
        <w:topLinePunct/>
        <w:autoSpaceDE/>
        <w:autoSpaceDN/>
        <w:bidi w:val="0"/>
        <w:adjustRightInd/>
        <w:snapToGrid/>
        <w:spacing w:line="40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评标委员会按最终得分由高到低顺序推荐3名中标候选人，并提</w:t>
      </w:r>
      <w:r>
        <w:rPr>
          <w:rFonts w:hint="eastAsia" w:ascii="仿宋" w:hAnsi="仿宋" w:eastAsia="仿宋" w:cs="仿宋"/>
          <w:color w:val="000000" w:themeColor="text1"/>
          <w:sz w:val="24"/>
          <w:szCs w:val="24"/>
          <w:highlight w:val="none"/>
          <w:lang w:val="en-US" w:eastAsia="zh-CN"/>
          <w14:textFill>
            <w14:solidFill>
              <w14:schemeClr w14:val="tx1"/>
            </w14:solidFill>
          </w14:textFill>
        </w:rPr>
        <w:t>交</w:t>
      </w:r>
      <w:r>
        <w:rPr>
          <w:rFonts w:hint="eastAsia" w:ascii="仿宋" w:hAnsi="仿宋" w:eastAsia="仿宋" w:cs="仿宋"/>
          <w:color w:val="000000" w:themeColor="text1"/>
          <w:sz w:val="24"/>
          <w:szCs w:val="24"/>
          <w:highlight w:val="none"/>
          <w14:textFill>
            <w14:solidFill>
              <w14:schemeClr w14:val="tx1"/>
            </w14:solidFill>
          </w14:textFill>
        </w:rPr>
        <w:t>评标报告</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2D5EF7E3">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采购人根据评标委员会提</w:t>
      </w:r>
      <w:r>
        <w:rPr>
          <w:rFonts w:hint="eastAsia" w:ascii="仿宋" w:hAnsi="仿宋" w:eastAsia="仿宋" w:cs="仿宋"/>
          <w:color w:val="000000" w:themeColor="text1"/>
          <w:sz w:val="24"/>
          <w:szCs w:val="24"/>
          <w:highlight w:val="none"/>
          <w:lang w:val="en-US" w:eastAsia="zh-CN"/>
          <w14:textFill>
            <w14:solidFill>
              <w14:schemeClr w14:val="tx1"/>
            </w14:solidFill>
          </w14:textFill>
        </w:rPr>
        <w:t>交</w:t>
      </w:r>
      <w:r>
        <w:rPr>
          <w:rFonts w:hint="eastAsia" w:ascii="仿宋" w:hAnsi="仿宋" w:eastAsia="仿宋" w:cs="仿宋"/>
          <w:color w:val="000000" w:themeColor="text1"/>
          <w:sz w:val="24"/>
          <w:szCs w:val="24"/>
          <w:highlight w:val="none"/>
          <w14:textFill>
            <w14:solidFill>
              <w14:schemeClr w14:val="tx1"/>
            </w14:solidFill>
          </w14:textFill>
        </w:rPr>
        <w:t>的评标报告和推荐的中标候选人名单，确定中标人</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421FA3A1">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3）因重大变故采购任务取消时，采购人有权拒绝任何投标人中标，且对受影响的投标人不承担任何责任。 </w:t>
      </w:r>
    </w:p>
    <w:p w14:paraId="04B18FF4">
      <w:pPr>
        <w:keepNext w:val="0"/>
        <w:keepLines w:val="0"/>
        <w:pageBreakBefore w:val="0"/>
        <w:widowControl w:val="0"/>
        <w:kinsoku/>
        <w:wordWrap w:val="0"/>
        <w:overflowPunct/>
        <w:topLinePunct/>
        <w:autoSpaceDE/>
        <w:autoSpaceDN/>
        <w:bidi w:val="0"/>
        <w:adjustRightInd/>
        <w:snapToGrid/>
        <w:spacing w:line="420" w:lineRule="exact"/>
        <w:ind w:firstLine="482" w:firstLineChars="200"/>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082" w:name="_Toc30359"/>
      <w:r>
        <w:rPr>
          <w:rFonts w:hint="eastAsia" w:ascii="仿宋" w:hAnsi="仿宋" w:eastAsia="仿宋" w:cs="仿宋"/>
          <w:b/>
          <w:bCs/>
          <w:color w:val="000000" w:themeColor="text1"/>
          <w:sz w:val="24"/>
          <w:szCs w:val="24"/>
          <w:highlight w:val="none"/>
          <w:lang w:val="en-US" w:eastAsia="zh-CN"/>
          <w14:textFill>
            <w14:solidFill>
              <w14:schemeClr w14:val="tx1"/>
            </w14:solidFill>
          </w14:textFill>
        </w:rPr>
        <w:t>（9）编写评标报告</w:t>
      </w:r>
      <w:bookmarkEnd w:id="108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 </w:t>
      </w:r>
    </w:p>
    <w:p w14:paraId="4A389ABE">
      <w:pPr>
        <w:keepNext w:val="0"/>
        <w:keepLines w:val="0"/>
        <w:pageBreakBefore w:val="0"/>
        <w:widowControl w:val="0"/>
        <w:kinsoku/>
        <w:wordWrap w:val="0"/>
        <w:overflowPunct/>
        <w:topLinePunct/>
        <w:autoSpaceDE/>
        <w:autoSpaceDN/>
        <w:bidi w:val="0"/>
        <w:adjustRightInd/>
        <w:snapToGrid/>
        <w:spacing w:line="420" w:lineRule="exact"/>
        <w:ind w:firstLine="480" w:firstLineChars="200"/>
        <w:textAlignment w:val="baseline"/>
        <w:rPr>
          <w:rFonts w:hint="eastAsia" w:ascii="仿宋" w:hAnsi="仿宋" w:eastAsia="仿宋" w:cs="仿宋"/>
          <w:b w:val="0"/>
          <w:bCs w:val="0"/>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r>
        <w:rPr>
          <w:rFonts w:hint="eastAsia" w:ascii="仿宋" w:hAnsi="仿宋" w:eastAsia="仿宋" w:cs="仿宋"/>
          <w:b w:val="0"/>
          <w:bCs w:val="0"/>
          <w:color w:val="000000" w:themeColor="text1"/>
          <w:spacing w:val="0"/>
          <w:w w:val="100"/>
          <w:position w:val="0"/>
          <w:sz w:val="24"/>
          <w:szCs w:val="24"/>
          <w:highlight w:val="none"/>
          <w:lang w:val="en-US" w:eastAsia="zh-CN"/>
          <w14:textOutline w14:w="4356" w14:cap="sq" w14:cmpd="sng" w14:algn="ctr">
            <w14:solidFill>
              <w14:srgbClr w14:val="000000"/>
            </w14:solidFill>
            <w14:prstDash w14:val="solid"/>
            <w14:bevel/>
          </w14:textOutline>
          <w14:textFill>
            <w14:solidFill>
              <w14:schemeClr w14:val="tx1"/>
            </w14:solidFill>
          </w14:textFill>
        </w:rPr>
        <w:t xml:space="preserve"> </w:t>
      </w:r>
    </w:p>
    <w:p w14:paraId="17F4A5F8">
      <w:pPr>
        <w:rPr>
          <w:rFonts w:hint="eastAsia" w:ascii="仿宋" w:hAnsi="仿宋" w:eastAsia="仿宋" w:cs="仿宋"/>
          <w:snapToGrid w:val="0"/>
          <w:color w:val="000000" w:themeColor="text1"/>
          <w:spacing w:val="0"/>
          <w:w w:val="100"/>
          <w:position w:val="0"/>
          <w:sz w:val="24"/>
          <w:szCs w:val="24"/>
          <w:highlight w:val="none"/>
          <w:lang w:val="en-US" w:eastAsia="zh-CN" w:bidi="ar-SA"/>
          <w14:textOutline w14:w="5791" w14:cap="sq" w14:cmpd="sng" w14:algn="ctr">
            <w14:solidFill>
              <w14:srgbClr w14:val="000000"/>
            </w14:solidFill>
            <w14:prstDash w14:val="solid"/>
            <w14:bevel/>
          </w14:textOutline>
          <w14:textFill>
            <w14:solidFill>
              <w14:schemeClr w14:val="tx1"/>
            </w14:solidFill>
          </w14:textFill>
        </w:rPr>
      </w:pPr>
      <w:r>
        <w:rPr>
          <w:rFonts w:hint="eastAsia" w:ascii="仿宋" w:hAnsi="仿宋" w:eastAsia="仿宋" w:cs="仿宋"/>
          <w:snapToGrid w:val="0"/>
          <w:color w:val="000000" w:themeColor="text1"/>
          <w:spacing w:val="0"/>
          <w:w w:val="100"/>
          <w:position w:val="0"/>
          <w:sz w:val="24"/>
          <w:szCs w:val="24"/>
          <w:highlight w:val="none"/>
          <w:lang w:val="en-US" w:eastAsia="zh-CN" w:bidi="ar-SA"/>
          <w14:textOutline w14:w="5791" w14:cap="sq" w14:cmpd="sng" w14:algn="ctr">
            <w14:solidFill>
              <w14:srgbClr w14:val="000000"/>
            </w14:solidFill>
            <w14:prstDash w14:val="solid"/>
            <w14:bevel/>
          </w14:textOutline>
          <w14:textFill>
            <w14:solidFill>
              <w14:schemeClr w14:val="tx1"/>
            </w14:solidFill>
          </w14:textFill>
        </w:rPr>
        <w:br w:type="page"/>
      </w:r>
    </w:p>
    <w:p w14:paraId="2EDB2868">
      <w:pPr>
        <w:ind w:firstLine="480" w:firstLineChars="200"/>
        <w:rPr>
          <w:rFonts w:hint="eastAsia" w:ascii="仿宋" w:hAnsi="仿宋" w:eastAsia="仿宋" w:cs="仿宋"/>
          <w:snapToGrid w:val="0"/>
          <w:color w:val="000000" w:themeColor="text1"/>
          <w:spacing w:val="0"/>
          <w:w w:val="100"/>
          <w:position w:val="0"/>
          <w:sz w:val="24"/>
          <w:szCs w:val="24"/>
          <w:highlight w:val="none"/>
          <w:lang w:val="en-US" w:eastAsia="zh-CN" w:bidi="ar-SA"/>
          <w14:textOutline w14:w="5791" w14:cap="sq" w14:cmpd="sng" w14:algn="ctr">
            <w14:solidFill>
              <w14:srgbClr w14:val="000000"/>
            </w14:solidFill>
            <w14:prstDash w14:val="solid"/>
            <w14:bevel/>
          </w14:textOutline>
          <w14:textFill>
            <w14:solidFill>
              <w14:schemeClr w14:val="tx1"/>
            </w14:solidFill>
          </w14:textFill>
        </w:rPr>
      </w:pPr>
    </w:p>
    <w:p w14:paraId="3DEDE28E">
      <w:pPr>
        <w:keepNext w:val="0"/>
        <w:keepLines w:val="0"/>
        <w:pageBreakBefore w:val="0"/>
        <w:widowControl w:val="0"/>
        <w:numPr>
          <w:ilvl w:val="0"/>
          <w:numId w:val="3"/>
        </w:numPr>
        <w:kinsoku/>
        <w:wordWrap w:val="0"/>
        <w:overflowPunct/>
        <w:topLinePunct/>
        <w:autoSpaceDE/>
        <w:autoSpaceDN/>
        <w:bidi w:val="0"/>
        <w:adjustRightInd/>
        <w:snapToGrid/>
        <w:spacing w:line="360" w:lineRule="auto"/>
        <w:ind w:left="0" w:leftChars="0" w:right="0" w:rightChars="0" w:firstLine="0" w:firstLineChars="0"/>
        <w:jc w:val="center"/>
        <w:outlineLvl w:val="0"/>
        <w:rPr>
          <w:rFonts w:hint="eastAsia" w:ascii="仿宋" w:hAnsi="仿宋" w:eastAsia="仿宋" w:cs="仿宋"/>
          <w:color w:val="000000" w:themeColor="text1"/>
          <w:spacing w:val="0"/>
          <w:w w:val="100"/>
          <w:position w:val="0"/>
          <w:sz w:val="32"/>
          <w:szCs w:val="32"/>
          <w:highlight w:val="none"/>
          <w:lang w:eastAsia="zh-CN"/>
          <w14:textOutline w14:w="5791" w14:cap="sq" w14:cmpd="sng" w14:algn="ctr">
            <w14:solidFill>
              <w14:srgbClr w14:val="000000"/>
            </w14:solidFill>
            <w14:prstDash w14:val="solid"/>
            <w14:bevel/>
          </w14:textOutline>
          <w14:textFill>
            <w14:solidFill>
              <w14:schemeClr w14:val="tx1"/>
            </w14:solidFill>
          </w14:textFill>
        </w:rPr>
      </w:pPr>
      <w:bookmarkStart w:id="1083" w:name="_Toc20312"/>
      <w:r>
        <w:rPr>
          <w:rFonts w:hint="eastAsia" w:ascii="仿宋" w:hAnsi="仿宋" w:eastAsia="仿宋" w:cs="仿宋"/>
          <w:color w:val="000000" w:themeColor="text1"/>
          <w:spacing w:val="0"/>
          <w:w w:val="100"/>
          <w:position w:val="0"/>
          <w:sz w:val="32"/>
          <w:szCs w:val="32"/>
          <w:highlight w:val="none"/>
          <w:lang w:eastAsia="zh-CN"/>
          <w14:textOutline w14:w="5791" w14:cap="sq" w14:cmpd="sng" w14:algn="ctr">
            <w14:solidFill>
              <w14:srgbClr w14:val="000000"/>
            </w14:solidFill>
            <w14:prstDash w14:val="solid"/>
            <w14:bevel/>
          </w14:textOutline>
          <w14:textFill>
            <w14:solidFill>
              <w14:schemeClr w14:val="tx1"/>
            </w14:solidFill>
          </w14:textFill>
        </w:rPr>
        <w:t>拟签订的合同文本</w:t>
      </w:r>
      <w:bookmarkEnd w:id="1083"/>
    </w:p>
    <w:p w14:paraId="286CDE0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000000"/>
          <w:spacing w:val="0"/>
          <w:sz w:val="24"/>
          <w:szCs w:val="24"/>
          <w:u w:val="none"/>
        </w:rPr>
      </w:pPr>
      <w:r>
        <w:rPr>
          <w:rFonts w:hint="eastAsia" w:ascii="仿宋" w:hAnsi="仿宋" w:eastAsia="仿宋" w:cs="仿宋"/>
          <w:i w:val="0"/>
          <w:iCs w:val="0"/>
          <w:caps w:val="0"/>
          <w:color w:val="000000"/>
          <w:spacing w:val="0"/>
          <w:sz w:val="24"/>
          <w:szCs w:val="24"/>
          <w:u w:val="none"/>
          <w:shd w:val="clear" w:fill="FFFFFF"/>
          <w:lang w:val="en-US" w:eastAsia="zh-CN"/>
        </w:rPr>
        <w:t>1.</w:t>
      </w:r>
      <w:r>
        <w:rPr>
          <w:rFonts w:hint="eastAsia" w:ascii="仿宋" w:hAnsi="仿宋" w:eastAsia="仿宋" w:cs="仿宋"/>
          <w:i w:val="0"/>
          <w:iCs w:val="0"/>
          <w:caps w:val="0"/>
          <w:color w:val="000000"/>
          <w:spacing w:val="0"/>
          <w:sz w:val="24"/>
          <w:szCs w:val="24"/>
          <w:u w:val="none"/>
          <w:shd w:val="clear" w:fill="FFFFFF"/>
        </w:rPr>
        <w:t>为推进政府采购标准化建设，规范政府采购合同签订行为，财政部制定了《政府采购货物买卖合同（试行）》，供采购人</w:t>
      </w:r>
      <w:r>
        <w:rPr>
          <w:rFonts w:hint="eastAsia" w:ascii="仿宋" w:hAnsi="仿宋" w:eastAsia="仿宋" w:cs="仿宋"/>
          <w:i w:val="0"/>
          <w:iCs w:val="0"/>
          <w:caps w:val="0"/>
          <w:color w:val="000000"/>
          <w:spacing w:val="0"/>
          <w:sz w:val="24"/>
          <w:szCs w:val="24"/>
          <w:u w:val="none"/>
          <w:shd w:val="clear" w:fill="FFFFFF"/>
          <w:lang w:val="en-US" w:eastAsia="zh-CN"/>
        </w:rPr>
        <w:t>及投标人</w:t>
      </w:r>
      <w:r>
        <w:rPr>
          <w:rFonts w:hint="eastAsia" w:ascii="仿宋" w:hAnsi="仿宋" w:eastAsia="仿宋" w:cs="仿宋"/>
          <w:i w:val="0"/>
          <w:iCs w:val="0"/>
          <w:caps w:val="0"/>
          <w:color w:val="000000"/>
          <w:spacing w:val="0"/>
          <w:sz w:val="24"/>
          <w:szCs w:val="24"/>
          <w:u w:val="none"/>
          <w:shd w:val="clear" w:fill="FFFFFF"/>
        </w:rPr>
        <w:t>参考使用。</w:t>
      </w:r>
    </w:p>
    <w:p w14:paraId="158FEF1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val="0"/>
          <w:bCs w:val="0"/>
          <w:i w:val="0"/>
          <w:iCs w:val="0"/>
          <w:caps w:val="0"/>
          <w:color w:val="000000"/>
          <w:spacing w:val="0"/>
          <w:sz w:val="24"/>
          <w:szCs w:val="24"/>
          <w:u w:val="none"/>
          <w:shd w:val="clear" w:fill="FFFFFF"/>
          <w:lang w:val="en-US" w:eastAsia="zh-CN"/>
        </w:rPr>
      </w:pPr>
      <w:r>
        <w:rPr>
          <w:rFonts w:hint="eastAsia" w:ascii="仿宋" w:hAnsi="仿宋" w:eastAsia="仿宋" w:cs="仿宋"/>
          <w:i w:val="0"/>
          <w:iCs w:val="0"/>
          <w:caps w:val="0"/>
          <w:color w:val="000000"/>
          <w:spacing w:val="0"/>
          <w:sz w:val="24"/>
          <w:szCs w:val="24"/>
          <w:u w:val="none"/>
          <w:shd w:val="clear" w:fill="FFFFFF"/>
          <w:lang w:val="en-US" w:eastAsia="zh-CN"/>
        </w:rPr>
        <w:t>2.</w:t>
      </w:r>
      <w:r>
        <w:rPr>
          <w:rFonts w:hint="eastAsia" w:ascii="仿宋" w:hAnsi="仿宋" w:eastAsia="仿宋" w:cs="仿宋"/>
          <w:i w:val="0"/>
          <w:iCs w:val="0"/>
          <w:caps w:val="0"/>
          <w:color w:val="000000"/>
          <w:spacing w:val="0"/>
          <w:sz w:val="24"/>
          <w:szCs w:val="24"/>
          <w:u w:val="none"/>
          <w:shd w:val="clear" w:fill="FFFFFF"/>
        </w:rPr>
        <w:t>政府采购货物买卖合同（试行）</w:t>
      </w:r>
      <w:r>
        <w:rPr>
          <w:rFonts w:hint="eastAsia" w:ascii="仿宋" w:hAnsi="仿宋" w:eastAsia="仿宋" w:cs="仿宋"/>
          <w:b w:val="0"/>
          <w:bCs w:val="0"/>
          <w:color w:val="auto"/>
          <w:kern w:val="2"/>
          <w:sz w:val="24"/>
          <w:szCs w:val="24"/>
          <w:highlight w:val="none"/>
          <w:lang w:eastAsia="zh-CN"/>
        </w:rPr>
        <w:t>基本格式及主要条款以中标人和采购人最终协商确定的内容为准，但所签订的合同不得对招标文件确定的事项和中标人的投标文件作实质性修改。</w:t>
      </w:r>
    </w:p>
    <w:p w14:paraId="5B5C62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i w:val="0"/>
          <w:iCs w:val="0"/>
          <w:caps w:val="0"/>
          <w:color w:val="000000"/>
          <w:spacing w:val="0"/>
          <w:sz w:val="24"/>
          <w:szCs w:val="24"/>
          <w:u w:val="none"/>
          <w:shd w:val="clear" w:fill="FFFFFF"/>
          <w:lang w:val="en-US" w:eastAsia="zh-CN"/>
        </w:rPr>
        <w:t>3.</w:t>
      </w:r>
      <w:r>
        <w:rPr>
          <w:rFonts w:hint="eastAsia" w:ascii="仿宋" w:hAnsi="仿宋" w:eastAsia="仿宋" w:cs="仿宋"/>
          <w:i w:val="0"/>
          <w:iCs w:val="0"/>
          <w:caps w:val="0"/>
          <w:color w:val="000000"/>
          <w:spacing w:val="0"/>
          <w:sz w:val="24"/>
          <w:szCs w:val="24"/>
          <w:u w:val="none"/>
          <w:shd w:val="clear" w:fill="FFFFFF"/>
        </w:rPr>
        <w:t>《政府采购货物买卖合同（试行）》电子版，请</w:t>
      </w:r>
      <w:r>
        <w:rPr>
          <w:rFonts w:hint="eastAsia" w:ascii="仿宋" w:hAnsi="仿宋" w:eastAsia="仿宋" w:cs="仿宋"/>
          <w:i w:val="0"/>
          <w:iCs w:val="0"/>
          <w:caps w:val="0"/>
          <w:color w:val="000000"/>
          <w:spacing w:val="0"/>
          <w:sz w:val="24"/>
          <w:szCs w:val="24"/>
          <w:u w:val="none"/>
          <w:shd w:val="clear" w:fill="FFFFFF"/>
          <w:lang w:val="en-US" w:eastAsia="zh-CN"/>
        </w:rPr>
        <w:t>前往</w:t>
      </w:r>
      <w:r>
        <w:rPr>
          <w:rFonts w:hint="eastAsia" w:ascii="仿宋" w:hAnsi="仿宋" w:eastAsia="仿宋" w:cs="仿宋"/>
          <w:i w:val="0"/>
          <w:iCs w:val="0"/>
          <w:caps w:val="0"/>
          <w:color w:val="000000"/>
          <w:spacing w:val="0"/>
          <w:sz w:val="24"/>
          <w:szCs w:val="24"/>
          <w:u w:val="none"/>
          <w:shd w:val="clear" w:fill="FFFFFF"/>
        </w:rPr>
        <w:t>中国政府采购网（www.ccgp.gov.cn）</w:t>
      </w:r>
      <w:r>
        <w:rPr>
          <w:rFonts w:hint="eastAsia" w:ascii="仿宋" w:hAnsi="仿宋" w:eastAsia="仿宋" w:cs="仿宋"/>
          <w:i w:val="0"/>
          <w:iCs w:val="0"/>
          <w:caps w:val="0"/>
          <w:color w:val="000000"/>
          <w:spacing w:val="0"/>
          <w:sz w:val="24"/>
          <w:szCs w:val="24"/>
          <w:u w:val="none"/>
          <w:shd w:val="clear" w:fill="FFFFFF"/>
          <w:lang w:val="en-US" w:eastAsia="zh-CN"/>
        </w:rPr>
        <w:t>或扫描下方二维码查看</w:t>
      </w:r>
      <w:r>
        <w:rPr>
          <w:rFonts w:hint="eastAsia" w:ascii="仿宋" w:hAnsi="仿宋" w:eastAsia="仿宋" w:cs="仿宋"/>
          <w:i w:val="0"/>
          <w:iCs w:val="0"/>
          <w:caps w:val="0"/>
          <w:color w:val="000000"/>
          <w:spacing w:val="0"/>
          <w:sz w:val="24"/>
          <w:szCs w:val="24"/>
          <w:u w:val="none"/>
          <w:shd w:val="clear" w:fill="FFFFFF"/>
        </w:rPr>
        <w:t>下载。</w:t>
      </w:r>
    </w:p>
    <w:p w14:paraId="1DA0D505">
      <w:pPr>
        <w:keepNext w:val="0"/>
        <w:keepLines w:val="0"/>
        <w:pageBreakBefore w:val="0"/>
        <w:widowControl w:val="0"/>
        <w:numPr>
          <w:ilvl w:val="0"/>
          <w:numId w:val="0"/>
        </w:numPr>
        <w:kinsoku/>
        <w:wordWrap w:val="0"/>
        <w:overflowPunct/>
        <w:topLinePunct/>
        <w:autoSpaceDE/>
        <w:autoSpaceDN/>
        <w:bidi w:val="0"/>
        <w:adjustRightInd/>
        <w:snapToGrid/>
        <w:spacing w:line="360" w:lineRule="auto"/>
        <w:ind w:leftChars="0" w:right="0" w:rightChars="0"/>
        <w:jc w:val="center"/>
        <w:outlineLvl w:val="0"/>
        <w:rPr>
          <w:rFonts w:hint="eastAsia" w:ascii="仿宋" w:hAnsi="仿宋" w:eastAsia="仿宋" w:cs="仿宋"/>
          <w:color w:val="000000" w:themeColor="text1"/>
          <w:spacing w:val="0"/>
          <w:w w:val="100"/>
          <w:position w:val="0"/>
          <w:sz w:val="24"/>
          <w:szCs w:val="24"/>
          <w:highlight w:val="none"/>
          <w:lang w:eastAsia="zh-CN"/>
          <w14:textOutline w14:w="5791" w14:cap="sq" w14:cmpd="sng" w14:algn="ctr">
            <w14:solidFill>
              <w14:srgbClr w14:val="000000"/>
            </w14:solidFill>
            <w14:prstDash w14:val="solid"/>
            <w14:bevel/>
          </w14:textOutline>
          <w14:textFill>
            <w14:solidFill>
              <w14:schemeClr w14:val="tx1"/>
            </w14:solidFill>
          </w14:textFill>
        </w:rPr>
      </w:pPr>
      <w:bookmarkStart w:id="1084" w:name="_Toc10289"/>
      <w:r>
        <w:rPr>
          <w:rFonts w:hint="eastAsia" w:ascii="仿宋" w:hAnsi="仿宋" w:eastAsia="仿宋" w:cs="仿宋"/>
          <w:sz w:val="24"/>
          <w:szCs w:val="24"/>
        </w:rPr>
        <w:drawing>
          <wp:inline distT="0" distB="0" distL="114300" distR="114300">
            <wp:extent cx="1857375" cy="1828800"/>
            <wp:effectExtent l="0" t="0" r="952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6"/>
                    <a:stretch>
                      <a:fillRect/>
                    </a:stretch>
                  </pic:blipFill>
                  <pic:spPr>
                    <a:xfrm>
                      <a:off x="0" y="0"/>
                      <a:ext cx="1857375" cy="1828800"/>
                    </a:xfrm>
                    <a:prstGeom prst="rect">
                      <a:avLst/>
                    </a:prstGeom>
                    <a:noFill/>
                    <a:ln>
                      <a:noFill/>
                    </a:ln>
                  </pic:spPr>
                </pic:pic>
              </a:graphicData>
            </a:graphic>
          </wp:inline>
        </w:drawing>
      </w:r>
      <w:bookmarkEnd w:id="1084"/>
    </w:p>
    <w:p w14:paraId="0770FCD8">
      <w:pPr>
        <w:rPr>
          <w:rStyle w:val="26"/>
          <w:rFonts w:hint="eastAsia" w:ascii="仿宋" w:hAnsi="仿宋" w:eastAsia="仿宋" w:cs="仿宋"/>
          <w:color w:val="000000" w:themeColor="text1"/>
          <w:sz w:val="24"/>
          <w:szCs w:val="24"/>
          <w:highlight w:val="none"/>
          <w:lang w:eastAsia="zh-CN"/>
          <w14:textFill>
            <w14:solidFill>
              <w14:schemeClr w14:val="tx1"/>
            </w14:solidFill>
          </w14:textFill>
        </w:rPr>
      </w:pPr>
      <w:bookmarkStart w:id="1085" w:name="_Toc2286"/>
      <w:bookmarkStart w:id="1086" w:name="_Toc7511"/>
      <w:r>
        <w:rPr>
          <w:rStyle w:val="26"/>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31219C76">
      <w:pPr>
        <w:pStyle w:val="7"/>
        <w:keepNext w:val="0"/>
        <w:keepLines w:val="0"/>
        <w:pageBreakBefore w:val="0"/>
        <w:widowControl w:val="0"/>
        <w:kinsoku/>
        <w:wordWrap w:val="0"/>
        <w:overflowPunct/>
        <w:topLinePunct/>
        <w:autoSpaceDE/>
        <w:autoSpaceDN/>
        <w:bidi w:val="0"/>
        <w:adjustRightInd/>
        <w:snapToGrid/>
        <w:ind w:left="0" w:leftChars="0" w:right="0"/>
        <w:jc w:val="center"/>
        <w:outlineLvl w:val="0"/>
        <w:rPr>
          <w:rStyle w:val="26"/>
          <w:rFonts w:hint="eastAsia" w:ascii="仿宋" w:hAnsi="仿宋" w:eastAsia="仿宋" w:cs="仿宋"/>
          <w:color w:val="000000" w:themeColor="text1"/>
          <w:sz w:val="32"/>
          <w:szCs w:val="32"/>
          <w:highlight w:val="none"/>
          <w:lang w:eastAsia="zh-CN"/>
          <w14:textFill>
            <w14:solidFill>
              <w14:schemeClr w14:val="tx1"/>
            </w14:solidFill>
          </w14:textFill>
        </w:rPr>
      </w:pPr>
      <w:bookmarkStart w:id="1087" w:name="_Toc25278"/>
      <w:r>
        <w:rPr>
          <w:rStyle w:val="26"/>
          <w:rFonts w:hint="eastAsia" w:ascii="仿宋" w:hAnsi="仿宋" w:eastAsia="仿宋" w:cs="仿宋"/>
          <w:color w:val="000000" w:themeColor="text1"/>
          <w:sz w:val="32"/>
          <w:szCs w:val="32"/>
          <w:highlight w:val="none"/>
          <w:lang w:eastAsia="zh-CN"/>
          <w14:textFill>
            <w14:solidFill>
              <w14:schemeClr w14:val="tx1"/>
            </w14:solidFill>
          </w14:textFill>
        </w:rPr>
        <w:t>第六章</w:t>
      </w:r>
      <w:r>
        <w:rPr>
          <w:rStyle w:val="26"/>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Style w:val="26"/>
          <w:rFonts w:hint="eastAsia" w:ascii="仿宋" w:hAnsi="仿宋" w:eastAsia="仿宋" w:cs="仿宋"/>
          <w:color w:val="000000" w:themeColor="text1"/>
          <w:sz w:val="32"/>
          <w:szCs w:val="32"/>
          <w:highlight w:val="none"/>
          <w:lang w:eastAsia="zh-CN"/>
          <w14:textFill>
            <w14:solidFill>
              <w14:schemeClr w14:val="tx1"/>
            </w14:solidFill>
          </w14:textFill>
        </w:rPr>
        <w:t>投标文件格式</w:t>
      </w:r>
      <w:bookmarkEnd w:id="1085"/>
      <w:bookmarkEnd w:id="1087"/>
    </w:p>
    <w:bookmarkEnd w:id="1086"/>
    <w:p w14:paraId="2B6D342E">
      <w:pPr>
        <w:pStyle w:val="10"/>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 xml:space="preserve">投标人编制文件须知 </w:t>
      </w:r>
    </w:p>
    <w:p w14:paraId="46DF1E33">
      <w:pPr>
        <w:pStyle w:val="10"/>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bCs w:val="0"/>
          <w:color w:val="000000" w:themeColor="text1"/>
          <w:sz w:val="24"/>
          <w:szCs w:val="24"/>
          <w:highlight w:val="none"/>
          <w:u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1.投标人按照本部分的顺序编制投标文件，编制中涉及格式资料的，应按照本部分提供的内容和格式（所有表格的格式可扩展）填写提交。</w:t>
      </w:r>
      <w:r>
        <w:rPr>
          <w:rFonts w:hint="eastAsia" w:ascii="仿宋" w:hAnsi="仿宋" w:eastAsia="仿宋" w:cs="仿宋"/>
          <w:b/>
          <w:bCs w:val="0"/>
          <w:color w:val="000000" w:themeColor="text1"/>
          <w:sz w:val="24"/>
          <w:szCs w:val="24"/>
          <w:highlight w:val="none"/>
          <w:u w:val="none"/>
          <w:lang w:val="en-US" w:eastAsia="zh-CN"/>
          <w14:textFill>
            <w14:solidFill>
              <w14:schemeClr w14:val="tx1"/>
            </w14:solidFill>
          </w14:textFill>
        </w:rPr>
        <w:t xml:space="preserve"> </w:t>
      </w:r>
    </w:p>
    <w:p w14:paraId="1932B47C">
      <w:pPr>
        <w:pStyle w:val="10"/>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响应无效</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。未标记“实质性格式”的文件和招标文件未提供格式的内容，可由投标人自行编写。 </w:t>
      </w:r>
    </w:p>
    <w:p w14:paraId="79A19E65">
      <w:pPr>
        <w:pStyle w:val="10"/>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3.全部声明和问题的回答及所附材料必须是真实的、准确的和完整的。</w:t>
      </w:r>
    </w:p>
    <w:p w14:paraId="157CDED2">
      <w:pPr>
        <w:pStyle w:val="10"/>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sectPr>
          <w:footerReference r:id="rId5" w:type="first"/>
          <w:footerReference r:id="rId4" w:type="default"/>
          <w:pgSz w:w="11906" w:h="16838"/>
          <w:pgMar w:top="1134" w:right="1134" w:bottom="1134" w:left="1134"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4.建议设置审查索引，以便资格审查小组顺利开展审查工作。</w:t>
      </w:r>
    </w:p>
    <w:p w14:paraId="0F6BE527">
      <w:pPr>
        <w:pStyle w:val="10"/>
        <w:wordWrap w:val="0"/>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封面格式：</w:t>
      </w:r>
    </w:p>
    <w:p w14:paraId="3D513D26">
      <w:pPr>
        <w:pStyle w:val="10"/>
        <w:wordWrap w:val="0"/>
        <w:spacing w:line="360" w:lineRule="auto"/>
        <w:jc w:val="center"/>
        <w:outlineLvl w:val="1"/>
        <w:rPr>
          <w:rFonts w:hint="eastAsia" w:ascii="仿宋" w:hAnsi="仿宋" w:eastAsia="仿宋" w:cs="仿宋"/>
          <w:b/>
          <w:color w:val="000000" w:themeColor="text1"/>
          <w:sz w:val="44"/>
          <w:szCs w:val="44"/>
          <w:highlight w:val="none"/>
          <w:lang w:eastAsia="zh-CN"/>
          <w14:textFill>
            <w14:solidFill>
              <w14:schemeClr w14:val="tx1"/>
            </w14:solidFill>
          </w14:textFill>
        </w:rPr>
      </w:pPr>
      <w:bookmarkStart w:id="1088" w:name="_Toc4669"/>
      <w:bookmarkStart w:id="1089" w:name="_Toc451856213"/>
      <w:bookmarkStart w:id="1090" w:name="_Toc450064600"/>
      <w:bookmarkStart w:id="1091" w:name="_Toc520749005"/>
      <w:bookmarkStart w:id="1092" w:name="_Toc389644551"/>
      <w:bookmarkStart w:id="1093" w:name="_Toc145164057"/>
      <w:bookmarkStart w:id="1094" w:name="_Toc486584248"/>
      <w:bookmarkStart w:id="1095" w:name="_Toc529957200"/>
      <w:bookmarkStart w:id="1096" w:name="_Toc10117026"/>
      <w:r>
        <w:rPr>
          <w:rFonts w:hint="eastAsia" w:ascii="仿宋" w:hAnsi="仿宋" w:eastAsia="仿宋" w:cs="仿宋"/>
          <w:b/>
          <w:bCs/>
          <w:color w:val="000000" w:themeColor="text1"/>
          <w:sz w:val="44"/>
          <w:szCs w:val="44"/>
          <w:highlight w:val="none"/>
          <w:u w:val="none"/>
          <w:lang w:val="en-US" w:eastAsia="zh-CN"/>
          <w14:textFill>
            <w14:solidFill>
              <w14:schemeClr w14:val="tx1"/>
            </w14:solidFill>
          </w14:textFill>
        </w:rPr>
        <w:t>楚雄彝族自治州人民医院2026年一批消毒清洗设备采购</w:t>
      </w:r>
      <w:bookmarkEnd w:id="1088"/>
    </w:p>
    <w:p w14:paraId="32609D3E">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1B98026A">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5EE1BFD0">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304AD38">
      <w:pPr>
        <w:keepNext w:val="0"/>
        <w:keepLines w:val="0"/>
        <w:pageBreakBefore w:val="0"/>
        <w:widowControl w:val="0"/>
        <w:tabs>
          <w:tab w:val="left" w:pos="5834"/>
        </w:tabs>
        <w:kinsoku/>
        <w:wordWrap w:val="0"/>
        <w:overflowPunct/>
        <w:topLinePunct/>
        <w:autoSpaceDE/>
        <w:autoSpaceDN/>
        <w:bidi w:val="0"/>
        <w:adjustRightInd/>
        <w:snapToGrid/>
        <w:spacing w:line="480" w:lineRule="auto"/>
        <w:ind w:right="0" w:firstLine="2516" w:firstLineChars="700"/>
        <w:jc w:val="both"/>
        <w:rPr>
          <w:rFonts w:hint="eastAsia" w:ascii="仿宋" w:hAnsi="仿宋" w:eastAsia="仿宋" w:cs="仿宋"/>
          <w:b/>
          <w:color w:val="000000" w:themeColor="text1"/>
          <w:spacing w:val="-1"/>
          <w:sz w:val="36"/>
          <w:szCs w:val="36"/>
          <w:highlight w:val="none"/>
          <w:u w:val="single"/>
          <w:lang w:val="en-US" w:eastAsia="zh-CN"/>
          <w14:textFill>
            <w14:solidFill>
              <w14:schemeClr w14:val="tx1"/>
            </w14:solidFill>
          </w14:textFill>
        </w:rPr>
      </w:pPr>
      <w:r>
        <w:rPr>
          <w:rFonts w:hint="eastAsia" w:ascii="仿宋" w:hAnsi="仿宋" w:eastAsia="仿宋" w:cs="仿宋"/>
          <w:b/>
          <w:color w:val="000000" w:themeColor="text1"/>
          <w:spacing w:val="-1"/>
          <w:sz w:val="36"/>
          <w:szCs w:val="36"/>
          <w:highlight w:val="none"/>
          <w:lang w:val="zh-CN" w:eastAsia="zh-CN"/>
          <w14:textFill>
            <w14:solidFill>
              <w14:schemeClr w14:val="tx1"/>
            </w14:solidFill>
          </w14:textFill>
        </w:rPr>
        <w:t>项目编号</w:t>
      </w:r>
      <w:r>
        <w:rPr>
          <w:rFonts w:hint="eastAsia" w:ascii="仿宋" w:hAnsi="仿宋" w:eastAsia="仿宋" w:cs="仿宋"/>
          <w:b/>
          <w:color w:val="000000" w:themeColor="text1"/>
          <w:spacing w:val="-1"/>
          <w:sz w:val="36"/>
          <w:szCs w:val="36"/>
          <w:highlight w:val="none"/>
          <w:lang w:eastAsia="zh-CN"/>
          <w14:textFill>
            <w14:solidFill>
              <w14:schemeClr w14:val="tx1"/>
            </w14:solidFill>
          </w14:textFill>
        </w:rPr>
        <w:t>：</w:t>
      </w:r>
      <w:r>
        <w:rPr>
          <w:rFonts w:hint="eastAsia" w:ascii="仿宋" w:hAnsi="仿宋" w:eastAsia="仿宋" w:cs="仿宋"/>
          <w:b/>
          <w:color w:val="000000" w:themeColor="text1"/>
          <w:spacing w:val="-1"/>
          <w:sz w:val="36"/>
          <w:szCs w:val="36"/>
          <w:highlight w:val="none"/>
          <w:u w:val="single"/>
          <w:lang w:val="en-US" w:eastAsia="zh-CN"/>
          <w14:textFill>
            <w14:solidFill>
              <w14:schemeClr w14:val="tx1"/>
            </w14:solidFill>
          </w14:textFill>
        </w:rPr>
        <w:t xml:space="preserve">              </w:t>
      </w:r>
    </w:p>
    <w:p w14:paraId="5EACBCB2">
      <w:pPr>
        <w:keepNext w:val="0"/>
        <w:keepLines w:val="0"/>
        <w:pageBreakBefore w:val="0"/>
        <w:widowControl w:val="0"/>
        <w:tabs>
          <w:tab w:val="left" w:pos="5834"/>
        </w:tabs>
        <w:kinsoku/>
        <w:wordWrap w:val="0"/>
        <w:overflowPunct/>
        <w:topLinePunct/>
        <w:autoSpaceDE/>
        <w:autoSpaceDN/>
        <w:bidi w:val="0"/>
        <w:adjustRightInd/>
        <w:snapToGrid/>
        <w:spacing w:line="480" w:lineRule="auto"/>
        <w:ind w:right="0" w:firstLine="2875" w:firstLineChars="800"/>
        <w:jc w:val="both"/>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pacing w:val="-1"/>
          <w:sz w:val="36"/>
          <w:szCs w:val="36"/>
          <w:highlight w:val="none"/>
          <w:u w:val="none"/>
          <w:lang w:val="en-US" w:eastAsia="zh-CN"/>
        </w:rPr>
        <w:t>标项</w:t>
      </w:r>
      <w:r>
        <w:rPr>
          <w:rFonts w:hint="eastAsia" w:ascii="仿宋" w:hAnsi="仿宋" w:eastAsia="仿宋" w:cs="仿宋"/>
          <w:b/>
          <w:color w:val="auto"/>
          <w:spacing w:val="-1"/>
          <w:sz w:val="36"/>
          <w:szCs w:val="36"/>
          <w:highlight w:val="none"/>
          <w:u w:val="single"/>
          <w:lang w:val="en-US" w:eastAsia="zh-CN"/>
        </w:rPr>
        <w:t xml:space="preserve">  </w:t>
      </w:r>
      <w:r>
        <w:rPr>
          <w:rFonts w:hint="eastAsia" w:ascii="仿宋" w:hAnsi="仿宋" w:eastAsia="仿宋" w:cs="仿宋"/>
          <w:b/>
          <w:color w:val="auto"/>
          <w:spacing w:val="-1"/>
          <w:sz w:val="36"/>
          <w:szCs w:val="36"/>
          <w:highlight w:val="none"/>
          <w:u w:val="none"/>
          <w:lang w:val="en-US" w:eastAsia="zh-CN"/>
        </w:rPr>
        <w:t>：</w:t>
      </w:r>
      <w:r>
        <w:rPr>
          <w:rFonts w:hint="eastAsia" w:ascii="仿宋" w:hAnsi="仿宋" w:eastAsia="仿宋" w:cs="仿宋"/>
          <w:b/>
          <w:color w:val="auto"/>
          <w:spacing w:val="-1"/>
          <w:sz w:val="36"/>
          <w:szCs w:val="36"/>
          <w:highlight w:val="none"/>
          <w:u w:val="single"/>
          <w:lang w:val="en-US" w:eastAsia="zh-CN"/>
        </w:rPr>
        <w:t xml:space="preserve">               </w:t>
      </w:r>
    </w:p>
    <w:p w14:paraId="5C6AAB45">
      <w:pPr>
        <w:keepNext w:val="0"/>
        <w:keepLines w:val="0"/>
        <w:pageBreakBefore w:val="0"/>
        <w:widowControl w:val="0"/>
        <w:kinsoku/>
        <w:wordWrap w:val="0"/>
        <w:overflowPunct/>
        <w:topLinePunct/>
        <w:autoSpaceDE/>
        <w:autoSpaceDN/>
        <w:bidi w:val="0"/>
        <w:adjustRightInd/>
        <w:snapToGrid/>
        <w:spacing w:line="480" w:lineRule="auto"/>
        <w:ind w:left="0" w:leftChars="0" w:right="0"/>
        <w:jc w:val="both"/>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pacing w:val="-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p>
    <w:p w14:paraId="5EE49A2D">
      <w:pPr>
        <w:keepNext w:val="0"/>
        <w:keepLines w:val="0"/>
        <w:pageBreakBefore w:val="0"/>
        <w:widowControl w:val="0"/>
        <w:kinsoku/>
        <w:wordWrap w:val="0"/>
        <w:overflowPunct/>
        <w:topLinePunct/>
        <w:autoSpaceDE/>
        <w:autoSpaceDN/>
        <w:bidi w:val="0"/>
        <w:adjustRightInd/>
        <w:snapToGrid/>
        <w:ind w:left="0" w:leftChars="0" w:right="0"/>
        <w:jc w:val="both"/>
        <w:rPr>
          <w:rFonts w:hint="eastAsia" w:ascii="仿宋" w:hAnsi="仿宋" w:eastAsia="仿宋" w:cs="仿宋"/>
          <w:b/>
          <w:color w:val="000000" w:themeColor="text1"/>
          <w:sz w:val="32"/>
          <w:szCs w:val="32"/>
          <w:highlight w:val="none"/>
          <w:lang w:eastAsia="zh-CN"/>
          <w14:textFill>
            <w14:solidFill>
              <w14:schemeClr w14:val="tx1"/>
            </w14:solidFill>
          </w14:textFill>
        </w:rPr>
      </w:pPr>
    </w:p>
    <w:p w14:paraId="06797D19">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color w:val="000000" w:themeColor="text1"/>
          <w:sz w:val="72"/>
          <w:szCs w:val="72"/>
          <w:highlight w:val="none"/>
          <w:lang w:eastAsia="zh-CN"/>
          <w14:textFill>
            <w14:solidFill>
              <w14:schemeClr w14:val="tx1"/>
            </w14:solidFill>
          </w14:textFill>
        </w:rPr>
      </w:pPr>
      <w:r>
        <w:rPr>
          <w:rFonts w:hint="eastAsia" w:ascii="仿宋" w:hAnsi="仿宋" w:eastAsia="仿宋" w:cs="仿宋"/>
          <w:b/>
          <w:bCs/>
          <w:color w:val="000000" w:themeColor="text1"/>
          <w:sz w:val="72"/>
          <w:szCs w:val="72"/>
          <w:highlight w:val="none"/>
          <w:lang w:eastAsia="zh-CN"/>
          <w14:textFill>
            <w14:solidFill>
              <w14:schemeClr w14:val="tx1"/>
            </w14:solidFill>
          </w14:textFill>
        </w:rPr>
        <w:t>投 标 文 件</w:t>
      </w:r>
    </w:p>
    <w:p w14:paraId="5EE0BEEF">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4D53BFAA">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109F8ABE">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78D5ADA1">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124031D5">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559C97A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1E2CA608">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（电子公章）</w:t>
      </w:r>
    </w:p>
    <w:p w14:paraId="233D2BA5">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both"/>
        <w:rPr>
          <w:rFonts w:hint="eastAsia" w:ascii="仿宋" w:hAnsi="仿宋" w:eastAsia="仿宋" w:cs="仿宋"/>
          <w:b/>
          <w:color w:val="000000" w:themeColor="text1"/>
          <w:spacing w:val="-1"/>
          <w:sz w:val="24"/>
          <w:szCs w:val="24"/>
          <w:highlight w:val="none"/>
          <w:lang w:eastAsia="zh-CN"/>
          <w14:textFill>
            <w14:solidFill>
              <w14:schemeClr w14:val="tx1"/>
            </w14:solidFill>
          </w14:textFill>
        </w:rPr>
      </w:pPr>
    </w:p>
    <w:p w14:paraId="5A29E89F">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000000" w:themeColor="text1"/>
          <w:spacing w:val="-1"/>
          <w:sz w:val="24"/>
          <w:szCs w:val="24"/>
          <w:highlight w:val="none"/>
          <w:lang w:eastAsia="zh-CN"/>
          <w14:textFill>
            <w14:solidFill>
              <w14:schemeClr w14:val="tx1"/>
            </w14:solidFill>
          </w14:textFill>
        </w:rPr>
      </w:pPr>
      <w:r>
        <w:rPr>
          <w:rFonts w:hint="eastAsia" w:ascii="仿宋" w:hAnsi="仿宋" w:eastAsia="仿宋" w:cs="仿宋"/>
          <w:b/>
          <w:color w:val="000000" w:themeColor="text1"/>
          <w:spacing w:val="-1"/>
          <w:sz w:val="24"/>
          <w:szCs w:val="24"/>
          <w:highlight w:val="none"/>
          <w:lang w:eastAsia="zh-CN"/>
          <w14:textFill>
            <w14:solidFill>
              <w14:schemeClr w14:val="tx1"/>
            </w14:solidFill>
          </w14:textFill>
        </w:rPr>
        <w:t>法定代表人（负责人）或授权委托人：</w:t>
      </w:r>
      <w:r>
        <w:rPr>
          <w:rFonts w:hint="eastAsia" w:ascii="仿宋" w:hAnsi="仿宋" w:eastAsia="仿宋" w:cs="仿宋"/>
          <w:b/>
          <w:color w:val="000000" w:themeColor="text1"/>
          <w:spacing w:val="-1"/>
          <w:sz w:val="24"/>
          <w:szCs w:val="24"/>
          <w:highlight w:val="none"/>
          <w:u w:val="single"/>
          <w:lang w:val="en-US" w:eastAsia="zh-CN"/>
          <w14:textFill>
            <w14:solidFill>
              <w14:schemeClr w14:val="tx1"/>
            </w14:solidFill>
          </w14:textFill>
        </w:rPr>
        <w:t xml:space="preserve">              </w:t>
      </w:r>
      <w:r>
        <w:rPr>
          <w:rFonts w:hint="eastAsia" w:ascii="仿宋" w:hAnsi="仿宋" w:eastAsia="仿宋" w:cs="仿宋"/>
          <w:b/>
          <w:color w:val="000000" w:themeColor="text1"/>
          <w:spacing w:val="-1"/>
          <w:sz w:val="24"/>
          <w:szCs w:val="24"/>
          <w:highlight w:val="none"/>
          <w:lang w:eastAsia="zh-CN"/>
          <w14:textFill>
            <w14:solidFill>
              <w14:schemeClr w14:val="tx1"/>
            </w14:solidFill>
          </w14:textFill>
        </w:rPr>
        <w:t>（签字或电子签章）</w:t>
      </w:r>
    </w:p>
    <w:p w14:paraId="24104C40">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color w:val="000000" w:themeColor="text1"/>
          <w:sz w:val="24"/>
          <w:szCs w:val="24"/>
          <w:highlight w:val="none"/>
          <w:u w:val="none" w:color="auto"/>
          <w:lang w:val="en-US" w:eastAsia="zh-CN"/>
          <w14:textFill>
            <w14:solidFill>
              <w14:schemeClr w14:val="tx1"/>
            </w14:solidFill>
          </w14:textFill>
        </w:rPr>
      </w:pPr>
    </w:p>
    <w:p w14:paraId="3330C206">
      <w:pPr>
        <w:keepNext w:val="0"/>
        <w:keepLines w:val="0"/>
        <w:pageBreakBefore w:val="0"/>
        <w:widowControl w:val="0"/>
        <w:tabs>
          <w:tab w:val="left" w:pos="6942"/>
          <w:tab w:val="left" w:pos="7535"/>
        </w:tabs>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sectPr>
          <w:footerReference r:id="rId7" w:type="first"/>
          <w:footerReference r:id="rId6" w:type="default"/>
          <w:pgSz w:w="11906" w:h="16838"/>
          <w:pgMar w:top="1134" w:right="1134" w:bottom="1134" w:left="1134" w:header="340"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b/>
          <w:color w:val="000000" w:themeColor="text1"/>
          <w:sz w:val="24"/>
          <w:szCs w:val="24"/>
          <w:highlight w:val="none"/>
          <w:u w:val="none" w:color="auto"/>
          <w:lang w:val="en-US" w:eastAsia="zh-CN"/>
          <w14:textFill>
            <w14:solidFill>
              <w14:schemeClr w14:val="tx1"/>
            </w14:solidFill>
          </w14:textFill>
        </w:rPr>
        <w:t>日期：</w:t>
      </w:r>
      <w:r>
        <w:rPr>
          <w:rFonts w:hint="eastAsia" w:ascii="仿宋" w:hAnsi="仿宋" w:eastAsia="仿宋" w:cs="仿宋"/>
          <w:b/>
          <w:color w:val="000000" w:themeColor="text1"/>
          <w:sz w:val="24"/>
          <w:szCs w:val="24"/>
          <w:highlight w:val="none"/>
          <w:u w:val="single" w:color="auto"/>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年</w:t>
      </w:r>
      <w:r>
        <w:rPr>
          <w:rFonts w:hint="eastAsia" w:ascii="仿宋" w:hAnsi="仿宋" w:eastAsia="仿宋" w:cs="仿宋"/>
          <w:b/>
          <w:color w:val="000000" w:themeColor="text1"/>
          <w:sz w:val="24"/>
          <w:szCs w:val="24"/>
          <w:highlight w:val="none"/>
          <w:u w:val="single" w:color="auto"/>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月</w:t>
      </w:r>
      <w:r>
        <w:rPr>
          <w:rFonts w:hint="eastAsia" w:ascii="仿宋" w:hAnsi="仿宋" w:eastAsia="仿宋" w:cs="仿宋"/>
          <w:b/>
          <w:color w:val="000000" w:themeColor="text1"/>
          <w:sz w:val="24"/>
          <w:szCs w:val="24"/>
          <w:highlight w:val="none"/>
          <w:u w:val="single" w:color="auto"/>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日</w:t>
      </w:r>
    </w:p>
    <w:bookmarkEnd w:id="1089"/>
    <w:bookmarkEnd w:id="1090"/>
    <w:bookmarkEnd w:id="1091"/>
    <w:bookmarkEnd w:id="1092"/>
    <w:bookmarkEnd w:id="1093"/>
    <w:bookmarkEnd w:id="1094"/>
    <w:bookmarkEnd w:id="1095"/>
    <w:bookmarkEnd w:id="1096"/>
    <w:p w14:paraId="7B1D5B4A">
      <w:pPr>
        <w:pStyle w:val="3"/>
        <w:keepNext w:val="0"/>
        <w:keepLines w:val="0"/>
        <w:pageBreakBefore w:val="0"/>
        <w:widowControl w:val="0"/>
        <w:kinsoku/>
        <w:wordWrap w:val="0"/>
        <w:overflowPunct/>
        <w:topLinePunct/>
        <w:autoSpaceDE/>
        <w:autoSpaceDN/>
        <w:bidi w:val="0"/>
        <w:adjustRightInd/>
        <w:snapToGrid/>
        <w:spacing w:before="0" w:after="0"/>
        <w:ind w:left="0" w:leftChars="0" w:right="0"/>
        <w:rPr>
          <w:rFonts w:hint="eastAsia" w:ascii="仿宋" w:hAnsi="仿宋" w:eastAsia="仿宋" w:cs="仿宋"/>
          <w:color w:val="000000" w:themeColor="text1"/>
          <w:sz w:val="44"/>
          <w:szCs w:val="44"/>
          <w:highlight w:val="none"/>
          <w:lang w:val="en-US" w:eastAsia="zh-CN"/>
          <w14:textFill>
            <w14:solidFill>
              <w14:schemeClr w14:val="tx1"/>
            </w14:solidFill>
          </w14:textFill>
        </w:rPr>
      </w:pPr>
      <w:bookmarkStart w:id="1097" w:name="_Toc6411"/>
      <w:bookmarkStart w:id="1098" w:name="_Toc24168"/>
      <w:bookmarkStart w:id="1099" w:name="_Toc6912"/>
      <w:bookmarkStart w:id="1100" w:name="_Toc1504"/>
      <w:bookmarkStart w:id="1101" w:name="_Toc18471"/>
      <w:bookmarkStart w:id="1102" w:name="_Toc8694"/>
      <w:bookmarkStart w:id="1103" w:name="_Toc10117027"/>
      <w:bookmarkStart w:id="1104" w:name="_Toc520749006"/>
      <w:bookmarkStart w:id="1105" w:name="_Toc18751"/>
      <w:r>
        <w:rPr>
          <w:rFonts w:hint="eastAsia" w:ascii="仿宋" w:hAnsi="仿宋" w:eastAsia="仿宋" w:cs="仿宋"/>
          <w:color w:val="000000" w:themeColor="text1"/>
          <w:sz w:val="44"/>
          <w:szCs w:val="44"/>
          <w:highlight w:val="none"/>
          <w:lang w:eastAsia="zh-CN"/>
          <w14:textFill>
            <w14:solidFill>
              <w14:schemeClr w14:val="tx1"/>
            </w14:solidFill>
          </w14:textFill>
        </w:rPr>
        <w:t>资格审查部分</w:t>
      </w:r>
      <w:bookmarkEnd w:id="1097"/>
      <w:bookmarkEnd w:id="1098"/>
      <w:bookmarkEnd w:id="1099"/>
      <w:bookmarkEnd w:id="1100"/>
      <w:bookmarkEnd w:id="1101"/>
      <w:bookmarkEnd w:id="1102"/>
      <w:bookmarkEnd w:id="1103"/>
      <w:bookmarkEnd w:id="1104"/>
      <w:bookmarkEnd w:id="1105"/>
      <w:bookmarkStart w:id="1106" w:name="_Toc12779"/>
      <w:bookmarkStart w:id="1107" w:name="_Toc145164058"/>
      <w:bookmarkStart w:id="1108" w:name="_Toc12446"/>
      <w:bookmarkStart w:id="1109" w:name="_Toc10812"/>
      <w:bookmarkStart w:id="1110" w:name="_Toc4306"/>
      <w:bookmarkStart w:id="1111" w:name="_Toc21991"/>
      <w:bookmarkStart w:id="1112" w:name="_Toc16060"/>
      <w:bookmarkStart w:id="1113" w:name="_Toc11975"/>
      <w:bookmarkStart w:id="1114" w:name="_Toc20556"/>
      <w:bookmarkStart w:id="1115" w:name="_Toc17869"/>
      <w:bookmarkStart w:id="1116" w:name="_Toc30229"/>
      <w:bookmarkStart w:id="1117" w:name="_Toc30478"/>
      <w:bookmarkStart w:id="1118" w:name="_Toc14819"/>
    </w:p>
    <w:bookmarkEnd w:id="1106"/>
    <w:bookmarkEnd w:id="1107"/>
    <w:bookmarkEnd w:id="1108"/>
    <w:bookmarkEnd w:id="1109"/>
    <w:bookmarkEnd w:id="1110"/>
    <w:bookmarkEnd w:id="1111"/>
    <w:bookmarkEnd w:id="1112"/>
    <w:bookmarkEnd w:id="1113"/>
    <w:bookmarkEnd w:id="1114"/>
    <w:bookmarkEnd w:id="1115"/>
    <w:bookmarkEnd w:id="1116"/>
    <w:bookmarkEnd w:id="1117"/>
    <w:bookmarkEnd w:id="1118"/>
    <w:p w14:paraId="20C83C2C">
      <w:pPr>
        <w:pStyle w:val="5"/>
        <w:numPr>
          <w:ilvl w:val="0"/>
          <w:numId w:val="0"/>
        </w:numPr>
        <w:tabs>
          <w:tab w:val="left" w:pos="900"/>
          <w:tab w:val="left" w:pos="1588"/>
        </w:tabs>
        <w:wordWrap w:val="0"/>
        <w:overflowPunct w:val="0"/>
        <w:topLinePunct/>
        <w:adjustRightInd/>
        <w:ind w:left="0" w:leftChars="0" w:firstLine="0" w:firstLineChars="0"/>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1119" w:name="_Toc12367"/>
      <w:bookmarkStart w:id="1120" w:name="_Toc25187"/>
      <w:bookmarkStart w:id="1121" w:name="_Toc9399"/>
      <w:bookmarkStart w:id="1122" w:name="_Toc8669"/>
      <w:bookmarkStart w:id="1123" w:name="_Toc9112"/>
      <w:bookmarkStart w:id="1124" w:name="_Toc16708"/>
      <w:bookmarkStart w:id="1125" w:name="_Toc14542"/>
      <w:bookmarkStart w:id="1126" w:name="_Toc113"/>
      <w:bookmarkStart w:id="1127" w:name="_Toc16238"/>
      <w:bookmarkStart w:id="1128" w:name="_Toc8210"/>
      <w:bookmarkStart w:id="1129" w:name="_Toc11781"/>
      <w:bookmarkStart w:id="1130" w:name="_Toc23784"/>
      <w:bookmarkStart w:id="1131" w:name="_Toc20443"/>
      <w:bookmarkStart w:id="1132" w:name="_Toc30809"/>
      <w:bookmarkStart w:id="1133" w:name="_Toc8184"/>
      <w:bookmarkStart w:id="1134" w:name="_Toc20708"/>
      <w:bookmarkStart w:id="1135" w:name="_Toc6772"/>
      <w:bookmarkStart w:id="1136" w:name="_Toc32118"/>
      <w:bookmarkStart w:id="1137" w:name="_Toc5301"/>
      <w:bookmarkStart w:id="1138" w:name="_Toc24097"/>
      <w:bookmarkStart w:id="1139" w:name="_Toc30987"/>
      <w:bookmarkStart w:id="1140" w:name="_Toc28293"/>
      <w:bookmarkStart w:id="1141" w:name="_Toc20737"/>
      <w:bookmarkStart w:id="1142" w:name="_Toc1941"/>
      <w:bookmarkStart w:id="1143" w:name="_Toc11889"/>
      <w:bookmarkStart w:id="1144" w:name="_Toc29724"/>
      <w:bookmarkStart w:id="1145" w:name="_Toc7165"/>
      <w:bookmarkStart w:id="1146" w:name="_Toc28803"/>
      <w:bookmarkStart w:id="1147" w:name="_Toc24304"/>
      <w:bookmarkStart w:id="1148" w:name="_Toc485"/>
      <w:bookmarkStart w:id="1149" w:name="_Toc11495"/>
      <w:bookmarkStart w:id="1150" w:name="_Toc17095"/>
      <w:bookmarkStart w:id="1151" w:name="_Toc17112"/>
      <w:bookmarkStart w:id="1152" w:name="_Toc28205"/>
      <w:bookmarkStart w:id="1153" w:name="_Toc10117028"/>
      <w:bookmarkStart w:id="1154" w:name="_Toc8243"/>
      <w:bookmarkStart w:id="1155" w:name="_Toc27820"/>
      <w:bookmarkStart w:id="1156" w:name="_Toc29111"/>
      <w:bookmarkStart w:id="1157" w:name="_Toc16314"/>
      <w:bookmarkStart w:id="1158" w:name="_Toc14046"/>
      <w:bookmarkStart w:id="1159" w:name="_Toc13388"/>
      <w:bookmarkStart w:id="1160" w:name="_Toc8362"/>
      <w:bookmarkStart w:id="1161" w:name="_Toc25201"/>
      <w:bookmarkStart w:id="1162" w:name="_Toc520749007"/>
      <w:bookmarkStart w:id="1163" w:name="_Toc6430"/>
      <w:bookmarkStart w:id="1164" w:name="_Toc32506"/>
      <w:bookmarkStart w:id="1165" w:name="_Toc89951837"/>
      <w:bookmarkStart w:id="1166" w:name="_Toc2489"/>
      <w:bookmarkStart w:id="1167" w:name="_Toc25485"/>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一、</w:t>
      </w:r>
      <w:r>
        <w:rPr>
          <w:rFonts w:hint="eastAsia" w:ascii="仿宋" w:hAnsi="仿宋" w:eastAsia="仿宋" w:cs="仿宋"/>
          <w:b/>
          <w:bCs/>
          <w:color w:val="000000" w:themeColor="text1"/>
          <w:sz w:val="28"/>
          <w:szCs w:val="28"/>
          <w:highlight w:val="none"/>
          <w14:textFill>
            <w14:solidFill>
              <w14:schemeClr w14:val="tx1"/>
            </w14:solidFill>
          </w14:textFill>
        </w:rPr>
        <w:t>具有独立承担民事责任的能力</w:t>
      </w:r>
      <w:bookmarkEnd w:id="1119"/>
      <w:bookmarkEnd w:id="1120"/>
      <w:bookmarkEnd w:id="1121"/>
      <w:bookmarkEnd w:id="1122"/>
      <w:bookmarkEnd w:id="1123"/>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358C6903">
      <w:pPr>
        <w:pStyle w:val="5"/>
        <w:numPr>
          <w:ilvl w:val="0"/>
          <w:numId w:val="0"/>
        </w:numPr>
        <w:tabs>
          <w:tab w:val="left" w:pos="900"/>
          <w:tab w:val="left" w:pos="1588"/>
        </w:tabs>
        <w:wordWrap w:val="0"/>
        <w:overflowPunct w:val="0"/>
        <w:topLinePunct/>
        <w:adjustRightInd/>
        <w:ind w:leftChars="0"/>
        <w:jc w:val="center"/>
        <w:rPr>
          <w:rFonts w:hint="eastAsia" w:ascii="仿宋" w:hAnsi="仿宋" w:eastAsia="仿宋" w:cs="仿宋"/>
          <w:color w:val="000000" w:themeColor="text1"/>
          <w:sz w:val="28"/>
          <w:szCs w:val="28"/>
          <w:highlight w:val="none"/>
          <w14:textFill>
            <w14:solidFill>
              <w14:schemeClr w14:val="tx1"/>
            </w14:solidFill>
          </w14:textFill>
        </w:rPr>
      </w:pPr>
      <w:bookmarkStart w:id="1168" w:name="_Toc23641"/>
      <w:bookmarkStart w:id="1169" w:name="_Toc29767"/>
      <w:bookmarkStart w:id="1170" w:name="_Toc7203"/>
      <w:bookmarkStart w:id="1171" w:name="_Toc18023"/>
      <w:bookmarkStart w:id="1172" w:name="_Toc2516"/>
      <w:bookmarkStart w:id="1173" w:name="_Toc1125"/>
      <w:bookmarkStart w:id="1174" w:name="_Toc19573"/>
      <w:bookmarkStart w:id="1175" w:name="_Toc16770"/>
      <w:bookmarkStart w:id="1176" w:name="_Toc29862"/>
      <w:bookmarkStart w:id="1177" w:name="_Toc7128"/>
      <w:bookmarkStart w:id="1178" w:name="_Toc21894"/>
      <w:bookmarkStart w:id="1179" w:name="_Toc14521"/>
      <w:bookmarkStart w:id="1180" w:name="_Toc20426"/>
      <w:bookmarkStart w:id="1181" w:name="_Toc26059"/>
      <w:bookmarkStart w:id="1182" w:name="_Toc331"/>
      <w:bookmarkStart w:id="1183" w:name="_Toc825"/>
      <w:bookmarkStart w:id="1184" w:name="_Toc4464"/>
      <w:bookmarkStart w:id="1185" w:name="_Toc12645"/>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lang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14:textFill>
            <w14:solidFill>
              <w14:schemeClr w14:val="tx1"/>
            </w14:solidFill>
          </w14:textFill>
        </w:rPr>
        <w:t>基本情况表</w:t>
      </w:r>
      <w:bookmarkEnd w:id="1144"/>
      <w:bookmarkEnd w:id="1145"/>
      <w:bookmarkEnd w:id="1146"/>
      <w:bookmarkEnd w:id="1147"/>
      <w:bookmarkEnd w:id="1148"/>
      <w:bookmarkEnd w:id="1149"/>
      <w:bookmarkEnd w:id="1150"/>
      <w:bookmarkEnd w:id="1151"/>
      <w:bookmarkEnd w:id="1152"/>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9"/>
        <w:gridCol w:w="3859"/>
        <w:gridCol w:w="4738"/>
      </w:tblGrid>
      <w:tr w14:paraId="78DC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F5AF6C8">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14E72762">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企业名称：</w:t>
            </w:r>
          </w:p>
        </w:tc>
      </w:tr>
      <w:tr w14:paraId="373A4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78FE83B">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334C8E61">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总部地址：</w:t>
            </w:r>
          </w:p>
        </w:tc>
      </w:tr>
      <w:tr w14:paraId="65DE7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F7AFDB5">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53A94BE">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当地代表处地址：</w:t>
            </w:r>
          </w:p>
        </w:tc>
      </w:tr>
      <w:tr w14:paraId="2D39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668B8A1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3859" w:type="dxa"/>
            <w:tcBorders>
              <w:top w:val="single" w:color="auto" w:sz="6" w:space="0"/>
              <w:left w:val="single" w:color="auto" w:sz="6" w:space="0"/>
              <w:bottom w:val="single" w:color="auto" w:sz="6" w:space="0"/>
              <w:right w:val="single" w:color="auto" w:sz="6" w:space="0"/>
            </w:tcBorders>
            <w:vAlign w:val="center"/>
          </w:tcPr>
          <w:p w14:paraId="546E4DEB">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4738" w:type="dxa"/>
            <w:tcBorders>
              <w:top w:val="single" w:color="auto" w:sz="6" w:space="0"/>
              <w:left w:val="single" w:color="auto" w:sz="6" w:space="0"/>
              <w:bottom w:val="single" w:color="auto" w:sz="6" w:space="0"/>
              <w:right w:val="single" w:color="auto" w:sz="6" w:space="0"/>
            </w:tcBorders>
            <w:vAlign w:val="center"/>
          </w:tcPr>
          <w:p w14:paraId="69A5C178">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r>
      <w:tr w14:paraId="328C3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042C6D2C">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3859" w:type="dxa"/>
            <w:tcBorders>
              <w:top w:val="single" w:color="auto" w:sz="6" w:space="0"/>
              <w:left w:val="single" w:color="auto" w:sz="6" w:space="0"/>
              <w:bottom w:val="single" w:color="auto" w:sz="6" w:space="0"/>
              <w:right w:val="single" w:color="auto" w:sz="6" w:space="0"/>
            </w:tcBorders>
            <w:vAlign w:val="center"/>
          </w:tcPr>
          <w:p w14:paraId="4C7B674E">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4738" w:type="dxa"/>
            <w:tcBorders>
              <w:top w:val="single" w:color="auto" w:sz="6" w:space="0"/>
              <w:left w:val="single" w:color="auto" w:sz="6" w:space="0"/>
              <w:bottom w:val="single" w:color="auto" w:sz="6" w:space="0"/>
              <w:right w:val="single" w:color="auto" w:sz="6" w:space="0"/>
            </w:tcBorders>
            <w:vAlign w:val="center"/>
          </w:tcPr>
          <w:p w14:paraId="7B1AD2C0">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电子邮箱：</w:t>
            </w:r>
          </w:p>
        </w:tc>
      </w:tr>
      <w:tr w14:paraId="104CB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38ACA74">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3859" w:type="dxa"/>
            <w:tcBorders>
              <w:top w:val="single" w:color="auto" w:sz="6" w:space="0"/>
              <w:left w:val="single" w:color="auto" w:sz="6" w:space="0"/>
              <w:bottom w:val="single" w:color="auto" w:sz="6" w:space="0"/>
              <w:right w:val="single" w:color="auto" w:sz="6" w:space="0"/>
            </w:tcBorders>
            <w:vAlign w:val="center"/>
          </w:tcPr>
          <w:p w14:paraId="3008496D">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w:t>
            </w:r>
          </w:p>
        </w:tc>
        <w:tc>
          <w:tcPr>
            <w:tcW w:w="4738" w:type="dxa"/>
            <w:tcBorders>
              <w:top w:val="single" w:color="auto" w:sz="6" w:space="0"/>
              <w:left w:val="single" w:color="auto" w:sz="6" w:space="0"/>
              <w:bottom w:val="single" w:color="auto" w:sz="6" w:space="0"/>
              <w:right w:val="single" w:color="auto" w:sz="6" w:space="0"/>
            </w:tcBorders>
            <w:vAlign w:val="center"/>
          </w:tcPr>
          <w:p w14:paraId="0F4CA0A9">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注册年份：  </w:t>
            </w:r>
          </w:p>
        </w:tc>
      </w:tr>
      <w:tr w14:paraId="3F423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1E9BDF29">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4022BBC">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行政主管部门颁发的</w:t>
            </w:r>
            <w:r>
              <w:rPr>
                <w:rFonts w:hint="eastAsia" w:ascii="仿宋" w:hAnsi="仿宋" w:eastAsia="仿宋" w:cs="仿宋"/>
                <w:color w:val="000000" w:themeColor="text1"/>
                <w:sz w:val="24"/>
                <w:szCs w:val="24"/>
                <w:highlight w:val="none"/>
                <w14:textFill>
                  <w14:solidFill>
                    <w14:schemeClr w14:val="tx1"/>
                  </w14:solidFill>
                </w14:textFill>
              </w:rPr>
              <w:t>资质证书：</w:t>
            </w:r>
          </w:p>
          <w:p w14:paraId="689C39CA">
            <w:pPr>
              <w:ind w:firstLine="1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证书名称：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资质等级：</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12F7F1D8">
            <w:pPr>
              <w:ind w:firstLine="1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证书编号：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证书有效期：</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495B743A">
            <w:pPr>
              <w:ind w:firstLine="10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p>
        </w:tc>
      </w:tr>
      <w:tr w14:paraId="39241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7C2A1E07">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21542C70">
            <w:pPr>
              <w:ind w:firstLine="1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质量管理体系证书：</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（证书名称）</w:t>
            </w:r>
          </w:p>
          <w:p w14:paraId="1FD7209B">
            <w:pPr>
              <w:ind w:firstLine="100"/>
              <w:rPr>
                <w:rFonts w:hint="eastAsia" w:ascii="仿宋" w:hAnsi="仿宋" w:eastAsia="仿宋" w:cs="仿宋"/>
                <w:color w:val="000000" w:themeColor="text1"/>
                <w:sz w:val="24"/>
                <w:szCs w:val="24"/>
                <w:highlight w:val="none"/>
                <w14:textFill>
                  <w14:solidFill>
                    <w14:schemeClr w14:val="tx1"/>
                  </w14:solidFill>
                </w14:textFill>
              </w:rPr>
            </w:pPr>
          </w:p>
          <w:p w14:paraId="23057FAD">
            <w:pPr>
              <w:ind w:firstLine="1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其他：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（证书名称）</w:t>
            </w:r>
          </w:p>
          <w:p w14:paraId="75ED87DD">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tc>
      </w:tr>
      <w:tr w14:paraId="7B96A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57"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5924BC90">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7CE461F3">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经营范围</w:t>
            </w:r>
            <w:r>
              <w:rPr>
                <w:rFonts w:hint="eastAsia" w:ascii="仿宋" w:hAnsi="仿宋" w:eastAsia="仿宋" w:cs="仿宋"/>
                <w:color w:val="000000" w:themeColor="text1"/>
                <w:sz w:val="24"/>
                <w:szCs w:val="24"/>
                <w:highlight w:val="none"/>
                <w14:textFill>
                  <w14:solidFill>
                    <w14:schemeClr w14:val="tx1"/>
                  </w14:solidFill>
                </w14:textFill>
              </w:rPr>
              <w:t>：</w:t>
            </w:r>
          </w:p>
          <w:p w14:paraId="0DE72FC7">
            <w:pPr>
              <w:ind w:firstLine="1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42CF23F">
            <w:pPr>
              <w:ind w:firstLine="1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670C2CE0">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94CD6A6">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ab/>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88D9A89">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p>
        </w:tc>
      </w:tr>
      <w:tr w14:paraId="53B10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579" w:type="dxa"/>
            <w:tcBorders>
              <w:top w:val="single" w:color="auto" w:sz="6" w:space="0"/>
              <w:left w:val="single" w:color="auto" w:sz="6" w:space="0"/>
              <w:bottom w:val="single" w:color="auto" w:sz="6" w:space="0"/>
              <w:right w:val="single" w:color="auto" w:sz="6" w:space="0"/>
            </w:tcBorders>
            <w:vAlign w:val="center"/>
          </w:tcPr>
          <w:p w14:paraId="327E03F2">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8597" w:type="dxa"/>
            <w:gridSpan w:val="2"/>
            <w:tcBorders>
              <w:top w:val="single" w:color="auto" w:sz="6" w:space="0"/>
              <w:left w:val="single" w:color="auto" w:sz="6" w:space="0"/>
              <w:bottom w:val="single" w:color="auto" w:sz="6" w:space="0"/>
              <w:right w:val="single" w:color="auto" w:sz="6" w:space="0"/>
            </w:tcBorders>
            <w:vAlign w:val="center"/>
          </w:tcPr>
          <w:p w14:paraId="5EE7FD51">
            <w:pPr>
              <w:ind w:firstLine="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其他需要说明的情况</w:t>
            </w:r>
          </w:p>
        </w:tc>
      </w:tr>
    </w:tbl>
    <w:p w14:paraId="76BFAAC8">
      <w:pPr>
        <w:pStyle w:val="34"/>
        <w:wordWrap w:val="0"/>
        <w:overflowPunct w:val="0"/>
        <w:topLinePunct/>
        <w:ind w:firstLine="480"/>
        <w:rPr>
          <w:rFonts w:hint="eastAsia" w:ascii="仿宋" w:hAnsi="仿宋" w:eastAsia="仿宋" w:cs="仿宋"/>
          <w:color w:val="000000" w:themeColor="text1"/>
          <w:sz w:val="24"/>
          <w:szCs w:val="24"/>
          <w:highlight w:val="none"/>
          <w14:textFill>
            <w14:solidFill>
              <w14:schemeClr w14:val="tx1"/>
            </w14:solidFill>
          </w14:textFill>
        </w:rPr>
      </w:pPr>
    </w:p>
    <w:p w14:paraId="36EDF16A">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71F33BC3">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00960904">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1187B558">
      <w:pPr>
        <w:wordWrap w:val="0"/>
        <w:overflowPunct w:val="0"/>
        <w:topLinePunct/>
        <w:spacing w:line="360" w:lineRule="auto"/>
        <w:jc w:val="cente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625FA8AD">
      <w:pPr>
        <w:pStyle w:val="35"/>
        <w:autoSpaceDE w:val="0"/>
        <w:autoSpaceDN w:val="0"/>
        <w:spacing w:line="360" w:lineRule="auto"/>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sectPr>
          <w:footerReference r:id="rId8"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Start w:id="1186" w:name="_Toc19280"/>
      <w:bookmarkStart w:id="1187" w:name="_Toc10601"/>
      <w:bookmarkStart w:id="1188" w:name="_Toc1847"/>
      <w:bookmarkStart w:id="1189" w:name="_Toc12102"/>
      <w:bookmarkStart w:id="1190" w:name="_Toc9627"/>
      <w:bookmarkStart w:id="1191" w:name="_Toc24615"/>
      <w:bookmarkStart w:id="1192" w:name="_Toc8357"/>
      <w:bookmarkStart w:id="1193" w:name="_Toc16622"/>
      <w:bookmarkStart w:id="1194" w:name="_Toc32253"/>
      <w:bookmarkStart w:id="1195" w:name="_Toc17892"/>
      <w:bookmarkStart w:id="1196" w:name="_Toc2887"/>
    </w:p>
    <w:p w14:paraId="55F1BFD4">
      <w:pPr>
        <w:pStyle w:val="35"/>
        <w:autoSpaceDE w:val="0"/>
        <w:autoSpaceDN w:val="0"/>
        <w:spacing w:line="360" w:lineRule="auto"/>
        <w:ind w:firstLine="0" w:firstLineChars="0"/>
        <w:jc w:val="center"/>
        <w:textAlignment w:val="baseline"/>
        <w:outlineLvl w:val="2"/>
        <w:rPr>
          <w:rFonts w:hint="eastAsia" w:ascii="仿宋" w:hAnsi="仿宋" w:eastAsia="仿宋" w:cs="仿宋"/>
          <w:color w:val="000000" w:themeColor="text1"/>
          <w:sz w:val="28"/>
          <w:szCs w:val="28"/>
          <w:highlight w:val="none"/>
          <w14:textFill>
            <w14:solidFill>
              <w14:schemeClr w14:val="tx1"/>
            </w14:solidFill>
          </w14:textFill>
        </w:rPr>
      </w:pPr>
      <w:bookmarkStart w:id="1197" w:name="_Toc26483"/>
      <w:bookmarkStart w:id="1198" w:name="_Toc28882"/>
      <w:bookmarkStart w:id="1199" w:name="_Toc13390"/>
      <w:bookmarkStart w:id="1200" w:name="_Toc22749"/>
      <w:bookmarkStart w:id="1201" w:name="_Toc32299"/>
      <w:bookmarkStart w:id="1202" w:name="_Toc2070"/>
      <w:bookmarkStart w:id="1203" w:name="_Toc2748"/>
      <w:bookmarkStart w:id="1204" w:name="_Toc5438"/>
      <w:bookmarkStart w:id="1205" w:name="_Toc2594"/>
      <w:bookmarkStart w:id="1206" w:name="_Toc216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提供具有独立承担民事责任的能力的证明材料</w:t>
      </w:r>
      <w:bookmarkEnd w:id="1166"/>
      <w:bookmarkEnd w:id="1167"/>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0B40AA3D">
      <w:pPr>
        <w:pStyle w:val="5"/>
        <w:tabs>
          <w:tab w:val="left" w:pos="900"/>
          <w:tab w:val="left" w:pos="1588"/>
        </w:tabs>
        <w:wordWrap w:val="0"/>
        <w:overflowPunct w:val="0"/>
        <w:topLinePunct/>
        <w:adjustRightInd/>
        <w:ind w:left="0" w:firstLine="0"/>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bookmarkStart w:id="1207" w:name="_Toc19236"/>
      <w:bookmarkStart w:id="1208" w:name="_Toc8238"/>
      <w:bookmarkStart w:id="1209" w:name="_Toc28525"/>
      <w:bookmarkStart w:id="1210" w:name="_Toc1054"/>
      <w:bookmarkStart w:id="1211" w:name="_Toc1262"/>
      <w:bookmarkStart w:id="1212" w:name="_Toc28483"/>
      <w:bookmarkStart w:id="1213" w:name="_Toc26688"/>
      <w:bookmarkStart w:id="1214" w:name="_Toc8937"/>
      <w:bookmarkStart w:id="1215" w:name="_Toc5280"/>
      <w:bookmarkStart w:id="1216" w:name="_Toc1949"/>
      <w:bookmarkStart w:id="1217" w:name="_Toc11620"/>
      <w:bookmarkStart w:id="1218" w:name="_Toc23927"/>
      <w:bookmarkStart w:id="1219" w:name="_Toc21345"/>
      <w:bookmarkStart w:id="1220" w:name="_Toc13521"/>
      <w:bookmarkStart w:id="1221" w:name="_Toc21998"/>
      <w:bookmarkStart w:id="1222" w:name="_Toc13025"/>
      <w:bookmarkStart w:id="1223" w:name="_Toc31389"/>
      <w:bookmarkStart w:id="1224" w:name="_Toc22989"/>
      <w:bookmarkStart w:id="1225" w:name="_Toc4823"/>
      <w:bookmarkStart w:id="1226" w:name="_Toc13192"/>
      <w:bookmarkStart w:id="1227" w:name="_Toc18379"/>
      <w:bookmarkStart w:id="1228" w:name="_Toc30758"/>
      <w:bookmarkStart w:id="1229" w:name="_Toc5232"/>
      <w:bookmarkStart w:id="1230" w:name="_Toc20851"/>
      <w:bookmarkStart w:id="1231" w:name="_Toc20568"/>
      <w:bookmarkStart w:id="1232" w:name="_Toc30146"/>
      <w:bookmarkStart w:id="1233" w:name="_Toc15414"/>
      <w:bookmarkStart w:id="1234" w:name="_Toc8240"/>
      <w:bookmarkStart w:id="1235" w:name="_Toc32342"/>
      <w:bookmarkStart w:id="1236" w:name="_Toc27526"/>
      <w:bookmarkStart w:id="1237" w:name="_Toc4872"/>
      <w:bookmarkStart w:id="1238" w:name="_Toc22651"/>
      <w:bookmarkStart w:id="1239" w:name="_Toc2919"/>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扫描件电子公章</w:t>
      </w:r>
      <w:r>
        <w:rPr>
          <w:rFonts w:hint="eastAsia" w:ascii="仿宋" w:hAnsi="仿宋" w:eastAsia="仿宋" w:cs="仿宋"/>
          <w:color w:val="000000" w:themeColor="text1"/>
          <w:sz w:val="28"/>
          <w:szCs w:val="28"/>
          <w:highlight w:val="none"/>
          <w14:textFill>
            <w14:solidFill>
              <w14:schemeClr w14:val="tx1"/>
            </w14:solidFill>
          </w14:textFill>
        </w:rPr>
        <w:t>）</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29B3A859">
      <w:pPr>
        <w:jc w:val="center"/>
        <w:rPr>
          <w:rFonts w:hint="eastAsia" w:ascii="仿宋" w:hAnsi="仿宋" w:eastAsia="仿宋" w:cs="仿宋"/>
          <w:color w:val="000000" w:themeColor="text1"/>
          <w:sz w:val="24"/>
          <w:szCs w:val="24"/>
          <w:highlight w:val="none"/>
          <w14:textFill>
            <w14:solidFill>
              <w14:schemeClr w14:val="tx1"/>
            </w14:solidFill>
          </w14:textFill>
        </w:rPr>
      </w:pPr>
      <w:bookmarkStart w:id="1240" w:name="_Toc7508"/>
      <w:bookmarkStart w:id="1241" w:name="_Toc21719"/>
      <w:bookmarkStart w:id="1242" w:name="_Toc1417"/>
      <w:bookmarkStart w:id="1243" w:name="_Toc25932"/>
      <w:bookmarkStart w:id="1244" w:name="_Toc14718"/>
      <w:bookmarkStart w:id="1245" w:name="_Toc13488"/>
      <w:bookmarkStart w:id="1246" w:name="_Toc30029"/>
      <w:bookmarkStart w:id="1247" w:name="_Toc20522"/>
      <w:bookmarkStart w:id="1248" w:name="_Toc18700"/>
      <w:r>
        <w:rPr>
          <w:rFonts w:hint="eastAsia" w:ascii="仿宋" w:hAnsi="仿宋" w:eastAsia="仿宋" w:cs="仿宋"/>
          <w:color w:val="000000" w:themeColor="text1"/>
          <w:sz w:val="24"/>
          <w:szCs w:val="24"/>
          <w:highlight w:val="none"/>
          <w14:textFill>
            <w14:solidFill>
              <w14:schemeClr w14:val="tx1"/>
            </w14:solidFill>
          </w14:textFill>
        </w:rPr>
        <w:t>具体要求详见</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“第一章 招标公告”及“第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章 评审办法”资格审查标准</w:t>
      </w:r>
    </w:p>
    <w:p w14:paraId="1DCB6C2C">
      <w:pPr>
        <w:jc w:val="center"/>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相关要求。</w:t>
      </w:r>
    </w:p>
    <w:p w14:paraId="619E6FA6">
      <w:pPr>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1249" w:name="_Toc7706"/>
      <w:bookmarkStart w:id="1250" w:name="_Toc5453"/>
      <w:bookmarkStart w:id="1251" w:name="_Toc31108"/>
      <w:bookmarkStart w:id="1252" w:name="_Toc23265"/>
      <w:bookmarkStart w:id="1253" w:name="_Toc17491"/>
      <w:bookmarkStart w:id="1254" w:name="_Toc18845"/>
      <w:bookmarkStart w:id="1255" w:name="_Toc7195"/>
      <w:bookmarkStart w:id="1256" w:name="_Toc28809"/>
      <w:bookmarkStart w:id="1257" w:name="_Toc29183"/>
      <w:bookmarkStart w:id="1258" w:name="_Toc8587"/>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法定代表人（负责人）身份证明书</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183FF73D">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2D1E8016">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 标 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10EBD71">
      <w:pPr>
        <w:wordWrap w:val="0"/>
        <w:overflowPunct w:val="0"/>
        <w:topLinePunct/>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7050BE29">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58F021F4">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698CD86B">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经营期限：</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B814BE7">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    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性    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69EEE74E">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FAE48BF">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名称）的法定代表人（负责人）。</w:t>
      </w:r>
    </w:p>
    <w:p w14:paraId="0ED8D11E">
      <w:pPr>
        <w:wordWrap w:val="0"/>
        <w:overflowPunct w:val="0"/>
        <w:topLinePunct/>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特此证明。</w:t>
      </w:r>
    </w:p>
    <w:p w14:paraId="37276DD7">
      <w:pPr>
        <w:wordWrap w:val="0"/>
        <w:overflowPunct w:val="0"/>
        <w:topLinePunct/>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14:paraId="1F096675">
      <w:pPr>
        <w:wordWrap w:val="0"/>
        <w:overflowPunct w:val="0"/>
        <w:topLinePunct/>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14:paraId="24959F1E">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注：附法定代表人（负责人）身份证原件</w:t>
      </w:r>
      <w:r>
        <w:rPr>
          <w:rFonts w:hint="eastAsia" w:ascii="仿宋" w:hAnsi="仿宋" w:eastAsia="仿宋" w:cs="仿宋"/>
          <w:b/>
          <w:color w:val="000000" w:themeColor="text1"/>
          <w:sz w:val="24"/>
          <w:szCs w:val="24"/>
          <w:highlight w:val="none"/>
          <w:lang w:eastAsia="zh-CN"/>
          <w14:textFill>
            <w14:solidFill>
              <w14:schemeClr w14:val="tx1"/>
            </w14:solidFill>
          </w14:textFill>
        </w:rPr>
        <w:t>扫描件</w:t>
      </w:r>
      <w:r>
        <w:rPr>
          <w:rFonts w:hint="eastAsia" w:ascii="仿宋" w:hAnsi="仿宋" w:eastAsia="仿宋" w:cs="仿宋"/>
          <w:b/>
          <w:color w:val="000000" w:themeColor="text1"/>
          <w:sz w:val="24"/>
          <w:szCs w:val="24"/>
          <w:highlight w:val="none"/>
          <w14:textFill>
            <w14:solidFill>
              <w14:schemeClr w14:val="tx1"/>
            </w14:solidFill>
          </w14:textFill>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793"/>
      </w:tblGrid>
      <w:tr w14:paraId="706A35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694B7BC1">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法定代表人（负责人）身份证原件</w:t>
            </w:r>
            <w:r>
              <w:rPr>
                <w:rFonts w:hint="eastAsia" w:ascii="仿宋" w:hAnsi="仿宋" w:eastAsia="仿宋" w:cs="仿宋"/>
                <w:color w:val="000000" w:themeColor="text1"/>
                <w:sz w:val="24"/>
                <w:szCs w:val="24"/>
                <w:highlight w:val="none"/>
                <w:lang w:eastAsia="zh-CN"/>
                <w14:textFill>
                  <w14:solidFill>
                    <w14:schemeClr w14:val="tx1"/>
                  </w14:solidFill>
                </w14:textFill>
              </w:rPr>
              <w:t>扫描件</w:t>
            </w:r>
          </w:p>
        </w:tc>
        <w:tc>
          <w:tcPr>
            <w:tcW w:w="257" w:type="dxa"/>
            <w:tcBorders>
              <w:top w:val="nil"/>
              <w:bottom w:val="nil"/>
            </w:tcBorders>
            <w:vAlign w:val="center"/>
          </w:tcPr>
          <w:p w14:paraId="569032F8">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14:paraId="42F6EACF">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4793" w:type="dxa"/>
            <w:vAlign w:val="center"/>
          </w:tcPr>
          <w:p w14:paraId="56C11EC3">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法定代表人（负责人）身份证原件</w:t>
            </w:r>
            <w:r>
              <w:rPr>
                <w:rFonts w:hint="eastAsia" w:ascii="仿宋" w:hAnsi="仿宋" w:eastAsia="仿宋" w:cs="仿宋"/>
                <w:color w:val="000000" w:themeColor="text1"/>
                <w:sz w:val="24"/>
                <w:szCs w:val="24"/>
                <w:highlight w:val="none"/>
                <w:lang w:eastAsia="zh-CN"/>
                <w14:textFill>
                  <w14:solidFill>
                    <w14:schemeClr w14:val="tx1"/>
                  </w14:solidFill>
                </w14:textFill>
              </w:rPr>
              <w:t>扫描件</w:t>
            </w:r>
          </w:p>
        </w:tc>
      </w:tr>
    </w:tbl>
    <w:p w14:paraId="3F03C83B">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3C9E3CA">
      <w:pPr>
        <w:wordWrap w:val="0"/>
        <w:overflowPunct w:val="0"/>
        <w:topLinePunct/>
        <w:spacing w:line="360" w:lineRule="auto"/>
        <w:jc w:val="center"/>
        <w:outlineLvl w:val="9"/>
        <w:rPr>
          <w:rFonts w:hint="eastAsia" w:ascii="仿宋" w:hAnsi="仿宋" w:eastAsia="仿宋" w:cs="仿宋"/>
          <w:color w:val="000000" w:themeColor="text1"/>
          <w:sz w:val="24"/>
          <w:szCs w:val="24"/>
          <w:highlight w:val="none"/>
          <w14:textFill>
            <w14:solidFill>
              <w14:schemeClr w14:val="tx1"/>
            </w14:solidFill>
          </w14:textFill>
        </w:rPr>
      </w:pPr>
      <w:bookmarkStart w:id="1259" w:name="_Toc1220"/>
      <w:bookmarkStart w:id="1260" w:name="_Toc29456"/>
      <w:bookmarkStart w:id="1261" w:name="_Toc22256"/>
      <w:bookmarkStart w:id="1262" w:name="_Toc29157"/>
      <w:bookmarkStart w:id="1263" w:name="_Toc27032"/>
      <w:bookmarkStart w:id="1264" w:name="_Toc29647"/>
      <w:bookmarkStart w:id="1265" w:name="_Toc16464"/>
      <w:bookmarkStart w:id="1266" w:name="_Toc14214"/>
      <w:bookmarkStart w:id="1267" w:name="_Toc24067"/>
      <w:bookmarkStart w:id="1268" w:name="_Toc10268"/>
      <w:bookmarkStart w:id="1269" w:name="_Toc22906"/>
      <w:bookmarkStart w:id="1270" w:name="_Toc18649"/>
      <w:bookmarkStart w:id="1271" w:name="_Toc30689"/>
      <w:bookmarkStart w:id="1272" w:name="_Toc15523"/>
    </w:p>
    <w:p w14:paraId="4A1C612D">
      <w:pPr>
        <w:wordWrap w:val="0"/>
        <w:overflowPunct w:val="0"/>
        <w:topLinePunct/>
        <w:spacing w:line="360" w:lineRule="auto"/>
        <w:jc w:val="center"/>
        <w:outlineLvl w:val="1"/>
        <w:rPr>
          <w:rFonts w:hint="eastAsia" w:ascii="仿宋" w:hAnsi="仿宋" w:eastAsia="仿宋" w:cs="仿宋"/>
          <w:color w:val="000000" w:themeColor="text1"/>
          <w:sz w:val="24"/>
          <w:szCs w:val="24"/>
          <w:highlight w:val="none"/>
          <w14:textFill>
            <w14:solidFill>
              <w14:schemeClr w14:val="tx1"/>
            </w14:solidFill>
          </w14:textFill>
        </w:rPr>
      </w:pPr>
      <w:bookmarkStart w:id="1273" w:name="_Toc22991"/>
      <w:bookmarkStart w:id="1274" w:name="_Toc30450"/>
      <w:bookmarkStart w:id="1275" w:name="_Toc6575"/>
      <w:bookmarkStart w:id="1276" w:name="_Toc9484"/>
      <w:bookmarkStart w:id="1277" w:name="_Toc1182"/>
      <w:bookmarkStart w:id="1278" w:name="_Toc19207"/>
      <w:bookmarkStart w:id="1279" w:name="_Toc28749"/>
      <w:bookmarkStart w:id="1280" w:name="_Toc31371"/>
      <w:bookmarkStart w:id="1281" w:name="_Toc18128"/>
      <w:bookmarkStart w:id="1282" w:name="_Toc27445"/>
      <w:bookmarkStart w:id="1283" w:name="_Toc25586"/>
      <w:bookmarkStart w:id="1284" w:name="_Toc25270"/>
      <w:bookmarkStart w:id="1285" w:name="_Toc15051"/>
      <w:bookmarkStart w:id="1286" w:name="_Toc20679"/>
      <w:bookmarkStart w:id="1287" w:name="_Toc29348"/>
      <w:bookmarkStart w:id="1288" w:name="_Toc10294"/>
      <w:bookmarkStart w:id="1289" w:name="_Toc30707"/>
      <w:bookmarkStart w:id="1290" w:name="_Toc23757"/>
      <w:bookmarkStart w:id="1291" w:name="_Toc26112"/>
      <w:bookmarkStart w:id="1292" w:name="_Toc15985"/>
      <w:bookmarkStart w:id="1293" w:name="_Toc21889"/>
      <w:bookmarkStart w:id="1294" w:name="_Toc30379"/>
      <w:bookmarkStart w:id="1295" w:name="_Toc220"/>
      <w:bookmarkStart w:id="1296" w:name="_Toc24102"/>
      <w:bookmarkStart w:id="1297" w:name="_Toc31415"/>
      <w:bookmarkStart w:id="1298" w:name="_Toc27946"/>
      <w:bookmarkStart w:id="1299" w:name="_Toc32741"/>
      <w:bookmarkStart w:id="1300" w:name="_Toc28300"/>
      <w:bookmarkStart w:id="1301" w:name="_Toc55"/>
      <w:bookmarkStart w:id="1302" w:name="_Toc30526"/>
      <w:bookmarkStart w:id="1303" w:name="_Toc24641"/>
      <w:bookmarkStart w:id="1304" w:name="_Toc32294"/>
      <w:bookmarkStart w:id="1305" w:name="_Toc26711"/>
      <w:bookmarkStart w:id="1306" w:name="_Toc18175"/>
      <w:bookmarkStart w:id="1307" w:name="_Toc12304"/>
      <w:bookmarkStart w:id="1308" w:name="_Toc23658"/>
      <w:bookmarkStart w:id="1309" w:name="_Toc31219"/>
      <w:bookmarkStart w:id="1310" w:name="_Toc14843"/>
      <w:bookmarkStart w:id="1311" w:name="_Toc3578"/>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（电子公章）</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75693AAD">
      <w:pPr>
        <w:wordWrap w:val="0"/>
        <w:overflowPunct w:val="0"/>
        <w:topLinePunct/>
        <w:spacing w:line="360" w:lineRule="auto"/>
        <w:jc w:val="center"/>
        <w:outlineLvl w:val="1"/>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1312" w:name="_Toc20859"/>
      <w:bookmarkStart w:id="1313" w:name="_Toc23117"/>
      <w:bookmarkStart w:id="1314" w:name="_Toc20508"/>
      <w:bookmarkStart w:id="1315" w:name="_Toc4487"/>
      <w:bookmarkStart w:id="1316" w:name="_Toc16142"/>
      <w:bookmarkStart w:id="1317" w:name="_Toc7346"/>
      <w:bookmarkStart w:id="1318" w:name="_Toc20023"/>
      <w:bookmarkStart w:id="1319" w:name="_Toc15649"/>
      <w:bookmarkStart w:id="1320" w:name="_Toc15797"/>
      <w:bookmarkStart w:id="1321" w:name="_Toc6364"/>
      <w:bookmarkStart w:id="1322" w:name="_Toc14874"/>
      <w:bookmarkStart w:id="1323" w:name="_Toc23747"/>
      <w:bookmarkStart w:id="1324" w:name="_Toc23556"/>
      <w:bookmarkStart w:id="1325" w:name="_Toc28135"/>
      <w:bookmarkStart w:id="1326" w:name="_Toc15294"/>
      <w:bookmarkStart w:id="1327" w:name="_Toc19684"/>
      <w:bookmarkStart w:id="1328" w:name="_Toc18846"/>
      <w:bookmarkStart w:id="1329" w:name="_Toc6487"/>
      <w:bookmarkStart w:id="1330" w:name="_Toc12133"/>
      <w:bookmarkStart w:id="1331" w:name="_Toc23390"/>
      <w:bookmarkStart w:id="1332" w:name="_Toc10824"/>
      <w:bookmarkStart w:id="1333" w:name="_Toc12162"/>
      <w:bookmarkStart w:id="1334" w:name="_Toc22248"/>
      <w:bookmarkStart w:id="1335" w:name="_Toc9847"/>
      <w:bookmarkStart w:id="1336" w:name="_Toc11384"/>
      <w:bookmarkStart w:id="1337" w:name="_Toc23041"/>
      <w:bookmarkStart w:id="1338" w:name="_Toc12658"/>
      <w:bookmarkStart w:id="1339" w:name="_Toc11921"/>
      <w:bookmarkStart w:id="1340" w:name="_Toc11794"/>
      <w:bookmarkStart w:id="1341" w:name="_Toc8856"/>
      <w:bookmarkStart w:id="1342" w:name="_Toc1711"/>
      <w:bookmarkStart w:id="1343" w:name="_Toc9758"/>
      <w:bookmarkStart w:id="1344" w:name="_Toc19695"/>
      <w:bookmarkStart w:id="1345" w:name="_Toc6752"/>
      <w:bookmarkStart w:id="1346" w:name="_Toc5649"/>
      <w:bookmarkStart w:id="1347" w:name="_Toc32288"/>
      <w:bookmarkStart w:id="1348" w:name="_Toc31303"/>
      <w:bookmarkStart w:id="1349" w:name="_Toc9190"/>
      <w:bookmarkStart w:id="1350" w:name="_Toc18576"/>
      <w:bookmarkStart w:id="1351" w:name="_Toc26113"/>
      <w:bookmarkStart w:id="1352" w:name="_Toc12451"/>
      <w:bookmarkStart w:id="1353" w:name="_Toc22685"/>
      <w:bookmarkStart w:id="1354" w:name="_Toc10705"/>
      <w:bookmarkStart w:id="1355" w:name="_Toc2136"/>
      <w:bookmarkStart w:id="1356" w:name="_Toc23274"/>
      <w:bookmarkStart w:id="1357" w:name="_Toc8655"/>
      <w:bookmarkStart w:id="1358" w:name="_Toc30715"/>
      <w:bookmarkStart w:id="1359" w:name="_Toc27858"/>
      <w:bookmarkStart w:id="1360" w:name="_Toc31942"/>
      <w:bookmarkStart w:id="1361" w:name="_Toc17725"/>
      <w:bookmarkStart w:id="1362" w:name="_Toc2876"/>
      <w:bookmarkStart w:id="1363" w:name="_Toc22087"/>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bookmarkStart w:id="1364" w:name="_Toc1763"/>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Start w:id="1365" w:name="_Toc22693"/>
      <w:bookmarkStart w:id="1366" w:name="_Toc10117038"/>
      <w:bookmarkStart w:id="1367" w:name="_Toc30636"/>
      <w:bookmarkStart w:id="1368" w:name="_Toc89951846"/>
      <w:bookmarkStart w:id="1369" w:name="_Toc23322"/>
      <w:bookmarkStart w:id="1370" w:name="_Toc5043"/>
      <w:bookmarkStart w:id="1371" w:name="_Toc21113"/>
      <w:bookmarkStart w:id="1372" w:name="_Toc5101"/>
      <w:bookmarkStart w:id="1373" w:name="_Toc13689"/>
      <w:bookmarkStart w:id="1374" w:name="_Toc6637"/>
      <w:bookmarkStart w:id="1375" w:name="_Toc5395"/>
      <w:bookmarkStart w:id="1376" w:name="_Toc30066"/>
      <w:bookmarkStart w:id="1377" w:name="_Toc2962"/>
      <w:bookmarkStart w:id="1378" w:name="_Toc20029"/>
      <w:bookmarkStart w:id="1379" w:name="_Toc22953"/>
      <w:bookmarkStart w:id="1380" w:name="_Toc19112"/>
      <w:bookmarkStart w:id="1381" w:name="_Toc18667"/>
      <w:bookmarkStart w:id="1382" w:name="_Toc16717"/>
      <w:bookmarkStart w:id="1383" w:name="_Toc14073"/>
      <w:bookmarkStart w:id="1384" w:name="_Toc18494"/>
      <w:bookmarkStart w:id="1385" w:name="_Toc4950"/>
      <w:bookmarkStart w:id="1386" w:name="_Toc27274"/>
      <w:bookmarkStart w:id="1387" w:name="_Toc20369"/>
      <w:bookmarkStart w:id="1388" w:name="_Toc8164"/>
      <w:bookmarkStart w:id="1389" w:name="_Toc16490"/>
      <w:bookmarkStart w:id="1390" w:name="_Toc17641"/>
      <w:bookmarkStart w:id="1391" w:name="_Toc17855"/>
      <w:bookmarkStart w:id="1392" w:name="_Toc18991"/>
    </w:p>
    <w:p w14:paraId="12745D7A">
      <w:pPr>
        <w:wordWrap w:val="0"/>
        <w:overflowPunct w:val="0"/>
        <w:topLinePunct/>
        <w:spacing w:line="360" w:lineRule="auto"/>
        <w:jc w:val="center"/>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1393" w:name="_Toc1668"/>
      <w:bookmarkStart w:id="1394" w:name="_Toc3798"/>
      <w:bookmarkStart w:id="1395" w:name="_Toc6706"/>
      <w:bookmarkStart w:id="1396" w:name="_Toc1160"/>
      <w:bookmarkStart w:id="1397" w:name="_Toc28645"/>
      <w:bookmarkStart w:id="1398" w:name="_Toc18780"/>
      <w:bookmarkStart w:id="1399" w:name="_Toc20637"/>
      <w:bookmarkStart w:id="1400" w:name="_Toc28047"/>
      <w:bookmarkStart w:id="1401" w:name="_Toc14339"/>
      <w:bookmarkStart w:id="1402" w:name="_Toc13515"/>
      <w:bookmarkStart w:id="1403" w:name="_Toc17592"/>
      <w:bookmarkStart w:id="1404" w:name="_Toc12946"/>
      <w:bookmarkStart w:id="1405" w:name="_Toc17381"/>
      <w:bookmarkStart w:id="1406" w:name="_Toc9447"/>
      <w:bookmarkStart w:id="1407" w:name="_Toc4865"/>
      <w:bookmarkStart w:id="1408" w:name="_Toc26278"/>
      <w:bookmarkStart w:id="1409" w:name="_Toc10643"/>
      <w:bookmarkStart w:id="1410" w:name="_Toc22768"/>
      <w:bookmarkStart w:id="1411" w:name="_Toc2201"/>
      <w:bookmarkStart w:id="1412" w:name="_Toc13145"/>
      <w:bookmarkStart w:id="1413" w:name="_Toc13796"/>
      <w:bookmarkStart w:id="1414" w:name="_Toc13495"/>
      <w:bookmarkStart w:id="1415" w:name="_Toc15087"/>
      <w:r>
        <w:rPr>
          <w:rFonts w:hint="eastAsia" w:ascii="仿宋" w:hAnsi="仿宋" w:eastAsia="仿宋" w:cs="仿宋"/>
          <w:b/>
          <w:bCs/>
          <w:color w:val="000000" w:themeColor="text1"/>
          <w:sz w:val="28"/>
          <w:szCs w:val="28"/>
          <w:highlight w:val="none"/>
          <w14:textFill>
            <w14:solidFill>
              <w14:schemeClr w14:val="tx1"/>
            </w14:solidFill>
          </w14:textFill>
        </w:rPr>
        <w:t>法定代表人（负责人）授权委托书</w:t>
      </w:r>
      <w:bookmarkEnd w:id="1365"/>
      <w:bookmarkEnd w:id="1366"/>
      <w:bookmarkEnd w:id="1367"/>
      <w:bookmarkEnd w:id="1368"/>
      <w:r>
        <w:rPr>
          <w:rFonts w:hint="eastAsia" w:ascii="仿宋" w:hAnsi="仿宋" w:eastAsia="仿宋" w:cs="仿宋"/>
          <w:b/>
          <w:bCs/>
          <w:color w:val="000000" w:themeColor="text1"/>
          <w:sz w:val="28"/>
          <w:szCs w:val="28"/>
          <w:highlight w:val="none"/>
          <w14:textFill>
            <w14:solidFill>
              <w14:schemeClr w14:val="tx1"/>
            </w14:solidFill>
          </w14:textFill>
        </w:rPr>
        <w:t>（若有）</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06DF07F3">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5D0D320">
      <w:pPr>
        <w:wordWrap w:val="0"/>
        <w:overflowPunct w:val="0"/>
        <w:topLinePunct/>
        <w:spacing w:line="360" w:lineRule="auto"/>
        <w:ind w:firstLine="540" w:firstLineChars="2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本授权委托书声明：我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投标人</w:t>
      </w:r>
      <w:r>
        <w:rPr>
          <w:rFonts w:hint="eastAsia" w:ascii="仿宋" w:hAnsi="仿宋" w:eastAsia="仿宋" w:cs="仿宋"/>
          <w:color w:val="000000" w:themeColor="text1"/>
          <w:sz w:val="24"/>
          <w:szCs w:val="24"/>
          <w:highlight w:val="none"/>
          <w:u w:val="single"/>
          <w14:textFill>
            <w14:solidFill>
              <w14:schemeClr w14:val="tx1"/>
            </w14:solidFill>
          </w14:textFill>
        </w:rPr>
        <w:t>名称）</w:t>
      </w:r>
      <w:r>
        <w:rPr>
          <w:rFonts w:hint="eastAsia" w:ascii="仿宋" w:hAnsi="仿宋" w:eastAsia="仿宋" w:cs="仿宋"/>
          <w:color w:val="000000" w:themeColor="text1"/>
          <w:sz w:val="24"/>
          <w:szCs w:val="24"/>
          <w:highlight w:val="none"/>
          <w14:textFill>
            <w14:solidFill>
              <w14:schemeClr w14:val="tx1"/>
            </w14:solidFill>
          </w14:textFill>
        </w:rPr>
        <w:t>的法定代表人（负责人），现授权委托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名称）     </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    </w:t>
      </w:r>
      <w:r>
        <w:rPr>
          <w:rFonts w:hint="eastAsia" w:ascii="仿宋" w:hAnsi="仿宋" w:eastAsia="仿宋" w:cs="仿宋"/>
          <w:color w:val="000000" w:themeColor="text1"/>
          <w:sz w:val="24"/>
          <w:szCs w:val="24"/>
          <w:highlight w:val="none"/>
          <w14:textFill>
            <w14:solidFill>
              <w14:schemeClr w14:val="tx1"/>
            </w14:solidFill>
          </w14:textFill>
        </w:rPr>
        <w:t>为我方代理人，以我方名义签署、澄清、说明、补正、递交、撤回、修改（</w:t>
      </w:r>
      <w:r>
        <w:rPr>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、签订合同和处理有关事宜，其法律后果由我方承担。</w:t>
      </w:r>
    </w:p>
    <w:p w14:paraId="75840E1C">
      <w:pPr>
        <w:wordWrap w:val="0"/>
        <w:overflowPunct w:val="0"/>
        <w:topLinePunct/>
        <w:spacing w:line="360" w:lineRule="auto"/>
        <w:ind w:firstLine="540" w:firstLineChars="2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代理人无转委托权，特此委托。</w:t>
      </w:r>
    </w:p>
    <w:p w14:paraId="64D8C140">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96D21AE">
      <w:pPr>
        <w:wordWrap w:val="0"/>
        <w:overflowPunct w:val="0"/>
        <w:topLinePunct/>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（电子公章）</w:t>
      </w:r>
    </w:p>
    <w:p w14:paraId="1029A1FD">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法定代表人（负责人）：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1214A2C1">
      <w:pPr>
        <w:wordWrap w:val="0"/>
        <w:overflowPunct w:val="0"/>
        <w:topLinePunct/>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45815BC3">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w:t>
      </w:r>
    </w:p>
    <w:p w14:paraId="089F896D">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322940FB">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授权委托日期：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0CC1F812">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846"/>
        <w:gridCol w:w="257"/>
        <w:gridCol w:w="4674"/>
      </w:tblGrid>
      <w:tr w14:paraId="1E67EE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10" w:hRule="atLeast"/>
          <w:jc w:val="center"/>
        </w:trPr>
        <w:tc>
          <w:tcPr>
            <w:tcW w:w="4846" w:type="dxa"/>
            <w:vAlign w:val="center"/>
          </w:tcPr>
          <w:p w14:paraId="055F492A">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代理人身份证原件</w:t>
            </w:r>
            <w:r>
              <w:rPr>
                <w:rFonts w:hint="eastAsia" w:ascii="仿宋" w:hAnsi="仿宋" w:eastAsia="仿宋" w:cs="仿宋"/>
                <w:color w:val="000000" w:themeColor="text1"/>
                <w:sz w:val="24"/>
                <w:szCs w:val="24"/>
                <w:highlight w:val="none"/>
                <w:lang w:eastAsia="zh-CN"/>
                <w14:textFill>
                  <w14:solidFill>
                    <w14:schemeClr w14:val="tx1"/>
                  </w14:solidFill>
                </w14:textFill>
              </w:rPr>
              <w:t>扫描件</w:t>
            </w:r>
          </w:p>
        </w:tc>
        <w:tc>
          <w:tcPr>
            <w:tcW w:w="257" w:type="dxa"/>
            <w:tcBorders>
              <w:top w:val="nil"/>
              <w:bottom w:val="nil"/>
            </w:tcBorders>
            <w:vAlign w:val="center"/>
          </w:tcPr>
          <w:p w14:paraId="798C2D24">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14:paraId="758147BC">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4674" w:type="dxa"/>
            <w:vAlign w:val="center"/>
          </w:tcPr>
          <w:p w14:paraId="6BFFBFE5">
            <w:pPr>
              <w:wordWrap w:val="0"/>
              <w:overflowPunct w:val="0"/>
              <w:topLinePunct/>
              <w:spacing w:line="46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代理人身份证原件</w:t>
            </w:r>
            <w:r>
              <w:rPr>
                <w:rFonts w:hint="eastAsia" w:ascii="仿宋" w:hAnsi="仿宋" w:eastAsia="仿宋" w:cs="仿宋"/>
                <w:color w:val="000000" w:themeColor="text1"/>
                <w:sz w:val="24"/>
                <w:szCs w:val="24"/>
                <w:highlight w:val="none"/>
                <w:lang w:eastAsia="zh-CN"/>
                <w14:textFill>
                  <w14:solidFill>
                    <w14:schemeClr w14:val="tx1"/>
                  </w14:solidFill>
                </w14:textFill>
              </w:rPr>
              <w:t>扫描件</w:t>
            </w:r>
          </w:p>
        </w:tc>
      </w:tr>
    </w:tbl>
    <w:p w14:paraId="5D5C575D">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19D9D49F">
      <w:pPr>
        <w:pStyle w:val="17"/>
        <w:wordWrap w:val="0"/>
        <w:overflowPunct w:val="0"/>
        <w:topLinePunct/>
        <w:spacing w:after="0"/>
        <w:ind w:firstLine="482" w:firstLineChars="200"/>
        <w:jc w:val="left"/>
        <w:rPr>
          <w:rFonts w:hint="eastAsia" w:ascii="仿宋" w:hAnsi="仿宋" w:eastAsia="仿宋" w:cs="仿宋"/>
          <w:b/>
          <w:color w:val="000000" w:themeColor="text1"/>
          <w:sz w:val="24"/>
          <w:szCs w:val="24"/>
          <w:highlight w:val="none"/>
          <w14:textFill>
            <w14:solidFill>
              <w14:schemeClr w14:val="tx1"/>
            </w14:solidFill>
          </w14:textFill>
        </w:rPr>
      </w:pPr>
    </w:p>
    <w:p w14:paraId="1065FD0B">
      <w:pPr>
        <w:pStyle w:val="18"/>
        <w:rPr>
          <w:rFonts w:hint="eastAsia" w:ascii="仿宋" w:hAnsi="仿宋" w:eastAsia="仿宋" w:cs="仿宋"/>
          <w:b/>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000000" w:themeColor="text1"/>
          <w:sz w:val="24"/>
          <w:szCs w:val="24"/>
          <w:highlight w:val="none"/>
          <w14:textFill>
            <w14:solidFill>
              <w14:schemeClr w14:val="tx1"/>
            </w14:solidFill>
          </w14:textFill>
        </w:rPr>
        <w:t>注：附授权委托人身份证原件</w:t>
      </w:r>
      <w:r>
        <w:rPr>
          <w:rFonts w:hint="eastAsia" w:ascii="仿宋" w:hAnsi="仿宋" w:eastAsia="仿宋" w:cs="仿宋"/>
          <w:b/>
          <w:color w:val="000000" w:themeColor="text1"/>
          <w:sz w:val="24"/>
          <w:szCs w:val="24"/>
          <w:highlight w:val="none"/>
          <w:lang w:eastAsia="zh-CN"/>
          <w14:textFill>
            <w14:solidFill>
              <w14:schemeClr w14:val="tx1"/>
            </w14:solidFill>
          </w14:textFill>
        </w:rPr>
        <w:t>扫描件</w:t>
      </w:r>
      <w:r>
        <w:rPr>
          <w:rFonts w:hint="eastAsia" w:ascii="仿宋" w:hAnsi="仿宋" w:eastAsia="仿宋" w:cs="仿宋"/>
          <w:b/>
          <w:color w:val="000000" w:themeColor="text1"/>
          <w:sz w:val="24"/>
          <w:szCs w:val="24"/>
          <w:highlight w:val="none"/>
          <w14:textFill>
            <w14:solidFill>
              <w14:schemeClr w14:val="tx1"/>
            </w14:solidFill>
          </w14:textFill>
        </w:rPr>
        <w:t>，如</w:t>
      </w:r>
      <w:r>
        <w:rPr>
          <w:rFonts w:hint="eastAsia" w:ascii="仿宋" w:hAnsi="仿宋" w:eastAsia="仿宋" w:cs="仿宋"/>
          <w:b/>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color w:val="000000" w:themeColor="text1"/>
          <w:sz w:val="24"/>
          <w:szCs w:val="24"/>
          <w:highlight w:val="none"/>
          <w14:textFill>
            <w14:solidFill>
              <w14:schemeClr w14:val="tx1"/>
            </w14:solidFill>
          </w14:textFill>
        </w:rPr>
        <w:t>由法定代表人（负责人）亲自签署</w:t>
      </w:r>
      <w:r>
        <w:rPr>
          <w:rFonts w:hint="eastAsia" w:ascii="仿宋" w:hAnsi="仿宋" w:eastAsia="仿宋" w:cs="仿宋"/>
          <w:b/>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b/>
          <w:color w:val="000000" w:themeColor="text1"/>
          <w:sz w:val="24"/>
          <w:szCs w:val="24"/>
          <w:highlight w:val="none"/>
          <w14:textFill>
            <w14:solidFill>
              <w14:schemeClr w14:val="tx1"/>
            </w14:solidFill>
          </w14:textFill>
        </w:rPr>
        <w:t>并参与相关活动，则不需要办理授权。如有被授权的代理人签署上述文件，则必须按本格式规定填报并提交授权书，否则被授权的代理人将不被认可。</w:t>
      </w:r>
      <w:bookmarkStart w:id="1416" w:name="_Toc24423"/>
      <w:bookmarkStart w:id="1417" w:name="_Toc21664"/>
      <w:bookmarkStart w:id="1418" w:name="_Toc3893"/>
      <w:bookmarkStart w:id="1419" w:name="_Toc4341"/>
      <w:bookmarkStart w:id="1420" w:name="_Toc19503"/>
      <w:bookmarkStart w:id="1421" w:name="_Toc7472"/>
      <w:bookmarkStart w:id="1422" w:name="_Toc12747"/>
      <w:bookmarkStart w:id="1423" w:name="_Toc30079"/>
      <w:bookmarkStart w:id="1424" w:name="_Toc25299"/>
      <w:bookmarkStart w:id="1425" w:name="_Toc4795"/>
      <w:bookmarkStart w:id="1426" w:name="_Toc4894"/>
      <w:bookmarkStart w:id="1427" w:name="_Toc3751"/>
      <w:bookmarkStart w:id="1428" w:name="_Toc2811"/>
      <w:bookmarkStart w:id="1429" w:name="_Toc28918"/>
      <w:bookmarkStart w:id="1430" w:name="_Toc8211"/>
      <w:bookmarkStart w:id="1431" w:name="_Toc18692"/>
      <w:bookmarkStart w:id="1432" w:name="_Toc11687"/>
      <w:bookmarkStart w:id="1433" w:name="_Toc5671"/>
      <w:bookmarkStart w:id="1434" w:name="_Toc20304"/>
      <w:bookmarkStart w:id="1435" w:name="_Toc23833"/>
      <w:bookmarkStart w:id="1436" w:name="_Toc14030"/>
      <w:bookmarkStart w:id="1437" w:name="_Toc25082"/>
    </w:p>
    <w:p w14:paraId="1DF3B7E5">
      <w:pPr>
        <w:pStyle w:val="18"/>
        <w:ind w:left="0" w:leftChars="0" w:firstLine="0" w:firstLineChars="0"/>
        <w:jc w:val="center"/>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1438" w:name="_Toc28343"/>
      <w:bookmarkStart w:id="1439" w:name="_Toc22773"/>
      <w:bookmarkStart w:id="1440" w:name="_Toc21473"/>
      <w:bookmarkStart w:id="1441" w:name="_Toc18759"/>
      <w:bookmarkStart w:id="1442" w:name="_Toc17765"/>
      <w:bookmarkStart w:id="1443" w:name="_Toc6161"/>
      <w:bookmarkStart w:id="1444" w:name="_Toc17587"/>
      <w:bookmarkStart w:id="1445" w:name="_Toc20039"/>
      <w:bookmarkStart w:id="1446" w:name="_Toc29892"/>
      <w:bookmarkStart w:id="1447" w:name="_Toc4767"/>
      <w:bookmarkStart w:id="1448" w:name="_Toc3713"/>
      <w:bookmarkStart w:id="1449" w:name="_Toc14371"/>
      <w:bookmarkStart w:id="1450" w:name="_Toc13335"/>
      <w:bookmarkStart w:id="1451" w:name="_Toc24709"/>
      <w:bookmarkStart w:id="1452" w:name="_Toc7812"/>
      <w:bookmarkStart w:id="1453" w:name="_Toc1040"/>
      <w:bookmarkStart w:id="1454" w:name="_Toc5803"/>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、具有良好的商业信誉和健全的财务会计制度</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578D87AC">
      <w:pPr>
        <w:wordWrap w:val="0"/>
        <w:spacing w:line="360" w:lineRule="auto"/>
        <w:ind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332A91DE">
      <w:pPr>
        <w:keepNext w:val="0"/>
        <w:keepLines w:val="0"/>
        <w:pageBreakBefore w:val="0"/>
        <w:widowControl w:val="0"/>
        <w:kinsoku/>
        <w:wordWrap w:val="0"/>
        <w:overflowPunct/>
        <w:topLinePunct/>
        <w:autoSpaceDE/>
        <w:autoSpaceDN/>
        <w:bidi w:val="0"/>
        <w:adjustRightInd/>
        <w:snapToGrid/>
        <w:spacing w:line="20" w:lineRule="atLeast"/>
        <w:ind w:left="0" w:leftChars="0" w:right="0" w:firstLine="480" w:firstLineChars="200"/>
        <w:jc w:val="left"/>
        <w:textAlignment w:val="auto"/>
        <w:rPr>
          <w:rFonts w:hint="eastAsia" w:ascii="仿宋" w:hAnsi="仿宋" w:eastAsia="仿宋" w:cs="仿宋"/>
          <w:b w:val="0"/>
          <w:bCs/>
          <w:color w:val="000000" w:themeColor="text1"/>
          <w:sz w:val="24"/>
          <w:szCs w:val="24"/>
          <w:highlight w:val="none"/>
          <w:lang w:eastAsia="zh-CN"/>
          <w14:textFill>
            <w14:solidFill>
              <w14:schemeClr w14:val="tx1"/>
            </w14:solidFill>
          </w14:textFill>
        </w:rPr>
      </w:pPr>
      <w:bookmarkStart w:id="1455" w:name="_Toc32071"/>
      <w:bookmarkStart w:id="1456" w:name="_Toc24217"/>
      <w:bookmarkStart w:id="1457" w:name="_Toc16253"/>
      <w:bookmarkStart w:id="1458" w:name="_Toc6785"/>
      <w:bookmarkStart w:id="1459" w:name="_Toc9048"/>
      <w:bookmarkStart w:id="1460" w:name="_Toc29390"/>
      <w:bookmarkStart w:id="1461" w:name="_Toc29987"/>
      <w:bookmarkStart w:id="1462" w:name="_Toc11047"/>
      <w:bookmarkStart w:id="1463" w:name="_Toc11937"/>
      <w:bookmarkStart w:id="1464" w:name="_Toc32727"/>
      <w:bookmarkStart w:id="1465" w:name="_Toc3873"/>
      <w:bookmarkStart w:id="1466" w:name="_Toc18160"/>
      <w:bookmarkStart w:id="1467" w:name="_Toc25957"/>
      <w:bookmarkStart w:id="1468" w:name="_Toc32653"/>
      <w:bookmarkStart w:id="1469" w:name="_Toc9776"/>
      <w:bookmarkStart w:id="1470" w:name="_Toc16897"/>
      <w:bookmarkStart w:id="1471" w:name="_Toc21554"/>
      <w:bookmarkStart w:id="1472" w:name="_Toc126"/>
      <w:bookmarkStart w:id="1473" w:name="_Toc2663"/>
      <w:bookmarkStart w:id="1474" w:name="_Toc28020"/>
      <w:bookmarkStart w:id="1475" w:name="_Toc15847"/>
      <w:bookmarkStart w:id="1476" w:name="_Toc23424"/>
      <w:bookmarkStart w:id="1477" w:name="_Toc27567"/>
      <w:bookmarkStart w:id="1478" w:name="_Toc5305"/>
      <w:bookmarkStart w:id="1479" w:name="_Toc20891"/>
      <w:bookmarkStart w:id="1480" w:name="_Toc9754"/>
      <w:bookmarkStart w:id="1481" w:name="_Toc12798"/>
      <w:bookmarkStart w:id="1482" w:name="_Toc28818"/>
      <w:bookmarkStart w:id="1483" w:name="_Toc396"/>
      <w:bookmarkStart w:id="1484" w:name="_Toc26145"/>
      <w:bookmarkStart w:id="1485" w:name="_Toc15710"/>
      <w:bookmarkStart w:id="1486" w:name="_Toc32081"/>
      <w:bookmarkStart w:id="1487" w:name="_Toc29688"/>
      <w:bookmarkStart w:id="1488" w:name="_Toc29612"/>
      <w:r>
        <w:rPr>
          <w:rFonts w:hint="eastAsia" w:ascii="仿宋" w:hAnsi="仿宋" w:eastAsia="仿宋" w:cs="仿宋"/>
          <w:b w:val="0"/>
          <w:bCs/>
          <w:color w:val="000000" w:themeColor="text1"/>
          <w:sz w:val="24"/>
          <w:szCs w:val="24"/>
          <w:highlight w:val="none"/>
          <w:lang w:eastAsia="zh-CN"/>
          <w14:textFill>
            <w14:solidFill>
              <w14:schemeClr w14:val="tx1"/>
            </w14:solidFill>
          </w14:textFill>
        </w:rPr>
        <w:t>具备健全的财务会计制度的证明材料｛注（任选其一）：①可提供投标文件递交截止日前三年内至少1年经会计师事务所或审计机构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出具的</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财务审计报告（除报告外至少包含资产负债表、利润表、现金流量表）或投标人内部的财务报表（至少包含资产负债表、利润表、现金流量表）（任选其一）；②也可提供财政部门认可的政府采购专业担保机构出具的投标担保函；③也可提供截至投标文件递交截止日前六个月内银行出具的资信证明（复印件）；④投标人注册时间截至投标文件递交截止日不足一年的，也可提供在工商备案主管部门备案的公司章程复印件｝。</w:t>
      </w:r>
    </w:p>
    <w:p w14:paraId="3F7F37D6">
      <w:pPr>
        <w:pStyle w:val="18"/>
        <w:ind w:left="0" w:leftChars="0" w:firstLine="0" w:firstLineChars="0"/>
        <w:jc w:val="left"/>
        <w:outlineLvl w:val="1"/>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注:根据财政部、国务院国资委、金融监管总局《关于加强审计报告查验工作的通知》(财会(2023)15号)和《云南省财政厅</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云南省人民政府国有资产监督管理委员会</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国家金融监督管理总局云南监管局关于进一步加强审计报告报备和查验工作的通知》(云财会(2026)23号)的规定，供应商提供的年度财务审计报告须在注册会计师行业统一监管平台(http://acc.mof.gov.cn)报备赋码，且查验结果正常。未赋码、无法查验或查验异常的，</w:t>
      </w:r>
      <w:r>
        <w:rPr>
          <w:rFonts w:hint="eastAsia" w:ascii="仿宋" w:hAnsi="仿宋" w:eastAsia="仿宋" w:cs="仿宋"/>
          <w:b w:val="0"/>
          <w:bCs/>
          <w:color w:val="auto"/>
          <w:sz w:val="24"/>
          <w:szCs w:val="24"/>
          <w:highlight w:val="none"/>
          <w:lang w:val="en-US" w:eastAsia="zh-CN"/>
        </w:rPr>
        <w:t>审计报告视为无效</w:t>
      </w:r>
      <w:r>
        <w:rPr>
          <w:rFonts w:hint="eastAsia" w:ascii="仿宋" w:hAnsi="仿宋" w:eastAsia="仿宋" w:cs="仿宋"/>
          <w:b w:val="0"/>
          <w:bCs/>
          <w:color w:val="auto"/>
          <w:sz w:val="24"/>
          <w:szCs w:val="24"/>
          <w:highlight w:val="none"/>
          <w:lang w:eastAsia="zh-CN"/>
        </w:rPr>
        <w:t>。</w:t>
      </w:r>
    </w:p>
    <w:p w14:paraId="4D00A0A1">
      <w:pP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br w:type="page"/>
      </w:r>
    </w:p>
    <w:p w14:paraId="65B38337">
      <w:pPr>
        <w:pStyle w:val="18"/>
        <w:ind w:left="0" w:leftChars="0" w:firstLine="0" w:firstLineChars="0"/>
        <w:jc w:val="center"/>
        <w:outlineLvl w:val="1"/>
        <w:rPr>
          <w:rFonts w:hint="eastAsia" w:ascii="仿宋" w:hAnsi="仿宋" w:eastAsia="仿宋" w:cs="仿宋"/>
          <w:b/>
          <w:bCs/>
          <w:color w:val="000000" w:themeColor="text1"/>
          <w:kern w:val="0"/>
          <w:sz w:val="28"/>
          <w:szCs w:val="28"/>
          <w:highlight w:val="none"/>
          <w:lang w:bidi="ar"/>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Pr>
          <w:rFonts w:hint="eastAsia" w:ascii="仿宋" w:hAnsi="仿宋" w:eastAsia="仿宋" w:cs="仿宋"/>
          <w:b/>
          <w:bCs/>
          <w:color w:val="000000" w:themeColor="text1"/>
          <w:kern w:val="0"/>
          <w:sz w:val="28"/>
          <w:szCs w:val="28"/>
          <w:highlight w:val="none"/>
          <w:lang w:bidi="ar"/>
          <w14:textFill>
            <w14:solidFill>
              <w14:schemeClr w14:val="tx1"/>
            </w14:solidFill>
          </w14:textFill>
        </w:rPr>
        <w:t>具有履行合同所必需的设备和专业技术能力的承诺函</w:t>
      </w:r>
      <w:r>
        <w:rPr>
          <w:rFonts w:hint="eastAsia" w:ascii="仿宋" w:hAnsi="仿宋" w:eastAsia="仿宋" w:cs="仿宋"/>
          <w:b/>
          <w:bCs/>
          <w:color w:val="000000" w:themeColor="text1"/>
          <w:kern w:val="0"/>
          <w:sz w:val="28"/>
          <w:szCs w:val="28"/>
          <w:highlight w:val="none"/>
          <w:lang w:val="en-US" w:eastAsia="zh-CN" w:bidi="ar"/>
          <w14:textFill>
            <w14:solidFill>
              <w14:schemeClr w14:val="tx1"/>
            </w14:solidFill>
          </w14:textFill>
        </w:rPr>
        <w:t>（实质性格式）</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387C78D9">
      <w:pPr>
        <w:wordWrap w:val="0"/>
        <w:overflowPunct w:val="0"/>
        <w:topLinePunct/>
        <w:spacing w:line="360" w:lineRule="auto"/>
        <w:ind w:firstLine="480" w:firstLineChars="200"/>
        <w:jc w:val="left"/>
        <w:rPr>
          <w:rFonts w:hint="eastAsia" w:ascii="仿宋" w:hAnsi="仿宋" w:eastAsia="仿宋" w:cs="仿宋"/>
          <w:color w:val="000000" w:themeColor="text1"/>
          <w:kern w:val="0"/>
          <w:sz w:val="24"/>
          <w:szCs w:val="24"/>
          <w:highlight w:val="none"/>
          <w:lang w:bidi="ar"/>
          <w14:textFill>
            <w14:solidFill>
              <w14:schemeClr w14:val="tx1"/>
            </w14:solidFill>
          </w14:textFill>
        </w:rPr>
      </w:pPr>
    </w:p>
    <w:p w14:paraId="69FC64B5">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本承诺书声明：本公司参与贵方组织</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公开招标</w:t>
      </w:r>
      <w:r>
        <w:rPr>
          <w:rFonts w:hint="eastAsia" w:ascii="仿宋" w:hAnsi="仿宋" w:eastAsia="仿宋" w:cs="仿宋"/>
          <w:color w:val="000000" w:themeColor="text1"/>
          <w:sz w:val="24"/>
          <w:szCs w:val="24"/>
          <w:highlight w:val="none"/>
          <w14:textFill>
            <w14:solidFill>
              <w14:schemeClr w14:val="tx1"/>
            </w14:solidFill>
          </w14:textFill>
        </w:rPr>
        <w:t>采购活动</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做出如下承诺： </w:t>
      </w:r>
    </w:p>
    <w:p w14:paraId="6B5C0DC2">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本公司完全具备履行本项目合同所必需的供货、安装、专业售后团队、培训相关人</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员的</w:t>
      </w:r>
      <w:r>
        <w:rPr>
          <w:rFonts w:hint="eastAsia" w:ascii="仿宋" w:hAnsi="仿宋" w:eastAsia="仿宋" w:cs="仿宋"/>
          <w:color w:val="000000" w:themeColor="text1"/>
          <w:kern w:val="0"/>
          <w:sz w:val="24"/>
          <w:szCs w:val="24"/>
          <w:highlight w:val="none"/>
          <w:lang w:bidi="ar"/>
          <w14:textFill>
            <w14:solidFill>
              <w14:schemeClr w14:val="tx1"/>
            </w14:solidFill>
          </w14:textFill>
        </w:rPr>
        <w:t>能力，随时接受</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采购人</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的检查验证。如违反上述承诺，本公司将按照政府采购法有关规定接受处罚，并通过相关政府采购媒体予以公布。 </w:t>
      </w:r>
    </w:p>
    <w:p w14:paraId="05C790C6">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其他需要说明的事项（如无可不填报）： </w:t>
      </w:r>
    </w:p>
    <w:p w14:paraId="432689D6">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single"/>
          <w:lang w:bidi="ar"/>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bidi="ar"/>
          <w14:textFill>
            <w14:solidFill>
              <w14:schemeClr w14:val="tx1"/>
            </w14:solidFill>
          </w14:textFill>
        </w:rPr>
        <w:t xml:space="preserve">。 </w:t>
      </w:r>
    </w:p>
    <w:p w14:paraId="16639D5E">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特此承诺。</w:t>
      </w:r>
    </w:p>
    <w:p w14:paraId="4F24F437">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769110BF">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13C0CD91">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493C774">
      <w:pPr>
        <w:wordWrap w:val="0"/>
        <w:overflowPunct w:val="0"/>
        <w:topLinePunct/>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14:paraId="23553DFF">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194BF86E">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E13F5AB">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F5F6725">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04B3BF60">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5126A264">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1EC17394">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0076E49E">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3496ECF5">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73F2104F">
      <w:pPr>
        <w:wordWrap w:val="0"/>
        <w:overflowPunct w:val="0"/>
        <w:topLinePunct/>
        <w:spacing w:line="360" w:lineRule="auto"/>
        <w:jc w:val="center"/>
        <w:outlineLvl w:val="2"/>
        <w:rPr>
          <w:rFonts w:hint="eastAsia" w:ascii="仿宋" w:hAnsi="仿宋" w:eastAsia="仿宋" w:cs="仿宋"/>
          <w:color w:val="000000" w:themeColor="text1"/>
          <w:sz w:val="24"/>
          <w:szCs w:val="24"/>
          <w:highlight w:val="none"/>
          <w:u w:val="single"/>
          <w14:textFill>
            <w14:solidFill>
              <w14:schemeClr w14:val="tx1"/>
            </w14:solidFill>
          </w14:textFill>
        </w:rPr>
      </w:pPr>
      <w:bookmarkStart w:id="1489" w:name="_Toc13924"/>
      <w:bookmarkStart w:id="1490" w:name="_Toc20149"/>
      <w:bookmarkStart w:id="1491" w:name="_Toc5792"/>
      <w:bookmarkStart w:id="1492" w:name="_Toc10192"/>
      <w:bookmarkStart w:id="1493" w:name="_Toc16461"/>
      <w:bookmarkStart w:id="1494" w:name="_Toc30115"/>
      <w:bookmarkStart w:id="1495" w:name="_Toc7324"/>
      <w:bookmarkStart w:id="1496" w:name="_Toc21989"/>
      <w:bookmarkStart w:id="1497" w:name="_Toc10982"/>
      <w:bookmarkStart w:id="1498" w:name="_Toc9883"/>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489"/>
      <w:bookmarkEnd w:id="1490"/>
      <w:bookmarkEnd w:id="1491"/>
      <w:bookmarkEnd w:id="1492"/>
      <w:bookmarkEnd w:id="1493"/>
      <w:bookmarkEnd w:id="1494"/>
      <w:bookmarkEnd w:id="1495"/>
      <w:bookmarkEnd w:id="1496"/>
      <w:bookmarkEnd w:id="1497"/>
      <w:bookmarkEnd w:id="1498"/>
    </w:p>
    <w:p w14:paraId="74BB13D5">
      <w:pPr>
        <w:pStyle w:val="17"/>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bookmarkStart w:id="1499" w:name="_Toc14942"/>
      <w:bookmarkStart w:id="1500" w:name="_Toc26614"/>
      <w:bookmarkStart w:id="1501" w:name="_Toc28472"/>
      <w:bookmarkStart w:id="1502" w:name="_Toc15385"/>
      <w:bookmarkStart w:id="1503" w:name="_Toc12656"/>
      <w:bookmarkStart w:id="1504" w:name="_Toc19171"/>
    </w:p>
    <w:p w14:paraId="137420DE">
      <w:pPr>
        <w:pStyle w:val="17"/>
        <w:spacing w:line="360" w:lineRule="auto"/>
        <w:ind w:left="0" w:leftChars="0" w:firstLine="0" w:firstLineChars="0"/>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1505" w:name="_Toc1153"/>
      <w:bookmarkStart w:id="1506" w:name="_Toc28380"/>
      <w:bookmarkStart w:id="1507" w:name="_Toc21495"/>
      <w:bookmarkStart w:id="1508" w:name="_Toc14543"/>
      <w:bookmarkStart w:id="1509" w:name="_Toc21111"/>
      <w:bookmarkStart w:id="1510" w:name="_Toc3568"/>
      <w:bookmarkStart w:id="1511" w:name="_Toc5176"/>
      <w:bookmarkStart w:id="1512" w:name="_Toc838"/>
      <w:bookmarkStart w:id="1513" w:name="_Toc27110"/>
      <w:bookmarkStart w:id="1514" w:name="_Toc12033"/>
      <w:bookmarkStart w:id="1515" w:name="_Toc22536"/>
      <w:bookmarkStart w:id="1516" w:name="_Toc16385"/>
      <w:bookmarkStart w:id="1517" w:name="_Toc15211"/>
      <w:bookmarkStart w:id="1518" w:name="_Toc21796"/>
      <w:bookmarkStart w:id="1519" w:name="_Toc4897"/>
      <w:bookmarkStart w:id="1520" w:name="_Toc16091"/>
      <w:bookmarkStart w:id="1521" w:name="_Toc18034"/>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、依法缴纳税收和社会保障资金</w:t>
      </w:r>
      <w:bookmarkEnd w:id="1499"/>
      <w:bookmarkEnd w:id="1500"/>
      <w:bookmarkEnd w:id="1501"/>
      <w:bookmarkEnd w:id="1502"/>
      <w:bookmarkEnd w:id="1503"/>
      <w:bookmarkEnd w:id="1504"/>
      <w:r>
        <w:rPr>
          <w:rFonts w:hint="eastAsia" w:ascii="仿宋" w:hAnsi="仿宋" w:eastAsia="仿宋" w:cs="仿宋"/>
          <w:b/>
          <w:bCs/>
          <w:color w:val="000000" w:themeColor="text1"/>
          <w:sz w:val="28"/>
          <w:szCs w:val="28"/>
          <w:highlight w:val="none"/>
          <w:lang w:eastAsia="zh-CN"/>
          <w14:textFill>
            <w14:solidFill>
              <w14:schemeClr w14:val="tx1"/>
            </w14:solidFill>
          </w14:textFill>
        </w:rPr>
        <w:t>的</w:t>
      </w:r>
      <w:r>
        <w:rPr>
          <w:rFonts w:hint="eastAsia" w:ascii="仿宋" w:hAnsi="仿宋" w:eastAsia="仿宋" w:cs="仿宋"/>
          <w:b/>
          <w:bCs/>
          <w:color w:val="000000" w:themeColor="text1"/>
          <w:sz w:val="28"/>
          <w:szCs w:val="28"/>
          <w:highlight w:val="none"/>
          <w14:textFill>
            <w14:solidFill>
              <w14:schemeClr w14:val="tx1"/>
            </w14:solidFill>
          </w14:textFill>
        </w:rPr>
        <w:t>良好记录</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7CA09A2F">
      <w:pPr>
        <w:wordWrap w:val="0"/>
        <w:topLinePunct/>
        <w:spacing w:line="360" w:lineRule="auto"/>
        <w:ind w:firstLine="482" w:firstLineChars="200"/>
        <w:jc w:val="left"/>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）税收缴纳证明：</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提供截至投标文件递交截止日前六个月内已缴纳至少1个月的纳税证明或完税证明（成立未满3个月的，提供成立以来的纳税证明或完税证明凭证或相关情况说明）；依法免税的投标人应提供相关文件证明；（注：依法免税或零申报的投标人应提供相关文件证明）</w:t>
      </w:r>
    </w:p>
    <w:p w14:paraId="38514BA5">
      <w:pPr>
        <w:wordWrap w:val="0"/>
        <w:topLinePunct/>
        <w:spacing w:line="360" w:lineRule="auto"/>
        <w:ind w:firstLine="480" w:firstLineChars="200"/>
        <w:jc w:val="left"/>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（复印件加盖投标人公章或提供网上可查询的网址信息）</w:t>
      </w:r>
    </w:p>
    <w:p w14:paraId="5A1AF0B4">
      <w:pPr>
        <w:wordWrap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2CEE523C">
      <w:pPr>
        <w:spacing w:line="360" w:lineRule="auto"/>
        <w:ind w:firstLine="482" w:firstLineChars="20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0139B1F">
      <w:pPr>
        <w:wordWrap w:val="0"/>
        <w:topLinePunct/>
        <w:spacing w:line="360" w:lineRule="auto"/>
        <w:ind w:firstLine="482" w:firstLineChars="200"/>
        <w:jc w:val="left"/>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）社会保障资金缴纳证明：</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提供截至投标文件递交截止日前六个月内已缴纳至少1个月的社会保障资金缴存单据或社保机构开具的社会保险参保缴费情况证明（成立未满3个月的，提供成立以来的社会保障资金缴纳凭证或相关情况说明）。依法不需要缴纳社会保障资金的投标人应提供相关文件证明；</w:t>
      </w:r>
    </w:p>
    <w:p w14:paraId="2F4834AA">
      <w:pPr>
        <w:wordWrap w:val="0"/>
        <w:topLinePunct/>
        <w:spacing w:line="360" w:lineRule="auto"/>
        <w:ind w:firstLine="480" w:firstLineChars="200"/>
        <w:jc w:val="left"/>
        <w:rPr>
          <w:rFonts w:hint="eastAsia" w:ascii="仿宋" w:hAnsi="仿宋" w:eastAsia="仿宋" w:cs="仿宋"/>
          <w:color w:val="000000" w:themeColor="text1"/>
          <w:kern w:val="0"/>
          <w:sz w:val="24"/>
          <w:szCs w:val="24"/>
          <w:highlight w:val="none"/>
          <w:lang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（复印件加盖投标人公章或提供网上可查询的网址信息）</w:t>
      </w:r>
    </w:p>
    <w:p w14:paraId="49A39008">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7EFED54E">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39AE9E07">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7A1F756A">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2BB7DBE">
      <w:pPr>
        <w:wordWrap w:val="0"/>
        <w:overflowPunct w:val="0"/>
        <w:topLinePunct/>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14:paraId="76053E50">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2921190B">
      <w:pPr>
        <w:wordWrap w:val="0"/>
        <w:overflowPunct w:val="0"/>
        <w:topLinePunct/>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1FC6B41">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5CCF1427">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5E5787A5">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1A35BD15">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06B173AE">
      <w:pPr>
        <w:wordWrap w:val="0"/>
        <w:overflowPunct w:val="0"/>
        <w:topLinePunct/>
        <w:spacing w:line="360" w:lineRule="auto"/>
        <w:jc w:val="center"/>
        <w:outlineLvl w:val="2"/>
        <w:rPr>
          <w:rFonts w:hint="eastAsia" w:ascii="仿宋" w:hAnsi="仿宋" w:eastAsia="仿宋" w:cs="仿宋"/>
          <w:color w:val="000000" w:themeColor="text1"/>
          <w:sz w:val="24"/>
          <w:szCs w:val="24"/>
          <w:highlight w:val="none"/>
          <w:u w:val="single"/>
          <w14:textFill>
            <w14:solidFill>
              <w14:schemeClr w14:val="tx1"/>
            </w14:solidFill>
          </w14:textFill>
        </w:rPr>
      </w:pPr>
      <w:bookmarkStart w:id="1522" w:name="_Toc10529"/>
      <w:bookmarkStart w:id="1523" w:name="_Toc4184"/>
      <w:bookmarkStart w:id="1524" w:name="_Toc623"/>
      <w:bookmarkStart w:id="1525" w:name="_Toc29541"/>
      <w:bookmarkStart w:id="1526" w:name="_Toc9266"/>
      <w:bookmarkStart w:id="1527" w:name="_Toc15948"/>
      <w:bookmarkStart w:id="1528" w:name="_Toc13614"/>
      <w:bookmarkStart w:id="1529" w:name="_Toc9309"/>
      <w:bookmarkStart w:id="1530" w:name="_Toc9607"/>
      <w:bookmarkStart w:id="1531" w:name="_Toc17093"/>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522"/>
      <w:bookmarkEnd w:id="1523"/>
      <w:bookmarkEnd w:id="1524"/>
      <w:bookmarkEnd w:id="1525"/>
      <w:bookmarkEnd w:id="1526"/>
      <w:bookmarkEnd w:id="1527"/>
      <w:bookmarkEnd w:id="1528"/>
      <w:bookmarkEnd w:id="1529"/>
      <w:bookmarkEnd w:id="1530"/>
      <w:bookmarkEnd w:id="1531"/>
    </w:p>
    <w:p w14:paraId="19000502">
      <w:pPr>
        <w:jc w:val="center"/>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bookmarkStart w:id="1532" w:name="_Toc17375"/>
      <w:bookmarkStart w:id="1533" w:name="_Toc9859"/>
      <w:bookmarkStart w:id="1534" w:name="_Toc22954"/>
      <w:bookmarkStart w:id="1535" w:name="_Toc2730"/>
      <w:bookmarkStart w:id="1536" w:name="_Toc12551"/>
      <w:bookmarkStart w:id="1537" w:name="_Toc25918"/>
      <w:bookmarkStart w:id="1538" w:name="_Toc1938"/>
      <w:bookmarkStart w:id="1539" w:name="_Toc951"/>
      <w:bookmarkStart w:id="1540" w:name="_Toc6427"/>
      <w:bookmarkStart w:id="1541" w:name="_Toc26677"/>
      <w:bookmarkStart w:id="1542" w:name="_Toc1206"/>
      <w:bookmarkStart w:id="1543" w:name="_Toc6499"/>
      <w:bookmarkStart w:id="1544" w:name="_Toc21304"/>
      <w:bookmarkStart w:id="1545" w:name="_Toc28027"/>
      <w:bookmarkStart w:id="1546" w:name="_Toc27102"/>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Start w:id="1547" w:name="_Toc31843"/>
      <w:bookmarkStart w:id="1548" w:name="_Toc15699"/>
      <w:bookmarkStart w:id="1549" w:name="_Toc1258"/>
      <w:bookmarkStart w:id="1550" w:name="_Toc24121"/>
      <w:bookmarkStart w:id="1551" w:name="_Toc18486"/>
      <w:bookmarkStart w:id="1552" w:name="_Toc17246"/>
      <w:bookmarkStart w:id="1553" w:name="_Toc5784"/>
      <w:bookmarkStart w:id="1554" w:name="_Toc4512"/>
      <w:bookmarkStart w:id="1555" w:name="_Toc24824"/>
      <w:bookmarkStart w:id="1556" w:name="_Toc2606"/>
      <w:bookmarkStart w:id="1557" w:name="_Toc29572"/>
      <w:bookmarkStart w:id="1558" w:name="_Toc26515"/>
      <w:bookmarkStart w:id="1559" w:name="_Toc27660"/>
      <w:bookmarkStart w:id="1560" w:name="_Toc13148"/>
      <w:bookmarkStart w:id="1561" w:name="_Toc12192"/>
      <w:bookmarkStart w:id="1562" w:name="_Toc16508"/>
      <w:bookmarkStart w:id="1563" w:name="_Toc23251"/>
      <w:bookmarkStart w:id="1564" w:name="_Toc20354"/>
      <w:bookmarkStart w:id="1565" w:name="_Toc18483"/>
      <w:bookmarkStart w:id="1566" w:name="_Toc29999"/>
      <w:bookmarkStart w:id="1567" w:name="_Toc16541"/>
      <w:bookmarkStart w:id="1568" w:name="_Toc27342"/>
      <w:bookmarkStart w:id="1569" w:name="_Toc9115"/>
    </w:p>
    <w:p w14:paraId="4F58E49A">
      <w:pPr>
        <w:numPr>
          <w:ilvl w:val="0"/>
          <w:numId w:val="4"/>
        </w:numPr>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1570" w:name="_Toc10329"/>
      <w:bookmarkStart w:id="1571" w:name="_Toc20416"/>
      <w:bookmarkStart w:id="1572" w:name="_Toc20742"/>
      <w:bookmarkStart w:id="1573" w:name="_Toc22817"/>
      <w:bookmarkStart w:id="1574" w:name="_Toc18491"/>
      <w:bookmarkStart w:id="1575" w:name="_Toc20490"/>
      <w:bookmarkStart w:id="1576" w:name="_Toc32510"/>
      <w:bookmarkStart w:id="1577" w:name="_Toc14343"/>
      <w:bookmarkStart w:id="1578" w:name="_Toc30307"/>
      <w:bookmarkStart w:id="1579" w:name="_Toc26698"/>
      <w:bookmarkStart w:id="1580" w:name="_Toc31021"/>
      <w:bookmarkStart w:id="1581" w:name="_Toc14886"/>
      <w:bookmarkStart w:id="1582" w:name="_Toc806"/>
      <w:bookmarkStart w:id="1583" w:name="_Toc16630"/>
      <w:bookmarkStart w:id="1584" w:name="_Toc30680"/>
      <w:bookmarkStart w:id="1585" w:name="_Toc24571"/>
      <w:bookmarkStart w:id="1586" w:name="_Toc28740"/>
      <w:r>
        <w:rPr>
          <w:rFonts w:hint="eastAsia" w:ascii="仿宋" w:hAnsi="仿宋" w:eastAsia="仿宋" w:cs="仿宋"/>
          <w:b/>
          <w:bCs/>
          <w:color w:val="000000" w:themeColor="text1"/>
          <w:sz w:val="28"/>
          <w:szCs w:val="28"/>
          <w:highlight w:val="none"/>
          <w14:textFill>
            <w14:solidFill>
              <w14:schemeClr w14:val="tx1"/>
            </w14:solidFill>
          </w14:textFill>
        </w:rPr>
        <w:t>参加采购活动前三年内在经营活动中没有重大违法记录书面声明</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47E381AA">
      <w:pPr>
        <w:numPr>
          <w:ilvl w:val="0"/>
          <w:numId w:val="0"/>
        </w:num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p>
    <w:p w14:paraId="1CE34B91">
      <w:pPr>
        <w:pStyle w:val="7"/>
        <w:wordWrap w:val="0"/>
        <w:overflowPunct w:val="0"/>
        <w:topLinePunct/>
        <w:rPr>
          <w:rFonts w:hint="eastAsia" w:ascii="仿宋" w:hAnsi="仿宋" w:eastAsia="仿宋" w:cs="仿宋"/>
          <w:color w:val="000000" w:themeColor="text1"/>
          <w:sz w:val="24"/>
          <w:szCs w:val="24"/>
          <w:highlight w:val="none"/>
          <w14:textFill>
            <w14:solidFill>
              <w14:schemeClr w14:val="tx1"/>
            </w14:solidFill>
          </w14:textFill>
        </w:rPr>
      </w:pPr>
    </w:p>
    <w:p w14:paraId="63C68152">
      <w:pPr>
        <w:wordWrap w:val="0"/>
        <w:overflowPunct w:val="0"/>
        <w:topLinePunct/>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楚雄彝族自治州人民医院</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云南楚泓工程管理有限责任公司</w:t>
      </w:r>
    </w:p>
    <w:p w14:paraId="47E2056A">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我方在此声明，我方在参加本次政府采购活动前三年内，在经营活动中没有以下重大违法记录：</w:t>
      </w:r>
    </w:p>
    <w:p w14:paraId="11A207EF">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1.我方因违法经营被追究过刑事责任；</w:t>
      </w:r>
    </w:p>
    <w:p w14:paraId="35C8715F">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2.我方因违法经营被责令停产停业、吊销许可证或者执照；</w:t>
      </w:r>
    </w:p>
    <w:p w14:paraId="02534F5A">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3.我方因违法经营被处以较大数额罚款等行政处罚。</w:t>
      </w:r>
    </w:p>
    <w:p w14:paraId="529D9FE8">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w:t>
      </w:r>
    </w:p>
    <w:p w14:paraId="630C46B8">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5.我方保证上述信息的完整、客观、真实、准确，若在本项目的招标投标的全过程中，被查实我方提供的资料及上述承诺不属实，或提供的相关资料不属实或不满足</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的要求，则</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有权取消我方的投标及中标资格，且我方将无条件并愿意承担我方因提供虚假材料谋骗取中标、成交所引起的一切法律后果（包括经济损失）。</w:t>
      </w:r>
    </w:p>
    <w:p w14:paraId="2E95D746">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14:paraId="25361E24">
      <w:pPr>
        <w:pStyle w:val="7"/>
        <w:wordWrap w:val="0"/>
        <w:overflowPunct w:val="0"/>
        <w:topLinePunct/>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22C5B40E">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7A8DACBB">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13DFEE26">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522F94EA">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66BB2AE9">
      <w:pPr>
        <w:wordWrap w:val="0"/>
        <w:overflowPunct w:val="0"/>
        <w:topLinePunct/>
        <w:spacing w:line="360" w:lineRule="auto"/>
        <w:jc w:val="center"/>
        <w:outlineLvl w:val="2"/>
        <w:rPr>
          <w:rFonts w:hint="eastAsia" w:ascii="仿宋" w:hAnsi="仿宋" w:eastAsia="仿宋" w:cs="仿宋"/>
          <w:color w:val="000000" w:themeColor="text1"/>
          <w:sz w:val="24"/>
          <w:szCs w:val="24"/>
          <w:highlight w:val="none"/>
          <w:u w:val="single"/>
          <w14:textFill>
            <w14:solidFill>
              <w14:schemeClr w14:val="tx1"/>
            </w14:solidFill>
          </w14:textFill>
        </w:rPr>
      </w:pPr>
      <w:bookmarkStart w:id="1587" w:name="_Toc19940"/>
      <w:bookmarkStart w:id="1588" w:name="_Toc7351"/>
      <w:bookmarkStart w:id="1589" w:name="_Toc12291"/>
      <w:bookmarkStart w:id="1590" w:name="_Toc5533"/>
      <w:bookmarkStart w:id="1591" w:name="_Toc22388"/>
      <w:bookmarkStart w:id="1592" w:name="_Toc32726"/>
      <w:bookmarkStart w:id="1593" w:name="_Toc615"/>
      <w:bookmarkStart w:id="1594" w:name="_Toc9016"/>
      <w:bookmarkStart w:id="1595" w:name="_Toc25200"/>
      <w:bookmarkStart w:id="1596" w:name="_Toc23595"/>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587"/>
      <w:bookmarkEnd w:id="1588"/>
      <w:bookmarkEnd w:id="1589"/>
      <w:bookmarkEnd w:id="1590"/>
      <w:bookmarkEnd w:id="1591"/>
      <w:bookmarkEnd w:id="1592"/>
      <w:bookmarkEnd w:id="1593"/>
      <w:bookmarkEnd w:id="1594"/>
      <w:bookmarkEnd w:id="1595"/>
      <w:bookmarkEnd w:id="1596"/>
    </w:p>
    <w:p w14:paraId="2062660B">
      <w:pPr>
        <w:wordWrap w:val="0"/>
        <w:overflowPunct w:val="0"/>
        <w:topLinePun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D16E801">
      <w:pPr>
        <w:wordWrap w:val="0"/>
        <w:overflowPunct w:val="0"/>
        <w:topLinePunct/>
        <w:rPr>
          <w:rFonts w:hint="eastAsia" w:ascii="仿宋" w:hAnsi="仿宋" w:eastAsia="仿宋" w:cs="仿宋"/>
          <w:color w:val="000000" w:themeColor="text1"/>
          <w:sz w:val="24"/>
          <w:szCs w:val="24"/>
          <w:highlight w:val="none"/>
          <w14:textFill>
            <w14:solidFill>
              <w14:schemeClr w14:val="tx1"/>
            </w14:solidFill>
          </w14:textFill>
        </w:rPr>
      </w:pPr>
    </w:p>
    <w:p w14:paraId="79B51C5A">
      <w:pPr>
        <w:wordWrap w:val="0"/>
        <w:overflowPunct w:val="0"/>
        <w:topLinePunct/>
        <w:spacing w:line="0" w:lineRule="atLeast"/>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p>
    <w:p w14:paraId="2DC34805">
      <w:pPr>
        <w:pStyle w:val="18"/>
        <w:ind w:left="0" w:leftChars="0"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62629122">
      <w:pPr>
        <w:pStyle w:val="18"/>
        <w:ind w:left="0" w:leftChars="0"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p>
    <w:p w14:paraId="58197ACE">
      <w:pPr>
        <w:pStyle w:val="18"/>
        <w:ind w:left="0" w:leftChars="0" w:firstLine="482" w:firstLineChars="200"/>
        <w:rPr>
          <w:rFonts w:hint="eastAsia" w:ascii="仿宋" w:hAnsi="仿宋" w:eastAsia="仿宋" w:cs="仿宋"/>
          <w:b/>
          <w:bCs/>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000000" w:themeColor="text1"/>
          <w:sz w:val="24"/>
          <w:szCs w:val="24"/>
          <w:highlight w:val="none"/>
          <w14:textFill>
            <w14:solidFill>
              <w14:schemeClr w14:val="tx1"/>
            </w14:solidFill>
          </w14:textFill>
        </w:rPr>
        <w:t>解释：参加采购活动前</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年内，在经营活动中没有重大违法记录：参照投标函相关承诺格式内容。重大违法记录，是指</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因违法经营受到刑事处罚或者责令停产停业、吊销许可证或者执照、较大数额罚款（</w:t>
      </w:r>
      <w:r>
        <w:rPr>
          <w:rFonts w:hint="eastAsia" w:ascii="仿宋" w:hAnsi="仿宋" w:eastAsia="仿宋" w:cs="仿宋"/>
          <w:b/>
          <w:bCs/>
          <w:color w:val="000000" w:themeColor="text1"/>
          <w:sz w:val="24"/>
          <w:szCs w:val="24"/>
          <w:highlight w:val="none"/>
          <w:lang w:eastAsia="zh-CN"/>
          <w14:textFill>
            <w14:solidFill>
              <w14:schemeClr w14:val="tx1"/>
            </w14:solidFill>
          </w14:textFill>
        </w:rPr>
        <w:t>较大数额罚款是指200万元以上罚款</w:t>
      </w:r>
      <w:r>
        <w:rPr>
          <w:rFonts w:hint="eastAsia" w:ascii="仿宋" w:hAnsi="仿宋" w:eastAsia="仿宋" w:cs="仿宋"/>
          <w:b/>
          <w:bCs/>
          <w:color w:val="000000" w:themeColor="text1"/>
          <w:sz w:val="24"/>
          <w:szCs w:val="24"/>
          <w:highlight w:val="none"/>
          <w14:textFill>
            <w14:solidFill>
              <w14:schemeClr w14:val="tx1"/>
            </w14:solidFill>
          </w14:textFill>
        </w:rPr>
        <w:t>）等行政处罚。</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bCs/>
          <w:color w:val="000000" w:themeColor="text1"/>
          <w:sz w:val="24"/>
          <w:szCs w:val="24"/>
          <w:highlight w:val="none"/>
          <w14:textFill>
            <w14:solidFill>
              <w14:schemeClr w14:val="tx1"/>
            </w14:solidFill>
          </w14:textFill>
        </w:rPr>
        <w:t>在参加政府采购活动前</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年内因违法经营被禁止在一定期限内参加政府采购活动，期限届满的，可以参加政府采购活动。</w:t>
      </w:r>
      <w:bookmarkStart w:id="1597" w:name="_Toc31196"/>
      <w:bookmarkStart w:id="1598" w:name="_Toc3236"/>
      <w:bookmarkStart w:id="1599" w:name="_Toc18125"/>
      <w:bookmarkStart w:id="1600" w:name="_Toc27915"/>
      <w:bookmarkStart w:id="1601" w:name="_Toc11659"/>
      <w:bookmarkStart w:id="1602" w:name="_Toc16458"/>
      <w:bookmarkStart w:id="1603" w:name="_Toc28798"/>
      <w:bookmarkStart w:id="1604" w:name="_Toc26414"/>
      <w:bookmarkStart w:id="1605" w:name="_Toc423"/>
      <w:bookmarkStart w:id="1606" w:name="_Toc15161"/>
      <w:bookmarkStart w:id="1607" w:name="_Toc9639"/>
      <w:bookmarkStart w:id="1608" w:name="_Toc13406"/>
      <w:bookmarkStart w:id="1609" w:name="_Toc22564"/>
      <w:bookmarkStart w:id="1610" w:name="_Toc21278"/>
      <w:bookmarkStart w:id="1611" w:name="_Toc32760"/>
      <w:bookmarkStart w:id="1612" w:name="_Toc13604"/>
      <w:bookmarkStart w:id="1613" w:name="_Toc6906"/>
      <w:bookmarkStart w:id="1614" w:name="_Toc29298"/>
      <w:bookmarkStart w:id="1615" w:name="_Toc11016"/>
      <w:bookmarkStart w:id="1616" w:name="_Toc9599"/>
      <w:bookmarkStart w:id="1617" w:name="_Toc25115"/>
      <w:bookmarkStart w:id="1618" w:name="_Toc10094"/>
      <w:bookmarkStart w:id="1619" w:name="_Toc27336"/>
      <w:bookmarkStart w:id="1620" w:name="_Toc21558"/>
      <w:bookmarkStart w:id="1621" w:name="_Toc29489"/>
    </w:p>
    <w:p w14:paraId="689D3972">
      <w:pPr>
        <w:pStyle w:val="18"/>
        <w:ind w:left="0" w:leftChars="0" w:firstLine="0" w:firstLineChars="0"/>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1622" w:name="_Toc5650"/>
      <w:bookmarkStart w:id="1623" w:name="_Toc10734"/>
      <w:bookmarkStart w:id="1624" w:name="_Toc16867"/>
      <w:bookmarkStart w:id="1625" w:name="_Toc19345"/>
      <w:bookmarkStart w:id="1626" w:name="_Toc4935"/>
      <w:bookmarkStart w:id="1627" w:name="_Toc29588"/>
      <w:bookmarkStart w:id="1628" w:name="_Toc32324"/>
      <w:bookmarkStart w:id="1629" w:name="_Toc17479"/>
      <w:bookmarkStart w:id="1630" w:name="_Toc13919"/>
      <w:bookmarkStart w:id="1631" w:name="_Toc25079"/>
      <w:bookmarkStart w:id="1632" w:name="_Toc1871"/>
      <w:bookmarkStart w:id="1633" w:name="_Toc31453"/>
      <w:bookmarkStart w:id="1634" w:name="_Toc12565"/>
      <w:bookmarkStart w:id="1635" w:name="_Toc22347"/>
      <w:bookmarkStart w:id="1636" w:name="_Toc29737"/>
      <w:bookmarkStart w:id="1637" w:name="_Toc20536"/>
      <w:bookmarkStart w:id="1638" w:name="_Toc3157"/>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bCs/>
          <w:color w:val="000000" w:themeColor="text1"/>
          <w:sz w:val="28"/>
          <w:szCs w:val="28"/>
          <w:highlight w:val="none"/>
          <w14:textFill>
            <w14:solidFill>
              <w14:schemeClr w14:val="tx1"/>
            </w14:solidFill>
          </w14:textFill>
        </w:rPr>
        <w:t>、</w:t>
      </w:r>
      <w:bookmarkEnd w:id="1597"/>
      <w:bookmarkEnd w:id="1598"/>
      <w:bookmarkEnd w:id="1599"/>
      <w:bookmarkEnd w:id="1600"/>
      <w:bookmarkEnd w:id="1601"/>
      <w:bookmarkEnd w:id="1602"/>
      <w:bookmarkEnd w:id="1603"/>
      <w:bookmarkEnd w:id="1604"/>
      <w:bookmarkEnd w:id="1605"/>
      <w:r>
        <w:rPr>
          <w:rFonts w:hint="eastAsia" w:ascii="仿宋" w:hAnsi="仿宋" w:eastAsia="仿宋" w:cs="仿宋"/>
          <w:b/>
          <w:bCs/>
          <w:color w:val="000000" w:themeColor="text1"/>
          <w:sz w:val="28"/>
          <w:szCs w:val="28"/>
          <w:highlight w:val="none"/>
          <w14:textFill>
            <w14:solidFill>
              <w14:schemeClr w14:val="tx1"/>
            </w14:solidFill>
          </w14:textFill>
        </w:rPr>
        <w:t>法律、行政法规规定的其他条件</w:t>
      </w:r>
      <w:bookmarkEnd w:id="1606"/>
      <w:bookmarkEnd w:id="1607"/>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23D84AB7">
      <w:pPr>
        <w:pStyle w:val="5"/>
        <w:tabs>
          <w:tab w:val="left" w:pos="900"/>
          <w:tab w:val="left" w:pos="1588"/>
        </w:tabs>
        <w:wordWrap w:val="0"/>
        <w:overflowPunct w:val="0"/>
        <w:topLinePunct/>
        <w:adjustRightInd/>
        <w:ind w:left="0" w:firstLine="0"/>
        <w:jc w:val="center"/>
        <w:textAlignment w:val="auto"/>
        <w:rPr>
          <w:rFonts w:hint="eastAsia" w:ascii="仿宋" w:hAnsi="仿宋" w:eastAsia="仿宋" w:cs="仿宋"/>
          <w:color w:val="000000" w:themeColor="text1"/>
          <w:sz w:val="28"/>
          <w:szCs w:val="28"/>
          <w:highlight w:val="none"/>
          <w:lang w:bidi="ar"/>
          <w14:textFill>
            <w14:solidFill>
              <w14:schemeClr w14:val="tx1"/>
            </w14:solidFill>
          </w14:textFill>
        </w:rPr>
      </w:pPr>
      <w:bookmarkStart w:id="1639" w:name="_Toc8699"/>
      <w:bookmarkStart w:id="1640" w:name="_Toc5353"/>
      <w:bookmarkStart w:id="1641" w:name="_Toc23157"/>
      <w:bookmarkStart w:id="1642" w:name="_Toc24666"/>
      <w:bookmarkStart w:id="1643" w:name="_Toc24546"/>
      <w:bookmarkStart w:id="1644" w:name="_Toc8366"/>
      <w:bookmarkStart w:id="1645" w:name="_Toc22023"/>
      <w:bookmarkStart w:id="1646" w:name="_Toc16863"/>
      <w:bookmarkStart w:id="1647" w:name="_Toc7558"/>
      <w:bookmarkStart w:id="1648" w:name="_Toc4314"/>
      <w:bookmarkStart w:id="1649" w:name="_Toc20069"/>
      <w:bookmarkStart w:id="1650" w:name="_Toc29726"/>
      <w:bookmarkStart w:id="1651" w:name="_Toc5509"/>
      <w:bookmarkStart w:id="1652" w:name="_Toc6292"/>
      <w:bookmarkStart w:id="1653" w:name="_Toc2717"/>
      <w:bookmarkStart w:id="1654" w:name="_Toc4613"/>
      <w:bookmarkStart w:id="1655" w:name="_Toc3079"/>
      <w:bookmarkStart w:id="1656" w:name="_Toc16013"/>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未被列入失信被执行人、重大税收违法案件当事人、政府采购严重违法失信行为名单的承诺函</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6BD6D701">
      <w:pPr>
        <w:pStyle w:val="34"/>
        <w:wordWrap w:val="0"/>
        <w:overflowPunct w:val="0"/>
        <w:topLinePunct/>
        <w:spacing w:before="0"/>
        <w:ind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p>
    <w:p w14:paraId="13C384BF">
      <w:pPr>
        <w:pStyle w:val="34"/>
        <w:wordWrap w:val="0"/>
        <w:overflowPunct w:val="0"/>
        <w:topLinePunct/>
        <w:spacing w:before="0"/>
        <w:ind w:firstLine="0" w:firstLineChars="0"/>
        <w:jc w:val="left"/>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楚雄彝族自治州人民医院</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云南楚泓工程管理有限责任公司</w:t>
      </w:r>
    </w:p>
    <w:p w14:paraId="1AA5639B">
      <w:pPr>
        <w:pStyle w:val="34"/>
        <w:wordWrap w:val="0"/>
        <w:overflowPunct w:val="0"/>
        <w:topLinePunct/>
        <w:spacing w:before="0"/>
        <w:ind w:firstLine="480"/>
        <w:jc w:val="left"/>
        <w:rPr>
          <w:rFonts w:hint="eastAsia" w:ascii="仿宋" w:hAnsi="仿宋" w:eastAsia="仿宋" w:cs="仿宋"/>
          <w:color w:val="000000" w:themeColor="text1"/>
          <w:kern w:val="0"/>
          <w:sz w:val="24"/>
          <w:szCs w:val="24"/>
          <w:highlight w:val="none"/>
          <w:lang w:bidi="ar"/>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我公司依法参加贵单位组织的</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公开招标</w:t>
      </w:r>
      <w:r>
        <w:rPr>
          <w:rFonts w:hint="eastAsia" w:ascii="仿宋" w:hAnsi="仿宋" w:eastAsia="仿宋" w:cs="仿宋"/>
          <w:color w:val="000000" w:themeColor="text1"/>
          <w:sz w:val="24"/>
          <w:szCs w:val="24"/>
          <w:highlight w:val="none"/>
          <w14:textFill>
            <w14:solidFill>
              <w14:schemeClr w14:val="tx1"/>
            </w14:solidFill>
          </w14:textFill>
        </w:rPr>
        <w:t>采购活动</w:t>
      </w:r>
      <w:r>
        <w:rPr>
          <w:rFonts w:hint="eastAsia" w:ascii="仿宋" w:hAnsi="仿宋" w:eastAsia="仿宋" w:cs="仿宋"/>
          <w:color w:val="000000" w:themeColor="text1"/>
          <w:kern w:val="0"/>
          <w:sz w:val="24"/>
          <w:szCs w:val="24"/>
          <w:highlight w:val="none"/>
          <w:lang w:bidi="ar"/>
          <w14:textFill>
            <w14:solidFill>
              <w14:schemeClr w14:val="tx1"/>
            </w14:solidFill>
          </w14:textFill>
        </w:rPr>
        <w:t>。现本公司郑重承诺：</w:t>
      </w:r>
    </w:p>
    <w:p w14:paraId="27F7F70D">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我公司在参加政府采购活动前3年内未因违法经营被禁止在一定期限内参加政府采购活动，可以参加本次政府采购活动。</w:t>
      </w:r>
    </w:p>
    <w:p w14:paraId="2C5779F4">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我方未被列入“信用中国”网站失信被执行人名单。</w:t>
      </w:r>
    </w:p>
    <w:p w14:paraId="25B42185">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我方未被列入“信用中国”网站重大税收违法案件当事人名单。</w:t>
      </w:r>
    </w:p>
    <w:p w14:paraId="086B1FF9">
      <w:pPr>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我方未被列入“中国政府采购网”政府采购严重违法失信行为记录名单。</w:t>
      </w:r>
    </w:p>
    <w:p w14:paraId="3398B263">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bidi="ar"/>
          <w14:textFill>
            <w14:solidFill>
              <w14:schemeClr w14:val="tx1"/>
            </w14:solidFill>
          </w14:textFill>
        </w:rPr>
        <w:t>以上承诺信息如有虚假或隐瞒，我方愿意承担一切后果，并不再寻求任何旨在减轻或免除法律责任的辩解。</w:t>
      </w:r>
      <w:r>
        <w:rPr>
          <w:rFonts w:hint="eastAsia" w:ascii="仿宋" w:hAnsi="仿宋" w:eastAsia="仿宋" w:cs="仿宋"/>
          <w:color w:val="000000" w:themeColor="text1"/>
          <w:sz w:val="24"/>
          <w:szCs w:val="24"/>
          <w:highlight w:val="none"/>
          <w14:textFill>
            <w14:solidFill>
              <w14:schemeClr w14:val="tx1"/>
            </w14:solidFill>
          </w14:textFill>
        </w:rPr>
        <w:t>如有不实，我方将无条件地退出本项目的采购活动，并遵照《</w:t>
      </w:r>
      <w:r>
        <w:rPr>
          <w:rFonts w:hint="eastAsia" w:ascii="仿宋" w:hAnsi="仿宋" w:eastAsia="仿宋" w:cs="仿宋"/>
          <w:color w:val="000000" w:themeColor="text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14:textFill>
            <w14:solidFill>
              <w14:schemeClr w14:val="tx1"/>
            </w14:solidFill>
          </w14:textFill>
        </w:rPr>
        <w:t>》有关“提供虚假材料的规定”接受处罚</w:t>
      </w:r>
      <w:r>
        <w:rPr>
          <w:rFonts w:hint="eastAsia" w:ascii="仿宋" w:hAnsi="仿宋" w:eastAsia="仿宋" w:cs="仿宋"/>
          <w:color w:val="000000" w:themeColor="text1"/>
          <w:kern w:val="0"/>
          <w:sz w:val="24"/>
          <w:szCs w:val="24"/>
          <w:highlight w:val="none"/>
          <w:lang w:bidi="ar"/>
          <w14:textFill>
            <w14:solidFill>
              <w14:schemeClr w14:val="tx1"/>
            </w14:solidFill>
          </w14:textFill>
        </w:rPr>
        <w:t>。</w:t>
      </w:r>
    </w:p>
    <w:p w14:paraId="6186A64F">
      <w:pPr>
        <w:wordWrap w:val="0"/>
        <w:overflowPunct w:val="0"/>
        <w:topLinePunct/>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p>
    <w:p w14:paraId="54E9E068">
      <w:pPr>
        <w:wordWrap w:val="0"/>
        <w:overflowPunct w:val="0"/>
        <w:topLinePunct/>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14:paraId="0AD752A4">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4FF6101D">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574E13A4">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7E92160E">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6A5A097F">
      <w:pPr>
        <w:pStyle w:val="34"/>
        <w:wordWrap w:val="0"/>
        <w:overflowPunct w:val="0"/>
        <w:topLinePunct/>
        <w:spacing w:before="0"/>
        <w:ind w:firstLine="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25DEFEF">
      <w:pPr>
        <w:pStyle w:val="34"/>
        <w:wordWrap w:val="0"/>
        <w:overflowPunct w:val="0"/>
        <w:topLinePunct/>
        <w:spacing w:before="0"/>
        <w:jc w:val="both"/>
        <w:rPr>
          <w:rFonts w:hint="eastAsia" w:ascii="仿宋" w:hAnsi="仿宋" w:eastAsia="仿宋" w:cs="仿宋"/>
          <w:color w:val="000000" w:themeColor="text1"/>
          <w:sz w:val="24"/>
          <w:szCs w:val="24"/>
          <w:highlight w:val="none"/>
          <w14:textFill>
            <w14:solidFill>
              <w14:schemeClr w14:val="tx1"/>
            </w14:solidFill>
          </w14:textFill>
        </w:rPr>
      </w:pPr>
    </w:p>
    <w:p w14:paraId="08E6E32B">
      <w:pPr>
        <w:wordWrap w:val="0"/>
        <w:overflowPunct w:val="0"/>
        <w:topLinePunct/>
        <w:spacing w:line="0" w:lineRule="atLeast"/>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p>
    <w:p w14:paraId="66FEB103">
      <w:pPr>
        <w:pStyle w:val="17"/>
        <w:rPr>
          <w:rFonts w:hint="eastAsia" w:ascii="仿宋" w:hAnsi="仿宋" w:eastAsia="仿宋" w:cs="仿宋"/>
          <w:b/>
          <w:bCs/>
          <w:color w:val="000000" w:themeColor="text1"/>
          <w:sz w:val="24"/>
          <w:szCs w:val="24"/>
          <w:highlight w:val="none"/>
          <w14:textFill>
            <w14:solidFill>
              <w14:schemeClr w14:val="tx1"/>
            </w14:solidFill>
          </w14:textFill>
        </w:rPr>
      </w:pPr>
    </w:p>
    <w:p w14:paraId="47050835">
      <w:pPr>
        <w:pStyle w:val="17"/>
        <w:rPr>
          <w:rFonts w:hint="eastAsia" w:ascii="仿宋" w:hAnsi="仿宋" w:eastAsia="仿宋" w:cs="仿宋"/>
          <w:b/>
          <w:bCs/>
          <w:color w:val="000000" w:themeColor="text1"/>
          <w:sz w:val="24"/>
          <w:szCs w:val="24"/>
          <w:highlight w:val="none"/>
          <w14:textFill>
            <w14:solidFill>
              <w14:schemeClr w14:val="tx1"/>
            </w14:solidFill>
          </w14:textFill>
        </w:rPr>
      </w:pPr>
    </w:p>
    <w:p w14:paraId="40E7F52B">
      <w:pPr>
        <w:pStyle w:val="17"/>
        <w:rPr>
          <w:rFonts w:hint="eastAsia" w:ascii="仿宋" w:hAnsi="仿宋" w:eastAsia="仿宋" w:cs="仿宋"/>
          <w:b/>
          <w:bCs/>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bCs/>
          <w:color w:val="000000" w:themeColor="text1"/>
          <w:sz w:val="24"/>
          <w:szCs w:val="24"/>
          <w:highlight w:val="none"/>
          <w14:textFill>
            <w14:solidFill>
              <w14:schemeClr w14:val="tx1"/>
            </w14:solidFill>
          </w14:textFill>
        </w:rPr>
        <w:t>注：3年内因违法经营被禁止在一定期限内参加政府采购，处罚期限届满可以参加政府采购活动的，但应提供期限届满的证明材料。</w:t>
      </w:r>
      <w:bookmarkStart w:id="1657" w:name="_Toc4806"/>
      <w:bookmarkStart w:id="1658" w:name="_Toc7287"/>
      <w:bookmarkStart w:id="1659" w:name="_Toc16572"/>
      <w:bookmarkStart w:id="1660" w:name="_Toc32199"/>
      <w:bookmarkStart w:id="1661" w:name="_Toc3606"/>
      <w:bookmarkStart w:id="1662" w:name="_Toc18012"/>
      <w:bookmarkStart w:id="1663" w:name="_Toc28900"/>
      <w:bookmarkStart w:id="1664" w:name="_Toc4238"/>
      <w:bookmarkStart w:id="1665" w:name="_Toc25072"/>
      <w:bookmarkStart w:id="1666" w:name="_Toc23880"/>
      <w:bookmarkStart w:id="1667" w:name="_Toc16693"/>
    </w:p>
    <w:bookmarkEnd w:id="1657"/>
    <w:bookmarkEnd w:id="1658"/>
    <w:bookmarkEnd w:id="1659"/>
    <w:bookmarkEnd w:id="1660"/>
    <w:bookmarkEnd w:id="1661"/>
    <w:bookmarkEnd w:id="1662"/>
    <w:bookmarkEnd w:id="1663"/>
    <w:bookmarkEnd w:id="1664"/>
    <w:bookmarkEnd w:id="1665"/>
    <w:bookmarkEnd w:id="1666"/>
    <w:bookmarkEnd w:id="1667"/>
    <w:p w14:paraId="4936FBD2">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668" w:name="_Toc7120"/>
      <w:bookmarkStart w:id="1669" w:name="_Toc3027"/>
      <w:bookmarkStart w:id="1670" w:name="_Toc14260"/>
      <w:bookmarkStart w:id="1671" w:name="_Toc26176"/>
      <w:bookmarkStart w:id="1672" w:name="_Toc32517"/>
      <w:bookmarkStart w:id="1673" w:name="_Toc22029"/>
      <w:bookmarkStart w:id="1674" w:name="_Toc22500"/>
      <w:bookmarkStart w:id="1675" w:name="_Toc17726"/>
      <w:bookmarkStart w:id="1676" w:name="_Toc25852"/>
      <w:bookmarkStart w:id="1677" w:name="_Toc9598"/>
      <w:bookmarkStart w:id="1678" w:name="_Toc698"/>
      <w:bookmarkStart w:id="1679" w:name="_Toc112677164"/>
      <w:bookmarkStart w:id="1680" w:name="_Toc120277425"/>
      <w:bookmarkStart w:id="1681" w:name="_Toc19537"/>
      <w:bookmarkStart w:id="1682" w:name="_Toc21545"/>
      <w:bookmarkStart w:id="1683" w:name="_Toc22394"/>
      <w:bookmarkStart w:id="1684" w:name="_Toc1648"/>
      <w:bookmarkStart w:id="1685" w:name="_Toc7266"/>
      <w:bookmarkStart w:id="1686" w:name="_Toc23889"/>
      <w:bookmarkStart w:id="1687" w:name="_Toc15174"/>
      <w:bookmarkStart w:id="1688" w:name="_Toc7746"/>
      <w:bookmarkStart w:id="1689" w:name="_Toc20757"/>
      <w:bookmarkStart w:id="1690" w:name="_Toc31270"/>
      <w:bookmarkStart w:id="1691" w:name="_Toc22406"/>
      <w:bookmarkStart w:id="1692" w:name="_Toc9578"/>
      <w:bookmarkStart w:id="1693" w:name="_Toc27828"/>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资格声明函</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1668"/>
      <w:bookmarkEnd w:id="1669"/>
      <w:bookmarkEnd w:id="1670"/>
      <w:bookmarkEnd w:id="1671"/>
      <w:bookmarkEnd w:id="1672"/>
      <w:bookmarkEnd w:id="1673"/>
      <w:bookmarkEnd w:id="1674"/>
      <w:bookmarkEnd w:id="1675"/>
      <w:bookmarkEnd w:id="1676"/>
      <w:bookmarkEnd w:id="1677"/>
    </w:p>
    <w:p w14:paraId="77B051F3">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楚雄彝族自治州人民医院</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云南楚泓工程管理有限责任公司</w:t>
      </w:r>
    </w:p>
    <w:p w14:paraId="70356A94">
      <w:pPr>
        <w:keepNext w:val="0"/>
        <w:keepLines w:val="0"/>
        <w:pageBreakBefore w:val="0"/>
        <w:widowControl w:val="0"/>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关于贵方组织的（</w:t>
      </w:r>
      <w:r>
        <w:rPr>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公开招标</w:t>
      </w:r>
      <w:r>
        <w:rPr>
          <w:rFonts w:hint="eastAsia" w:ascii="仿宋" w:hAnsi="仿宋" w:eastAsia="仿宋" w:cs="仿宋"/>
          <w:color w:val="000000" w:themeColor="text1"/>
          <w:sz w:val="24"/>
          <w:szCs w:val="24"/>
          <w:highlight w:val="none"/>
          <w14:textFill>
            <w14:solidFill>
              <w14:schemeClr w14:val="tx1"/>
            </w14:solidFill>
          </w14:textFill>
        </w:rPr>
        <w:t>采购活动，我公司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（公司名称）愿意参加，提供</w:t>
      </w:r>
      <w:r>
        <w:rPr>
          <w:rFonts w:hint="eastAsia" w:ascii="仿宋" w:hAnsi="仿宋" w:eastAsia="仿宋" w:cs="仿宋"/>
          <w:color w:val="000000" w:themeColor="text1"/>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sz w:val="24"/>
          <w:szCs w:val="24"/>
          <w:highlight w:val="none"/>
          <w14:textFill>
            <w14:solidFill>
              <w14:schemeClr w14:val="tx1"/>
            </w14:solidFill>
          </w14:textFill>
        </w:rPr>
        <w:t>中规定的货物及服务，并针对本项目的相关资格条款，我公司作出以下声明；</w:t>
      </w:r>
    </w:p>
    <w:p w14:paraId="6700CA2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bookmarkStart w:id="1694" w:name="_Toc30423"/>
      <w:bookmarkStart w:id="1695" w:name="_Toc26981"/>
      <w:bookmarkStart w:id="1696" w:name="_Toc14160"/>
      <w:bookmarkStart w:id="1697" w:name="_Toc10065"/>
      <w:bookmarkStart w:id="1698" w:name="_Toc23865"/>
      <w:bookmarkStart w:id="1699" w:name="_Toc3450"/>
      <w:bookmarkStart w:id="1700" w:name="_Toc5283"/>
      <w:bookmarkStart w:id="1701" w:name="_Toc26904"/>
      <w:bookmarkStart w:id="1702" w:name="_Toc28986"/>
      <w:r>
        <w:rPr>
          <w:rFonts w:hint="eastAsia" w:ascii="仿宋" w:hAnsi="仿宋" w:eastAsia="仿宋" w:cs="仿宋"/>
          <w:color w:val="000000" w:themeColor="text1"/>
          <w:sz w:val="24"/>
          <w:szCs w:val="24"/>
          <w:highlight w:val="none"/>
          <w14:textFill>
            <w14:solidFill>
              <w14:schemeClr w14:val="tx1"/>
            </w14:solidFill>
          </w14:textFill>
        </w:rPr>
        <w:t>1.我公司是依法注册的法人，在法律上、财务上和运作上完全独立于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楚雄彝族自治州人民医院</w:t>
      </w:r>
      <w:r>
        <w:rPr>
          <w:rFonts w:hint="eastAsia" w:ascii="仿宋" w:hAnsi="仿宋" w:eastAsia="仿宋" w:cs="仿宋"/>
          <w:color w:val="000000" w:themeColor="text1"/>
          <w:sz w:val="24"/>
          <w:szCs w:val="24"/>
          <w:highlight w:val="none"/>
          <w14:textFill>
            <w14:solidFill>
              <w14:schemeClr w14:val="tx1"/>
            </w14:solidFill>
          </w14:textFill>
        </w:rPr>
        <w:t>及</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云南楚泓工程管理有限责任公司</w:t>
      </w:r>
    </w:p>
    <w:p w14:paraId="2DA571B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我公司</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遵守国家有关的法律、法令和条例，以及符合并承认和履行招标文件中的各项规定。</w:t>
      </w:r>
    </w:p>
    <w:p w14:paraId="64E65E28">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bookmarkEnd w:id="1694"/>
      <w:bookmarkEnd w:id="1695"/>
      <w:bookmarkEnd w:id="1696"/>
      <w:bookmarkEnd w:id="1697"/>
      <w:bookmarkEnd w:id="1698"/>
      <w:bookmarkEnd w:id="1699"/>
      <w:bookmarkEnd w:id="1700"/>
      <w:bookmarkEnd w:id="1701"/>
      <w:bookmarkEnd w:id="1702"/>
      <w:r>
        <w:rPr>
          <w:rFonts w:hint="eastAsia" w:ascii="仿宋" w:hAnsi="仿宋" w:eastAsia="仿宋" w:cs="仿宋"/>
          <w:color w:val="000000" w:themeColor="text1"/>
          <w:sz w:val="24"/>
          <w:szCs w:val="24"/>
          <w:highlight w:val="none"/>
          <w14:textFill>
            <w14:solidFill>
              <w14:schemeClr w14:val="tx1"/>
            </w14:solidFill>
          </w14:textFill>
        </w:rPr>
        <w:t>我单位不属于政府采购法律、行政法规规定的公益一类事业单位</w:t>
      </w:r>
      <w:r>
        <w:rPr>
          <w:rFonts w:hint="eastAsia" w:ascii="仿宋" w:hAnsi="仿宋" w:eastAsia="仿宋" w:cs="仿宋"/>
          <w:color w:val="000000" w:themeColor="text1"/>
          <w:sz w:val="24"/>
          <w:szCs w:val="24"/>
          <w:highlight w:val="none"/>
          <w:lang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使用事业编制且由财政拨款保障的群团组织（仅适用于政府购买服务项目）</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C92E895">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547D1C1">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5102"/>
        <w:gridCol w:w="3320"/>
      </w:tblGrid>
      <w:tr w14:paraId="3D72A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1057" w:type="dxa"/>
            <w:noWrap w:val="0"/>
            <w:vAlign w:val="center"/>
          </w:tcPr>
          <w:p w14:paraId="1710E6EE">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102" w:type="dxa"/>
            <w:noWrap w:val="0"/>
            <w:vAlign w:val="center"/>
          </w:tcPr>
          <w:p w14:paraId="6D8358E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3320" w:type="dxa"/>
            <w:noWrap w:val="0"/>
            <w:vAlign w:val="center"/>
          </w:tcPr>
          <w:p w14:paraId="05FFEBF5">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相互关系</w:t>
            </w:r>
          </w:p>
        </w:tc>
      </w:tr>
      <w:tr w14:paraId="2A544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566D7D5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102" w:type="dxa"/>
            <w:noWrap w:val="0"/>
            <w:vAlign w:val="center"/>
          </w:tcPr>
          <w:p w14:paraId="5284EB2B">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c>
          <w:tcPr>
            <w:tcW w:w="3320" w:type="dxa"/>
            <w:noWrap w:val="0"/>
            <w:vAlign w:val="center"/>
          </w:tcPr>
          <w:p w14:paraId="1E1E8470">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r>
      <w:tr w14:paraId="312B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004CF96C">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102" w:type="dxa"/>
            <w:noWrap w:val="0"/>
            <w:vAlign w:val="center"/>
          </w:tcPr>
          <w:p w14:paraId="64C819F2">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c>
          <w:tcPr>
            <w:tcW w:w="3320" w:type="dxa"/>
            <w:noWrap w:val="0"/>
            <w:vAlign w:val="center"/>
          </w:tcPr>
          <w:p w14:paraId="40645FC7">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r>
      <w:tr w14:paraId="70E0A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7" w:type="dxa"/>
            <w:noWrap w:val="0"/>
            <w:vAlign w:val="center"/>
          </w:tcPr>
          <w:p w14:paraId="103F9AA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5102" w:type="dxa"/>
            <w:noWrap w:val="0"/>
            <w:vAlign w:val="center"/>
          </w:tcPr>
          <w:p w14:paraId="6A56D1F1">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c>
          <w:tcPr>
            <w:tcW w:w="3320" w:type="dxa"/>
            <w:noWrap w:val="0"/>
            <w:vAlign w:val="center"/>
          </w:tcPr>
          <w:p w14:paraId="70C9ED6A">
            <w:pPr>
              <w:keepNext w:val="0"/>
              <w:keepLines w:val="0"/>
              <w:pageBreakBefore w:val="0"/>
              <w:widowControl w:val="0"/>
              <w:numPr>
                <w:ilvl w:val="3"/>
                <w:numId w:val="0"/>
              </w:numPr>
              <w:kinsoku/>
              <w:wordWrap w:val="0"/>
              <w:overflowPunct/>
              <w:topLinePunct/>
              <w:autoSpaceDE/>
              <w:autoSpaceDN/>
              <w:bidi w:val="0"/>
              <w:adjustRightInd/>
              <w:snapToGrid/>
              <w:spacing w:before="63" w:beforeLines="20" w:after="63" w:afterLines="20" w:line="0" w:lineRule="atLeast"/>
              <w:ind w:firstLine="0" w:firstLineChars="0"/>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p>
        </w:tc>
      </w:tr>
    </w:tbl>
    <w:p w14:paraId="36428526">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.我公司完全符合本项目的投标资格，我公司对上述声明内容事项真实性负责。如经查实上述承诺声明的内容事项存在虚假或未履行，本单位愿意接受相关处罚并追究法律责任。</w:t>
      </w:r>
    </w:p>
    <w:p w14:paraId="1B399850">
      <w:pPr>
        <w:keepNext w:val="0"/>
        <w:keepLines w:val="0"/>
        <w:pageBreakBefore w:val="0"/>
        <w:widowControl w:val="0"/>
        <w:numPr>
          <w:ilvl w:val="3"/>
          <w:numId w:val="0"/>
        </w:numPr>
        <w:kinsoku/>
        <w:overflowPunct/>
        <w:autoSpaceDE/>
        <w:autoSpaceDN/>
        <w:bidi w:val="0"/>
        <w:adjustRightInd/>
        <w:snapToGrid/>
        <w:spacing w:before="63" w:beforeLines="20" w:after="63" w:afterLines="20" w:line="0" w:lineRule="atLeas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特此承诺！</w:t>
      </w:r>
    </w:p>
    <w:p w14:paraId="4D087D94">
      <w:pPr>
        <w:pStyle w:val="35"/>
        <w:keepNext w:val="0"/>
        <w:keepLines w:val="0"/>
        <w:pageBreakBefore w:val="0"/>
        <w:widowControl w:val="0"/>
        <w:kinsoku/>
        <w:autoSpaceDE w:val="0"/>
        <w:autoSpaceDN w:val="0"/>
        <w:bidi w:val="0"/>
        <w:adjustRightInd/>
        <w:snapToGrid/>
        <w:spacing w:before="63" w:beforeLines="20" w:after="63" w:afterLines="20" w:line="0" w:lineRule="atLeast"/>
        <w:ind w:left="0" w:leftChars="0" w:firstLine="0" w:firstLineChars="0"/>
        <w:jc w:val="left"/>
        <w:textAlignment w:val="baseline"/>
        <w:rPr>
          <w:rFonts w:hint="eastAsia" w:ascii="仿宋" w:hAnsi="仿宋" w:eastAsia="仿宋" w:cs="仿宋"/>
          <w:color w:val="000000" w:themeColor="text1"/>
          <w:kern w:val="0"/>
          <w:sz w:val="24"/>
          <w:szCs w:val="24"/>
          <w:highlight w:val="none"/>
          <w:u w:val="single"/>
          <w14:textFill>
            <w14:solidFill>
              <w14:schemeClr w14:val="tx1"/>
            </w14:solidFill>
          </w14:textFill>
        </w:rPr>
      </w:pPr>
    </w:p>
    <w:p w14:paraId="32FFFF88">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48C24D52">
      <w:pPr>
        <w:keepNext w:val="0"/>
        <w:keepLines w:val="0"/>
        <w:pageBreakBefore w:val="0"/>
        <w:widowControl w:val="0"/>
        <w:kinsoku/>
        <w:wordWrap w:val="0"/>
        <w:overflowPunct w:val="0"/>
        <w:topLinePunct/>
        <w:bidi w:val="0"/>
        <w:adjustRightInd/>
        <w:snapToGrid/>
        <w:spacing w:before="63" w:beforeLines="20" w:after="63" w:afterLines="20" w:line="0" w:lineRule="atLeast"/>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45B835FE">
      <w:pPr>
        <w:keepNext w:val="0"/>
        <w:keepLines w:val="0"/>
        <w:pageBreakBefore w:val="0"/>
        <w:widowControl w:val="0"/>
        <w:kinsoku/>
        <w:wordWrap w:val="0"/>
        <w:overflowPunct w:val="0"/>
        <w:topLinePunct/>
        <w:bidi w:val="0"/>
        <w:adjustRightInd/>
        <w:snapToGrid/>
        <w:spacing w:before="63" w:beforeLines="20" w:after="63" w:afterLines="20" w:line="0" w:lineRule="atLeas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220DA9F9">
      <w:pPr>
        <w:keepNext w:val="0"/>
        <w:keepLines w:val="0"/>
        <w:pageBreakBefore w:val="0"/>
        <w:widowControl w:val="0"/>
        <w:kinsoku/>
        <w:wordWrap w:val="0"/>
        <w:overflowPunct w:val="0"/>
        <w:topLinePunct/>
        <w:bidi w:val="0"/>
        <w:adjustRightInd/>
        <w:snapToGrid/>
        <w:spacing w:before="63" w:beforeLines="20" w:after="63" w:afterLines="20" w:line="0" w:lineRule="atLeast"/>
        <w:jc w:val="center"/>
        <w:outlineLvl w:val="1"/>
        <w:rPr>
          <w:rFonts w:hint="eastAsia" w:ascii="仿宋" w:hAnsi="仿宋" w:eastAsia="仿宋" w:cs="仿宋"/>
          <w:color w:val="000000" w:themeColor="text1"/>
          <w:sz w:val="24"/>
          <w:szCs w:val="24"/>
          <w:highlight w:val="none"/>
          <w:u w:val="single"/>
          <w14:textFill>
            <w14:solidFill>
              <w14:schemeClr w14:val="tx1"/>
            </w14:solidFill>
          </w14:textFill>
        </w:rPr>
      </w:pPr>
      <w:bookmarkStart w:id="1703" w:name="_Toc8106"/>
      <w:bookmarkStart w:id="1704" w:name="_Toc11847"/>
      <w:bookmarkStart w:id="1705" w:name="_Toc18837"/>
      <w:bookmarkStart w:id="1706" w:name="_Toc19394"/>
      <w:bookmarkStart w:id="1707" w:name="_Toc19428"/>
      <w:bookmarkStart w:id="1708" w:name="_Toc8792"/>
      <w:bookmarkStart w:id="1709" w:name="_Toc5323"/>
      <w:bookmarkStart w:id="1710" w:name="_Toc14851"/>
      <w:bookmarkStart w:id="1711" w:name="_Toc29188"/>
      <w:bookmarkStart w:id="1712" w:name="_Toc22019"/>
      <w:bookmarkStart w:id="1713" w:name="_Toc12953"/>
      <w:bookmarkStart w:id="1714" w:name="_Toc2101"/>
      <w:bookmarkStart w:id="1715" w:name="_Toc4675"/>
      <w:bookmarkStart w:id="1716" w:name="_Toc29913"/>
      <w:bookmarkStart w:id="1717" w:name="_Toc13847"/>
      <w:bookmarkStart w:id="1718" w:name="_Toc28660"/>
      <w:bookmarkStart w:id="1719" w:name="_Toc27762"/>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61E4B49">
      <w:pPr>
        <w:keepNext w:val="0"/>
        <w:keepLines w:val="0"/>
        <w:pageBreakBefore w:val="0"/>
        <w:widowControl w:val="0"/>
        <w:kinsoku/>
        <w:bidi w:val="0"/>
        <w:adjustRightInd/>
        <w:snapToGrid/>
        <w:spacing w:before="63" w:beforeLines="20" w:after="63" w:afterLines="20" w:line="0" w:lineRule="atLeas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7135AF58">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000000" w:themeColor="text1"/>
          <w:sz w:val="24"/>
          <w:szCs w:val="24"/>
          <w:highlight w:val="none"/>
          <w14:textFill>
            <w14:solidFill>
              <w14:schemeClr w14:val="tx1"/>
            </w14:solidFill>
          </w14:textFill>
        </w:rPr>
      </w:pPr>
    </w:p>
    <w:p w14:paraId="7ACC5259">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000000" w:themeColor="text1"/>
          <w:sz w:val="24"/>
          <w:szCs w:val="24"/>
          <w:highlight w:val="none"/>
          <w14:textFill>
            <w14:solidFill>
              <w14:schemeClr w14:val="tx1"/>
            </w14:solidFill>
          </w14:textFill>
        </w:rPr>
      </w:pPr>
    </w:p>
    <w:p w14:paraId="65EC2789">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000000" w:themeColor="text1"/>
          <w:sz w:val="24"/>
          <w:szCs w:val="24"/>
          <w:highlight w:val="none"/>
          <w14:textFill>
            <w14:solidFill>
              <w14:schemeClr w14:val="tx1"/>
            </w14:solidFill>
          </w14:textFill>
        </w:rPr>
      </w:pPr>
    </w:p>
    <w:p w14:paraId="4F483A5C">
      <w:pPr>
        <w:keepNext w:val="0"/>
        <w:keepLines w:val="0"/>
        <w:pageBreakBefore w:val="0"/>
        <w:widowControl w:val="0"/>
        <w:kinsoku/>
        <w:wordWrap w:val="0"/>
        <w:overflowPunct/>
        <w:topLinePunct/>
        <w:autoSpaceDE/>
        <w:autoSpaceDN/>
        <w:bidi w:val="0"/>
        <w:adjustRightInd/>
        <w:snapToGrid/>
        <w:spacing w:line="0" w:lineRule="atLeas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w:t>
      </w:r>
    </w:p>
    <w:p w14:paraId="2FBB7931">
      <w:pPr>
        <w:keepNext w:val="0"/>
        <w:keepLines w:val="0"/>
        <w:pageBreakBefore w:val="0"/>
        <w:widowControl w:val="0"/>
        <w:kinsoku/>
        <w:wordWrap w:val="0"/>
        <w:overflowPunct/>
        <w:topLinePunct/>
        <w:autoSpaceDE/>
        <w:autoSpaceDN/>
        <w:bidi w:val="0"/>
        <w:adjustRightInd/>
        <w:snapToGrid/>
        <w:spacing w:line="0" w:lineRule="atLeas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单位负责人，是指单位法定代表人或者法律、行政法规规定代表单位行使职权的主要负责人。</w:t>
      </w:r>
    </w:p>
    <w:p w14:paraId="55EB85FC">
      <w:pPr>
        <w:keepNext w:val="0"/>
        <w:keepLines w:val="0"/>
        <w:pageBreakBefore w:val="0"/>
        <w:widowControl w:val="0"/>
        <w:kinsoku/>
        <w:wordWrap w:val="0"/>
        <w:overflowPunct/>
        <w:topLinePunct/>
        <w:autoSpaceDE/>
        <w:autoSpaceDN/>
        <w:bidi w:val="0"/>
        <w:adjustRightInd/>
        <w:snapToGrid/>
        <w:spacing w:line="0" w:lineRule="atLeas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直接控股关系，</w:t>
      </w:r>
      <w:r>
        <w:rPr>
          <w:rFonts w:hint="eastAsia" w:ascii="仿宋" w:hAnsi="仿宋" w:eastAsia="仿宋" w:cs="仿宋"/>
          <w:b/>
          <w:color w:val="000000" w:themeColor="text1"/>
          <w:sz w:val="24"/>
          <w:szCs w:val="24"/>
          <w:highlight w:val="none"/>
          <w:shd w:val="clear" w:color="auto" w:fill="FFFFFF"/>
          <w14:textFill>
            <w14:solidFill>
              <w14:schemeClr w14:val="tx1"/>
            </w14:solidFill>
          </w14:textFill>
        </w:rPr>
        <w:t>是指单位或个人股东的直接控股关系；控股股东，是指其出资额占有限责任公司资本总额</w:t>
      </w:r>
      <w:r>
        <w:rPr>
          <w:rFonts w:hint="eastAsia" w:ascii="仿宋" w:hAnsi="仿宋" w:eastAsia="仿宋" w:cs="仿宋"/>
          <w:b/>
          <w:color w:val="000000" w:themeColor="text1"/>
          <w:sz w:val="24"/>
          <w:szCs w:val="24"/>
          <w:highlight w:val="none"/>
          <w:shd w:val="clear" w:color="auto" w:fill="FFFFFF"/>
          <w:lang w:eastAsia="zh-CN"/>
          <w14:textFill>
            <w14:solidFill>
              <w14:schemeClr w14:val="tx1"/>
            </w14:solidFill>
          </w14:textFill>
        </w:rPr>
        <w:t>50%</w:t>
      </w:r>
      <w:r>
        <w:rPr>
          <w:rFonts w:hint="eastAsia" w:ascii="仿宋" w:hAnsi="仿宋" w:eastAsia="仿宋" w:cs="仿宋"/>
          <w:b/>
          <w:color w:val="000000" w:themeColor="text1"/>
          <w:sz w:val="24"/>
          <w:szCs w:val="24"/>
          <w:highlight w:val="none"/>
          <w:shd w:val="clear" w:color="auto" w:fill="FFFFFF"/>
          <w14:textFill>
            <w14:solidFill>
              <w14:schemeClr w14:val="tx1"/>
            </w14:solidFill>
          </w14:textFill>
        </w:rPr>
        <w:t>以上或者其持有的股份占股份有限公司股本总额</w:t>
      </w:r>
      <w:r>
        <w:rPr>
          <w:rFonts w:hint="eastAsia" w:ascii="仿宋" w:hAnsi="仿宋" w:eastAsia="仿宋" w:cs="仿宋"/>
          <w:b/>
          <w:color w:val="000000" w:themeColor="text1"/>
          <w:sz w:val="24"/>
          <w:szCs w:val="24"/>
          <w:highlight w:val="none"/>
          <w:shd w:val="clear" w:color="auto" w:fill="FFFFFF"/>
          <w:lang w:eastAsia="zh-CN"/>
          <w14:textFill>
            <w14:solidFill>
              <w14:schemeClr w14:val="tx1"/>
            </w14:solidFill>
          </w14:textFill>
        </w:rPr>
        <w:t>50%</w:t>
      </w:r>
      <w:r>
        <w:rPr>
          <w:rFonts w:hint="eastAsia" w:ascii="仿宋" w:hAnsi="仿宋" w:eastAsia="仿宋" w:cs="仿宋"/>
          <w:b/>
          <w:color w:val="000000" w:themeColor="text1"/>
          <w:sz w:val="24"/>
          <w:szCs w:val="24"/>
          <w:highlight w:val="none"/>
          <w:shd w:val="clear" w:color="auto" w:fill="FFFFFF"/>
          <w14:textFill>
            <w14:solidFill>
              <w14:schemeClr w14:val="tx1"/>
            </w14:solidFill>
          </w14:textFill>
        </w:rPr>
        <w:t>以上的股东；出资额或者持有股份的比例虽然不足</w:t>
      </w:r>
      <w:r>
        <w:rPr>
          <w:rFonts w:hint="eastAsia" w:ascii="仿宋" w:hAnsi="仿宋" w:eastAsia="仿宋" w:cs="仿宋"/>
          <w:b/>
          <w:color w:val="000000" w:themeColor="text1"/>
          <w:sz w:val="24"/>
          <w:szCs w:val="24"/>
          <w:highlight w:val="none"/>
          <w:shd w:val="clear" w:color="auto" w:fill="FFFFFF"/>
          <w:lang w:eastAsia="zh-CN"/>
          <w14:textFill>
            <w14:solidFill>
              <w14:schemeClr w14:val="tx1"/>
            </w14:solidFill>
          </w14:textFill>
        </w:rPr>
        <w:t>50%</w:t>
      </w:r>
      <w:r>
        <w:rPr>
          <w:rFonts w:hint="eastAsia" w:ascii="仿宋" w:hAnsi="仿宋" w:eastAsia="仿宋" w:cs="仿宋"/>
          <w:b/>
          <w:color w:val="000000" w:themeColor="text1"/>
          <w:sz w:val="24"/>
          <w:szCs w:val="24"/>
          <w:highlight w:val="none"/>
          <w:shd w:val="clear" w:color="auto" w:fill="FFFFFF"/>
          <w14:textFill>
            <w14:solidFill>
              <w14:schemeClr w14:val="tx1"/>
            </w14:solidFill>
          </w14:textFill>
        </w:rPr>
        <w:t>，但依其出资额或者持有的股份所享有的表决权已足以对股东会、股东大会的决议产生重大影响的股东</w:t>
      </w:r>
      <w:r>
        <w:rPr>
          <w:rFonts w:hint="eastAsia" w:ascii="仿宋" w:hAnsi="仿宋" w:eastAsia="仿宋" w:cs="仿宋"/>
          <w:b/>
          <w:color w:val="000000" w:themeColor="text1"/>
          <w:sz w:val="24"/>
          <w:szCs w:val="24"/>
          <w:highlight w:val="none"/>
          <w14:textFill>
            <w14:solidFill>
              <w14:schemeClr w14:val="tx1"/>
            </w14:solidFill>
          </w14:textFill>
        </w:rPr>
        <w:t>。</w:t>
      </w:r>
    </w:p>
    <w:p w14:paraId="237530B7">
      <w:pPr>
        <w:keepNext w:val="0"/>
        <w:keepLines w:val="0"/>
        <w:pageBreakBefore w:val="0"/>
        <w:widowControl w:val="0"/>
        <w:kinsoku/>
        <w:wordWrap w:val="0"/>
        <w:overflowPunct/>
        <w:topLinePunct/>
        <w:autoSpaceDE/>
        <w:autoSpaceDN/>
        <w:bidi w:val="0"/>
        <w:adjustRightInd/>
        <w:snapToGrid/>
        <w:spacing w:line="0" w:lineRule="atLeast"/>
        <w:ind w:firstLine="482"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 w:hAnsi="仿宋" w:eastAsia="仿宋" w:cs="仿宋"/>
          <w:b/>
          <w:color w:val="000000" w:themeColor="text1"/>
          <w:sz w:val="24"/>
          <w:szCs w:val="24"/>
          <w:highlight w:val="none"/>
          <w:lang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直接管理关系，是指不具有出资持股关系的其他单位之间存在的直接管理与被管理关系，如上下级关系的事业单位和团体组织。</w:t>
      </w:r>
    </w:p>
    <w:p w14:paraId="696E153A">
      <w:pPr>
        <w:pStyle w:val="3"/>
        <w:keepNext w:val="0"/>
        <w:keepLines w:val="0"/>
        <w:pageBreakBefore w:val="0"/>
        <w:widowControl w:val="0"/>
        <w:numPr>
          <w:ilvl w:val="0"/>
          <w:numId w:val="0"/>
        </w:numPr>
        <w:kinsoku/>
        <w:wordWrap w:val="0"/>
        <w:overflowPunct/>
        <w:topLinePunct/>
        <w:autoSpaceDE/>
        <w:autoSpaceDN/>
        <w:bidi w:val="0"/>
        <w:adjustRightInd/>
        <w:snapToGrid/>
        <w:spacing w:before="0" w:after="0" w:line="360" w:lineRule="auto"/>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bookmarkStart w:id="1720" w:name="_Toc3515"/>
      <w:bookmarkStart w:id="1721" w:name="_Toc16880"/>
      <w:bookmarkStart w:id="1722" w:name="_Toc10657"/>
      <w:bookmarkStart w:id="1723" w:name="_Toc25946"/>
      <w:bookmarkStart w:id="1724" w:name="_Toc23453"/>
      <w:bookmarkStart w:id="1725" w:name="_Toc20617"/>
      <w:bookmarkStart w:id="1726" w:name="_Toc2607"/>
      <w:bookmarkStart w:id="1727" w:name="_Toc28297"/>
      <w:bookmarkStart w:id="1728" w:name="_Toc10708"/>
      <w:bookmarkStart w:id="1729" w:name="_Toc13964"/>
      <w:bookmarkStart w:id="1730" w:name="_Toc25347"/>
      <w:bookmarkStart w:id="1731" w:name="_Toc20323"/>
      <w:bookmarkStart w:id="1732" w:name="_Toc12425"/>
      <w:bookmarkStart w:id="1733" w:name="_Toc19200"/>
      <w:bookmarkStart w:id="1734" w:name="_Toc14317"/>
      <w:bookmarkStart w:id="1735" w:name="_Toc31406"/>
      <w:bookmarkStart w:id="1736" w:name="_Toc6890"/>
      <w:bookmarkStart w:id="1737" w:name="_Toc12270"/>
      <w:bookmarkStart w:id="1738" w:name="_Toc14390"/>
      <w:bookmarkStart w:id="1739" w:name="_Toc31534"/>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无串通投标行为的承诺函</w:t>
      </w:r>
      <w:bookmarkEnd w:id="1678"/>
      <w:bookmarkEnd w:id="1679"/>
      <w:bookmarkEnd w:id="1680"/>
      <w:bookmarkEnd w:id="1681"/>
      <w:r>
        <w:rPr>
          <w:rFonts w:hint="eastAsia" w:ascii="仿宋" w:hAnsi="仿宋" w:eastAsia="仿宋" w:cs="仿宋"/>
          <w:color w:val="000000" w:themeColor="text1"/>
          <w:sz w:val="28"/>
          <w:szCs w:val="28"/>
          <w:highlight w:val="none"/>
          <w:lang w:val="en-US" w:eastAsia="zh-CN"/>
          <w14:textFill>
            <w14:solidFill>
              <w14:schemeClr w14:val="tx1"/>
            </w14:solidFill>
          </w14:textFill>
        </w:rPr>
        <w:t>（实质性格式）</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282E6386">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b/>
          <w:color w:val="000000" w:themeColor="text1"/>
          <w:kern w:val="0"/>
          <w:sz w:val="24"/>
          <w:szCs w:val="24"/>
          <w:highlight w:val="none"/>
          <w14:textFill>
            <w14:solidFill>
              <w14:schemeClr w14:val="tx1"/>
            </w14:solidFill>
          </w14:textFill>
        </w:rPr>
      </w:pPr>
      <w:bookmarkStart w:id="1740" w:name="_Toc11343"/>
      <w:bookmarkStart w:id="1741" w:name="_Toc22801"/>
      <w:bookmarkStart w:id="1742" w:name="_Toc26944"/>
      <w:bookmarkStart w:id="1743" w:name="_Toc32553"/>
      <w:bookmarkStart w:id="1744" w:name="_Toc20134"/>
      <w:bookmarkStart w:id="1745" w:name="_Toc6957"/>
      <w:bookmarkStart w:id="1746" w:name="_Toc25173"/>
      <w:r>
        <w:rPr>
          <w:rFonts w:hint="eastAsia" w:ascii="仿宋" w:hAnsi="仿宋" w:eastAsia="仿宋" w:cs="仿宋"/>
          <w:b/>
          <w:color w:val="000000" w:themeColor="text1"/>
          <w:kern w:val="0"/>
          <w:sz w:val="24"/>
          <w:szCs w:val="24"/>
          <w:highlight w:val="none"/>
          <w14:textFill>
            <w14:solidFill>
              <w14:schemeClr w14:val="tx1"/>
            </w14:solidFill>
          </w14:textFill>
        </w:rPr>
        <w:t>一、</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我</w:t>
      </w: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公司承诺无下列恶意串通投标的情形（包括但不限于）</w:t>
      </w:r>
      <w:r>
        <w:rPr>
          <w:rFonts w:hint="eastAsia" w:ascii="仿宋" w:hAnsi="仿宋" w:eastAsia="仿宋" w:cs="仿宋"/>
          <w:b/>
          <w:color w:val="000000" w:themeColor="text1"/>
          <w:kern w:val="0"/>
          <w:sz w:val="24"/>
          <w:szCs w:val="24"/>
          <w:highlight w:val="none"/>
          <w14:textFill>
            <w14:solidFill>
              <w14:schemeClr w14:val="tx1"/>
            </w14:solidFill>
          </w14:textFill>
        </w:rPr>
        <w:t>：</w:t>
      </w:r>
      <w:bookmarkEnd w:id="1740"/>
      <w:bookmarkEnd w:id="1741"/>
      <w:bookmarkEnd w:id="1742"/>
      <w:bookmarkEnd w:id="1743"/>
      <w:bookmarkEnd w:id="1744"/>
      <w:bookmarkEnd w:id="1745"/>
      <w:bookmarkEnd w:id="1746"/>
    </w:p>
    <w:p w14:paraId="7C3F5CE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直接或者间接从采购人或者采购代理机构处获得其他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的相关情况并修改其投标文件或者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6863D32B">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按照采购人或者采购代理机构的授意撤换、修改投标文件或者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123316CF">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之间协商报价、技术方案等投标文件或者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投标文件</w:t>
      </w:r>
      <w:r>
        <w:rPr>
          <w:rFonts w:hint="eastAsia" w:ascii="仿宋" w:hAnsi="仿宋" w:eastAsia="仿宋" w:cs="仿宋"/>
          <w:color w:val="000000" w:themeColor="text1"/>
          <w:kern w:val="0"/>
          <w:sz w:val="24"/>
          <w:szCs w:val="24"/>
          <w:highlight w:val="none"/>
          <w14:textFill>
            <w14:solidFill>
              <w14:schemeClr w14:val="tx1"/>
            </w14:solidFill>
          </w14:textFill>
        </w:rPr>
        <w:t>的实质性内容；</w:t>
      </w:r>
    </w:p>
    <w:p w14:paraId="3323694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（四）属于同一集团、协会、商会等组织成员的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按照该组织要求协同参加政府采购活动；</w:t>
      </w:r>
    </w:p>
    <w:p w14:paraId="45F1F62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（五）</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之间事先约定由某一特定</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中标、成交；</w:t>
      </w:r>
    </w:p>
    <w:p w14:paraId="544789B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（六）</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之间商定部分</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放弃参加政府采购活动或者放弃中标、成交；</w:t>
      </w:r>
    </w:p>
    <w:p w14:paraId="6EB2455E">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（七）</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与采购人或者采购代理机构之间、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相互之间，为谋求特定</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中标、成交或者排斥其他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的其他串通行为。</w:t>
      </w:r>
    </w:p>
    <w:p w14:paraId="6AC667D8">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outlineLvl w:val="1"/>
        <w:rPr>
          <w:rFonts w:hint="eastAsia" w:ascii="仿宋" w:hAnsi="仿宋" w:eastAsia="仿宋" w:cs="仿宋"/>
          <w:color w:val="000000" w:themeColor="text1"/>
          <w:kern w:val="0"/>
          <w:sz w:val="24"/>
          <w:szCs w:val="24"/>
          <w:highlight w:val="none"/>
          <w14:textFill>
            <w14:solidFill>
              <w14:schemeClr w14:val="tx1"/>
            </w14:solidFill>
          </w14:textFill>
        </w:rPr>
      </w:pPr>
      <w:bookmarkStart w:id="1747" w:name="_Toc21612"/>
      <w:bookmarkStart w:id="1748" w:name="_Toc26256"/>
      <w:bookmarkStart w:id="1749" w:name="_Toc18452"/>
      <w:bookmarkStart w:id="1750" w:name="_Toc11602"/>
      <w:bookmarkStart w:id="1751" w:name="_Toc433"/>
      <w:bookmarkStart w:id="1752" w:name="_Toc27695"/>
      <w:bookmarkStart w:id="1753" w:name="_Toc3490"/>
      <w:r>
        <w:rPr>
          <w:rFonts w:hint="eastAsia" w:ascii="仿宋" w:hAnsi="仿宋" w:eastAsia="仿宋" w:cs="仿宋"/>
          <w:b/>
          <w:color w:val="000000" w:themeColor="text1"/>
          <w:kern w:val="0"/>
          <w:sz w:val="24"/>
          <w:szCs w:val="24"/>
          <w:highlight w:val="none"/>
          <w14:textFill>
            <w14:solidFill>
              <w14:schemeClr w14:val="tx1"/>
            </w14:solidFill>
          </w14:textFill>
        </w:rPr>
        <w:t>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我</w:t>
      </w: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公司承诺无下列相互串通投标的情形（包括但不限于）</w:t>
      </w:r>
      <w:r>
        <w:rPr>
          <w:rFonts w:hint="eastAsia" w:ascii="仿宋" w:hAnsi="仿宋" w:eastAsia="仿宋" w:cs="仿宋"/>
          <w:b/>
          <w:color w:val="000000" w:themeColor="text1"/>
          <w:kern w:val="0"/>
          <w:sz w:val="24"/>
          <w:szCs w:val="24"/>
          <w:highlight w:val="none"/>
          <w14:textFill>
            <w14:solidFill>
              <w14:schemeClr w14:val="tx1"/>
            </w14:solidFill>
          </w14:textFill>
        </w:rPr>
        <w:t>：</w:t>
      </w:r>
      <w:bookmarkEnd w:id="1747"/>
      <w:bookmarkEnd w:id="1748"/>
      <w:bookmarkEnd w:id="1749"/>
      <w:bookmarkEnd w:id="1750"/>
      <w:bookmarkEnd w:id="1751"/>
      <w:bookmarkEnd w:id="1752"/>
      <w:bookmarkEnd w:id="1753"/>
    </w:p>
    <w:p w14:paraId="70C10431">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（一）不同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的投标文件由同一单位或者个人编制；</w:t>
      </w:r>
    </w:p>
    <w:p w14:paraId="7B23A83D">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委托同一单位或者个人办理投标事宜；</w:t>
      </w:r>
    </w:p>
    <w:p w14:paraId="01BB1C02">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的投标文件载明的项目管理成员或者联系人员为同一人；</w:t>
      </w:r>
    </w:p>
    <w:p w14:paraId="6D01BBC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（四）不同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的投标文件异常一致或者投标报价呈规律性差异；</w:t>
      </w:r>
    </w:p>
    <w:p w14:paraId="7168302C">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（五）不同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的投标文件相互混装；</w:t>
      </w:r>
    </w:p>
    <w:p w14:paraId="6C8624B5">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（六）不同</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的投标保证金从同一单位或者个人的账户转出。</w:t>
      </w:r>
    </w:p>
    <w:p w14:paraId="47DDB981">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以上情形一经核查属实，我方愿意承担一切后果，并不再寻求任何旨在减轻或者免除法律责任的辩解。</w:t>
      </w:r>
    </w:p>
    <w:p w14:paraId="2818DAA4">
      <w:pPr>
        <w:keepNext w:val="0"/>
        <w:keepLines w:val="0"/>
        <w:pageBreakBefore w:val="0"/>
        <w:widowControl w:val="0"/>
        <w:kinsoku/>
        <w:wordWrap w:val="0"/>
        <w:overflowPunct/>
        <w:topLinePunct/>
        <w:autoSpaceDE/>
        <w:autoSpaceDN/>
        <w:bidi w:val="0"/>
        <w:adjustRightInd/>
        <w:snapToGrid/>
        <w:spacing w:line="360" w:lineRule="auto"/>
        <w:ind w:left="0" w:firstLine="482" w:firstLineChars="200"/>
        <w:jc w:val="left"/>
        <w:textAlignment w:val="auto"/>
        <w:rPr>
          <w:rFonts w:hint="eastAsia" w:ascii="仿宋" w:hAnsi="仿宋" w:eastAsia="仿宋" w:cs="仿宋"/>
          <w:b/>
          <w:color w:val="000000" w:themeColor="text1"/>
          <w:kern w:val="0"/>
          <w:sz w:val="24"/>
          <w:szCs w:val="24"/>
          <w:highlight w:val="none"/>
          <w14:textFill>
            <w14:solidFill>
              <w14:schemeClr w14:val="tx1"/>
            </w14:solidFill>
          </w14:textFill>
        </w:rPr>
      </w:pPr>
    </w:p>
    <w:p w14:paraId="53716B3F">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65E57853">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577EABB5">
      <w:pPr>
        <w:wordWrap w:val="0"/>
        <w:overflowPunct w:val="0"/>
        <w:topLinePunct/>
        <w:spacing w:line="36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p>
    <w:p w14:paraId="6ECF1C55">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39DC0BC4">
      <w:pPr>
        <w:wordWrap w:val="0"/>
        <w:overflowPunct w:val="0"/>
        <w:topLinePunct/>
        <w:spacing w:line="360" w:lineRule="auto"/>
        <w:jc w:val="center"/>
        <w:outlineLvl w:val="2"/>
        <w:rPr>
          <w:rFonts w:hint="eastAsia" w:ascii="仿宋" w:hAnsi="仿宋" w:eastAsia="仿宋" w:cs="仿宋"/>
          <w:color w:val="000000" w:themeColor="text1"/>
          <w:sz w:val="24"/>
          <w:szCs w:val="24"/>
          <w:highlight w:val="none"/>
          <w:u w:val="single"/>
          <w14:textFill>
            <w14:solidFill>
              <w14:schemeClr w14:val="tx1"/>
            </w14:solidFill>
          </w14:textFill>
        </w:rPr>
      </w:pPr>
      <w:bookmarkStart w:id="1754" w:name="_Toc31825"/>
      <w:bookmarkStart w:id="1755" w:name="_Toc11005"/>
      <w:bookmarkStart w:id="1756" w:name="_Toc10443"/>
      <w:bookmarkStart w:id="1757" w:name="_Toc16803"/>
      <w:bookmarkStart w:id="1758" w:name="_Toc27773"/>
      <w:bookmarkStart w:id="1759" w:name="_Toc16604"/>
      <w:bookmarkStart w:id="1760" w:name="_Toc7315"/>
      <w:bookmarkStart w:id="1761" w:name="_Toc13274"/>
      <w:bookmarkStart w:id="1762" w:name="_Toc9216"/>
      <w:bookmarkStart w:id="1763" w:name="_Toc17160"/>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754"/>
      <w:bookmarkEnd w:id="1755"/>
      <w:bookmarkEnd w:id="1756"/>
      <w:bookmarkEnd w:id="1757"/>
      <w:bookmarkEnd w:id="1758"/>
      <w:bookmarkEnd w:id="1759"/>
      <w:bookmarkEnd w:id="1760"/>
      <w:bookmarkEnd w:id="1761"/>
      <w:bookmarkEnd w:id="1762"/>
      <w:bookmarkEnd w:id="1763"/>
    </w:p>
    <w:p w14:paraId="4FD4D4C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sectPr>
          <w:footerReference r:id="rId10" w:type="first"/>
          <w:footerReference r:id="rId9" w:type="default"/>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000000" w:themeColor="text1"/>
          <w:sz w:val="24"/>
          <w:szCs w:val="24"/>
          <w:highlight w:val="none"/>
          <w14:textFill>
            <w14:solidFill>
              <w14:schemeClr w14:val="tx1"/>
            </w14:solidFill>
          </w14:textFill>
        </w:rPr>
        <w:t>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706F37B1">
      <w:pPr>
        <w:jc w:val="center"/>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1764" w:name="_Toc14138"/>
      <w:bookmarkStart w:id="1765" w:name="_Toc12305"/>
      <w:bookmarkStart w:id="1766" w:name="_Toc7887"/>
      <w:bookmarkStart w:id="1767" w:name="_Toc22255"/>
      <w:bookmarkStart w:id="1768" w:name="_Toc5455"/>
      <w:bookmarkStart w:id="1769" w:name="_Toc10101"/>
      <w:bookmarkStart w:id="1770" w:name="_Toc11664"/>
      <w:bookmarkStart w:id="1771" w:name="_Toc16335"/>
      <w:bookmarkStart w:id="1772" w:name="_Toc12343"/>
      <w:bookmarkStart w:id="1773" w:name="_Toc12421"/>
      <w:bookmarkStart w:id="1774" w:name="_Toc8670"/>
      <w:bookmarkStart w:id="1775" w:name="_Toc14658"/>
      <w:bookmarkStart w:id="1776" w:name="_Toc18548"/>
      <w:bookmarkStart w:id="1777" w:name="_Toc19107"/>
      <w:bookmarkStart w:id="1778" w:name="_Toc8755"/>
      <w:bookmarkStart w:id="1779" w:name="_Toc20820"/>
      <w:bookmarkStart w:id="1780" w:name="_Toc2263"/>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 w:val="28"/>
          <w:szCs w:val="28"/>
          <w:highlight w:val="none"/>
          <w14:textFill>
            <w14:solidFill>
              <w14:schemeClr w14:val="tx1"/>
            </w14:solidFill>
          </w14:textFill>
        </w:rPr>
        <w:t>、</w:t>
      </w:r>
      <w:bookmarkEnd w:id="1682"/>
      <w:bookmarkEnd w:id="1683"/>
      <w:bookmarkEnd w:id="1684"/>
      <w:bookmarkEnd w:id="1685"/>
      <w:bookmarkEnd w:id="1686"/>
      <w:bookmarkEnd w:id="1687"/>
      <w:bookmarkEnd w:id="1688"/>
      <w:bookmarkEnd w:id="1689"/>
      <w:bookmarkEnd w:id="1690"/>
      <w:bookmarkEnd w:id="1691"/>
      <w:bookmarkEnd w:id="1692"/>
      <w:bookmarkEnd w:id="1693"/>
      <w:r>
        <w:rPr>
          <w:rFonts w:hint="eastAsia" w:ascii="仿宋" w:hAnsi="仿宋" w:eastAsia="仿宋" w:cs="仿宋"/>
          <w:b/>
          <w:bCs/>
          <w:color w:val="000000" w:themeColor="text1"/>
          <w:sz w:val="28"/>
          <w:szCs w:val="28"/>
          <w:highlight w:val="none"/>
          <w14:textFill>
            <w14:solidFill>
              <w14:schemeClr w14:val="tx1"/>
            </w14:solidFill>
          </w14:textFill>
        </w:rPr>
        <w:t>本项目的特定资格</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证明文件</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p>
    <w:p w14:paraId="0B780F6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1781" w:name="_Toc145164067"/>
    </w:p>
    <w:p w14:paraId="762BB646">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具体要求详见</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“第一章 招标公告”及“第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章 评审办法”资格审查标准</w:t>
      </w:r>
    </w:p>
    <w:p w14:paraId="661D2F8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相关要求。</w:t>
      </w:r>
    </w:p>
    <w:p w14:paraId="159A396E">
      <w:pPr>
        <w:keepNext w:val="0"/>
        <w:keepLines w:val="0"/>
        <w:pageBreakBefore w:val="0"/>
        <w:widowControl w:val="0"/>
        <w:kinsoku/>
        <w:wordWrap w:val="0"/>
        <w:overflowPunct/>
        <w:topLinePunct/>
        <w:autoSpaceDE/>
        <w:autoSpaceDN/>
        <w:bidi w:val="0"/>
        <w:adjustRightInd/>
        <w:snapToGrid/>
        <w:ind w:left="0" w:leftChars="0" w:right="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D9C2A9E">
      <w:pPr>
        <w:keepNext w:val="0"/>
        <w:keepLines w:val="0"/>
        <w:pageBreakBefore w:val="0"/>
        <w:widowControl w:val="0"/>
        <w:kinsoku/>
        <w:wordWrap w:val="0"/>
        <w:overflowPunct/>
        <w:topLinePunct/>
        <w:autoSpaceDE/>
        <w:autoSpaceDN/>
        <w:bidi w:val="0"/>
        <w:adjustRightInd/>
        <w:snapToGrid/>
        <w:ind w:left="0" w:leftChars="0" w:right="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50715B2">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C9E9F95">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2EFE4A3">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A16EEC6">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7DD5770B">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203B8DD">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34A219E5">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73C1B18E">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A42E81B">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72C5444">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062F0179">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A8BA76E">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0C312ED">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4B88832B">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4360A30">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2FE2810">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203775D">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869623E">
      <w:pPr>
        <w:pStyle w:val="18"/>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784A06AA">
      <w:pPr>
        <w:pStyle w:val="18"/>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35474B88">
      <w:pPr>
        <w:pStyle w:val="18"/>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5444E3F5">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1D5F28FD">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79ADE11">
      <w:pP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216FFBAE">
      <w:pPr>
        <w:pStyle w:val="18"/>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4BEF8AA">
      <w:pPr>
        <w:pStyle w:val="1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bookmarkEnd w:id="1781"/>
    <w:p w14:paraId="23817DCE">
      <w:pPr>
        <w:pStyle w:val="5"/>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sectPr>
          <w:footerReference r:id="rId11" w:type="default"/>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sectPr>
      </w:pPr>
      <w:bookmarkStart w:id="1782" w:name="_Toc14821"/>
      <w:bookmarkStart w:id="1783" w:name="_Toc19034"/>
    </w:p>
    <w:bookmarkEnd w:id="1782"/>
    <w:bookmarkEnd w:id="1783"/>
    <w:p w14:paraId="1523F3F3">
      <w:pPr>
        <w:pStyle w:val="5"/>
        <w:jc w:val="center"/>
        <w:rPr>
          <w:rFonts w:hint="eastAsia" w:ascii="仿宋" w:hAnsi="仿宋" w:eastAsia="仿宋" w:cs="仿宋"/>
          <w:b w:val="0"/>
          <w:color w:val="000000" w:themeColor="text1"/>
          <w:sz w:val="44"/>
          <w:szCs w:val="44"/>
          <w:highlight w:val="none"/>
          <w:lang w:eastAsia="zh-CN"/>
          <w14:textFill>
            <w14:solidFill>
              <w14:schemeClr w14:val="tx1"/>
            </w14:solidFill>
          </w14:textFill>
        </w:rPr>
      </w:pPr>
      <w:bookmarkStart w:id="1784" w:name="_Toc6708"/>
      <w:bookmarkStart w:id="1785" w:name="_Toc4517"/>
      <w:bookmarkStart w:id="1786" w:name="_Toc12117"/>
      <w:bookmarkStart w:id="1787" w:name="_Toc27318"/>
      <w:bookmarkStart w:id="1788" w:name="_Toc27426"/>
      <w:bookmarkStart w:id="1789" w:name="_Toc22372"/>
      <w:bookmarkStart w:id="1790" w:name="_Toc17347"/>
      <w:bookmarkStart w:id="1791" w:name="_Toc18841"/>
      <w:r>
        <w:rPr>
          <w:rStyle w:val="31"/>
          <w:rFonts w:hint="eastAsia" w:ascii="仿宋" w:hAnsi="仿宋" w:eastAsia="仿宋" w:cs="仿宋"/>
          <w:b/>
          <w:bCs/>
          <w:color w:val="000000" w:themeColor="text1"/>
          <w:sz w:val="44"/>
          <w:szCs w:val="44"/>
          <w:highlight w:val="none"/>
          <w:lang w:val="en-US" w:eastAsia="zh-CN"/>
          <w14:textFill>
            <w14:solidFill>
              <w14:schemeClr w14:val="tx1"/>
            </w14:solidFill>
          </w14:textFill>
        </w:rPr>
        <w:t>报价</w:t>
      </w:r>
      <w:r>
        <w:rPr>
          <w:rStyle w:val="31"/>
          <w:rFonts w:hint="eastAsia" w:ascii="仿宋" w:hAnsi="仿宋" w:eastAsia="仿宋" w:cs="仿宋"/>
          <w:b/>
          <w:bCs/>
          <w:color w:val="000000" w:themeColor="text1"/>
          <w:sz w:val="44"/>
          <w:szCs w:val="44"/>
          <w:highlight w:val="none"/>
          <w:lang w:eastAsia="zh-CN"/>
          <w14:textFill>
            <w14:solidFill>
              <w14:schemeClr w14:val="tx1"/>
            </w14:solidFill>
          </w14:textFill>
        </w:rPr>
        <w:t>部分</w:t>
      </w:r>
      <w:bookmarkEnd w:id="1784"/>
      <w:bookmarkEnd w:id="1785"/>
      <w:bookmarkEnd w:id="1786"/>
      <w:bookmarkEnd w:id="1787"/>
      <w:bookmarkEnd w:id="1788"/>
      <w:bookmarkEnd w:id="1789"/>
      <w:bookmarkEnd w:id="1790"/>
      <w:bookmarkEnd w:id="1791"/>
    </w:p>
    <w:p w14:paraId="099FC444">
      <w:pPr>
        <w:pStyle w:val="5"/>
        <w:bidi w:val="0"/>
        <w:jc w:val="center"/>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1792" w:name="_Toc2199"/>
      <w:bookmarkStart w:id="1793" w:name="_Toc19622"/>
      <w:bookmarkStart w:id="1794" w:name="_Toc19698"/>
      <w:bookmarkStart w:id="1795" w:name="_Toc6010"/>
      <w:bookmarkStart w:id="1796" w:name="_Toc1452"/>
      <w:bookmarkStart w:id="1797" w:name="_Toc30656"/>
      <w:bookmarkStart w:id="1798" w:name="_Toc10605"/>
      <w:bookmarkStart w:id="1799" w:name="_Toc17485"/>
      <w:bookmarkStart w:id="1800" w:name="_Toc20840"/>
      <w:bookmarkStart w:id="1801" w:name="_Toc14293"/>
      <w:bookmarkStart w:id="1802" w:name="_Toc21143"/>
      <w:bookmarkStart w:id="1803" w:name="_Toc8360"/>
      <w:bookmarkStart w:id="1804" w:name="_Toc24607"/>
      <w:bookmarkStart w:id="1805" w:name="_Toc18783"/>
    </w:p>
    <w:p w14:paraId="59311212">
      <w:pPr>
        <w:pStyle w:val="5"/>
        <w:bidi w:val="0"/>
        <w:jc w:val="center"/>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06" w:name="_Toc27134"/>
      <w:bookmarkStart w:id="1807" w:name="_Toc26654"/>
      <w:bookmarkStart w:id="1808" w:name="_Toc17181"/>
      <w:bookmarkStart w:id="1809" w:name="_Toc10733"/>
      <w:bookmarkStart w:id="1810" w:name="_Toc25214"/>
      <w:bookmarkStart w:id="1811" w:name="_Toc27958"/>
      <w:r>
        <w:rPr>
          <w:rFonts w:hint="eastAsia" w:ascii="仿宋" w:hAnsi="仿宋" w:eastAsia="仿宋" w:cs="仿宋"/>
          <w:color w:val="000000" w:themeColor="text1"/>
          <w:sz w:val="28"/>
          <w:szCs w:val="28"/>
          <w:highlight w:val="none"/>
          <w:lang w:val="en-US" w:eastAsia="zh-CN"/>
          <w14:textFill>
            <w14:solidFill>
              <w14:schemeClr w14:val="tx1"/>
            </w14:solidFill>
          </w14:textFill>
        </w:rPr>
        <w:t>一、开标</w:t>
      </w:r>
      <w:r>
        <w:rPr>
          <w:rFonts w:hint="eastAsia" w:ascii="仿宋" w:hAnsi="仿宋" w:eastAsia="仿宋" w:cs="仿宋"/>
          <w:color w:val="000000" w:themeColor="text1"/>
          <w:sz w:val="28"/>
          <w:szCs w:val="28"/>
          <w:highlight w:val="none"/>
          <w:lang w:eastAsia="zh-CN"/>
          <w14:textFill>
            <w14:solidFill>
              <w14:schemeClr w14:val="tx1"/>
            </w14:solidFill>
          </w14:textFill>
        </w:rPr>
        <w:t>一览表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（实质性格式）</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692FDD19">
      <w:pPr>
        <w:keepNext w:val="0"/>
        <w:keepLines w:val="0"/>
        <w:pageBreakBefore w:val="0"/>
        <w:widowControl w:val="0"/>
        <w:numPr>
          <w:ilvl w:val="0"/>
          <w:numId w:val="0"/>
        </w:numPr>
        <w:kinsoku/>
        <w:wordWrap/>
        <w:overflowPunct w:val="0"/>
        <w:topLinePunct/>
        <w:autoSpaceDE/>
        <w:autoSpaceDN/>
        <w:bidi w:val="0"/>
        <w:adjustRightInd/>
        <w:snapToGrid/>
        <w:ind w:left="-88" w:leftChars="-42"/>
        <w:jc w:val="left"/>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p>
    <w:p w14:paraId="13EE3A52">
      <w:pPr>
        <w:keepNext w:val="0"/>
        <w:keepLines w:val="0"/>
        <w:pageBreakBefore w:val="0"/>
        <w:widowControl w:val="0"/>
        <w:kinsoku/>
        <w:wordWrap w:val="0"/>
        <w:overflowPunct w:val="0"/>
        <w:topLinePunct/>
        <w:autoSpaceDE/>
        <w:autoSpaceDN/>
        <w:bidi w:val="0"/>
        <w:adjustRightInd/>
        <w:snapToGrid/>
        <w:ind w:left="-88" w:leftChars="-42"/>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48A7B802">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p>
    <w:p w14:paraId="221C326C">
      <w:pPr>
        <w:keepNext w:val="0"/>
        <w:keepLines w:val="0"/>
        <w:pageBreakBefore w:val="0"/>
        <w:widowControl w:val="0"/>
        <w:kinsoku/>
        <w:wordWrap w:val="0"/>
        <w:overflowPunct w:val="0"/>
        <w:topLinePunct/>
        <w:autoSpaceDE/>
        <w:autoSpaceDN/>
        <w:bidi w:val="0"/>
        <w:adjustRightInd/>
        <w:snapToGrid/>
        <w:ind w:left="-88" w:leftChars="-42"/>
        <w:jc w:val="right"/>
        <w:rPr>
          <w:rFonts w:hint="eastAsia" w:ascii="仿宋" w:hAnsi="仿宋" w:eastAsia="仿宋" w:cs="仿宋"/>
          <w:color w:val="000000" w:themeColor="text1"/>
          <w:sz w:val="24"/>
          <w:szCs w:val="24"/>
          <w:highlight w:val="none"/>
          <w14:textFill>
            <w14:solidFill>
              <w14:schemeClr w14:val="tx1"/>
            </w14:solidFill>
          </w14:textFill>
        </w:rPr>
      </w:pPr>
    </w:p>
    <w:p w14:paraId="26FA349A">
      <w:pPr>
        <w:keepNext w:val="0"/>
        <w:keepLines w:val="0"/>
        <w:pageBreakBefore w:val="0"/>
        <w:widowControl w:val="0"/>
        <w:kinsoku/>
        <w:wordWrap w:val="0"/>
        <w:overflowPunct w:val="0"/>
        <w:topLinePunct/>
        <w:autoSpaceDE/>
        <w:autoSpaceDN/>
        <w:bidi w:val="0"/>
        <w:adjustRightInd/>
        <w:snapToGrid/>
        <w:ind w:left="-88" w:leftChars="-4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金额单位：人民币 元</w:t>
      </w:r>
    </w:p>
    <w:tbl>
      <w:tblPr>
        <w:tblStyle w:val="19"/>
        <w:tblW w:w="10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10"/>
        <w:gridCol w:w="7911"/>
      </w:tblGrid>
      <w:tr w14:paraId="29613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2410" w:type="dxa"/>
            <w:noWrap w:val="0"/>
            <w:vAlign w:val="center"/>
          </w:tcPr>
          <w:p w14:paraId="204E5744">
            <w:pPr>
              <w:ind w:firstLine="9" w:firstLineChars="4"/>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投标总报价</w:t>
            </w:r>
            <w:r>
              <w:rPr>
                <w:rFonts w:hint="eastAsia" w:ascii="仿宋" w:hAnsi="仿宋" w:eastAsia="仿宋" w:cs="仿宋"/>
                <w:color w:val="000000" w:themeColor="text1"/>
                <w:sz w:val="24"/>
                <w:szCs w:val="24"/>
                <w:highlight w:val="none"/>
                <w14:textFill>
                  <w14:solidFill>
                    <w14:schemeClr w14:val="tx1"/>
                  </w14:solidFill>
                </w14:textFill>
              </w:rPr>
              <w:t>（元）</w:t>
            </w:r>
          </w:p>
        </w:tc>
        <w:tc>
          <w:tcPr>
            <w:tcW w:w="7911" w:type="dxa"/>
            <w:tcBorders>
              <w:right w:val="single" w:color="auto" w:sz="4" w:space="0"/>
            </w:tcBorders>
            <w:noWrap w:val="0"/>
            <w:vAlign w:val="center"/>
          </w:tcPr>
          <w:p w14:paraId="54452233">
            <w:pPr>
              <w:widowControl/>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2C397352">
            <w:pPr>
              <w:pStyle w:val="7"/>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36AB95B">
            <w:pPr>
              <w:widowControl/>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64A1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2410" w:type="dxa"/>
            <w:noWrap w:val="0"/>
            <w:vAlign w:val="center"/>
          </w:tcPr>
          <w:p w14:paraId="534BE11C">
            <w:pPr>
              <w:ind w:firstLine="9" w:firstLineChars="4"/>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质保期</w:t>
            </w:r>
          </w:p>
        </w:tc>
        <w:tc>
          <w:tcPr>
            <w:tcW w:w="7911" w:type="dxa"/>
            <w:tcBorders>
              <w:right w:val="single" w:color="auto" w:sz="4" w:space="0"/>
            </w:tcBorders>
            <w:noWrap w:val="0"/>
            <w:vAlign w:val="center"/>
          </w:tcPr>
          <w:p w14:paraId="513BA0F5">
            <w:pPr>
              <w:widowControl/>
              <w:rPr>
                <w:rFonts w:hint="eastAsia" w:ascii="仿宋" w:hAnsi="仿宋" w:eastAsia="仿宋" w:cs="仿宋"/>
                <w:color w:val="000000" w:themeColor="text1"/>
                <w:sz w:val="24"/>
                <w:szCs w:val="24"/>
                <w:highlight w:val="none"/>
                <w14:textFill>
                  <w14:solidFill>
                    <w14:schemeClr w14:val="tx1"/>
                  </w14:solidFill>
                </w14:textFill>
              </w:rPr>
            </w:pPr>
          </w:p>
        </w:tc>
      </w:tr>
      <w:tr w14:paraId="6906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1" w:hRule="atLeast"/>
          <w:jc w:val="center"/>
        </w:trPr>
        <w:tc>
          <w:tcPr>
            <w:tcW w:w="2410" w:type="dxa"/>
            <w:noWrap w:val="0"/>
            <w:vAlign w:val="center"/>
          </w:tcPr>
          <w:p w14:paraId="3085409E">
            <w:pPr>
              <w:ind w:firstLine="9" w:firstLineChars="4"/>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交货（交付）期</w:t>
            </w:r>
          </w:p>
        </w:tc>
        <w:tc>
          <w:tcPr>
            <w:tcW w:w="7911" w:type="dxa"/>
            <w:tcBorders>
              <w:right w:val="single" w:color="auto" w:sz="4" w:space="0"/>
            </w:tcBorders>
            <w:noWrap w:val="0"/>
            <w:vAlign w:val="center"/>
          </w:tcPr>
          <w:p w14:paraId="004E6AFB">
            <w:pPr>
              <w:widowControl/>
              <w:rPr>
                <w:rFonts w:hint="eastAsia" w:ascii="仿宋" w:hAnsi="仿宋" w:eastAsia="仿宋" w:cs="仿宋"/>
                <w:color w:val="000000" w:themeColor="text1"/>
                <w:sz w:val="24"/>
                <w:szCs w:val="24"/>
                <w:highlight w:val="none"/>
                <w14:textFill>
                  <w14:solidFill>
                    <w14:schemeClr w14:val="tx1"/>
                  </w14:solidFill>
                </w14:textFill>
              </w:rPr>
            </w:pPr>
          </w:p>
        </w:tc>
      </w:tr>
      <w:tr w14:paraId="1342A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8" w:hRule="atLeast"/>
          <w:jc w:val="center"/>
        </w:trPr>
        <w:tc>
          <w:tcPr>
            <w:tcW w:w="2410" w:type="dxa"/>
            <w:noWrap w:val="0"/>
            <w:vAlign w:val="center"/>
          </w:tcPr>
          <w:p w14:paraId="7C8515CB">
            <w:pPr>
              <w:keepNext w:val="0"/>
              <w:keepLines w:val="0"/>
              <w:pageBreakBefore w:val="0"/>
              <w:widowControl/>
              <w:kinsoku w:val="0"/>
              <w:wordWrap/>
              <w:overflowPunct/>
              <w:topLinePunct w:val="0"/>
              <w:autoSpaceDE w:val="0"/>
              <w:autoSpaceDN w:val="0"/>
              <w:bidi w:val="0"/>
              <w:adjustRightInd/>
              <w:snapToGrid/>
              <w:ind w:firstLine="9" w:firstLineChars="4"/>
              <w:jc w:val="center"/>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交货地点</w:t>
            </w:r>
          </w:p>
        </w:tc>
        <w:tc>
          <w:tcPr>
            <w:tcW w:w="7911" w:type="dxa"/>
            <w:tcBorders>
              <w:right w:val="single" w:color="auto" w:sz="4" w:space="0"/>
            </w:tcBorders>
            <w:noWrap w:val="0"/>
            <w:vAlign w:val="center"/>
          </w:tcPr>
          <w:p w14:paraId="50E4444D">
            <w:pPr>
              <w:keepNext w:val="0"/>
              <w:keepLines w:val="0"/>
              <w:pageBreakBefore w:val="0"/>
              <w:widowControl/>
              <w:kinsoku w:val="0"/>
              <w:wordWrap/>
              <w:overflowPunct/>
              <w:topLinePunct w:val="0"/>
              <w:autoSpaceDE w:val="0"/>
              <w:autoSpaceDN w:val="0"/>
              <w:bidi w:val="0"/>
              <w:adjustRightInd/>
              <w:snapToGrid/>
              <w:textAlignment w:val="baseline"/>
              <w:rPr>
                <w:rFonts w:hint="eastAsia" w:ascii="仿宋" w:hAnsi="仿宋" w:eastAsia="仿宋" w:cs="仿宋"/>
                <w:color w:val="000000" w:themeColor="text1"/>
                <w:sz w:val="24"/>
                <w:szCs w:val="24"/>
                <w:highlight w:val="none"/>
                <w14:textFill>
                  <w14:solidFill>
                    <w14:schemeClr w14:val="tx1"/>
                  </w14:solidFill>
                </w14:textFill>
              </w:rPr>
            </w:pPr>
          </w:p>
        </w:tc>
      </w:tr>
      <w:tr w14:paraId="6B0E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2410" w:type="dxa"/>
            <w:noWrap w:val="0"/>
            <w:vAlign w:val="center"/>
          </w:tcPr>
          <w:p w14:paraId="69300067">
            <w:pPr>
              <w:keepNext w:val="0"/>
              <w:keepLines w:val="0"/>
              <w:pageBreakBefore w:val="0"/>
              <w:widowControl/>
              <w:kinsoku w:val="0"/>
              <w:wordWrap/>
              <w:overflowPunct/>
              <w:topLinePunct w:val="0"/>
              <w:autoSpaceDE w:val="0"/>
              <w:autoSpaceDN w:val="0"/>
              <w:bidi w:val="0"/>
              <w:adjustRightInd/>
              <w:snapToGrid/>
              <w:spacing w:line="240" w:lineRule="auto"/>
              <w:jc w:val="center"/>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投标有效期</w:t>
            </w:r>
          </w:p>
        </w:tc>
        <w:tc>
          <w:tcPr>
            <w:tcW w:w="7911" w:type="dxa"/>
            <w:tcBorders>
              <w:right w:val="single" w:color="auto" w:sz="4" w:space="0"/>
            </w:tcBorders>
            <w:noWrap w:val="0"/>
            <w:vAlign w:val="center"/>
          </w:tcPr>
          <w:p w14:paraId="42D6DE80">
            <w:pPr>
              <w:keepNext w:val="0"/>
              <w:keepLines w:val="0"/>
              <w:pageBreakBefore w:val="0"/>
              <w:widowControl/>
              <w:kinsoku w:val="0"/>
              <w:wordWrap/>
              <w:overflowPunct/>
              <w:topLinePunct w:val="0"/>
              <w:autoSpaceDE w:val="0"/>
              <w:autoSpaceDN w:val="0"/>
              <w:bidi w:val="0"/>
              <w:adjustRightInd/>
              <w:snapToGrid/>
              <w:spacing w:line="240" w:lineRule="auto"/>
              <w:textAlignment w:val="baseline"/>
              <w:rPr>
                <w:rFonts w:hint="eastAsia" w:ascii="仿宋" w:hAnsi="仿宋" w:eastAsia="仿宋" w:cs="仿宋"/>
                <w:color w:val="000000" w:themeColor="text1"/>
                <w:sz w:val="24"/>
                <w:szCs w:val="24"/>
                <w:highlight w:val="none"/>
                <w14:textFill>
                  <w14:solidFill>
                    <w14:schemeClr w14:val="tx1"/>
                  </w14:solidFill>
                </w14:textFill>
              </w:rPr>
            </w:pPr>
          </w:p>
        </w:tc>
      </w:tr>
      <w:tr w14:paraId="3D75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9" w:hRule="atLeast"/>
          <w:jc w:val="center"/>
        </w:trPr>
        <w:tc>
          <w:tcPr>
            <w:tcW w:w="2410" w:type="dxa"/>
            <w:noWrap w:val="0"/>
            <w:vAlign w:val="center"/>
          </w:tcPr>
          <w:p w14:paraId="64C68E35">
            <w:pPr>
              <w:ind w:firstLine="9" w:firstLineChars="4"/>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其他承诺或声明</w:t>
            </w:r>
          </w:p>
        </w:tc>
        <w:tc>
          <w:tcPr>
            <w:tcW w:w="7911" w:type="dxa"/>
            <w:tcBorders>
              <w:right w:val="single" w:color="auto" w:sz="4" w:space="0"/>
            </w:tcBorders>
            <w:noWrap w:val="0"/>
            <w:vAlign w:val="center"/>
          </w:tcPr>
          <w:p w14:paraId="43EF4286">
            <w:pPr>
              <w:widowControl/>
              <w:rPr>
                <w:rFonts w:hint="eastAsia" w:ascii="仿宋" w:hAnsi="仿宋" w:eastAsia="仿宋" w:cs="仿宋"/>
                <w:color w:val="000000" w:themeColor="text1"/>
                <w:sz w:val="24"/>
                <w:szCs w:val="24"/>
                <w:highlight w:val="none"/>
                <w14:textFill>
                  <w14:solidFill>
                    <w14:schemeClr w14:val="tx1"/>
                  </w14:solidFill>
                </w14:textFill>
              </w:rPr>
            </w:pPr>
          </w:p>
        </w:tc>
      </w:tr>
    </w:tbl>
    <w:p w14:paraId="5FB1E135">
      <w:pPr>
        <w:keepNext w:val="0"/>
        <w:keepLines w:val="0"/>
        <w:pageBreakBefore w:val="0"/>
        <w:widowControl w:val="0"/>
        <w:kinsoku/>
        <w:wordWrap/>
        <w:overflowPunct w:val="0"/>
        <w:topLinePunct/>
        <w:autoSpaceDE/>
        <w:autoSpaceDN/>
        <w:bidi w:val="0"/>
        <w:adjustRightInd/>
        <w:snapToGrid/>
        <w:ind w:left="-88" w:leftChars="-4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0A0554C">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5A9C44ED">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2BFC4FEA">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3B291E94">
      <w:pPr>
        <w:wordWrap w:val="0"/>
        <w:overflowPunct w:val="0"/>
        <w:topLinePunct/>
        <w:spacing w:line="360" w:lineRule="auto"/>
        <w:jc w:val="center"/>
        <w:rPr>
          <w:rFonts w:hint="eastAsia" w:ascii="仿宋" w:hAnsi="仿宋" w:eastAsia="仿宋" w:cs="仿宋"/>
          <w:color w:val="000000" w:themeColor="text1"/>
          <w:sz w:val="24"/>
          <w:szCs w:val="24"/>
          <w:highlight w:val="none"/>
          <w:u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54BF7BBC">
      <w:pPr>
        <w:wordWrap w:val="0"/>
        <w:overflowPunct w:val="0"/>
        <w:topLinePunct/>
        <w:spacing w:line="360" w:lineRule="auto"/>
        <w:jc w:val="center"/>
        <w:rPr>
          <w:rFonts w:hint="eastAsia" w:ascii="仿宋" w:hAnsi="仿宋" w:eastAsia="仿宋" w:cs="仿宋"/>
          <w:color w:val="000000" w:themeColor="text1"/>
          <w:sz w:val="24"/>
          <w:szCs w:val="24"/>
          <w:highlight w:val="none"/>
          <w:u w:val="none"/>
          <w:lang w:eastAsia="zh-CN"/>
          <w14:textFill>
            <w14:solidFill>
              <w14:schemeClr w14:val="tx1"/>
            </w14:solidFill>
          </w14:textFill>
        </w:rPr>
      </w:pPr>
    </w:p>
    <w:p w14:paraId="07855C96">
      <w:pPr>
        <w:wordWrap w:val="0"/>
        <w:overflowPunct w:val="0"/>
        <w:topLinePunct/>
        <w:spacing w:line="360" w:lineRule="auto"/>
        <w:jc w:val="center"/>
        <w:rPr>
          <w:rFonts w:hint="eastAsia" w:ascii="仿宋" w:hAnsi="仿宋" w:eastAsia="仿宋" w:cs="仿宋"/>
          <w:color w:val="000000" w:themeColor="text1"/>
          <w:sz w:val="24"/>
          <w:szCs w:val="24"/>
          <w:highlight w:val="none"/>
          <w:u w:val="none"/>
          <w:lang w:eastAsia="zh-CN"/>
          <w14:textFill>
            <w14:solidFill>
              <w14:schemeClr w14:val="tx1"/>
            </w14:solidFill>
          </w14:textFill>
        </w:rPr>
      </w:pPr>
    </w:p>
    <w:p w14:paraId="73E4538F">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outlineLvl w:val="2"/>
        <w:rPr>
          <w:rFonts w:hint="eastAsia" w:ascii="仿宋" w:hAnsi="仿宋" w:eastAsia="仿宋" w:cs="仿宋"/>
          <w:color w:val="000000" w:themeColor="text1"/>
          <w:sz w:val="24"/>
          <w:szCs w:val="24"/>
          <w:highlight w:val="none"/>
          <w:u w:val="single"/>
          <w:lang w:eastAsia="zh-CN"/>
          <w14:textFill>
            <w14:solidFill>
              <w14:schemeClr w14:val="tx1"/>
            </w14:solidFill>
          </w14:textFill>
        </w:rPr>
      </w:pPr>
      <w:bookmarkStart w:id="1812" w:name="_Toc5585"/>
      <w:bookmarkStart w:id="1813" w:name="_Toc20204"/>
      <w:bookmarkStart w:id="1814" w:name="_Toc23518"/>
      <w:bookmarkStart w:id="1815" w:name="_Toc30449"/>
      <w:bookmarkStart w:id="1816" w:name="_Toc3855"/>
      <w:bookmarkStart w:id="1817" w:name="_Toc11077"/>
      <w:bookmarkStart w:id="1818" w:name="_Toc12085"/>
      <w:bookmarkStart w:id="1819" w:name="_Toc4682"/>
      <w:bookmarkStart w:id="1820" w:name="_Toc30101"/>
      <w:bookmarkStart w:id="1821" w:name="_Toc7659"/>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1812"/>
      <w:bookmarkEnd w:id="1813"/>
      <w:bookmarkEnd w:id="1814"/>
      <w:bookmarkEnd w:id="1815"/>
      <w:bookmarkEnd w:id="1816"/>
      <w:bookmarkEnd w:id="1817"/>
      <w:bookmarkEnd w:id="1818"/>
      <w:bookmarkEnd w:id="1819"/>
      <w:bookmarkEnd w:id="1820"/>
      <w:bookmarkEnd w:id="1821"/>
    </w:p>
    <w:p w14:paraId="520B7257">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2A834AC8">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000000" w:themeColor="text1"/>
          <w:sz w:val="24"/>
          <w:szCs w:val="24"/>
          <w:highlight w:val="none"/>
          <w:lang w:eastAsia="zh-CN"/>
          <w14:textFill>
            <w14:solidFill>
              <w14:schemeClr w14:val="tx1"/>
            </w14:solidFill>
          </w14:textFill>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sectPr>
      </w:pPr>
    </w:p>
    <w:p w14:paraId="6EA47F34">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822" w:name="_Toc14972"/>
      <w:bookmarkStart w:id="1823" w:name="_Toc18947"/>
      <w:bookmarkStart w:id="1824" w:name="_Toc11508"/>
      <w:bookmarkStart w:id="1825" w:name="_Toc6504"/>
      <w:bookmarkStart w:id="1826" w:name="_Toc602"/>
      <w:bookmarkStart w:id="1827" w:name="_Toc25222"/>
      <w:r>
        <w:rPr>
          <w:rStyle w:val="36"/>
          <w:rFonts w:hint="eastAsia" w:ascii="仿宋" w:hAnsi="仿宋" w:eastAsia="仿宋" w:cs="仿宋"/>
          <w:color w:val="000000" w:themeColor="text1"/>
          <w:sz w:val="28"/>
          <w:szCs w:val="28"/>
          <w:highlight w:val="none"/>
          <w:lang w:val="en-US" w:eastAsia="zh-CN"/>
          <w14:textFill>
            <w14:solidFill>
              <w14:schemeClr w14:val="tx1"/>
            </w14:solidFill>
          </w14:textFill>
        </w:rPr>
        <w:t>二、分项报价表（实质性格式）</w:t>
      </w:r>
      <w:bookmarkEnd w:id="1822"/>
      <w:bookmarkEnd w:id="1823"/>
      <w:bookmarkEnd w:id="1824"/>
      <w:bookmarkEnd w:id="1825"/>
      <w:bookmarkEnd w:id="1826"/>
      <w:bookmarkEnd w:id="1827"/>
    </w:p>
    <w:p w14:paraId="561A5E59">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p>
    <w:p w14:paraId="716EF9A8">
      <w:pPr>
        <w:keepNext w:val="0"/>
        <w:keepLines w:val="0"/>
        <w:pageBreakBefore w:val="0"/>
        <w:widowControl w:val="0"/>
        <w:kinsoku/>
        <w:wordWrap/>
        <w:overflowPunct w:val="0"/>
        <w:topLinePunct/>
        <w:autoSpaceDE/>
        <w:autoSpaceDN/>
        <w:bidi w:val="0"/>
        <w:adjustRightInd/>
        <w:snapToGrid/>
        <w:ind w:left="-88" w:leftChars="-42"/>
        <w:jc w:val="left"/>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72ACB4A">
      <w:pPr>
        <w:keepNext w:val="0"/>
        <w:keepLines w:val="0"/>
        <w:pageBreakBefore w:val="0"/>
        <w:widowControl w:val="0"/>
        <w:kinsoku/>
        <w:wordWrap w:val="0"/>
        <w:overflowPunct w:val="0"/>
        <w:topLinePunct/>
        <w:autoSpaceDE/>
        <w:autoSpaceDN/>
        <w:bidi w:val="0"/>
        <w:adjustRightInd/>
        <w:snapToGrid/>
        <w:ind w:left="-88" w:leftChars="-42"/>
        <w:jc w:val="left"/>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258232EA">
      <w:pPr>
        <w:keepNext w:val="0"/>
        <w:keepLines w:val="0"/>
        <w:pageBreakBefore w:val="0"/>
        <w:widowControl w:val="0"/>
        <w:kinsoku/>
        <w:wordWrap/>
        <w:overflowPunct w:val="0"/>
        <w:topLinePunct/>
        <w:autoSpaceDE/>
        <w:autoSpaceDN/>
        <w:bidi w:val="0"/>
        <w:adjustRightInd/>
        <w:snapToGrid/>
        <w:ind w:left="-88" w:leftChars="-42"/>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p>
    <w:p w14:paraId="7850E199">
      <w:pPr>
        <w:keepNext w:val="0"/>
        <w:keepLines w:val="0"/>
        <w:pageBreakBefore w:val="0"/>
        <w:widowControl w:val="0"/>
        <w:kinsoku/>
        <w:wordWrap w:val="0"/>
        <w:overflowPunct w:val="0"/>
        <w:topLinePunct/>
        <w:autoSpaceDE/>
        <w:autoSpaceDN/>
        <w:bidi w:val="0"/>
        <w:adjustRightInd/>
        <w:snapToGrid/>
        <w:ind w:left="-88" w:leftChars="-42"/>
        <w:jc w:val="right"/>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金额单位：人民币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元</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216BE03F">
      <w:pPr>
        <w:keepNext w:val="0"/>
        <w:keepLines w:val="0"/>
        <w:pageBreakBefore w:val="0"/>
        <w:widowControl w:val="0"/>
        <w:kinsoku/>
        <w:wordWrap/>
        <w:overflowPunct w:val="0"/>
        <w:topLinePunct/>
        <w:autoSpaceDE/>
        <w:autoSpaceDN/>
        <w:bidi w:val="0"/>
        <w:adjustRightInd/>
        <w:snapToGrid/>
        <w:ind w:left="-88" w:leftChars="-42"/>
        <w:jc w:val="center"/>
        <w:outlineLvl w:val="1"/>
        <w:rPr>
          <w:rFonts w:hint="eastAsia" w:ascii="仿宋" w:hAnsi="仿宋" w:eastAsia="仿宋" w:cs="仿宋"/>
          <w:color w:val="000000" w:themeColor="text1"/>
          <w:sz w:val="24"/>
          <w:szCs w:val="24"/>
          <w:highlight w:val="none"/>
          <w:lang w:eastAsia="zh-CN"/>
          <w14:textFill>
            <w14:solidFill>
              <w14:schemeClr w14:val="tx1"/>
            </w14:solidFill>
          </w14:textFill>
        </w:rPr>
      </w:pPr>
    </w:p>
    <w:tbl>
      <w:tblPr>
        <w:tblStyle w:val="30"/>
        <w:tblW w:w="97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090"/>
        <w:gridCol w:w="688"/>
        <w:gridCol w:w="661"/>
        <w:gridCol w:w="1001"/>
        <w:gridCol w:w="1001"/>
        <w:gridCol w:w="769"/>
        <w:gridCol w:w="1180"/>
        <w:gridCol w:w="482"/>
        <w:gridCol w:w="786"/>
        <w:gridCol w:w="545"/>
        <w:gridCol w:w="537"/>
        <w:gridCol w:w="560"/>
      </w:tblGrid>
      <w:tr w14:paraId="005C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jc w:val="center"/>
        </w:trPr>
        <w:tc>
          <w:tcPr>
            <w:tcW w:w="473" w:type="dxa"/>
            <w:vAlign w:val="center"/>
          </w:tcPr>
          <w:p w14:paraId="04666504">
            <w:pPr>
              <w:bidi w:val="0"/>
              <w:jc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序号</w:t>
            </w:r>
          </w:p>
        </w:tc>
        <w:tc>
          <w:tcPr>
            <w:tcW w:w="1090" w:type="dxa"/>
            <w:vAlign w:val="center"/>
          </w:tcPr>
          <w:p w14:paraId="63174595">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标的名称（必填）</w:t>
            </w:r>
          </w:p>
        </w:tc>
        <w:tc>
          <w:tcPr>
            <w:tcW w:w="688" w:type="dxa"/>
            <w:vAlign w:val="center"/>
          </w:tcPr>
          <w:p w14:paraId="4B914204">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所属行业</w:t>
            </w:r>
          </w:p>
        </w:tc>
        <w:tc>
          <w:tcPr>
            <w:tcW w:w="661" w:type="dxa"/>
            <w:vAlign w:val="center"/>
          </w:tcPr>
          <w:p w14:paraId="6EA0CA6E">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品牌</w:t>
            </w:r>
          </w:p>
          <w:p w14:paraId="57DD3A89">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（必填）</w:t>
            </w:r>
          </w:p>
        </w:tc>
        <w:tc>
          <w:tcPr>
            <w:tcW w:w="1001" w:type="dxa"/>
            <w:vAlign w:val="center"/>
          </w:tcPr>
          <w:p w14:paraId="12B9507B">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制造商</w:t>
            </w:r>
          </w:p>
        </w:tc>
        <w:tc>
          <w:tcPr>
            <w:tcW w:w="1001" w:type="dxa"/>
            <w:vAlign w:val="center"/>
          </w:tcPr>
          <w:p w14:paraId="0F1F124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型号（必填）/服务要求</w:t>
            </w:r>
          </w:p>
        </w:tc>
        <w:tc>
          <w:tcPr>
            <w:tcW w:w="769" w:type="dxa"/>
            <w:vAlign w:val="center"/>
          </w:tcPr>
          <w:p w14:paraId="1BF66BE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节能/节水/环保</w:t>
            </w:r>
          </w:p>
        </w:tc>
        <w:tc>
          <w:tcPr>
            <w:tcW w:w="1180" w:type="dxa"/>
            <w:vAlign w:val="center"/>
          </w:tcPr>
          <w:p w14:paraId="6DCF8E62">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产地类型</w:t>
            </w:r>
          </w:p>
          <w:p w14:paraId="295FEF1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（必填）</w:t>
            </w:r>
          </w:p>
        </w:tc>
        <w:tc>
          <w:tcPr>
            <w:tcW w:w="482" w:type="dxa"/>
            <w:vAlign w:val="center"/>
          </w:tcPr>
          <w:p w14:paraId="4C46BC71">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国家</w:t>
            </w:r>
          </w:p>
        </w:tc>
        <w:tc>
          <w:tcPr>
            <w:tcW w:w="786" w:type="dxa"/>
            <w:vAlign w:val="center"/>
          </w:tcPr>
          <w:p w14:paraId="3A2830B7">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企业类型</w:t>
            </w:r>
          </w:p>
        </w:tc>
        <w:tc>
          <w:tcPr>
            <w:tcW w:w="545" w:type="dxa"/>
            <w:vAlign w:val="center"/>
          </w:tcPr>
          <w:p w14:paraId="36556EC5">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数量</w:t>
            </w:r>
          </w:p>
          <w:p w14:paraId="19A767B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（必填）</w:t>
            </w:r>
          </w:p>
        </w:tc>
        <w:tc>
          <w:tcPr>
            <w:tcW w:w="537" w:type="dxa"/>
            <w:vAlign w:val="center"/>
          </w:tcPr>
          <w:p w14:paraId="27B2EA08">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单价</w:t>
            </w:r>
          </w:p>
          <w:p w14:paraId="5567843E">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（必填）</w:t>
            </w:r>
          </w:p>
        </w:tc>
        <w:tc>
          <w:tcPr>
            <w:tcW w:w="560" w:type="dxa"/>
            <w:vAlign w:val="center"/>
          </w:tcPr>
          <w:p w14:paraId="3FDF9BBB">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4"/>
                <w:szCs w:val="24"/>
                <w:highlight w:val="none"/>
                <w:u w:val="none"/>
                <w:lang w:val="en-US" w:eastAsia="zh-CN" w:bidi="ar"/>
                <w14:textFill>
                  <w14:solidFill>
                    <w14:schemeClr w14:val="tx1"/>
                  </w14:solidFill>
                </w14:textFill>
              </w:rPr>
              <w:t>合计</w:t>
            </w:r>
          </w:p>
        </w:tc>
      </w:tr>
      <w:tr w14:paraId="4077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473" w:type="dxa"/>
            <w:vAlign w:val="center"/>
          </w:tcPr>
          <w:p w14:paraId="4EEA4FE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090" w:type="dxa"/>
            <w:vAlign w:val="center"/>
          </w:tcPr>
          <w:p w14:paraId="7C0BD58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88" w:type="dxa"/>
            <w:vAlign w:val="center"/>
          </w:tcPr>
          <w:p w14:paraId="3F56FA0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61" w:type="dxa"/>
            <w:vAlign w:val="center"/>
          </w:tcPr>
          <w:p w14:paraId="747E3E7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2279E01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28F4EA1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69" w:type="dxa"/>
            <w:vAlign w:val="center"/>
          </w:tcPr>
          <w:p w14:paraId="6B29D2B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80" w:type="dxa"/>
            <w:vAlign w:val="center"/>
          </w:tcPr>
          <w:p w14:paraId="77AA7AD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国内□  进口□</w:t>
            </w:r>
          </w:p>
        </w:tc>
        <w:tc>
          <w:tcPr>
            <w:tcW w:w="482" w:type="dxa"/>
            <w:vAlign w:val="center"/>
          </w:tcPr>
          <w:p w14:paraId="70A18C2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86" w:type="dxa"/>
            <w:vAlign w:val="center"/>
          </w:tcPr>
          <w:p w14:paraId="5FAB190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45" w:type="dxa"/>
            <w:vAlign w:val="center"/>
          </w:tcPr>
          <w:p w14:paraId="7214430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37" w:type="dxa"/>
            <w:vAlign w:val="center"/>
          </w:tcPr>
          <w:p w14:paraId="3F8982B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60" w:type="dxa"/>
            <w:vAlign w:val="center"/>
          </w:tcPr>
          <w:p w14:paraId="2679265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0FB79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473" w:type="dxa"/>
            <w:vAlign w:val="center"/>
          </w:tcPr>
          <w:p w14:paraId="7B10602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090" w:type="dxa"/>
            <w:vAlign w:val="center"/>
          </w:tcPr>
          <w:p w14:paraId="5D0F06DC">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88" w:type="dxa"/>
            <w:vAlign w:val="center"/>
          </w:tcPr>
          <w:p w14:paraId="12A9F4E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61" w:type="dxa"/>
            <w:vAlign w:val="center"/>
          </w:tcPr>
          <w:p w14:paraId="1FAF7E5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6DC2A98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47FB98F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69" w:type="dxa"/>
            <w:vAlign w:val="center"/>
          </w:tcPr>
          <w:p w14:paraId="45B30F0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80" w:type="dxa"/>
            <w:vAlign w:val="center"/>
          </w:tcPr>
          <w:p w14:paraId="743550A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国内□  进口□</w:t>
            </w:r>
          </w:p>
        </w:tc>
        <w:tc>
          <w:tcPr>
            <w:tcW w:w="482" w:type="dxa"/>
            <w:vAlign w:val="center"/>
          </w:tcPr>
          <w:p w14:paraId="0B273CB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86" w:type="dxa"/>
            <w:vAlign w:val="center"/>
          </w:tcPr>
          <w:p w14:paraId="6D89FD2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45" w:type="dxa"/>
            <w:vAlign w:val="center"/>
          </w:tcPr>
          <w:p w14:paraId="35B82DE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37" w:type="dxa"/>
            <w:vAlign w:val="center"/>
          </w:tcPr>
          <w:p w14:paraId="023D79F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60" w:type="dxa"/>
            <w:vAlign w:val="center"/>
          </w:tcPr>
          <w:p w14:paraId="31827E9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6E939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473" w:type="dxa"/>
            <w:vAlign w:val="center"/>
          </w:tcPr>
          <w:p w14:paraId="174AC9A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090" w:type="dxa"/>
            <w:vAlign w:val="center"/>
          </w:tcPr>
          <w:p w14:paraId="4A623FE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88" w:type="dxa"/>
            <w:vAlign w:val="center"/>
          </w:tcPr>
          <w:p w14:paraId="0CBD49A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61" w:type="dxa"/>
            <w:vAlign w:val="center"/>
          </w:tcPr>
          <w:p w14:paraId="555D4EC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78C62C8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1A8C02A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69" w:type="dxa"/>
            <w:vAlign w:val="center"/>
          </w:tcPr>
          <w:p w14:paraId="4AD53B42">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80" w:type="dxa"/>
            <w:vAlign w:val="center"/>
          </w:tcPr>
          <w:p w14:paraId="0AC51DB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国内□  进口□</w:t>
            </w:r>
          </w:p>
        </w:tc>
        <w:tc>
          <w:tcPr>
            <w:tcW w:w="482" w:type="dxa"/>
            <w:vAlign w:val="center"/>
          </w:tcPr>
          <w:p w14:paraId="7671637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86" w:type="dxa"/>
            <w:vAlign w:val="center"/>
          </w:tcPr>
          <w:p w14:paraId="7A3E123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45" w:type="dxa"/>
            <w:vAlign w:val="center"/>
          </w:tcPr>
          <w:p w14:paraId="2BC2831F">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37" w:type="dxa"/>
            <w:vAlign w:val="center"/>
          </w:tcPr>
          <w:p w14:paraId="0AF2457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60" w:type="dxa"/>
            <w:vAlign w:val="center"/>
          </w:tcPr>
          <w:p w14:paraId="65414D0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6492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473" w:type="dxa"/>
            <w:vAlign w:val="center"/>
          </w:tcPr>
          <w:p w14:paraId="071BA45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090" w:type="dxa"/>
            <w:vAlign w:val="center"/>
          </w:tcPr>
          <w:p w14:paraId="675547DD">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88" w:type="dxa"/>
            <w:vAlign w:val="center"/>
          </w:tcPr>
          <w:p w14:paraId="664260D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661" w:type="dxa"/>
            <w:vAlign w:val="center"/>
          </w:tcPr>
          <w:p w14:paraId="4187BB60">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2CA7933E">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01" w:type="dxa"/>
            <w:vAlign w:val="center"/>
          </w:tcPr>
          <w:p w14:paraId="474D9248">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69" w:type="dxa"/>
            <w:vAlign w:val="center"/>
          </w:tcPr>
          <w:p w14:paraId="03502663">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80" w:type="dxa"/>
            <w:vAlign w:val="center"/>
          </w:tcPr>
          <w:p w14:paraId="46BFA549">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国内□  进口□</w:t>
            </w:r>
          </w:p>
        </w:tc>
        <w:tc>
          <w:tcPr>
            <w:tcW w:w="482" w:type="dxa"/>
            <w:vAlign w:val="center"/>
          </w:tcPr>
          <w:p w14:paraId="18565976">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786" w:type="dxa"/>
            <w:vAlign w:val="center"/>
          </w:tcPr>
          <w:p w14:paraId="04B784E7">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45" w:type="dxa"/>
            <w:vAlign w:val="center"/>
          </w:tcPr>
          <w:p w14:paraId="3ACB6E44">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37" w:type="dxa"/>
            <w:vAlign w:val="center"/>
          </w:tcPr>
          <w:p w14:paraId="34518A91">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560" w:type="dxa"/>
            <w:vAlign w:val="center"/>
          </w:tcPr>
          <w:p w14:paraId="30C0E0FB">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26933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9773" w:type="dxa"/>
            <w:gridSpan w:val="13"/>
            <w:vAlign w:val="center"/>
          </w:tcPr>
          <w:p w14:paraId="1897B071">
            <w:pPr>
              <w:keepNext w:val="0"/>
              <w:keepLines w:val="0"/>
              <w:pageBreakBefore w:val="0"/>
              <w:widowControl w:val="0"/>
              <w:kinsoku/>
              <w:wordWrap w:val="0"/>
              <w:overflowPunct/>
              <w:topLinePunct/>
              <w:autoSpaceDE/>
              <w:autoSpaceDN/>
              <w:bidi w:val="0"/>
              <w:adjustRightInd/>
              <w:snapToGrid/>
              <w:spacing w:line="360" w:lineRule="auto"/>
              <w:ind w:left="0" w:right="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共计：</w:t>
            </w:r>
          </w:p>
        </w:tc>
      </w:tr>
    </w:tbl>
    <w:p w14:paraId="060DE277">
      <w:pPr>
        <w:keepNext w:val="0"/>
        <w:keepLines w:val="0"/>
        <w:pageBreakBefore w:val="0"/>
        <w:widowControl w:val="0"/>
        <w:kinsoku/>
        <w:wordWrap w:val="0"/>
        <w:overflowPunct w:val="0"/>
        <w:topLinePunct/>
        <w:autoSpaceDE/>
        <w:autoSpaceDN/>
        <w:bidi w:val="0"/>
        <w:adjustRightInd/>
        <w:snapToGrid/>
        <w:spacing w:line="0" w:lineRule="atLeast"/>
        <w:jc w:val="left"/>
        <w:textAlignment w:val="auto"/>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t>注：</w:t>
      </w:r>
    </w:p>
    <w:p w14:paraId="7BD344DA">
      <w:pPr>
        <w:keepNext w:val="0"/>
        <w:keepLines w:val="0"/>
        <w:pageBreakBefore w:val="0"/>
        <w:widowControl w:val="0"/>
        <w:kinsoku/>
        <w:wordWrap w:val="0"/>
        <w:overflowPunct w:val="0"/>
        <w:topLinePunct/>
        <w:autoSpaceDE/>
        <w:autoSpaceDN/>
        <w:bidi w:val="0"/>
        <w:adjustRightInd/>
        <w:snapToGrid/>
        <w:spacing w:line="0" w:lineRule="atLeast"/>
        <w:ind w:firstLine="482" w:firstLineChars="200"/>
        <w:jc w:val="left"/>
        <w:textAlignment w:val="auto"/>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t>（1）★投标人须对所投标项的所有产品进行整体投标报价，不得缺项漏项，否则按不实质性响应招标文件要求处理。</w:t>
      </w:r>
    </w:p>
    <w:p w14:paraId="140770EE">
      <w:pPr>
        <w:keepNext w:val="0"/>
        <w:keepLines w:val="0"/>
        <w:pageBreakBefore w:val="0"/>
        <w:widowControl w:val="0"/>
        <w:kinsoku/>
        <w:wordWrap w:val="0"/>
        <w:overflowPunct w:val="0"/>
        <w:topLinePunct/>
        <w:autoSpaceDE/>
        <w:autoSpaceDN/>
        <w:bidi w:val="0"/>
        <w:adjustRightInd/>
        <w:snapToGrid/>
        <w:spacing w:line="0" w:lineRule="atLeast"/>
        <w:ind w:firstLine="482" w:firstLineChars="200"/>
        <w:jc w:val="left"/>
        <w:textAlignment w:val="auto"/>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t xml:space="preserve">（2）如所投设备为中型、小型、微型企业产品，须在上表“企业类型”中全部体现并明确。 </w:t>
      </w:r>
    </w:p>
    <w:p w14:paraId="26FAEEFD">
      <w:pPr>
        <w:keepNext w:val="0"/>
        <w:keepLines w:val="0"/>
        <w:pageBreakBefore w:val="0"/>
        <w:widowControl w:val="0"/>
        <w:kinsoku/>
        <w:wordWrap w:val="0"/>
        <w:overflowPunct w:val="0"/>
        <w:topLinePunct/>
        <w:autoSpaceDE/>
        <w:autoSpaceDN/>
        <w:bidi w:val="0"/>
        <w:adjustRightInd/>
        <w:snapToGrid/>
        <w:spacing w:line="0" w:lineRule="atLeast"/>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bidi="ar"/>
          <w14:textFill>
            <w14:solidFill>
              <w14:schemeClr w14:val="tx1"/>
            </w14:solidFill>
          </w14:textFill>
        </w:rPr>
        <w:t>（3）投标人对填写生产制造企业的企业类型负责，如有虚假，将依法承担相应责任</w:t>
      </w:r>
      <w:r>
        <w:rPr>
          <w:rFonts w:hint="eastAsia" w:ascii="仿宋" w:hAnsi="仿宋" w:eastAsia="仿宋" w:cs="仿宋"/>
          <w:b/>
          <w:color w:val="000000" w:themeColor="text1"/>
          <w:sz w:val="24"/>
          <w:szCs w:val="24"/>
          <w:highlight w:val="none"/>
          <w14:textFill>
            <w14:solidFill>
              <w14:schemeClr w14:val="tx1"/>
            </w14:solidFill>
          </w14:textFill>
        </w:rPr>
        <w:t>。</w:t>
      </w:r>
    </w:p>
    <w:p w14:paraId="29739E92">
      <w:pPr>
        <w:keepNext w:val="0"/>
        <w:keepLines w:val="0"/>
        <w:pageBreakBefore w:val="0"/>
        <w:widowControl w:val="0"/>
        <w:kinsoku/>
        <w:wordWrap/>
        <w:overflowPunct w:val="0"/>
        <w:topLinePunct/>
        <w:autoSpaceDE/>
        <w:autoSpaceDN/>
        <w:bidi w:val="0"/>
        <w:adjustRightInd/>
        <w:snapToGrid/>
        <w:ind w:firstLine="482" w:firstLineChars="200"/>
        <w:jc w:val="both"/>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828" w:name="_Toc16886"/>
      <w:bookmarkStart w:id="1829" w:name="_Toc17900"/>
      <w:bookmarkStart w:id="1830" w:name="_Toc11089"/>
      <w:bookmarkStart w:id="1831" w:name="_Toc22677"/>
      <w:bookmarkStart w:id="1832" w:name="_Toc3088"/>
      <w:bookmarkStart w:id="1833" w:name="_Toc16329"/>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color w:val="000000" w:themeColor="text1"/>
          <w:sz w:val="24"/>
          <w:szCs w:val="24"/>
          <w:highlight w:val="none"/>
          <w14:textFill>
            <w14:solidFill>
              <w14:schemeClr w14:val="tx1"/>
            </w14:solidFill>
          </w14:textFill>
        </w:rPr>
        <w:t>可根据项目性质自行增减行数，但不得对表格中规定的内容进行更改。</w:t>
      </w:r>
      <w:bookmarkEnd w:id="1828"/>
      <w:bookmarkEnd w:id="1829"/>
      <w:bookmarkEnd w:id="1830"/>
      <w:bookmarkEnd w:id="1831"/>
      <w:bookmarkEnd w:id="1832"/>
      <w:bookmarkEnd w:id="1833"/>
    </w:p>
    <w:p w14:paraId="6E2F4B4A">
      <w:pPr>
        <w:keepNext w:val="0"/>
        <w:keepLines w:val="0"/>
        <w:pageBreakBefore w:val="0"/>
        <w:widowControl w:val="0"/>
        <w:kinsoku/>
        <w:wordWrap/>
        <w:overflowPunct w:val="0"/>
        <w:topLinePunct/>
        <w:autoSpaceDE/>
        <w:autoSpaceDN/>
        <w:bidi w:val="0"/>
        <w:adjustRightInd/>
        <w:snapToGrid/>
        <w:ind w:firstLine="482" w:firstLineChars="200"/>
        <w:jc w:val="both"/>
        <w:outlineLvl w:val="1"/>
        <w:rPr>
          <w:rFonts w:hint="eastAsia" w:ascii="仿宋" w:hAnsi="仿宋" w:eastAsia="仿宋" w:cs="仿宋"/>
          <w:b/>
          <w:color w:val="000000" w:themeColor="text1"/>
          <w:sz w:val="24"/>
          <w:szCs w:val="24"/>
          <w:highlight w:val="none"/>
          <w14:textFill>
            <w14:solidFill>
              <w14:schemeClr w14:val="tx1"/>
            </w14:solidFill>
          </w14:textFill>
        </w:rPr>
      </w:pPr>
    </w:p>
    <w:p w14:paraId="0A57F56A">
      <w:pPr>
        <w:wordWrap w:val="0"/>
        <w:overflowPunct w:val="0"/>
        <w:topLinePunct/>
        <w:spacing w:line="36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CA08DE7">
      <w:pPr>
        <w:keepNext w:val="0"/>
        <w:keepLines w:val="0"/>
        <w:pageBreakBefore w:val="0"/>
        <w:widowControl w:val="0"/>
        <w:kinsoku/>
        <w:wordWrap w:val="0"/>
        <w:overflowPunct w:val="0"/>
        <w:topLinePunct/>
        <w:autoSpaceDE/>
        <w:autoSpaceDN/>
        <w:bidi w:val="0"/>
        <w:adjustRightInd/>
        <w:snapToGrid/>
        <w:spacing w:line="360" w:lineRule="auto"/>
        <w:jc w:val="both"/>
        <w:textAlignment w:val="auto"/>
        <w:outlineLvl w:val="2"/>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749662F2">
      <w:pPr>
        <w:keepNext w:val="0"/>
        <w:keepLines w:val="0"/>
        <w:pageBreakBefore w:val="0"/>
        <w:widowControl w:val="0"/>
        <w:kinsoku/>
        <w:wordWrap/>
        <w:overflowPunct w:val="0"/>
        <w:topLinePunct/>
        <w:autoSpaceDE/>
        <w:autoSpaceDN/>
        <w:bidi w:val="0"/>
        <w:adjustRightInd/>
        <w:snapToGrid/>
        <w:spacing w:line="360" w:lineRule="auto"/>
        <w:jc w:val="both"/>
        <w:outlineLvl w:val="1"/>
        <w:rPr>
          <w:rFonts w:hint="eastAsia" w:ascii="仿宋" w:hAnsi="仿宋" w:eastAsia="仿宋" w:cs="仿宋"/>
          <w:color w:val="000000" w:themeColor="text1"/>
          <w:sz w:val="24"/>
          <w:szCs w:val="24"/>
          <w:highlight w:val="none"/>
          <w:lang w:eastAsia="zh-CN"/>
          <w14:textFill>
            <w14:solidFill>
              <w14:schemeClr w14:val="tx1"/>
            </w14:solidFill>
          </w14:textFill>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sectPr>
      </w:pPr>
      <w:bookmarkStart w:id="1834" w:name="_Toc9914"/>
      <w:bookmarkStart w:id="1835" w:name="_Toc29215"/>
      <w:bookmarkStart w:id="1836" w:name="_Toc699"/>
      <w:bookmarkStart w:id="1837" w:name="_Toc32621"/>
      <w:bookmarkStart w:id="1838" w:name="_Toc7561"/>
      <w:bookmarkStart w:id="1839" w:name="_Toc29159"/>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bookmarkEnd w:id="1834"/>
      <w:bookmarkEnd w:id="1835"/>
      <w:bookmarkEnd w:id="1836"/>
      <w:bookmarkEnd w:id="1837"/>
      <w:bookmarkEnd w:id="1838"/>
      <w:bookmarkEnd w:id="1839"/>
    </w:p>
    <w:p w14:paraId="63C23A53">
      <w:pPr>
        <w:wordWrap w:val="0"/>
        <w:overflowPunct w:val="0"/>
        <w:topLinePunct/>
        <w:jc w:val="center"/>
        <w:outlineLvl w:val="1"/>
        <w:rPr>
          <w:rFonts w:hint="eastAsia" w:ascii="仿宋" w:hAnsi="仿宋" w:eastAsia="仿宋" w:cs="仿宋"/>
          <w:b/>
          <w:bCs/>
          <w:color w:val="000000" w:themeColor="text1"/>
          <w:sz w:val="44"/>
          <w:szCs w:val="44"/>
          <w:highlight w:val="none"/>
          <w14:textFill>
            <w14:solidFill>
              <w14:schemeClr w14:val="tx1"/>
            </w14:solidFill>
          </w14:textFill>
        </w:rPr>
      </w:pPr>
      <w:bookmarkStart w:id="1840" w:name="_Toc23692"/>
      <w:bookmarkStart w:id="1841" w:name="_Toc7218"/>
      <w:bookmarkStart w:id="1842" w:name="_Toc1329"/>
      <w:bookmarkStart w:id="1843" w:name="_Toc13467"/>
      <w:bookmarkStart w:id="1844" w:name="_Toc23105"/>
      <w:bookmarkStart w:id="1845" w:name="_Toc13753"/>
      <w:bookmarkStart w:id="1846" w:name="_Toc23517"/>
      <w:bookmarkStart w:id="1847" w:name="_Toc19233"/>
      <w:r>
        <w:rPr>
          <w:rFonts w:hint="eastAsia" w:ascii="仿宋" w:hAnsi="仿宋" w:eastAsia="仿宋" w:cs="仿宋"/>
          <w:b/>
          <w:bCs/>
          <w:color w:val="000000" w:themeColor="text1"/>
          <w:sz w:val="44"/>
          <w:szCs w:val="44"/>
          <w:highlight w:val="none"/>
          <w:lang w:val="en-US" w:eastAsia="zh-CN"/>
          <w14:textFill>
            <w14:solidFill>
              <w14:schemeClr w14:val="tx1"/>
            </w14:solidFill>
          </w14:textFill>
        </w:rPr>
        <w:t>四、</w:t>
      </w:r>
      <w:bookmarkEnd w:id="1840"/>
      <w:bookmarkStart w:id="1848" w:name="_Toc2034"/>
      <w:bookmarkStart w:id="1849" w:name="_Toc9901"/>
      <w:bookmarkStart w:id="1850" w:name="_Toc15219"/>
      <w:bookmarkStart w:id="1851" w:name="_Toc11920"/>
      <w:bookmarkStart w:id="1852" w:name="_Toc26367"/>
      <w:bookmarkStart w:id="1853" w:name="_Toc30860"/>
      <w:bookmarkStart w:id="1854" w:name="_Toc25002"/>
      <w:bookmarkStart w:id="1855" w:name="_Toc13036"/>
      <w:bookmarkStart w:id="1856" w:name="_Toc25916"/>
      <w:bookmarkStart w:id="1857" w:name="_Toc25464"/>
      <w:bookmarkStart w:id="1858" w:name="_Toc6244"/>
      <w:bookmarkStart w:id="1859" w:name="_Toc16354"/>
      <w:bookmarkStart w:id="1860" w:name="_Toc29820"/>
      <w:bookmarkStart w:id="1861" w:name="_Toc32557"/>
      <w:bookmarkStart w:id="1862" w:name="_Toc6574"/>
      <w:r>
        <w:rPr>
          <w:rFonts w:hint="eastAsia" w:ascii="仿宋" w:hAnsi="仿宋" w:eastAsia="仿宋" w:cs="仿宋"/>
          <w:b/>
          <w:bCs/>
          <w:color w:val="000000" w:themeColor="text1"/>
          <w:sz w:val="44"/>
          <w:szCs w:val="44"/>
          <w:highlight w:val="none"/>
          <w:lang w:eastAsia="zh-CN"/>
          <w14:textFill>
            <w14:solidFill>
              <w14:schemeClr w14:val="tx1"/>
            </w14:solidFill>
          </w14:textFill>
        </w:rPr>
        <w:t>落实政府采购政策</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62743AE1">
      <w:pPr>
        <w:wordWrap w:val="0"/>
        <w:overflowPunct w:val="0"/>
        <w:topLinePunct/>
        <w:jc w:val="center"/>
        <w:outlineLvl w:val="9"/>
        <w:rPr>
          <w:rFonts w:hint="eastAsia" w:ascii="仿宋" w:hAnsi="仿宋" w:eastAsia="仿宋" w:cs="仿宋"/>
          <w:color w:val="000000" w:themeColor="text1"/>
          <w:sz w:val="24"/>
          <w:szCs w:val="24"/>
          <w:highlight w:val="none"/>
          <w14:textFill>
            <w14:solidFill>
              <w14:schemeClr w14:val="tx1"/>
            </w14:solidFill>
          </w14:textFill>
        </w:rPr>
      </w:pPr>
    </w:p>
    <w:p w14:paraId="34735308">
      <w:pPr>
        <w:wordWrap w:val="0"/>
        <w:overflowPunct w:val="0"/>
        <w:topLinePunct/>
        <w:spacing w:line="360" w:lineRule="auto"/>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说明：</w:t>
      </w:r>
    </w:p>
    <w:p w14:paraId="69578DD7">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5ED8FA3F">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 xml:space="preserve">2）对于联合体中由中小企业承担的部分，或者分包给中小企业的部分，必须全部由中小企业制造、承建或者承接。投标人应当在声明函“标的名称”部分标明联合体中中小企业承担的具体内容或者中小企业的具体分包内容。 </w:t>
      </w:r>
    </w:p>
    <w:p w14:paraId="095EEE4D">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767F5240">
      <w:pPr>
        <w:wordWrap w:val="0"/>
        <w:overflowPunct w:val="0"/>
        <w:topLinePunct/>
        <w:spacing w:line="360" w:lineRule="auto"/>
        <w:ind w:firstLine="480" w:firstLineChars="20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项目文件规定的中小企业划分标准所属行业，则按照《关于印发中小企业划型标准规定的通知（工信部联企业﹝2011﹞300 号）》及本项目文件规定的中小企业划分标准所属行业执行。</w:t>
      </w:r>
    </w:p>
    <w:p w14:paraId="2D9B97D0">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bookmarkStart w:id="1863" w:name="_Toc7953"/>
      <w:bookmarkStart w:id="1864" w:name="_Toc31351"/>
      <w:bookmarkStart w:id="1865" w:name="_Toc9189"/>
      <w:bookmarkStart w:id="1866" w:name="_Toc16149"/>
      <w:bookmarkStart w:id="1867" w:name="_Toc3101"/>
      <w:bookmarkStart w:id="1868" w:name="_Toc31097"/>
      <w:bookmarkStart w:id="1869" w:name="_Toc29070"/>
      <w:bookmarkStart w:id="1870" w:name="_Toc3382"/>
      <w:bookmarkStart w:id="1871" w:name="_Toc15831"/>
      <w:bookmarkStart w:id="1872" w:name="_Toc6169"/>
      <w:bookmarkStart w:id="1873" w:name="_Toc11649"/>
      <w:bookmarkStart w:id="1874" w:name="_Toc18460"/>
      <w:bookmarkStart w:id="1875" w:name="_Toc4785"/>
      <w:bookmarkStart w:id="1876" w:name="_Toc29802"/>
      <w:bookmarkStart w:id="1877" w:name="_Toc25444"/>
      <w:bookmarkStart w:id="1878" w:name="_Toc29581"/>
      <w:bookmarkStart w:id="1879" w:name="_Toc13096"/>
      <w:bookmarkStart w:id="1880" w:name="_Toc30990"/>
      <w:bookmarkStart w:id="1881" w:name="_Toc10388"/>
      <w:bookmarkStart w:id="1882" w:name="_Toc32564"/>
      <w:bookmarkStart w:id="1883" w:name="_Toc6532"/>
      <w:bookmarkStart w:id="1884" w:name="_Toc5567"/>
      <w:bookmarkStart w:id="1885" w:name="_Toc4362"/>
      <w:bookmarkStart w:id="1886" w:name="_Toc13683"/>
      <w:bookmarkStart w:id="1887" w:name="_Toc9989"/>
    </w:p>
    <w:p w14:paraId="6624CEB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2"/>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pPr>
      <w:bookmarkStart w:id="1888" w:name="_Toc8646"/>
      <w:bookmarkStart w:id="1889" w:name="_Toc24522"/>
      <w:bookmarkStart w:id="1890" w:name="_Toc5426"/>
      <w:bookmarkStart w:id="1891" w:name="_Toc7683"/>
      <w:bookmarkStart w:id="1892" w:name="_Toc26620"/>
      <w:bookmarkStart w:id="1893" w:name="_Toc14451"/>
      <w:bookmarkStart w:id="1894" w:name="_Toc5639"/>
      <w:bookmarkStart w:id="1895" w:name="_Toc7090"/>
      <w:bookmarkStart w:id="1896" w:name="_Toc26557"/>
      <w:bookmarkStart w:id="1897" w:name="_Toc6156"/>
      <w:bookmarkStart w:id="1898" w:name="_Toc19520"/>
      <w:bookmarkStart w:id="1899" w:name="_Toc27261"/>
      <w:bookmarkStart w:id="1900" w:name="_Toc3976"/>
      <w:bookmarkStart w:id="1901" w:name="_Toc10936"/>
      <w:bookmarkStart w:id="1902" w:name="_Toc5034"/>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中小企业声明函（货物）</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p>
    <w:p w14:paraId="280B28E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2"/>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（不属于中小企业的无需填写）</w:t>
      </w:r>
    </w:p>
    <w:p w14:paraId="7D53139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（单位名称）的</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（项目名称）</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采购活动，货物全部由符合政策要求的中小企业承接。相关企业（含联合体中的中小企业、签订分包意向协议的中小企业）的具体情况如下：</w:t>
      </w:r>
    </w:p>
    <w:p w14:paraId="61B29D6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标的名称</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），属于（</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招标文件中明确的所属行业</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）；制造商为（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企业名称</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），从业人员</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人，营业收入为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万元，资产总额为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万元，属于</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（中型企业、小型企业、微型企业）；</w:t>
      </w:r>
    </w:p>
    <w:p w14:paraId="1CDF90E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标的名称</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），属于（</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招标文件中明确的所属行业</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）；制造商为（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企业名称</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），从业人员</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人，营业收入为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万元，资产总额为</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万元，属于</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（中型企业、小型企业、微型企业）；</w:t>
      </w:r>
    </w:p>
    <w:p w14:paraId="27AF80C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w:t>
      </w:r>
    </w:p>
    <w:p w14:paraId="1DAE0C0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以上企业，不属于大企业的分支机构，不存在控股股东为大企业的情形，也不存在与大企业的负责人为同一人的情形。</w:t>
      </w:r>
    </w:p>
    <w:p w14:paraId="4B35711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本企业对上述声明内容的真实性负责。如有虚假，将依法承担相应责任。</w:t>
      </w:r>
    </w:p>
    <w:p w14:paraId="28CC6002">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1D7505D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630CFD57">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34EE0622">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1756235E">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企业名称：</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（电子公章）</w:t>
      </w:r>
    </w:p>
    <w:p w14:paraId="5A7C7133">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i w:val="0"/>
          <w:i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年</w:t>
      </w:r>
      <w:r>
        <w:rPr>
          <w:rFonts w:hint="eastAsia" w:ascii="仿宋" w:hAnsi="仿宋" w:eastAsia="仿宋" w:cs="仿宋"/>
          <w:i w:val="0"/>
          <w:i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i w:val="0"/>
          <w:i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i w:val="0"/>
          <w:iCs w:val="0"/>
          <w:color w:val="000000" w:themeColor="text1"/>
          <w:sz w:val="24"/>
          <w:szCs w:val="24"/>
          <w:highlight w:val="none"/>
          <w:lang w:eastAsia="zh-CN"/>
          <w14:textFill>
            <w14:solidFill>
              <w14:schemeClr w14:val="tx1"/>
            </w14:solidFill>
          </w14:textFill>
        </w:rPr>
        <w:t>日</w:t>
      </w:r>
    </w:p>
    <w:p w14:paraId="22861B30">
      <w:pPr>
        <w:pStyle w:val="7"/>
        <w:keepNext w:val="0"/>
        <w:keepLines w:val="0"/>
        <w:pageBreakBefore w:val="0"/>
        <w:widowControl w:val="0"/>
        <w:kinsoku/>
        <w:wordWrap w:val="0"/>
        <w:overflowPunct/>
        <w:topLinePunct/>
        <w:autoSpaceDE/>
        <w:autoSpaceDN/>
        <w:bidi w:val="0"/>
        <w:adjustRightInd/>
        <w:snapToGrid/>
        <w:ind w:left="0" w:leftChars="0" w:right="0" w:firstLine="480" w:firstLineChars="200"/>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69BA9656">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51560346">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0" w:firstLineChars="200"/>
        <w:jc w:val="left"/>
        <w:textAlignment w:val="auto"/>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pPr>
    </w:p>
    <w:p w14:paraId="7ED330C4">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68A27EBF">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58192EB1">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5B4DE67A">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6EC3777A">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584075AF">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pPr>
    </w:p>
    <w:p w14:paraId="3CCEDC61">
      <w:pPr>
        <w:pStyle w:val="7"/>
        <w:keepNext w:val="0"/>
        <w:keepLines w:val="0"/>
        <w:pageBreakBefore w:val="0"/>
        <w:widowControl w:val="0"/>
        <w:kinsoku/>
        <w:wordWrap w:val="0"/>
        <w:overflowPunct/>
        <w:topLinePunct/>
        <w:autoSpaceDE/>
        <w:autoSpaceDN/>
        <w:bidi w:val="0"/>
        <w:adjustRightInd/>
        <w:snapToGrid/>
        <w:spacing w:line="0" w:lineRule="atLeast"/>
        <w:ind w:left="0" w:leftChars="0" w:right="0" w:firstLine="482" w:firstLineChars="200"/>
        <w:jc w:val="left"/>
        <w:textAlignment w:val="auto"/>
        <w:rPr>
          <w:rFonts w:hint="eastAsia" w:ascii="仿宋" w:hAnsi="仿宋" w:eastAsia="仿宋" w:cs="仿宋"/>
          <w:b/>
          <w:bCs/>
          <w:i w:val="0"/>
          <w:iCs w:val="0"/>
          <w:color w:val="000000" w:themeColor="text1"/>
          <w:sz w:val="24"/>
          <w:szCs w:val="24"/>
          <w:highlight w:val="none"/>
          <w:lang w:val="zh-CN"/>
          <w14:textFill>
            <w14:solidFill>
              <w14:schemeClr w14:val="tx1"/>
            </w14:solidFill>
          </w14:textFill>
        </w:rPr>
      </w:pP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注：从业人员、营业收入、资产总额填报上一年度数据，无上一年度数据的新成立企业可不填报。</w:t>
      </w:r>
    </w:p>
    <w:p w14:paraId="5F857CCA">
      <w:pPr>
        <w:pStyle w:val="16"/>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9"/>
        <w:rPr>
          <w:rFonts w:hint="eastAsia" w:ascii="仿宋" w:hAnsi="仿宋" w:eastAsia="仿宋" w:cs="仿宋"/>
          <w:bCs w:val="0"/>
          <w:i w:val="0"/>
          <w:iCs w:val="0"/>
          <w:color w:val="000000" w:themeColor="text1"/>
          <w:sz w:val="24"/>
          <w:szCs w:val="24"/>
          <w:highlight w:val="none"/>
          <w:lang w:val="zh-CN"/>
          <w14:textFill>
            <w14:solidFill>
              <w14:schemeClr w14:val="tx1"/>
            </w14:solidFill>
          </w14:textFill>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bookmarkStart w:id="1903" w:name="_Toc31050"/>
      <w:bookmarkStart w:id="1904" w:name="_Toc1572"/>
      <w:bookmarkStart w:id="1905" w:name="_Toc13592"/>
      <w:bookmarkStart w:id="1906" w:name="_Toc4282"/>
      <w:bookmarkStart w:id="1907" w:name="_Toc5927"/>
      <w:bookmarkStart w:id="1908" w:name="_Toc19525"/>
      <w:bookmarkStart w:id="1909" w:name="_Toc991"/>
      <w:bookmarkStart w:id="1910" w:name="_Toc515908228"/>
      <w:bookmarkStart w:id="1911" w:name="_Toc18540"/>
    </w:p>
    <w:p w14:paraId="151B7B7F">
      <w:pPr>
        <w:pStyle w:val="16"/>
        <w:keepNext w:val="0"/>
        <w:keepLines w:val="0"/>
        <w:pageBreakBefore w:val="0"/>
        <w:widowControl w:val="0"/>
        <w:kinsoku/>
        <w:wordWrap w:val="0"/>
        <w:overflowPunct/>
        <w:topLinePunct/>
        <w:autoSpaceDE/>
        <w:autoSpaceDN/>
        <w:bidi w:val="0"/>
        <w:adjustRightInd/>
        <w:snapToGrid/>
        <w:spacing w:beforeLines="0" w:after="0" w:line="360" w:lineRule="auto"/>
        <w:ind w:left="0" w:leftChars="0" w:right="0"/>
        <w:jc w:val="center"/>
        <w:outlineLvl w:val="1"/>
        <w:rPr>
          <w:rFonts w:hint="eastAsia" w:ascii="仿宋" w:hAnsi="仿宋" w:eastAsia="仿宋" w:cs="仿宋"/>
          <w:b w:val="0"/>
          <w:color w:val="000000" w:themeColor="text1"/>
          <w:sz w:val="28"/>
          <w:szCs w:val="28"/>
          <w:highlight w:val="none"/>
          <w14:textFill>
            <w14:solidFill>
              <w14:schemeClr w14:val="tx1"/>
            </w14:solidFill>
          </w14:textFill>
        </w:rPr>
      </w:pPr>
      <w:bookmarkStart w:id="1912" w:name="_Toc27571"/>
      <w:bookmarkStart w:id="1913" w:name="_Toc4303"/>
      <w:bookmarkStart w:id="1914" w:name="_Toc30489"/>
      <w:bookmarkStart w:id="1915" w:name="_Toc19998"/>
      <w:bookmarkStart w:id="1916" w:name="_Toc30821"/>
      <w:bookmarkStart w:id="1917" w:name="_Toc16676"/>
      <w:bookmarkStart w:id="1918" w:name="_Toc28166"/>
      <w:bookmarkStart w:id="1919" w:name="_Toc20833"/>
      <w:bookmarkStart w:id="1920" w:name="_Toc12660"/>
      <w:bookmarkStart w:id="1921" w:name="_Toc16995"/>
      <w:bookmarkStart w:id="1922" w:name="_Toc3342"/>
      <w:bookmarkStart w:id="1923" w:name="_Toc23027"/>
      <w:bookmarkStart w:id="1924" w:name="_Toc31390"/>
      <w:bookmarkStart w:id="1925" w:name="_Toc9862"/>
      <w:bookmarkStart w:id="1926" w:name="_Toc30322"/>
      <w:bookmarkStart w:id="1927" w:name="_Toc17945"/>
      <w:bookmarkStart w:id="1928" w:name="_Toc31247"/>
      <w:bookmarkStart w:id="1929" w:name="_Toc24754"/>
      <w:bookmarkStart w:id="1930" w:name="_Toc25597"/>
      <w:bookmarkStart w:id="1931" w:name="_Toc20255"/>
      <w:bookmarkStart w:id="1932" w:name="_Toc23749"/>
      <w:bookmarkStart w:id="1933" w:name="_Toc13667"/>
      <w:bookmarkStart w:id="1934" w:name="_Toc8038"/>
      <w:bookmarkStart w:id="1935" w:name="_Toc5620"/>
      <w:bookmarkStart w:id="1936" w:name="_Toc12749"/>
      <w:bookmarkStart w:id="1937" w:name="_Toc29933"/>
      <w:bookmarkStart w:id="1938" w:name="_Toc12525"/>
      <w:bookmarkStart w:id="1939" w:name="_Toc21610"/>
      <w:bookmarkStart w:id="1940" w:name="_Toc26487"/>
      <w:bookmarkStart w:id="1941" w:name="_Toc27655"/>
      <w:bookmarkStart w:id="1942" w:name="_Toc13642"/>
      <w:bookmarkStart w:id="1943" w:name="_Toc5825"/>
      <w:bookmarkStart w:id="1944" w:name="_Toc8964"/>
      <w:bookmarkStart w:id="1945" w:name="_Toc23323"/>
      <w:bookmarkStart w:id="1946" w:name="_Toc3522"/>
      <w:bookmarkStart w:id="1947" w:name="_Toc28979"/>
      <w:bookmarkStart w:id="1948" w:name="_Toc10106"/>
      <w:bookmarkStart w:id="1949" w:name="_Toc26327"/>
      <w:bookmarkStart w:id="1950" w:name="_Toc12561"/>
      <w:bookmarkStart w:id="1951" w:name="_Toc3944"/>
      <w:bookmarkStart w:id="1952" w:name="_Toc24407"/>
      <w:r>
        <w:rPr>
          <w:rFonts w:hint="eastAsia" w:ascii="仿宋" w:hAnsi="仿宋" w:eastAsia="仿宋" w:cs="仿宋"/>
          <w:bCs w:val="0"/>
          <w:color w:val="000000" w:themeColor="text1"/>
          <w:sz w:val="28"/>
          <w:szCs w:val="28"/>
          <w:highlight w:val="none"/>
          <w:lang w:val="zh-CN"/>
          <w14:textFill>
            <w14:solidFill>
              <w14:schemeClr w14:val="tx1"/>
            </w14:solidFill>
          </w14:textFill>
        </w:rPr>
        <w:t>残疾人</w:t>
      </w:r>
      <w:r>
        <w:rPr>
          <w:rFonts w:hint="eastAsia" w:ascii="仿宋" w:hAnsi="仿宋" w:eastAsia="仿宋" w:cs="仿宋"/>
          <w:bCs w:val="0"/>
          <w:color w:val="000000" w:themeColor="text1"/>
          <w:sz w:val="28"/>
          <w:szCs w:val="28"/>
          <w:highlight w:val="none"/>
          <w14:textFill>
            <w14:solidFill>
              <w14:schemeClr w14:val="tx1"/>
            </w14:solidFill>
          </w14:textFill>
        </w:rPr>
        <w:t>福利性单位声明函</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2A2597AD">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不属于残疾人福利性单位的无需填写</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0A14106">
      <w:pPr>
        <w:keepNext w:val="0"/>
        <w:keepLines w:val="0"/>
        <w:pageBreakBefore w:val="0"/>
        <w:widowControl w:val="0"/>
        <w:kinsoku/>
        <w:wordWrap w:val="0"/>
        <w:overflowPunct/>
        <w:topLinePunct/>
        <w:autoSpaceDE/>
        <w:autoSpaceDN/>
        <w:bidi w:val="0"/>
        <w:adjustRightInd/>
        <w:snapToGrid/>
        <w:spacing w:line="360" w:lineRule="auto"/>
        <w:ind w:left="0" w:leftChars="0" w:right="0"/>
        <w:rPr>
          <w:rFonts w:hint="eastAsia" w:ascii="仿宋" w:hAnsi="仿宋" w:eastAsia="仿宋" w:cs="仿宋"/>
          <w:color w:val="000000" w:themeColor="text1"/>
          <w:sz w:val="24"/>
          <w:szCs w:val="24"/>
          <w:highlight w:val="none"/>
          <w14:textFill>
            <w14:solidFill>
              <w14:schemeClr w14:val="tx1"/>
            </w14:solidFill>
          </w14:textFill>
        </w:rPr>
      </w:pPr>
    </w:p>
    <w:p w14:paraId="5B722E9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人，安置的残疾人人数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人。且本单位参加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单位的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517C93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本单位对上述声明的真实性负责。如有虚假，将依法承担相应责任。</w:t>
      </w:r>
    </w:p>
    <w:p w14:paraId="689B91B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rPr>
          <w:rFonts w:hint="eastAsia" w:ascii="仿宋" w:hAnsi="仿宋" w:eastAsia="仿宋" w:cs="仿宋"/>
          <w:color w:val="000000" w:themeColor="text1"/>
          <w:sz w:val="24"/>
          <w:szCs w:val="24"/>
          <w:highlight w:val="none"/>
          <w14:textFill>
            <w14:solidFill>
              <w14:schemeClr w14:val="tx1"/>
            </w14:solidFill>
          </w14:textFill>
        </w:rPr>
      </w:pPr>
    </w:p>
    <w:p w14:paraId="621CFD0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注：若无此项内容，可不</w:t>
      </w:r>
      <w:r>
        <w:rPr>
          <w:rFonts w:hint="eastAsia" w:ascii="仿宋" w:hAnsi="仿宋" w:eastAsia="仿宋" w:cs="仿宋"/>
          <w:color w:val="000000" w:themeColor="text1"/>
          <w:sz w:val="24"/>
          <w:szCs w:val="24"/>
          <w:highlight w:val="none"/>
          <w:lang w:eastAsia="zh-CN"/>
          <w14:textFill>
            <w14:solidFill>
              <w14:schemeClr w14:val="tx1"/>
            </w14:solidFill>
          </w14:textFill>
        </w:rPr>
        <w:t>填写</w:t>
      </w:r>
      <w:r>
        <w:rPr>
          <w:rFonts w:hint="eastAsia" w:ascii="仿宋" w:hAnsi="仿宋" w:eastAsia="仿宋" w:cs="仿宋"/>
          <w:color w:val="000000" w:themeColor="text1"/>
          <w:sz w:val="24"/>
          <w:szCs w:val="24"/>
          <w:highlight w:val="none"/>
          <w14:textFill>
            <w14:solidFill>
              <w14:schemeClr w14:val="tx1"/>
            </w14:solidFill>
          </w14:textFill>
        </w:rPr>
        <w:t>此函。</w:t>
      </w:r>
    </w:p>
    <w:p w14:paraId="512601BD">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1DDE4121">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25457DFC">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2D82A561">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1DCBFE45">
      <w:pPr>
        <w:keepNext w:val="0"/>
        <w:keepLines w:val="0"/>
        <w:pageBreakBefore w:val="0"/>
        <w:widowControl w:val="0"/>
        <w:kinsoku/>
        <w:wordWrap w:val="0"/>
        <w:overflowPunct/>
        <w:topLinePunct/>
        <w:autoSpaceDE/>
        <w:autoSpaceDN/>
        <w:bidi w:val="0"/>
        <w:adjustRightInd/>
        <w:snapToGrid/>
        <w:spacing w:line="400" w:lineRule="exact"/>
        <w:ind w:left="0" w:leftChars="0" w:right="0"/>
        <w:jc w:val="both"/>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63A384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0925789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B7B575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58D09410">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3949531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12A5EA27">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8F52563">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7565A0C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1680E8A6">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p>
    <w:p w14:paraId="6124F315">
      <w:pPr>
        <w:keepNext w:val="0"/>
        <w:keepLines w:val="0"/>
        <w:pageBreakBefore w:val="0"/>
        <w:widowControl w:val="0"/>
        <w:kinsoku/>
        <w:wordWrap w:val="0"/>
        <w:overflowPunct/>
        <w:topLinePunct/>
        <w:autoSpaceDE/>
        <w:autoSpaceDN/>
        <w:bidi w:val="0"/>
        <w:adjustRightInd/>
        <w:snapToGrid/>
        <w:spacing w:line="400" w:lineRule="exact"/>
        <w:ind w:left="0" w:leftChars="0" w:right="0"/>
        <w:jc w:val="center"/>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lang w:val="zh-CN"/>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lang w:val="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zh-CN"/>
          <w14:textFill>
            <w14:solidFill>
              <w14:schemeClr w14:val="tx1"/>
            </w14:solidFill>
          </w14:textFill>
        </w:rPr>
        <w:t>（电子公章）</w:t>
      </w:r>
    </w:p>
    <w:p w14:paraId="68233CE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val="0"/>
          <w:bCs w:val="0"/>
          <w:color w:val="000000" w:themeColor="text1"/>
          <w:kern w:val="0"/>
          <w:sz w:val="24"/>
          <w:szCs w:val="24"/>
          <w:highlight w:val="none"/>
          <w:lang w:val="zh-CN"/>
          <w14:textFill>
            <w14:solidFill>
              <w14:schemeClr w14:val="tx1"/>
            </w14:solidFill>
          </w14:textFill>
        </w:rPr>
      </w:pPr>
    </w:p>
    <w:p w14:paraId="60E63E1A">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b w:val="0"/>
          <w:bCs w:val="0"/>
          <w:color w:val="000000" w:themeColor="text1"/>
          <w:kern w:val="0"/>
          <w:sz w:val="24"/>
          <w:szCs w:val="24"/>
          <w:highlight w:val="none"/>
          <w:lang w:val="zh-CN"/>
          <w14:textFill>
            <w14:solidFill>
              <w14:schemeClr w14:val="tx1"/>
            </w14:solidFill>
          </w14:textFill>
        </w:rPr>
        <w:sectPr>
          <w:pgSz w:w="11906" w:h="16838"/>
          <w:pgMar w:top="1134" w:right="1134" w:bottom="1134" w:left="1134" w:header="720" w:footer="907" w:gutter="0"/>
          <w:pgBorders>
            <w:top w:val="none" w:sz="0" w:space="0"/>
            <w:left w:val="none" w:sz="0" w:space="0"/>
            <w:bottom w:val="none" w:sz="0" w:space="0"/>
            <w:right w:val="none" w:sz="0" w:space="0"/>
          </w:pgBorders>
          <w:pgNumType w:fmt="decimal"/>
          <w:cols w:space="720" w:num="1"/>
          <w:rtlGutter w:val="0"/>
        </w:sectPr>
      </w:pPr>
      <w:r>
        <w:rPr>
          <w:rFonts w:hint="eastAsia" w:ascii="仿宋" w:hAnsi="仿宋" w:eastAsia="仿宋" w:cs="仿宋"/>
          <w:b w:val="0"/>
          <w:bCs w:val="0"/>
          <w:color w:val="000000" w:themeColor="text1"/>
          <w:kern w:val="0"/>
          <w:sz w:val="24"/>
          <w:szCs w:val="24"/>
          <w:highlight w:val="none"/>
          <w:lang w:val="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6EE4263A">
      <w:pPr>
        <w:pStyle w:val="15"/>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jc w:val="center"/>
        <w:textAlignment w:val="auto"/>
        <w:outlineLvl w:val="1"/>
        <w:rPr>
          <w:rFonts w:hint="eastAsia" w:ascii="仿宋" w:hAnsi="仿宋" w:eastAsia="仿宋" w:cs="仿宋"/>
          <w:color w:val="000000" w:themeColor="text1"/>
          <w:sz w:val="28"/>
          <w:szCs w:val="28"/>
          <w:highlight w:val="none"/>
          <w14:textFill>
            <w14:solidFill>
              <w14:schemeClr w14:val="tx1"/>
            </w14:solidFill>
          </w14:textFill>
        </w:rPr>
      </w:pPr>
      <w:bookmarkStart w:id="1953" w:name="_Toc18227"/>
      <w:bookmarkStart w:id="1954" w:name="_Toc8182"/>
      <w:bookmarkStart w:id="1955" w:name="_Toc29894"/>
      <w:bookmarkStart w:id="1956" w:name="_Toc21220"/>
      <w:bookmarkStart w:id="1957" w:name="_Toc27186"/>
      <w:bookmarkStart w:id="1958" w:name="_Toc8740"/>
      <w:bookmarkStart w:id="1959" w:name="_Toc21004"/>
      <w:bookmarkStart w:id="1960" w:name="_Toc1388"/>
      <w:bookmarkStart w:id="1961" w:name="_Toc28512"/>
      <w:bookmarkStart w:id="1962" w:name="_Toc23316"/>
      <w:bookmarkStart w:id="1963" w:name="_Toc20260"/>
      <w:bookmarkStart w:id="1964" w:name="_Toc21948"/>
      <w:bookmarkStart w:id="1965" w:name="_Toc31166"/>
      <w:bookmarkStart w:id="1966" w:name="_Toc451"/>
      <w:bookmarkStart w:id="1967" w:name="_Toc19777"/>
      <w:bookmarkStart w:id="1968" w:name="_Toc14312"/>
      <w:bookmarkStart w:id="1969" w:name="_Toc10047"/>
      <w:bookmarkStart w:id="1970" w:name="_Toc13397"/>
      <w:bookmarkStart w:id="1971" w:name="_Toc3442"/>
      <w:bookmarkStart w:id="1972" w:name="_Toc3712"/>
      <w:bookmarkStart w:id="1973" w:name="_Toc21718"/>
      <w:bookmarkStart w:id="1974" w:name="_Toc748"/>
      <w:bookmarkStart w:id="1975" w:name="_Toc24860"/>
      <w:bookmarkStart w:id="1976" w:name="_Toc7854"/>
      <w:bookmarkStart w:id="1977" w:name="_Toc4383"/>
      <w:bookmarkStart w:id="1978" w:name="_Toc7575"/>
      <w:bookmarkStart w:id="1979" w:name="_Toc27477"/>
      <w:bookmarkStart w:id="1980" w:name="_Toc25936"/>
      <w:bookmarkStart w:id="1981" w:name="_Toc24011"/>
      <w:bookmarkStart w:id="1982" w:name="_Toc18265"/>
      <w:bookmarkStart w:id="1983" w:name="_Toc6778"/>
      <w:bookmarkStart w:id="1984" w:name="_Toc29078"/>
      <w:bookmarkStart w:id="1985" w:name="_Toc28662"/>
      <w:bookmarkStart w:id="1986" w:name="_Toc3658"/>
      <w:bookmarkStart w:id="1987" w:name="_Toc15186"/>
      <w:bookmarkStart w:id="1988" w:name="_Toc4256"/>
      <w:bookmarkStart w:id="1989" w:name="_Toc5961"/>
      <w:bookmarkStart w:id="1990" w:name="_Toc2219"/>
      <w:bookmarkStart w:id="1991" w:name="_Toc27539"/>
      <w:bookmarkStart w:id="1992" w:name="_Toc8661"/>
      <w:bookmarkStart w:id="1993" w:name="_Toc4426"/>
      <w:bookmarkStart w:id="1994" w:name="_Toc19429"/>
      <w:bookmarkStart w:id="1995" w:name="_Toc24184"/>
      <w:bookmarkStart w:id="1996" w:name="_Toc306"/>
      <w:bookmarkStart w:id="1997" w:name="_Toc12345"/>
      <w:bookmarkStart w:id="1998" w:name="_Toc4375"/>
      <w:bookmarkStart w:id="1999" w:name="_Toc21829"/>
      <w:bookmarkStart w:id="2000" w:name="_Toc17582"/>
      <w:r>
        <w:rPr>
          <w:rFonts w:hint="eastAsia" w:ascii="仿宋" w:hAnsi="仿宋" w:eastAsia="仿宋" w:cs="仿宋"/>
          <w:b/>
          <w:bCs/>
          <w:color w:val="000000" w:themeColor="text1"/>
          <w:sz w:val="28"/>
          <w:szCs w:val="28"/>
          <w:highlight w:val="none"/>
          <w14:textFill>
            <w14:solidFill>
              <w14:schemeClr w14:val="tx1"/>
            </w14:solidFill>
          </w14:textFill>
        </w:rPr>
        <w:t>监狱企业声明函</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p w14:paraId="4A7A438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不属于监狱企业的无需填写</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1BC559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本公司郑重声明，根据《关于政府采购支持监狱企业发展有关问题的通知》（财库</w:t>
      </w:r>
      <w:r>
        <w:rPr>
          <w:rFonts w:hint="eastAsia" w:ascii="仿宋" w:hAnsi="仿宋" w:eastAsia="仿宋" w:cs="仿宋"/>
          <w:color w:val="000000" w:themeColor="text1"/>
          <w:sz w:val="24"/>
          <w:szCs w:val="24"/>
          <w:highlight w:val="none"/>
          <w:lang w:eastAsia="zh-CN"/>
          <w14:textFill>
            <w14:solidFill>
              <w14:schemeClr w14:val="tx1"/>
            </w14:solidFill>
          </w14:textFill>
        </w:rPr>
        <w:t>〔2014〕</w:t>
      </w:r>
      <w:r>
        <w:rPr>
          <w:rFonts w:hint="eastAsia" w:ascii="仿宋" w:hAnsi="仿宋" w:eastAsia="仿宋" w:cs="仿宋"/>
          <w:color w:val="000000" w:themeColor="text1"/>
          <w:sz w:val="24"/>
          <w:szCs w:val="24"/>
          <w:highlight w:val="none"/>
          <w14:textFill>
            <w14:solidFill>
              <w14:schemeClr w14:val="tx1"/>
            </w14:solidFill>
          </w14:textFill>
        </w:rPr>
        <w:t>68 号）的规定，本公司为监狱企业。</w:t>
      </w:r>
    </w:p>
    <w:p w14:paraId="01E15BD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根据上述标准，我公司属于监狱企业的理由为：</w:t>
      </w:r>
    </w:p>
    <w:p w14:paraId="721A2BA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001" w:name="_Toc16117"/>
      <w:bookmarkStart w:id="2002" w:name="_Toc6373"/>
      <w:bookmarkStart w:id="2003" w:name="_Toc17344"/>
      <w:bookmarkStart w:id="2004" w:name="_Toc8064"/>
      <w:bookmarkStart w:id="2005" w:name="_Toc689"/>
      <w:bookmarkStart w:id="2006" w:name="_Toc31432"/>
      <w:bookmarkStart w:id="2007" w:name="_Toc20412"/>
      <w:bookmarkStart w:id="2008" w:name="_Toc13508"/>
      <w:bookmarkStart w:id="2009" w:name="_Toc26888"/>
      <w:bookmarkStart w:id="2010" w:name="_Toc26209"/>
      <w:bookmarkStart w:id="2011" w:name="_Toc17052"/>
      <w:bookmarkStart w:id="2012" w:name="_Toc23466"/>
      <w:bookmarkStart w:id="2013" w:name="_Toc7890"/>
      <w:bookmarkStart w:id="2014" w:name="_Toc15073"/>
      <w:bookmarkStart w:id="2015" w:name="_Toc9956"/>
      <w:bookmarkStart w:id="2016" w:name="_Toc20595"/>
      <w:bookmarkStart w:id="2017" w:name="_Toc31896"/>
      <w:bookmarkStart w:id="2018" w:name="_Toc5764"/>
      <w:bookmarkStart w:id="2019" w:name="_Toc738"/>
      <w:bookmarkStart w:id="2020" w:name="_Toc9022"/>
      <w:bookmarkStart w:id="2021" w:name="_Toc29857"/>
      <w:bookmarkStart w:id="2022" w:name="_Toc3070"/>
      <w:bookmarkStart w:id="2023" w:name="_Toc4816"/>
      <w:bookmarkStart w:id="2024" w:name="_Toc6301"/>
      <w:bookmarkStart w:id="2025" w:name="_Toc30631"/>
      <w:bookmarkStart w:id="2026" w:name="_Toc32680"/>
      <w:bookmarkStart w:id="2027" w:name="_Toc2104"/>
      <w:bookmarkStart w:id="2028" w:name="_Toc8013"/>
      <w:bookmarkStart w:id="2029" w:name="_Toc9210"/>
      <w:bookmarkStart w:id="2030" w:name="_Toc11261"/>
      <w:bookmarkStart w:id="2031" w:name="_Toc28879"/>
      <w:bookmarkStart w:id="2032" w:name="_Toc6171"/>
      <w:bookmarkStart w:id="2033" w:name="_Toc26304"/>
      <w:bookmarkStart w:id="2034" w:name="_Toc22729"/>
      <w:bookmarkStart w:id="2035" w:name="_Toc24342"/>
      <w:bookmarkStart w:id="2036" w:name="_Toc10980"/>
      <w:bookmarkStart w:id="2037" w:name="_Toc30849"/>
      <w:bookmarkStart w:id="2038" w:name="_Toc21392"/>
      <w:bookmarkStart w:id="2039" w:name="_Toc2869"/>
      <w:bookmarkStart w:id="2040" w:name="_Toc139"/>
      <w:bookmarkStart w:id="2041" w:name="_Toc22325"/>
      <w:bookmarkStart w:id="2042" w:name="_Toc9548"/>
      <w:bookmarkStart w:id="2043" w:name="_Toc6034"/>
      <w:bookmarkStart w:id="2044" w:name="_Toc30129"/>
      <w:bookmarkStart w:id="2045" w:name="_Toc31990"/>
      <w:bookmarkStart w:id="2046" w:name="_Toc1015"/>
      <w:bookmarkStart w:id="2047" w:name="_Toc28812"/>
      <w:bookmarkStart w:id="2048" w:name="_Toc22432"/>
      <w:bookmarkStart w:id="2049" w:name="_Toc23621"/>
      <w:bookmarkStart w:id="2050" w:name="_Toc18008"/>
      <w:bookmarkStart w:id="2051" w:name="_Toc21415"/>
      <w:bookmarkStart w:id="2052" w:name="_Toc28"/>
      <w:bookmarkStart w:id="2053" w:name="_Toc21660"/>
      <w:bookmarkStart w:id="2054" w:name="_Toc1480"/>
      <w:r>
        <w:rPr>
          <w:rFonts w:hint="eastAsia" w:ascii="仿宋" w:hAnsi="仿宋" w:eastAsia="仿宋" w:cs="仿宋"/>
          <w:color w:val="000000" w:themeColor="text1"/>
          <w:sz w:val="24"/>
          <w:szCs w:val="24"/>
          <w:highlight w:val="none"/>
          <w:lang w:val="en-US" w:eastAsia="zh-CN"/>
          <w14:textFill>
            <w14:solidFill>
              <w14:schemeClr w14:val="tx1"/>
            </w14:solidFill>
          </w14:textFill>
        </w:rPr>
        <w:t>1、</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7E231CDD">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055" w:name="_Toc26415"/>
      <w:bookmarkStart w:id="2056" w:name="_Toc22253"/>
      <w:bookmarkStart w:id="2057" w:name="_Toc12669"/>
      <w:bookmarkStart w:id="2058" w:name="_Toc12149"/>
      <w:bookmarkStart w:id="2059" w:name="_Toc27447"/>
      <w:bookmarkStart w:id="2060" w:name="_Toc13724"/>
      <w:bookmarkStart w:id="2061" w:name="_Toc21190"/>
      <w:bookmarkStart w:id="2062" w:name="_Toc30896"/>
      <w:bookmarkStart w:id="2063" w:name="_Toc25807"/>
      <w:bookmarkStart w:id="2064" w:name="_Toc10259"/>
      <w:bookmarkStart w:id="2065" w:name="_Toc29787"/>
      <w:bookmarkStart w:id="2066" w:name="_Toc8098"/>
      <w:bookmarkStart w:id="2067" w:name="_Toc17825"/>
      <w:bookmarkStart w:id="2068" w:name="_Toc31542"/>
      <w:bookmarkStart w:id="2069" w:name="_Toc4511"/>
      <w:bookmarkStart w:id="2070" w:name="_Toc11746"/>
      <w:bookmarkStart w:id="2071" w:name="_Toc25186"/>
      <w:bookmarkStart w:id="2072" w:name="_Toc12984"/>
      <w:bookmarkStart w:id="2073" w:name="_Toc16626"/>
      <w:bookmarkStart w:id="2074" w:name="_Toc2698"/>
      <w:bookmarkStart w:id="2075" w:name="_Toc18997"/>
      <w:bookmarkStart w:id="2076" w:name="_Toc11720"/>
      <w:bookmarkStart w:id="2077" w:name="_Toc18958"/>
      <w:bookmarkStart w:id="2078" w:name="_Toc32561"/>
      <w:bookmarkStart w:id="2079" w:name="_Toc9330"/>
      <w:bookmarkStart w:id="2080" w:name="_Toc10850"/>
      <w:bookmarkStart w:id="2081" w:name="_Toc19995"/>
      <w:bookmarkStart w:id="2082" w:name="_Toc17791"/>
      <w:bookmarkStart w:id="2083" w:name="_Toc1257"/>
      <w:bookmarkStart w:id="2084" w:name="_Toc7385"/>
      <w:bookmarkStart w:id="2085" w:name="_Toc17835"/>
      <w:bookmarkStart w:id="2086" w:name="_Toc17536"/>
      <w:bookmarkStart w:id="2087" w:name="_Toc25751"/>
      <w:bookmarkStart w:id="2088" w:name="_Toc2605"/>
      <w:bookmarkStart w:id="2089" w:name="_Toc17261"/>
      <w:bookmarkStart w:id="2090" w:name="_Toc30883"/>
      <w:bookmarkStart w:id="2091" w:name="_Toc681"/>
      <w:bookmarkStart w:id="2092" w:name="_Toc14473"/>
      <w:bookmarkStart w:id="2093" w:name="_Toc9638"/>
      <w:bookmarkStart w:id="2094" w:name="_Toc27202"/>
      <w:bookmarkStart w:id="2095" w:name="_Toc27967"/>
      <w:bookmarkStart w:id="2096" w:name="_Toc565"/>
      <w:bookmarkStart w:id="2097" w:name="_Toc18693"/>
      <w:bookmarkStart w:id="2098" w:name="_Toc29889"/>
      <w:bookmarkStart w:id="2099" w:name="_Toc4758"/>
      <w:bookmarkStart w:id="2100" w:name="_Toc22544"/>
      <w:bookmarkStart w:id="2101" w:name="_Toc4584"/>
      <w:bookmarkStart w:id="2102" w:name="_Toc19413"/>
      <w:bookmarkStart w:id="2103" w:name="_Toc25974"/>
      <w:bookmarkStart w:id="2104" w:name="_Toc12358"/>
      <w:bookmarkStart w:id="2105" w:name="_Toc2790"/>
      <w:bookmarkStart w:id="2106" w:name="_Toc29815"/>
      <w:bookmarkStart w:id="2107" w:name="_Toc9157"/>
      <w:bookmarkStart w:id="2108" w:name="_Toc7389"/>
      <w:r>
        <w:rPr>
          <w:rFonts w:hint="eastAsia" w:ascii="仿宋" w:hAnsi="仿宋" w:eastAsia="仿宋" w:cs="仿宋"/>
          <w:color w:val="000000" w:themeColor="text1"/>
          <w:sz w:val="24"/>
          <w:szCs w:val="24"/>
          <w:highlight w:val="none"/>
          <w:lang w:val="en-US" w:eastAsia="zh-CN"/>
          <w14:textFill>
            <w14:solidFill>
              <w14:schemeClr w14:val="tx1"/>
            </w14:solidFill>
          </w14:textFill>
        </w:rPr>
        <w:t>2、</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08858C0F">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109" w:name="_Toc4947"/>
      <w:bookmarkStart w:id="2110" w:name="_Toc24087"/>
      <w:bookmarkStart w:id="2111" w:name="_Toc2677"/>
      <w:bookmarkStart w:id="2112" w:name="_Toc15504"/>
      <w:bookmarkStart w:id="2113" w:name="_Toc11643"/>
      <w:bookmarkStart w:id="2114" w:name="_Toc7053"/>
      <w:bookmarkStart w:id="2115" w:name="_Toc1347"/>
      <w:bookmarkStart w:id="2116" w:name="_Toc686"/>
      <w:bookmarkStart w:id="2117" w:name="_Toc6007"/>
      <w:bookmarkStart w:id="2118" w:name="_Toc20592"/>
      <w:bookmarkStart w:id="2119" w:name="_Toc24635"/>
      <w:bookmarkStart w:id="2120" w:name="_Toc9734"/>
      <w:bookmarkStart w:id="2121" w:name="_Toc30903"/>
      <w:bookmarkStart w:id="2122" w:name="_Toc249"/>
      <w:bookmarkStart w:id="2123" w:name="_Toc6668"/>
      <w:bookmarkStart w:id="2124" w:name="_Toc15003"/>
      <w:bookmarkStart w:id="2125" w:name="_Toc22728"/>
      <w:bookmarkStart w:id="2126" w:name="_Toc2778"/>
      <w:bookmarkStart w:id="2127" w:name="_Toc27725"/>
      <w:bookmarkStart w:id="2128" w:name="_Toc11055"/>
      <w:bookmarkStart w:id="2129" w:name="_Toc19116"/>
      <w:bookmarkStart w:id="2130" w:name="_Toc31171"/>
      <w:bookmarkStart w:id="2131" w:name="_Toc25198"/>
      <w:bookmarkStart w:id="2132" w:name="_Toc31364"/>
      <w:bookmarkStart w:id="2133" w:name="_Toc1948"/>
      <w:bookmarkStart w:id="2134" w:name="_Toc9240"/>
      <w:bookmarkStart w:id="2135" w:name="_Toc32619"/>
      <w:bookmarkStart w:id="2136" w:name="_Toc16779"/>
      <w:bookmarkStart w:id="2137" w:name="_Toc25372"/>
      <w:bookmarkStart w:id="2138" w:name="_Toc11156"/>
      <w:bookmarkStart w:id="2139" w:name="_Toc18157"/>
      <w:bookmarkStart w:id="2140" w:name="_Toc8022"/>
      <w:bookmarkStart w:id="2141" w:name="_Toc20016"/>
      <w:bookmarkStart w:id="2142" w:name="_Toc18044"/>
      <w:bookmarkStart w:id="2143" w:name="_Toc17337"/>
      <w:bookmarkStart w:id="2144" w:name="_Toc1247"/>
      <w:bookmarkStart w:id="2145" w:name="_Toc13396"/>
      <w:bookmarkStart w:id="2146" w:name="_Toc23118"/>
      <w:bookmarkStart w:id="2147" w:name="_Toc7295"/>
      <w:bookmarkStart w:id="2148" w:name="_Toc3580"/>
      <w:bookmarkStart w:id="2149" w:name="_Toc1464"/>
      <w:bookmarkStart w:id="2150" w:name="_Toc12955"/>
      <w:bookmarkStart w:id="2151" w:name="_Toc19333"/>
      <w:bookmarkStart w:id="2152" w:name="_Toc5554"/>
      <w:bookmarkStart w:id="2153" w:name="_Toc32267"/>
      <w:bookmarkStart w:id="2154" w:name="_Toc10774"/>
      <w:bookmarkStart w:id="2155" w:name="_Toc14186"/>
      <w:bookmarkStart w:id="2156" w:name="_Toc29881"/>
      <w:bookmarkStart w:id="2157" w:name="_Toc12399"/>
      <w:bookmarkStart w:id="2158" w:name="_Toc31034"/>
      <w:bookmarkStart w:id="2159" w:name="_Toc27872"/>
      <w:bookmarkStart w:id="2160" w:name="_Toc26542"/>
      <w:bookmarkStart w:id="2161" w:name="_Toc25064"/>
      <w:bookmarkStart w:id="2162" w:name="_Toc27931"/>
      <w:r>
        <w:rPr>
          <w:rFonts w:hint="eastAsia" w:ascii="仿宋" w:hAnsi="仿宋" w:eastAsia="仿宋" w:cs="仿宋"/>
          <w:color w:val="000000" w:themeColor="text1"/>
          <w:sz w:val="24"/>
          <w:szCs w:val="24"/>
          <w:highlight w:val="none"/>
          <w:lang w:val="en-US" w:eastAsia="zh-CN"/>
          <w14:textFill>
            <w14:solidFill>
              <w14:schemeClr w14:val="tx1"/>
            </w14:solidFill>
          </w14:textFill>
        </w:rPr>
        <w:t>3、</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65F7E977">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141654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本公司为参加（</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公开招标 </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采购活动</w:t>
      </w:r>
      <w:r>
        <w:rPr>
          <w:rFonts w:hint="eastAsia" w:ascii="仿宋" w:hAnsi="仿宋" w:eastAsia="仿宋" w:cs="仿宋"/>
          <w:color w:val="000000" w:themeColor="text1"/>
          <w:sz w:val="24"/>
          <w:szCs w:val="24"/>
          <w:highlight w:val="none"/>
          <w14:textFill>
            <w14:solidFill>
              <w14:schemeClr w14:val="tx1"/>
            </w14:solidFill>
          </w14:textFill>
        </w:rPr>
        <w:t>提供本企业提供服务。</w:t>
      </w:r>
    </w:p>
    <w:p w14:paraId="07A798E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本公司对上述声明的真实性负责。如有虚假，将依法承担相应责任。</w:t>
      </w:r>
    </w:p>
    <w:p w14:paraId="185E0BF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A4EE84A">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F238460">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DAE4A83">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CA5FB3">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BCB044B">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DBB8FFD">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FC2797E">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4CFAAE6">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6A4CC7E">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776642C">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163" w:name="_Toc32504"/>
      <w:bookmarkStart w:id="2164" w:name="_Toc7623"/>
      <w:bookmarkStart w:id="2165" w:name="_Toc22484"/>
      <w:bookmarkStart w:id="2166" w:name="_Toc29094"/>
      <w:bookmarkStart w:id="2167" w:name="_Toc1622"/>
      <w:bookmarkStart w:id="2168" w:name="_Toc20546"/>
      <w:bookmarkStart w:id="2169" w:name="_Toc28772"/>
      <w:bookmarkStart w:id="2170" w:name="_Toc3864"/>
      <w:bookmarkStart w:id="2171" w:name="_Toc30945"/>
      <w:bookmarkStart w:id="2172" w:name="_Toc26600"/>
      <w:bookmarkStart w:id="2173" w:name="_Toc23531"/>
      <w:bookmarkStart w:id="2174" w:name="_Toc15689"/>
      <w:bookmarkStart w:id="2175" w:name="_Toc24558"/>
      <w:bookmarkStart w:id="2176" w:name="_Toc16202"/>
      <w:bookmarkStart w:id="2177" w:name="_Toc13699"/>
      <w:bookmarkStart w:id="2178" w:name="_Toc28320"/>
      <w:bookmarkStart w:id="2179" w:name="_Toc3669"/>
      <w:bookmarkStart w:id="2180" w:name="_Toc13225"/>
      <w:bookmarkStart w:id="2181" w:name="_Toc3444"/>
      <w:bookmarkStart w:id="2182" w:name="_Toc25524"/>
      <w:bookmarkStart w:id="2183" w:name="_Toc18210"/>
      <w:bookmarkStart w:id="2184" w:name="_Toc31757"/>
      <w:bookmarkStart w:id="2185" w:name="_Toc19474"/>
      <w:bookmarkStart w:id="2186" w:name="_Toc32185"/>
      <w:bookmarkStart w:id="2187" w:name="_Toc25033"/>
      <w:bookmarkStart w:id="2188" w:name="_Toc17540"/>
      <w:bookmarkStart w:id="2189" w:name="_Toc25944"/>
      <w:bookmarkStart w:id="2190" w:name="_Toc29567"/>
      <w:bookmarkStart w:id="2191" w:name="_Toc25161"/>
      <w:bookmarkStart w:id="2192" w:name="_Toc4834"/>
      <w:bookmarkStart w:id="2193" w:name="_Toc32349"/>
      <w:bookmarkStart w:id="2194" w:name="_Toc27772"/>
      <w:bookmarkStart w:id="2195" w:name="_Toc14387"/>
      <w:bookmarkStart w:id="2196" w:name="_Toc13262"/>
    </w:p>
    <w:p w14:paraId="09AB4669">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1A795F5">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334790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outlineLvl w:val="1"/>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bookmarkStart w:id="2197" w:name="_Toc3282"/>
      <w:bookmarkStart w:id="2198" w:name="_Toc15598"/>
      <w:bookmarkStart w:id="2199" w:name="_Toc6166"/>
      <w:bookmarkStart w:id="2200" w:name="_Toc1972"/>
      <w:bookmarkStart w:id="2201" w:name="_Toc4648"/>
      <w:bookmarkStart w:id="2202" w:name="_Toc19373"/>
      <w:bookmarkStart w:id="2203" w:name="_Toc20962"/>
      <w:bookmarkStart w:id="2204" w:name="_Toc28504"/>
      <w:bookmarkStart w:id="2205" w:name="_Toc13033"/>
      <w:bookmarkStart w:id="2206" w:name="_Toc18118"/>
      <w:bookmarkStart w:id="2207" w:name="_Toc16425"/>
      <w:bookmarkStart w:id="2208" w:name="_Toc16935"/>
      <w:bookmarkStart w:id="2209" w:name="_Toc11578"/>
      <w:bookmarkStart w:id="2210" w:name="_Toc13513"/>
      <w:bookmarkStart w:id="2211" w:name="_Toc21875"/>
      <w:bookmarkStart w:id="2212" w:name="_Toc8988"/>
      <w:bookmarkStart w:id="2213" w:name="_Toc12288"/>
      <w:bookmarkStart w:id="2214" w:name="_Toc4419"/>
      <w:bookmarkStart w:id="2215" w:name="_Toc15801"/>
      <w:bookmarkStart w:id="2216" w:name="_Toc11241"/>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（电子公章）</w:t>
      </w:r>
      <w:bookmarkEnd w:id="2208"/>
      <w:bookmarkEnd w:id="2209"/>
      <w:bookmarkEnd w:id="2210"/>
      <w:bookmarkEnd w:id="2211"/>
      <w:bookmarkEnd w:id="2212"/>
      <w:bookmarkEnd w:id="2213"/>
      <w:bookmarkEnd w:id="2214"/>
      <w:bookmarkEnd w:id="2215"/>
      <w:bookmarkEnd w:id="2216"/>
    </w:p>
    <w:p w14:paraId="5440D08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4EA42F8F">
      <w:pPr>
        <w:pStyle w:val="7"/>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732B07C5">
      <w:pP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p>
    <w:p w14:paraId="6946C138">
      <w:pPr>
        <w:jc w:val="center"/>
        <w:rPr>
          <w:rFonts w:hint="eastAsia" w:ascii="仿宋" w:hAnsi="仿宋" w:eastAsia="仿宋" w:cs="仿宋"/>
          <w:i w:val="0"/>
          <w:iCs w:val="0"/>
          <w:caps w:val="0"/>
          <w:color w:val="000000" w:themeColor="text1"/>
          <w:spacing w:val="0"/>
          <w:sz w:val="28"/>
          <w:szCs w:val="28"/>
          <w:highlight w:val="none"/>
          <w14:textFill>
            <w14:solidFill>
              <w14:schemeClr w14:val="tx1"/>
            </w14:solidFill>
          </w14:textFill>
        </w:rPr>
      </w:pPr>
      <w:r>
        <w:rPr>
          <w:rStyle w:val="22"/>
          <w:rFonts w:hint="eastAsia" w:ascii="仿宋" w:hAnsi="仿宋" w:eastAsia="仿宋" w:cs="仿宋"/>
          <w:i w:val="0"/>
          <w:iCs w:val="0"/>
          <w:caps w:val="0"/>
          <w:color w:val="000000" w:themeColor="text1"/>
          <w:spacing w:val="0"/>
          <w:sz w:val="28"/>
          <w:szCs w:val="28"/>
          <w:highlight w:val="none"/>
          <w:shd w:val="clear" w:fill="FFFFFF"/>
          <w:lang w:eastAsia="en-US"/>
          <w14:textFill>
            <w14:solidFill>
              <w14:schemeClr w14:val="tx1"/>
            </w14:solidFill>
          </w14:textFill>
        </w:rPr>
        <w:t>关于符合本国产品标准的声明函</w:t>
      </w:r>
    </w:p>
    <w:p w14:paraId="1D29FE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p>
    <w:p w14:paraId="7B169D6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F0D429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1.</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（产品名称1）</w:t>
      </w:r>
      <w:r>
        <w:rPr>
          <w:rStyle w:val="23"/>
          <w:rFonts w:hint="eastAsia" w:ascii="仿宋" w:hAnsi="仿宋" w:eastAsia="仿宋" w:cs="仿宋"/>
          <w:i w:val="0"/>
          <w:iCs w:val="0"/>
          <w:caps w:val="0"/>
          <w:color w:val="000000" w:themeColor="text1"/>
          <w:spacing w:val="0"/>
          <w:sz w:val="24"/>
          <w:szCs w:val="24"/>
          <w:highlight w:val="none"/>
          <w:shd w:val="clear" w:fill="FFFFFF"/>
          <w:vertAlign w:val="superscript"/>
          <w:lang w:eastAsia="en-US"/>
          <w14:textFill>
            <w14:solidFill>
              <w14:schemeClr w14:val="tx1"/>
            </w14:solidFill>
          </w14:textFill>
        </w:rPr>
        <w:t>1</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，生产厂为</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（厂名）</w:t>
      </w:r>
      <w:r>
        <w:rPr>
          <w:rStyle w:val="23"/>
          <w:rFonts w:hint="eastAsia" w:ascii="仿宋" w:hAnsi="仿宋" w:eastAsia="仿宋" w:cs="仿宋"/>
          <w:i w:val="0"/>
          <w:iCs w:val="0"/>
          <w:caps w:val="0"/>
          <w:color w:val="000000" w:themeColor="text1"/>
          <w:spacing w:val="0"/>
          <w:sz w:val="24"/>
          <w:szCs w:val="24"/>
          <w:highlight w:val="none"/>
          <w:shd w:val="clear" w:fill="FFFFFF"/>
          <w:vertAlign w:val="superscript"/>
          <w:lang w:eastAsia="en-US"/>
          <w14:textFill>
            <w14:solidFill>
              <w14:schemeClr w14:val="tx1"/>
            </w14:solidFill>
          </w14:textFill>
        </w:rPr>
        <w:t>2</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，厂址为</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（生产厂址）</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（产品名称1）</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的中国境内生产的组件成本占比≥</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（规定比例）</w:t>
      </w:r>
      <w:r>
        <w:rPr>
          <w:rStyle w:val="23"/>
          <w:rFonts w:hint="eastAsia" w:ascii="仿宋" w:hAnsi="仿宋" w:eastAsia="仿宋" w:cs="仿宋"/>
          <w:i w:val="0"/>
          <w:iCs w:val="0"/>
          <w:caps w:val="0"/>
          <w:color w:val="000000" w:themeColor="text1"/>
          <w:spacing w:val="0"/>
          <w:sz w:val="24"/>
          <w:szCs w:val="24"/>
          <w:highlight w:val="none"/>
          <w:shd w:val="clear" w:fill="FFFFFF"/>
          <w:vertAlign w:val="superscript"/>
          <w:lang w:eastAsia="en-US"/>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（产品名称1）</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（关键组件）</w:t>
      </w:r>
      <w:r>
        <w:rPr>
          <w:rStyle w:val="23"/>
          <w:rFonts w:hint="eastAsia" w:ascii="仿宋" w:hAnsi="仿宋" w:eastAsia="仿宋" w:cs="仿宋"/>
          <w:i w:val="0"/>
          <w:iCs w:val="0"/>
          <w:caps w:val="0"/>
          <w:color w:val="000000" w:themeColor="text1"/>
          <w:spacing w:val="0"/>
          <w:sz w:val="24"/>
          <w:szCs w:val="24"/>
          <w:highlight w:val="none"/>
          <w:shd w:val="clear" w:fill="FFFFFF"/>
          <w:vertAlign w:val="superscript"/>
          <w:lang w:eastAsia="en-US"/>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在中国境内生产。</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（产品名称1）</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（关键工序）</w:t>
      </w:r>
      <w:r>
        <w:rPr>
          <w:rStyle w:val="23"/>
          <w:rFonts w:hint="eastAsia" w:ascii="仿宋" w:hAnsi="仿宋" w:eastAsia="仿宋" w:cs="仿宋"/>
          <w:i w:val="0"/>
          <w:iCs w:val="0"/>
          <w:caps w:val="0"/>
          <w:color w:val="000000" w:themeColor="text1"/>
          <w:spacing w:val="0"/>
          <w:sz w:val="24"/>
          <w:szCs w:val="24"/>
          <w:highlight w:val="none"/>
          <w:shd w:val="clear" w:fill="FFFFFF"/>
          <w:vertAlign w:val="superscript"/>
          <w:lang w:eastAsia="en-US"/>
          <w14:textFill>
            <w14:solidFill>
              <w14:schemeClr w14:val="tx1"/>
            </w14:solidFill>
          </w14:textFill>
        </w:rPr>
        <w:t>5</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在中国境内完成。</w:t>
      </w:r>
    </w:p>
    <w:p w14:paraId="580696D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2.</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（产品名称2）</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，生产厂为</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（厂名）</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，厂址为</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（生产厂址）</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（产品名称2）</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的中国境内生产的组件成本占比≥</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（规定比例）</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（产品名称2）</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（关键组件）</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在中国境内生产。</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（产品名称2）</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的</w:t>
      </w:r>
      <w:r>
        <w:rPr>
          <w:rStyle w:val="23"/>
          <w:rFonts w:hint="eastAsia" w:ascii="仿宋" w:hAnsi="仿宋" w:eastAsia="仿宋" w:cs="仿宋"/>
          <w:i w:val="0"/>
          <w:iCs w:val="0"/>
          <w:caps w:val="0"/>
          <w:color w:val="000000" w:themeColor="text1"/>
          <w:spacing w:val="0"/>
          <w:sz w:val="24"/>
          <w:szCs w:val="24"/>
          <w:highlight w:val="none"/>
          <w:shd w:val="clear" w:fill="FFFFFF"/>
          <w:lang w:eastAsia="en-US"/>
          <w14:textFill>
            <w14:solidFill>
              <w14:schemeClr w14:val="tx1"/>
            </w14:solidFill>
          </w14:textFill>
        </w:rPr>
        <w:t>（关键工序）</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在中国境内完成。</w:t>
      </w:r>
    </w:p>
    <w:p w14:paraId="6ED3A6D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p>
    <w:p w14:paraId="0194311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本公司（单位）对上述声明内容的真实性负责。如有虚假，愿承担相应法律责任。</w:t>
      </w:r>
    </w:p>
    <w:p w14:paraId="056336A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公司（单位）名称（盖章）：      </w:t>
      </w:r>
    </w:p>
    <w:p w14:paraId="5E757C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日期：　　　　　年　　月　日    </w:t>
      </w:r>
    </w:p>
    <w:p w14:paraId="2B0293A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p>
    <w:p w14:paraId="4134D53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p>
    <w:p w14:paraId="1CB1026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_____________________________</w:t>
      </w:r>
    </w:p>
    <w:p w14:paraId="0C2CBB4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1.产品如有型号，请在“产品名称”栏一并填写。</w:t>
      </w:r>
    </w:p>
    <w:p w14:paraId="44E7925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2.生产厂名与厂址应与生产厂营业执照载明的相关信息保持一致。</w:t>
      </w:r>
    </w:p>
    <w:p w14:paraId="032D583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3.该产品的中国境内生产的组件成本占比相关要求实施前，“规定比例”栏可不填，下同。</w:t>
      </w:r>
    </w:p>
    <w:p w14:paraId="42D95BC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4.该产品的关键组件要求实施前，“关键组件”栏可不填，下同。</w:t>
      </w:r>
    </w:p>
    <w:p w14:paraId="20A4456C">
      <w:pPr>
        <w:ind w:firstLine="480" w:firstLineChars="200"/>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5.该产品的关键工序要求实施前，“关键工序”栏可不填，下同。</w:t>
      </w:r>
    </w:p>
    <w:p w14:paraId="6D3B281F">
      <w:pPr>
        <w:pStyle w:val="44"/>
        <w:spacing w:before="120" w:after="240"/>
        <w:jc w:val="center"/>
        <w:outlineLvl w:val="3"/>
        <w:rPr>
          <w:rFonts w:hint="eastAsia" w:ascii="仿宋" w:hAnsi="仿宋" w:eastAsia="仿宋" w:cs="仿宋"/>
          <w:b/>
          <w:color w:val="auto"/>
          <w:sz w:val="28"/>
          <w:szCs w:val="28"/>
          <w:highlight w:val="yellow"/>
          <w:lang w:val="en-US" w:eastAsia="zh-CN"/>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br w:type="page"/>
      </w:r>
      <w:r>
        <w:rPr>
          <w:rFonts w:hint="eastAsia" w:ascii="仿宋" w:hAnsi="仿宋" w:eastAsia="仿宋" w:cs="仿宋"/>
          <w:b/>
          <w:color w:val="auto"/>
          <w:sz w:val="28"/>
          <w:szCs w:val="28"/>
          <w:highlight w:val="none"/>
          <w:lang w:val="en-US" w:eastAsia="zh-CN"/>
        </w:rPr>
        <w:t>关于本国产品比例的承诺</w:t>
      </w:r>
    </w:p>
    <w:p w14:paraId="23303720">
      <w:pPr>
        <w:pStyle w:val="44"/>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本公司（单位）郑重承诺，我公司已阅读并理解《国务院办公厅关于在政府采购中实施本国产品标准及相关政策的通知》（国办发〔2025〕34号）的规定，</w:t>
      </w:r>
      <w:r>
        <w:rPr>
          <w:rFonts w:hint="eastAsia" w:ascii="仿宋" w:hAnsi="仿宋" w:eastAsia="仿宋" w:cs="仿宋"/>
          <w:color w:val="auto"/>
          <w:sz w:val="24"/>
          <w:szCs w:val="24"/>
          <w:highlight w:val="none"/>
          <w:lang w:val="en-US" w:eastAsia="zh-CN"/>
        </w:rPr>
        <w:t>据此承诺如下：</w:t>
      </w:r>
    </w:p>
    <w:p w14:paraId="2B9479DA">
      <w:pPr>
        <w:pStyle w:val="4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本公司（单位）为本采购项目或者采购包提供的符合本国产品标准的产品成本之和占提供的全部产品成本之和的比例为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3A4D8867">
      <w:pPr>
        <w:pStyle w:val="44"/>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本公司（单位）对上述承诺内容的真实性负责。如有虚假，愿承担相应法律责任。</w:t>
      </w:r>
    </w:p>
    <w:p w14:paraId="77F6473A">
      <w:pPr>
        <w:pStyle w:val="44"/>
        <w:wordWrap w:val="0"/>
        <w:spacing w:before="720" w:line="480" w:lineRule="auto"/>
        <w:jc w:val="right"/>
        <w:rPr>
          <w:rFonts w:hint="default" w:ascii="仿宋" w:hAnsi="仿宋" w:eastAsia="仿宋" w:cs="仿宋"/>
          <w:b w:val="0"/>
          <w:bCs/>
          <w:color w:val="000000"/>
          <w:sz w:val="24"/>
          <w:szCs w:val="24"/>
          <w:highlight w:val="none"/>
          <w:u w:val="single"/>
          <w:lang w:val="en-US" w:eastAsia="zh-CN"/>
        </w:rPr>
      </w:pPr>
      <w:r>
        <w:rPr>
          <w:rFonts w:hint="eastAsia" w:ascii="仿宋" w:hAnsi="仿宋" w:eastAsia="仿宋" w:cs="仿宋"/>
          <w:b w:val="0"/>
          <w:bCs/>
          <w:color w:val="auto"/>
          <w:sz w:val="24"/>
          <w:szCs w:val="24"/>
          <w:highlight w:val="none"/>
        </w:rPr>
        <w:t>公司（单位）名称</w:t>
      </w:r>
      <w:r>
        <w:rPr>
          <w:rFonts w:hint="eastAsia" w:ascii="仿宋" w:hAnsi="仿宋" w:eastAsia="仿宋" w:cs="仿宋"/>
          <w:b w:val="0"/>
          <w:bCs/>
          <w:color w:val="000000"/>
          <w:sz w:val="24"/>
          <w:szCs w:val="24"/>
          <w:highlight w:val="none"/>
        </w:rPr>
        <w:t>（盖章）：</w:t>
      </w:r>
      <w:r>
        <w:rPr>
          <w:rFonts w:hint="eastAsia" w:ascii="仿宋" w:hAnsi="仿宋" w:eastAsia="仿宋" w:cs="仿宋"/>
          <w:b w:val="0"/>
          <w:bCs/>
          <w:color w:val="000000"/>
          <w:sz w:val="24"/>
          <w:szCs w:val="24"/>
          <w:highlight w:val="none"/>
          <w:u w:val="single"/>
          <w:lang w:val="en-US" w:eastAsia="zh-CN"/>
        </w:rPr>
        <w:t xml:space="preserve">                      </w:t>
      </w:r>
    </w:p>
    <w:p w14:paraId="38B37225">
      <w:pPr>
        <w:pStyle w:val="44"/>
        <w:spacing w:line="360" w:lineRule="auto"/>
        <w:jc w:val="right"/>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日期：</w:t>
      </w:r>
      <w:r>
        <w:rPr>
          <w:rFonts w:hint="eastAsia" w:ascii="仿宋" w:hAnsi="仿宋" w:eastAsia="仿宋" w:cs="仿宋"/>
          <w:b w:val="0"/>
          <w:bCs/>
          <w:color w:val="000000"/>
          <w:sz w:val="24"/>
          <w:szCs w:val="24"/>
          <w:highlight w:val="none"/>
          <w:u w:val="single"/>
        </w:rPr>
        <w:t xml:space="preserve"> </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rPr>
        <w:t>年</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rPr>
        <w:t>月</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rPr>
        <w:t>日</w:t>
      </w:r>
    </w:p>
    <w:p w14:paraId="5300788C">
      <w:pPr>
        <w:pStyle w:val="44"/>
        <w:spacing w:before="120" w:after="240" w:line="360" w:lineRule="auto"/>
        <w:jc w:val="both"/>
        <w:outlineLvl w:val="9"/>
        <w:rPr>
          <w:rFonts w:hint="eastAsia" w:ascii="仿宋" w:hAnsi="仿宋" w:eastAsia="仿宋" w:cs="仿宋"/>
          <w:b/>
          <w:color w:val="000000"/>
          <w:sz w:val="24"/>
          <w:szCs w:val="24"/>
          <w:highlight w:val="none"/>
          <w:lang w:val="en-US" w:eastAsia="zh-CN"/>
        </w:rPr>
      </w:pPr>
    </w:p>
    <w:p w14:paraId="43D9B36F">
      <w:pPr>
        <w:pStyle w:val="15"/>
        <w:keepNext w:val="0"/>
        <w:keepLines w:val="0"/>
        <w:widowControl/>
        <w:suppressLineNumbers w:val="0"/>
        <w:spacing w:line="360" w:lineRule="auto"/>
        <w:ind w:left="0" w:firstLine="0"/>
        <w:rPr>
          <w:rFonts w:hint="eastAsia" w:ascii="仿宋" w:hAnsi="仿宋" w:eastAsia="仿宋" w:cs="仿宋"/>
          <w:i w:val="0"/>
          <w:iCs w:val="0"/>
          <w:caps w:val="0"/>
          <w:color w:val="000000"/>
          <w:spacing w:val="0"/>
          <w:sz w:val="24"/>
          <w:szCs w:val="24"/>
          <w:highlight w:val="none"/>
          <w:lang w:eastAsia="zh-Hans"/>
        </w:rPr>
      </w:pPr>
      <w:r>
        <w:rPr>
          <w:rFonts w:hint="eastAsia" w:ascii="仿宋" w:hAnsi="仿宋" w:eastAsia="仿宋" w:cs="仿宋"/>
          <w:i w:val="0"/>
          <w:iCs w:val="0"/>
          <w:caps w:val="0"/>
          <w:color w:val="000000"/>
          <w:spacing w:val="0"/>
          <w:sz w:val="24"/>
          <w:szCs w:val="24"/>
          <w:highlight w:val="none"/>
          <w:lang w:eastAsia="zh-Hans"/>
        </w:rPr>
        <w:t>注：</w:t>
      </w:r>
    </w:p>
    <w:p w14:paraId="207CF208">
      <w:pPr>
        <w:spacing w:line="360" w:lineRule="auto"/>
        <w:rPr>
          <w:rFonts w:hint="eastAsia" w:ascii="仿宋" w:hAnsi="仿宋" w:eastAsia="仿宋" w:cs="仿宋"/>
          <w:sz w:val="24"/>
          <w:szCs w:val="24"/>
          <w:lang w:eastAsia="zh-Hans"/>
        </w:rPr>
      </w:pPr>
      <w:r>
        <w:rPr>
          <w:rFonts w:hint="eastAsia" w:ascii="仿宋" w:hAnsi="仿宋" w:eastAsia="仿宋" w:cs="仿宋"/>
          <w:sz w:val="24"/>
          <w:szCs w:val="24"/>
          <w:lang w:eastAsia="zh-Hans"/>
        </w:rPr>
        <w:t>1.本承诺应按</w:t>
      </w:r>
      <w:r>
        <w:rPr>
          <w:rFonts w:hint="eastAsia" w:ascii="仿宋" w:hAnsi="仿宋" w:eastAsia="仿宋" w:cs="仿宋"/>
          <w:sz w:val="24"/>
          <w:szCs w:val="24"/>
          <w:lang w:val="en-US" w:eastAsia="zh-CN"/>
        </w:rPr>
        <w:t>包</w:t>
      </w:r>
      <w:r>
        <w:rPr>
          <w:rFonts w:hint="eastAsia" w:ascii="仿宋" w:hAnsi="仿宋" w:eastAsia="仿宋" w:cs="仿宋"/>
          <w:sz w:val="24"/>
          <w:szCs w:val="24"/>
          <w:lang w:eastAsia="zh-Hans"/>
        </w:rPr>
        <w:t>分别提供。</w:t>
      </w:r>
    </w:p>
    <w:p w14:paraId="58B208D4">
      <w:pPr>
        <w:spacing w:line="360" w:lineRule="auto"/>
        <w:rPr>
          <w:rFonts w:hint="eastAsia" w:ascii="仿宋" w:hAnsi="仿宋" w:eastAsia="仿宋" w:cs="仿宋"/>
          <w:sz w:val="24"/>
          <w:szCs w:val="24"/>
          <w:lang w:eastAsia="zh-Hans"/>
        </w:rPr>
      </w:pPr>
      <w:r>
        <w:rPr>
          <w:rFonts w:hint="eastAsia" w:ascii="仿宋" w:hAnsi="仿宋" w:eastAsia="仿宋" w:cs="仿宋"/>
          <w:sz w:val="24"/>
          <w:szCs w:val="24"/>
          <w:lang w:eastAsia="zh-Hans"/>
        </w:rPr>
        <w:t>2.单一产品采购无须提供本承诺函；供应商提供产品全部为本国产品，且提供了《关于符合本国产品标准的声明函》时，无须提供本承诺。</w:t>
      </w:r>
    </w:p>
    <w:p w14:paraId="11B3229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Hans"/>
        </w:rPr>
        <w:t>3.当采购项目或单个采购</w:t>
      </w:r>
      <w:r>
        <w:rPr>
          <w:rFonts w:hint="eastAsia" w:ascii="仿宋" w:hAnsi="仿宋" w:eastAsia="仿宋" w:cs="仿宋"/>
          <w:sz w:val="24"/>
          <w:szCs w:val="24"/>
          <w:lang w:val="en-US" w:eastAsia="zh-CN"/>
        </w:rPr>
        <w:t>包</w:t>
      </w:r>
      <w:r>
        <w:rPr>
          <w:rFonts w:hint="eastAsia" w:ascii="仿宋" w:hAnsi="仿宋" w:eastAsia="仿宋" w:cs="仿宋"/>
          <w:sz w:val="24"/>
          <w:szCs w:val="24"/>
          <w:lang w:eastAsia="zh-Hans"/>
        </w:rPr>
        <w:t>中含有多种产品，且供应商提供的产品同时包含本国产品及非本国产品，则供应商除需提供《关于符合本国产品标准的声明函》外，还需提供本承诺；否则，不享受价格评审优惠</w:t>
      </w:r>
      <w:r>
        <w:rPr>
          <w:rFonts w:hint="eastAsia" w:ascii="仿宋" w:hAnsi="仿宋" w:eastAsia="仿宋" w:cs="仿宋"/>
          <w:sz w:val="24"/>
          <w:szCs w:val="24"/>
          <w:lang w:eastAsia="zh-CN"/>
        </w:rPr>
        <w:t>。</w:t>
      </w:r>
    </w:p>
    <w:p w14:paraId="31A627BF">
      <w:pP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全部产品是指:货物或服务采购项目或采购</w:t>
      </w:r>
      <w:r>
        <w:rPr>
          <w:rFonts w:hint="eastAsia" w:ascii="仿宋" w:hAnsi="仿宋" w:eastAsia="仿宋" w:cs="仿宋"/>
          <w:sz w:val="24"/>
          <w:szCs w:val="24"/>
          <w:lang w:val="en-US" w:eastAsia="zh-CN"/>
        </w:rPr>
        <w:t>标项</w:t>
      </w:r>
      <w:r>
        <w:rPr>
          <w:rFonts w:hint="eastAsia" w:ascii="仿宋" w:hAnsi="仿宋" w:eastAsia="仿宋" w:cs="仿宋"/>
          <w:sz w:val="24"/>
          <w:szCs w:val="24"/>
          <w:lang w:eastAsia="zh-CN"/>
        </w:rPr>
        <w:t>中包含的全部货物、服务项目中涉及的货物。</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br w:type="page"/>
      </w:r>
    </w:p>
    <w:p w14:paraId="59B4195E">
      <w:pP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p>
    <w:p w14:paraId="60946D51">
      <w:pP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一、本国产品标准</w:t>
      </w:r>
    </w:p>
    <w:p w14:paraId="4F5C902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本国产品应当符合以下条件：</w:t>
      </w:r>
    </w:p>
    <w:p w14:paraId="66AAC74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（一）在中国境内生产</w:t>
      </w:r>
    </w:p>
    <w:p w14:paraId="0703B66F">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产品应当在中国境内生产，即在中华人民共和国关境内实现从原材料、组件到产品的属性改变。</w:t>
      </w:r>
    </w:p>
    <w:p w14:paraId="3E137ACE">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5D44BB89">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1.为确保产品在运输或者储存期间保持某种状态而进行的操作；</w:t>
      </w:r>
    </w:p>
    <w:p w14:paraId="5A0C770B">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2.为产品运输或者销售进行的包装或者展示；</w:t>
      </w:r>
    </w:p>
    <w:p w14:paraId="4671820C">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3.在产品或者其包装上粘贴或者印刷品牌、标志、标识以及其他用于区别的标记；</w:t>
      </w:r>
    </w:p>
    <w:p w14:paraId="6EC5986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4.简单的上漆、磨光和分装；</w:t>
      </w:r>
    </w:p>
    <w:p w14:paraId="2B272334">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5.其他不属于属性改变的情形。</w:t>
      </w:r>
    </w:p>
    <w:p w14:paraId="53A4437B">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（二）在中国境内生产的组件成本占比达到规定比例</w:t>
      </w:r>
    </w:p>
    <w:p w14:paraId="6C26D8C6">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产品在中国境内生产的组件成本占比应当达到规定比例，计算公式为：</w:t>
      </w:r>
    </w:p>
    <w:p w14:paraId="5E4508FB">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drawing>
          <wp:inline distT="0" distB="0" distL="114300" distR="114300">
            <wp:extent cx="2733675" cy="390525"/>
            <wp:effectExtent l="0" t="0" r="9525"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7"/>
                    <a:stretch>
                      <a:fillRect/>
                    </a:stretch>
                  </pic:blipFill>
                  <pic:spPr>
                    <a:xfrm>
                      <a:off x="0" y="0"/>
                      <a:ext cx="2733675" cy="390525"/>
                    </a:xfrm>
                    <a:prstGeom prst="rect">
                      <a:avLst/>
                    </a:prstGeom>
                    <a:noFill/>
                    <a:ln w="9525">
                      <a:noFill/>
                    </a:ln>
                  </pic:spPr>
                </pic:pic>
              </a:graphicData>
            </a:graphic>
          </wp:inline>
        </w:drawing>
      </w:r>
    </w:p>
    <w:p w14:paraId="3A905EF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71E0CF6">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（三）特定产品的关键组件、关键工序符合相关要求</w:t>
      </w:r>
    </w:p>
    <w:p w14:paraId="6CDEB9B5">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19FB2E4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C233B02">
      <w:pPr>
        <w:pStyle w:val="4"/>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二、本国产品标准的适用范围</w:t>
      </w:r>
    </w:p>
    <w:p w14:paraId="7D01B3C7">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479352C">
      <w:pPr>
        <w:pStyle w:val="4"/>
        <w:spacing w:line="360" w:lineRule="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三、对本国产品的支持政策</w:t>
      </w:r>
    </w:p>
    <w:p w14:paraId="272F4A85">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54AF8961">
      <w:pPr>
        <w:pStyle w:val="4"/>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C1894E2">
      <w:pPr>
        <w:rPr>
          <w:rFonts w:hint="eastAsia"/>
          <w:lang w:eastAsia="zh-CN"/>
        </w:rPr>
      </w:pPr>
    </w:p>
    <w:p w14:paraId="66D53980">
      <w:pPr>
        <w:rPr>
          <w:rFonts w:hint="eastAsia"/>
          <w:lang w:eastAsia="zh-CN"/>
        </w:rPr>
        <w:sectPr>
          <w:footerReference r:id="rId13" w:type="first"/>
          <w:footerReference r:id="rId12" w:type="default"/>
          <w:pgSz w:w="11906" w:h="16838"/>
          <w:pgMar w:top="1440" w:right="1080" w:bottom="1440" w:left="1080"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p>
    <w:p w14:paraId="6AE3777B">
      <w:pPr>
        <w:pStyle w:val="3"/>
        <w:bidi w:val="0"/>
        <w:rPr>
          <w:rFonts w:hint="eastAsia" w:ascii="仿宋" w:hAnsi="仿宋" w:eastAsia="仿宋" w:cs="仿宋"/>
          <w:b/>
          <w:bCs/>
          <w:color w:val="000000" w:themeColor="text1"/>
          <w:sz w:val="44"/>
          <w:szCs w:val="44"/>
          <w:highlight w:val="none"/>
          <w:lang w:eastAsia="zh-CN"/>
          <w14:textFill>
            <w14:solidFill>
              <w14:schemeClr w14:val="tx1"/>
            </w14:solidFill>
          </w14:textFill>
        </w:rPr>
      </w:pPr>
      <w:bookmarkStart w:id="2217" w:name="_Toc20214"/>
      <w:bookmarkStart w:id="2218" w:name="_Toc14065"/>
      <w:bookmarkStart w:id="2219" w:name="_Toc5501"/>
      <w:bookmarkStart w:id="2220" w:name="_Toc27152"/>
      <w:bookmarkStart w:id="2221" w:name="_Toc24751"/>
      <w:bookmarkStart w:id="2222" w:name="_Toc30737"/>
      <w:r>
        <w:rPr>
          <w:rFonts w:hint="eastAsia" w:ascii="仿宋" w:hAnsi="仿宋" w:eastAsia="仿宋" w:cs="仿宋"/>
          <w:color w:val="000000" w:themeColor="text1"/>
          <w:sz w:val="44"/>
          <w:szCs w:val="44"/>
          <w:highlight w:val="none"/>
          <w:lang w:eastAsia="zh-CN"/>
          <w14:textFill>
            <w14:solidFill>
              <w14:schemeClr w14:val="tx1"/>
            </w14:solidFill>
          </w14:textFill>
        </w:rPr>
        <w:t>技术、</w:t>
      </w:r>
      <w:r>
        <w:rPr>
          <w:rFonts w:hint="eastAsia" w:ascii="仿宋" w:hAnsi="仿宋" w:eastAsia="仿宋" w:cs="仿宋"/>
          <w:color w:val="000000" w:themeColor="text1"/>
          <w:sz w:val="44"/>
          <w:szCs w:val="44"/>
          <w:highlight w:val="none"/>
          <w:lang w:val="en-US" w:eastAsia="zh-CN"/>
          <w14:textFill>
            <w14:solidFill>
              <w14:schemeClr w14:val="tx1"/>
            </w14:solidFill>
          </w14:textFill>
        </w:rPr>
        <w:t>商务</w:t>
      </w:r>
      <w:r>
        <w:rPr>
          <w:rFonts w:hint="eastAsia" w:ascii="仿宋" w:hAnsi="仿宋" w:eastAsia="仿宋" w:cs="仿宋"/>
          <w:color w:val="000000" w:themeColor="text1"/>
          <w:sz w:val="44"/>
          <w:szCs w:val="44"/>
          <w:highlight w:val="none"/>
          <w:lang w:eastAsia="zh-CN"/>
          <w14:textFill>
            <w14:solidFill>
              <w14:schemeClr w14:val="tx1"/>
            </w14:solidFill>
          </w14:textFill>
        </w:rPr>
        <w:t>部分</w:t>
      </w:r>
      <w:bookmarkEnd w:id="2217"/>
      <w:bookmarkEnd w:id="2218"/>
      <w:bookmarkEnd w:id="2219"/>
      <w:bookmarkEnd w:id="2220"/>
      <w:bookmarkEnd w:id="2221"/>
      <w:bookmarkEnd w:id="2222"/>
    </w:p>
    <w:p w14:paraId="0DED23B8">
      <w:pPr>
        <w:pStyle w:val="5"/>
        <w:jc w:val="center"/>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223" w:name="_Toc7094"/>
      <w:bookmarkStart w:id="2224" w:name="_Toc19434"/>
      <w:bookmarkStart w:id="2225" w:name="_Toc15646"/>
      <w:bookmarkStart w:id="2226" w:name="_Toc29019"/>
      <w:bookmarkStart w:id="2227" w:name="_Toc20676"/>
      <w:bookmarkStart w:id="2228" w:name="_Toc13173"/>
      <w:bookmarkStart w:id="2229" w:name="_Toc4598"/>
      <w:bookmarkStart w:id="2230" w:name="_Toc27401"/>
      <w:bookmarkStart w:id="2231" w:name="_Toc11704"/>
      <w:bookmarkStart w:id="2232" w:name="_Toc18733"/>
      <w:bookmarkStart w:id="2233" w:name="_Toc24471"/>
      <w:bookmarkStart w:id="2234" w:name="_Toc5141"/>
      <w:bookmarkStart w:id="2235" w:name="_Toc19094"/>
      <w:bookmarkStart w:id="2236" w:name="_Toc6739"/>
      <w:bookmarkStart w:id="2237" w:name="_Toc15881"/>
      <w:bookmarkStart w:id="2238" w:name="_Toc16332"/>
      <w:bookmarkStart w:id="2239" w:name="_Toc26438"/>
      <w:bookmarkStart w:id="2240" w:name="_Toc12558"/>
      <w:bookmarkStart w:id="2241" w:name="_Toc14416"/>
      <w:bookmarkStart w:id="2242" w:name="_Toc6349"/>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技术需求响应/偏离表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（实质性格式）</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tbl>
      <w:tblPr>
        <w:tblStyle w:val="19"/>
        <w:tblW w:w="97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1"/>
        <w:gridCol w:w="1028"/>
        <w:gridCol w:w="2314"/>
        <w:gridCol w:w="2774"/>
        <w:gridCol w:w="708"/>
        <w:gridCol w:w="632"/>
        <w:gridCol w:w="1577"/>
      </w:tblGrid>
      <w:tr w14:paraId="6EF0C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9" w:hRule="atLeast"/>
          <w:jc w:val="center"/>
        </w:trPr>
        <w:tc>
          <w:tcPr>
            <w:tcW w:w="691" w:type="dxa"/>
            <w:noWrap w:val="0"/>
            <w:vAlign w:val="center"/>
          </w:tcPr>
          <w:p w14:paraId="7EB0DF8F">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028" w:type="dxa"/>
            <w:noWrap w:val="0"/>
            <w:vAlign w:val="center"/>
          </w:tcPr>
          <w:p w14:paraId="01893AF3">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技术要求项条款号</w:t>
            </w:r>
          </w:p>
        </w:tc>
        <w:tc>
          <w:tcPr>
            <w:tcW w:w="2314" w:type="dxa"/>
            <w:noWrap w:val="0"/>
            <w:vAlign w:val="center"/>
          </w:tcPr>
          <w:p w14:paraId="053DFB9E">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招标文件中的技术需</w:t>
            </w:r>
            <w:r>
              <w:rPr>
                <w:rFonts w:hint="eastAsia" w:ascii="仿宋" w:hAnsi="仿宋" w:eastAsia="仿宋" w:cs="仿宋"/>
                <w:color w:val="000000" w:themeColor="text1"/>
                <w:sz w:val="24"/>
                <w:szCs w:val="24"/>
                <w:highlight w:val="none"/>
                <w14:textFill>
                  <w14:solidFill>
                    <w14:schemeClr w14:val="tx1"/>
                  </w14:solidFill>
                </w14:textFill>
              </w:rPr>
              <w:t>求</w:t>
            </w:r>
          </w:p>
        </w:tc>
        <w:tc>
          <w:tcPr>
            <w:tcW w:w="2774" w:type="dxa"/>
            <w:noWrap w:val="0"/>
            <w:vAlign w:val="center"/>
          </w:tcPr>
          <w:p w14:paraId="506BC161">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Fonts w:hint="eastAsia" w:ascii="仿宋" w:hAnsi="仿宋" w:eastAsia="仿宋" w:cs="仿宋"/>
                <w:color w:val="000000" w:themeColor="text1"/>
                <w:sz w:val="24"/>
                <w:szCs w:val="24"/>
                <w:highlight w:val="none"/>
                <w14:textFill>
                  <w14:solidFill>
                    <w14:schemeClr w14:val="tx1"/>
                  </w14:solidFill>
                </w14:textFill>
              </w:rPr>
              <w:t>响应的具体内容</w:t>
            </w:r>
          </w:p>
        </w:tc>
        <w:tc>
          <w:tcPr>
            <w:tcW w:w="708" w:type="dxa"/>
            <w:noWrap w:val="0"/>
            <w:vAlign w:val="center"/>
          </w:tcPr>
          <w:p w14:paraId="438B17EA">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偏离</w:t>
            </w:r>
          </w:p>
        </w:tc>
        <w:tc>
          <w:tcPr>
            <w:tcW w:w="632" w:type="dxa"/>
            <w:noWrap w:val="0"/>
            <w:vAlign w:val="center"/>
          </w:tcPr>
          <w:p w14:paraId="36D83082">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说明</w:t>
            </w:r>
          </w:p>
        </w:tc>
        <w:tc>
          <w:tcPr>
            <w:tcW w:w="1577" w:type="dxa"/>
            <w:noWrap w:val="0"/>
            <w:vAlign w:val="center"/>
          </w:tcPr>
          <w:p w14:paraId="646C3972">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证明材料投标文件所在位置</w:t>
            </w:r>
          </w:p>
        </w:tc>
      </w:tr>
      <w:tr w14:paraId="1A2B6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29D63742">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028" w:type="dxa"/>
            <w:noWrap w:val="0"/>
            <w:vAlign w:val="center"/>
          </w:tcPr>
          <w:p w14:paraId="3481E523">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314" w:type="dxa"/>
            <w:noWrap w:val="0"/>
            <w:vAlign w:val="center"/>
          </w:tcPr>
          <w:p w14:paraId="28D275D6">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774" w:type="dxa"/>
            <w:noWrap w:val="0"/>
            <w:vAlign w:val="center"/>
          </w:tcPr>
          <w:p w14:paraId="787F1D4A">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08" w:type="dxa"/>
            <w:noWrap w:val="0"/>
            <w:vAlign w:val="center"/>
          </w:tcPr>
          <w:p w14:paraId="66517596">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32" w:type="dxa"/>
            <w:noWrap w:val="0"/>
            <w:vAlign w:val="center"/>
          </w:tcPr>
          <w:p w14:paraId="7E04C067">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77" w:type="dxa"/>
            <w:noWrap w:val="0"/>
            <w:vAlign w:val="center"/>
          </w:tcPr>
          <w:p w14:paraId="2613FF00">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r w14:paraId="495CF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00518CF2">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028" w:type="dxa"/>
            <w:noWrap w:val="0"/>
            <w:vAlign w:val="center"/>
          </w:tcPr>
          <w:p w14:paraId="354E6E17">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314" w:type="dxa"/>
            <w:noWrap w:val="0"/>
            <w:vAlign w:val="center"/>
          </w:tcPr>
          <w:p w14:paraId="16706E8D">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774" w:type="dxa"/>
            <w:noWrap w:val="0"/>
            <w:vAlign w:val="center"/>
          </w:tcPr>
          <w:p w14:paraId="778264B4">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08" w:type="dxa"/>
            <w:noWrap w:val="0"/>
            <w:vAlign w:val="center"/>
          </w:tcPr>
          <w:p w14:paraId="47B8AD88">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32" w:type="dxa"/>
            <w:noWrap w:val="0"/>
            <w:vAlign w:val="center"/>
          </w:tcPr>
          <w:p w14:paraId="07E2EEB0">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77" w:type="dxa"/>
            <w:noWrap w:val="0"/>
            <w:vAlign w:val="center"/>
          </w:tcPr>
          <w:p w14:paraId="547D8881">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r w14:paraId="529A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3E710BA5">
            <w:pPr>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028" w:type="dxa"/>
            <w:noWrap w:val="0"/>
            <w:vAlign w:val="center"/>
          </w:tcPr>
          <w:p w14:paraId="4E347AAC">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314" w:type="dxa"/>
            <w:noWrap w:val="0"/>
            <w:vAlign w:val="center"/>
          </w:tcPr>
          <w:p w14:paraId="2A0E3F0F">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774" w:type="dxa"/>
            <w:noWrap w:val="0"/>
            <w:vAlign w:val="center"/>
          </w:tcPr>
          <w:p w14:paraId="30B13508">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08" w:type="dxa"/>
            <w:noWrap w:val="0"/>
            <w:vAlign w:val="center"/>
          </w:tcPr>
          <w:p w14:paraId="4560EA5D">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32" w:type="dxa"/>
            <w:noWrap w:val="0"/>
            <w:vAlign w:val="center"/>
          </w:tcPr>
          <w:p w14:paraId="05C05789">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77" w:type="dxa"/>
            <w:noWrap w:val="0"/>
            <w:vAlign w:val="center"/>
          </w:tcPr>
          <w:p w14:paraId="6EC870D5">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r w14:paraId="5351D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91" w:type="dxa"/>
            <w:noWrap w:val="0"/>
            <w:vAlign w:val="center"/>
          </w:tcPr>
          <w:p w14:paraId="2E7C9227">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028" w:type="dxa"/>
            <w:noWrap w:val="0"/>
            <w:vAlign w:val="center"/>
          </w:tcPr>
          <w:p w14:paraId="25D9677A">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314" w:type="dxa"/>
            <w:noWrap w:val="0"/>
            <w:vAlign w:val="center"/>
          </w:tcPr>
          <w:p w14:paraId="138FDFE3">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774" w:type="dxa"/>
            <w:noWrap w:val="0"/>
            <w:vAlign w:val="center"/>
          </w:tcPr>
          <w:p w14:paraId="35541349">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708" w:type="dxa"/>
            <w:noWrap w:val="0"/>
            <w:vAlign w:val="center"/>
          </w:tcPr>
          <w:p w14:paraId="6DC07A63">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632" w:type="dxa"/>
            <w:noWrap w:val="0"/>
            <w:vAlign w:val="center"/>
          </w:tcPr>
          <w:p w14:paraId="42FCDB53">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577" w:type="dxa"/>
            <w:noWrap w:val="0"/>
            <w:vAlign w:val="center"/>
          </w:tcPr>
          <w:p w14:paraId="3752755D">
            <w:pPr>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bl>
    <w:p w14:paraId="4C03AE4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1、投标人应当如实填写上表“投标文件中响应的具体内容”处的内容，对招标文件提出的要求和条件作出明确响应，并列明具体响应数值或内容，只注明符合、满足等无具体内容表述的，所产生的一切后果由投标人承担。投标人需要说明的内容若需特殊表达，应先在本表中进行相应说明，再另页应答。</w:t>
      </w:r>
    </w:p>
    <w:p w14:paraId="15CA5B80">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2.响应/偏离内容项下应按下列规定填写：优于的，填写“正偏离”；符合的，填写“无偏离”；低于（不满足要求）的，填写“负偏离”；</w:t>
      </w:r>
    </w:p>
    <w:p w14:paraId="47F9F885">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3.投标人不按上述表格填写，所产生的一切后果由投标人承担。 </w:t>
      </w:r>
    </w:p>
    <w:p w14:paraId="1755D4DF">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4.投标人必须根据采购需求及要求中“技术要求” 在“技术需求响应/偏离表”中作出全面、真实地反映，投标人除如实填写技术规格偏离表外，投标文件中必须提供技术支持资料支持参数和技术规格偏离表应答（包括但不限于投标产品公开发布的技术白皮书、检测报告、彩页资料等）。若投标文件中技术支持资料参数与技术规格偏离表应答不符，以技术支持资料为准；若无技术支持资料导致评审委员会无法判断的，评审委员会可认定为不响应该条技术参数要求。若出现制造商公开发布的技术白皮书、检测报告、彩页资料等技术证明文件中，同一技术参数或指标互相矛盾，以检测机构出具的检测报告为准。</w:t>
      </w:r>
    </w:p>
    <w:p w14:paraId="51A0B41A">
      <w:pPr>
        <w:wordWrap w:val="0"/>
        <w:overflowPunct w:val="0"/>
        <w:topLinePunct/>
        <w:spacing w:line="360" w:lineRule="auto"/>
        <w:jc w:val="center"/>
        <w:rPr>
          <w:rFonts w:hint="eastAsia" w:ascii="仿宋" w:hAnsi="仿宋" w:eastAsia="仿宋" w:cs="仿宋"/>
          <w:b w:val="0"/>
          <w:bCs/>
          <w:color w:val="000000" w:themeColor="text1"/>
          <w:sz w:val="24"/>
          <w:szCs w:val="24"/>
          <w:highlight w:val="none"/>
          <w:lang w:eastAsia="zh-CN"/>
          <w14:textFill>
            <w14:solidFill>
              <w14:schemeClr w14:val="tx1"/>
            </w14:solidFill>
          </w14:textFill>
        </w:rPr>
      </w:pPr>
    </w:p>
    <w:p w14:paraId="198BCF22">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6CA8D952">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21BA3ADA">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31516E68">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A916A81">
      <w:pPr>
        <w:wordWrap w:val="0"/>
        <w:overflowPunct w:val="0"/>
        <w:topLinePunct/>
        <w:spacing w:line="360" w:lineRule="auto"/>
        <w:jc w:val="center"/>
        <w:outlineLvl w:val="1"/>
        <w:rPr>
          <w:rFonts w:hint="eastAsia" w:ascii="仿宋" w:hAnsi="仿宋" w:eastAsia="仿宋" w:cs="仿宋"/>
          <w:b w:val="0"/>
          <w:bCs/>
          <w:color w:val="000000" w:themeColor="text1"/>
          <w:sz w:val="24"/>
          <w:szCs w:val="24"/>
          <w:highlight w:val="none"/>
          <w:u w:val="single"/>
          <w14:textFill>
            <w14:solidFill>
              <w14:schemeClr w14:val="tx1"/>
            </w14:solidFill>
          </w14:textFill>
        </w:rPr>
      </w:pPr>
      <w:bookmarkStart w:id="2243" w:name="_Toc18715"/>
      <w:bookmarkStart w:id="2244" w:name="_Toc32453"/>
      <w:bookmarkStart w:id="2245" w:name="_Toc25992"/>
      <w:bookmarkStart w:id="2246" w:name="_Toc28398"/>
      <w:bookmarkStart w:id="2247" w:name="_Toc8272"/>
      <w:bookmarkStart w:id="2248" w:name="_Toc29709"/>
      <w:bookmarkStart w:id="2249" w:name="_Toc1692"/>
      <w:bookmarkStart w:id="2250" w:name="_Toc15552"/>
      <w:bookmarkStart w:id="2251" w:name="_Toc2821"/>
      <w:bookmarkStart w:id="2252" w:name="_Toc21677"/>
      <w:bookmarkStart w:id="2253" w:name="_Toc19301"/>
      <w:bookmarkStart w:id="2254" w:name="_Toc29110"/>
      <w:bookmarkStart w:id="2255" w:name="_Toc16049"/>
      <w:bookmarkStart w:id="2256" w:name="_Toc30824"/>
      <w:bookmarkStart w:id="2257" w:name="_Toc18545"/>
      <w:bookmarkStart w:id="2258" w:name="_Toc21880"/>
      <w:bookmarkStart w:id="2259" w:name="_Toc29972"/>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5FBFA61F">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日</w:t>
      </w:r>
    </w:p>
    <w:p w14:paraId="1205A0BE">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p>
    <w:p w14:paraId="54863382">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p>
    <w:p w14:paraId="5ADE0E11">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p>
    <w:p w14:paraId="50DAD594">
      <w:pPr>
        <w:keepNext w:val="0"/>
        <w:keepLines w:val="0"/>
        <w:pageBreakBefore w:val="0"/>
        <w:widowControl w:val="0"/>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附件（若有）：</w:t>
      </w:r>
    </w:p>
    <w:p w14:paraId="20B1C72A">
      <w:pPr>
        <w:keepNext w:val="0"/>
        <w:keepLines w:val="0"/>
        <w:pageBreakBefore w:val="0"/>
        <w:widowControl w:val="0"/>
        <w:kinsoku/>
        <w:wordWrap w:val="0"/>
        <w:overflowPunct/>
        <w:topLinePunct/>
        <w:autoSpaceDE/>
        <w:autoSpaceDN/>
        <w:bidi w:val="0"/>
        <w:adjustRightInd/>
        <w:snapToGrid/>
        <w:spacing w:line="360" w:lineRule="auto"/>
        <w:ind w:left="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sectPr>
          <w:footerReference r:id="rId15" w:type="first"/>
          <w:footerReference r:id="rId14" w:type="default"/>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F7F5B73">
      <w:pPr>
        <w:pStyle w:val="5"/>
        <w:keepNext w:val="0"/>
        <w:keepLines w:val="0"/>
        <w:pageBreakBefore w:val="0"/>
        <w:widowControl w:val="0"/>
        <w:kinsoku/>
        <w:wordWrap w:val="0"/>
        <w:overflowPunct/>
        <w:topLinePunct/>
        <w:autoSpaceDE/>
        <w:autoSpaceDN/>
        <w:bidi w:val="0"/>
        <w:adjustRightInd/>
        <w:snapToGrid/>
        <w:ind w:left="0" w:leftChars="0" w:right="0"/>
        <w:jc w:val="center"/>
        <w:outlineLvl w:val="1"/>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2260" w:name="_Toc11374"/>
      <w:bookmarkStart w:id="2261" w:name="_Toc12564"/>
      <w:bookmarkStart w:id="2262" w:name="_Toc12948"/>
      <w:bookmarkStart w:id="2263" w:name="_Toc4833"/>
      <w:bookmarkStart w:id="2264" w:name="_Toc22216"/>
      <w:bookmarkStart w:id="2265" w:name="_Toc20402"/>
      <w:bookmarkStart w:id="2266" w:name="_Toc13383"/>
      <w:bookmarkStart w:id="2267" w:name="_Toc5060"/>
      <w:bookmarkStart w:id="2268" w:name="_Toc20440"/>
      <w:bookmarkStart w:id="2269" w:name="_Toc32574"/>
      <w:bookmarkStart w:id="2270" w:name="_Toc14107"/>
      <w:bookmarkStart w:id="2271" w:name="_Toc21198"/>
      <w:bookmarkStart w:id="2272" w:name="_Toc22708"/>
      <w:bookmarkStart w:id="2273" w:name="_Toc236"/>
      <w:bookmarkStart w:id="2274" w:name="_Toc8188"/>
      <w:bookmarkStart w:id="2275" w:name="_Toc12800"/>
      <w:bookmarkStart w:id="2276" w:name="_Toc15808"/>
      <w:bookmarkStart w:id="2277" w:name="_Toc30428"/>
      <w:bookmarkStart w:id="2278" w:name="_Toc26932"/>
      <w:bookmarkStart w:id="2279" w:name="_Toc27245"/>
      <w:bookmarkStart w:id="2280" w:name="_Toc17769"/>
      <w:bookmarkStart w:id="2281" w:name="_Toc21080"/>
      <w:bookmarkStart w:id="2282" w:name="_Toc10120"/>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廉洁承诺书</w:t>
      </w:r>
      <w:bookmarkEnd w:id="2260"/>
      <w:bookmarkEnd w:id="2261"/>
      <w:bookmarkEnd w:id="2262"/>
      <w:r>
        <w:rPr>
          <w:rFonts w:hint="eastAsia" w:ascii="仿宋" w:hAnsi="仿宋" w:eastAsia="仿宋" w:cs="仿宋"/>
          <w:color w:val="000000" w:themeColor="text1"/>
          <w:sz w:val="28"/>
          <w:szCs w:val="28"/>
          <w:highlight w:val="none"/>
          <w:lang w:val="en-US" w:eastAsia="zh-CN"/>
          <w14:textFill>
            <w14:solidFill>
              <w14:schemeClr w14:val="tx1"/>
            </w14:solidFill>
          </w14:textFill>
        </w:rPr>
        <w:t>（实质性格式）</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p>
    <w:p w14:paraId="555BB921">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2D037F97">
      <w:pPr>
        <w:keepNext w:val="0"/>
        <w:keepLines w:val="0"/>
        <w:pageBreakBefore w:val="0"/>
        <w:widowControl w:val="0"/>
        <w:kinsoku/>
        <w:wordWrap w:val="0"/>
        <w:overflowPunct/>
        <w:topLinePunct/>
        <w:autoSpaceDE/>
        <w:autoSpaceDN/>
        <w:bidi w:val="0"/>
        <w:adjustRightInd/>
        <w:snapToGrid/>
        <w:ind w:left="0" w:leftChars="0" w:right="0"/>
        <w:jc w:val="center"/>
        <w:rPr>
          <w:rFonts w:hint="eastAsia" w:ascii="仿宋" w:hAnsi="仿宋" w:eastAsia="仿宋" w:cs="仿宋"/>
          <w:b/>
          <w:bCs/>
          <w:color w:val="000000" w:themeColor="text1"/>
          <w:spacing w:val="40"/>
          <w:sz w:val="24"/>
          <w:szCs w:val="24"/>
          <w:highlight w:val="none"/>
          <w:lang w:eastAsia="zh-CN"/>
          <w14:textFill>
            <w14:solidFill>
              <w14:schemeClr w14:val="tx1"/>
            </w14:solidFill>
          </w14:textFill>
        </w:rPr>
      </w:pPr>
    </w:p>
    <w:p w14:paraId="740AA14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本企业参与</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的投标人，现做如下承诺：</w:t>
      </w:r>
    </w:p>
    <w:p w14:paraId="4AA88AC8">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outlineLvl w:val="2"/>
        <w:rPr>
          <w:rFonts w:hint="eastAsia" w:ascii="仿宋" w:hAnsi="仿宋" w:eastAsia="仿宋" w:cs="仿宋"/>
          <w:color w:val="000000" w:themeColor="text1"/>
          <w:sz w:val="24"/>
          <w:szCs w:val="24"/>
          <w:highlight w:val="none"/>
          <w:lang w:eastAsia="zh-CN"/>
          <w14:textFill>
            <w14:solidFill>
              <w14:schemeClr w14:val="tx1"/>
            </w14:solidFill>
          </w14:textFill>
        </w:rPr>
      </w:pPr>
      <w:bookmarkStart w:id="2283" w:name="_Toc9955"/>
      <w:bookmarkStart w:id="2284" w:name="_Toc3046"/>
      <w:bookmarkStart w:id="2285" w:name="_Toc28321"/>
      <w:bookmarkStart w:id="2286" w:name="_Toc26533"/>
      <w:bookmarkStart w:id="2287" w:name="_Toc224"/>
      <w:bookmarkStart w:id="2288" w:name="_Toc9501"/>
      <w:bookmarkStart w:id="2289" w:name="_Toc2236"/>
      <w:bookmarkStart w:id="2290" w:name="_Toc11960"/>
      <w:bookmarkStart w:id="2291" w:name="_Toc21674"/>
      <w:bookmarkStart w:id="2292" w:name="_Toc20454"/>
      <w:r>
        <w:rPr>
          <w:rFonts w:hint="eastAsia" w:ascii="仿宋" w:hAnsi="仿宋" w:eastAsia="仿宋" w:cs="仿宋"/>
          <w:color w:val="000000" w:themeColor="text1"/>
          <w:sz w:val="24"/>
          <w:szCs w:val="24"/>
          <w:highlight w:val="none"/>
          <w:lang w:eastAsia="zh-CN"/>
          <w14:textFill>
            <w14:solidFill>
              <w14:schemeClr w14:val="tx1"/>
            </w14:solidFill>
          </w14:textFill>
        </w:rPr>
        <w:t>1.所提供的一切材料都是真实、有效、合法的。</w:t>
      </w:r>
      <w:bookmarkEnd w:id="2283"/>
      <w:bookmarkEnd w:id="2284"/>
      <w:bookmarkEnd w:id="2285"/>
      <w:bookmarkEnd w:id="2286"/>
      <w:bookmarkEnd w:id="2287"/>
      <w:bookmarkEnd w:id="2288"/>
      <w:bookmarkEnd w:id="2289"/>
      <w:bookmarkEnd w:id="2290"/>
      <w:bookmarkEnd w:id="2291"/>
      <w:bookmarkEnd w:id="2292"/>
    </w:p>
    <w:p w14:paraId="2CE193CC">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2.不与其他投标人串通投标，不损害采购人或其他投标人的合法权益。</w:t>
      </w:r>
    </w:p>
    <w:p w14:paraId="6C7729E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3.不转让、出租、出借资质证书、人员岗位证书或以其他方式允许他人以本企业名义投标。</w:t>
      </w:r>
    </w:p>
    <w:p w14:paraId="61079FAA">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4.不与采购人或采购代理机构串通投标，损害国家利益、社会公共利益或者他人的合法权益。</w:t>
      </w:r>
    </w:p>
    <w:p w14:paraId="29D179E3">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5.不向采购人、评审委员会成员、监督人员行贿。</w:t>
      </w:r>
    </w:p>
    <w:p w14:paraId="386224E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6.不扰乱招标投标活动正常秩序。</w:t>
      </w:r>
    </w:p>
    <w:p w14:paraId="28BB6CB0">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7.不进行虚假恶意投诉。</w:t>
      </w:r>
    </w:p>
    <w:p w14:paraId="56374159">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8.因违反法律法规、规章被查处的，不干预案件查处。</w:t>
      </w:r>
    </w:p>
    <w:p w14:paraId="18C46634">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如出现上述行为，本投标人自愿承担相关责任，接受招标投标监督管理部门、纪检监察部门或司法机关调查处理。给采购人造成损失的，依法承担赔偿责任。</w:t>
      </w:r>
    </w:p>
    <w:p w14:paraId="58BE2172">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239F8A24">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0BAF0C34">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3D7D7CFC">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1127D96F">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3905A5C5">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513F8592">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3070630E">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4A22C785">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27C609CA">
      <w:pPr>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45136042">
      <w:pPr>
        <w:pStyle w:val="7"/>
        <w:keepNext w:val="0"/>
        <w:keepLines w:val="0"/>
        <w:pageBreakBefore w:val="0"/>
        <w:widowControl w:val="0"/>
        <w:kinsoku/>
        <w:wordWrap w:val="0"/>
        <w:overflowPunct/>
        <w:topLinePunct/>
        <w:autoSpaceDE/>
        <w:autoSpaceDN/>
        <w:bidi w:val="0"/>
        <w:adjustRightInd/>
        <w:snapToGrid/>
        <w:ind w:left="0" w:leftChars="0" w:right="0"/>
        <w:rPr>
          <w:rFonts w:hint="eastAsia" w:ascii="仿宋" w:hAnsi="仿宋" w:eastAsia="仿宋" w:cs="仿宋"/>
          <w:color w:val="000000" w:themeColor="text1"/>
          <w:sz w:val="24"/>
          <w:szCs w:val="24"/>
          <w:highlight w:val="none"/>
          <w:lang w:eastAsia="zh-CN"/>
          <w14:textFill>
            <w14:solidFill>
              <w14:schemeClr w14:val="tx1"/>
            </w14:solidFill>
          </w14:textFill>
        </w:rPr>
      </w:pPr>
    </w:p>
    <w:p w14:paraId="1A911A8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p>
    <w:p w14:paraId="3978D6A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63E58822">
      <w:pPr>
        <w:pStyle w:val="5"/>
        <w:keepNext w:val="0"/>
        <w:keepLines w:val="0"/>
        <w:pageBreakBefore w:val="0"/>
        <w:widowControl w:val="0"/>
        <w:kinsoku/>
        <w:wordWrap w:val="0"/>
        <w:overflowPunct w:val="0"/>
        <w:topLinePunct/>
        <w:autoSpaceDE/>
        <w:autoSpaceDN/>
        <w:bidi w:val="0"/>
        <w:adjustRightInd/>
        <w:snapToGrid/>
        <w:spacing w:line="360" w:lineRule="auto"/>
        <w:jc w:val="center"/>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2293" w:name="_Toc5695"/>
      <w:bookmarkStart w:id="2294" w:name="_Toc1662"/>
      <w:bookmarkStart w:id="2295" w:name="_Toc10738"/>
      <w:bookmarkStart w:id="2296" w:name="_Toc13992"/>
      <w:bookmarkStart w:id="2297" w:name="_Toc8653"/>
      <w:bookmarkStart w:id="2298" w:name="_Toc4766"/>
      <w:bookmarkStart w:id="2299" w:name="_Toc9351"/>
      <w:bookmarkStart w:id="2300" w:name="_Toc2371"/>
      <w:bookmarkStart w:id="2301" w:name="_Toc16209"/>
      <w:bookmarkStart w:id="2302" w:name="_Toc1542"/>
      <w:bookmarkStart w:id="2303" w:name="_Toc1150"/>
      <w:bookmarkStart w:id="2304" w:name="_Toc25401"/>
      <w:bookmarkStart w:id="2305" w:name="_Toc5951"/>
      <w:bookmarkStart w:id="2306" w:name="_Toc20021"/>
      <w:bookmarkStart w:id="2307" w:name="_Toc4007"/>
      <w:bookmarkStart w:id="2308" w:name="_Toc18826"/>
      <w:bookmarkStart w:id="2309" w:name="_Toc14362"/>
      <w:bookmarkStart w:id="2310" w:name="_Toc3948"/>
      <w:bookmarkStart w:id="2311" w:name="_Toc15271"/>
      <w:bookmarkStart w:id="2312" w:name="_Toc18748"/>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日期：</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年</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p>
    <w:p w14:paraId="3F3FB589">
      <w:pPr>
        <w:pStyle w:val="5"/>
        <w:keepNext w:val="0"/>
        <w:keepLines w:val="0"/>
        <w:pageBreakBefore w:val="0"/>
        <w:widowControl w:val="0"/>
        <w:kinsoku/>
        <w:wordWrap w:val="0"/>
        <w:overflowPunct w:val="0"/>
        <w:topLinePunct/>
        <w:autoSpaceDE/>
        <w:autoSpaceDN/>
        <w:bidi w:val="0"/>
        <w:adjustRightInd/>
        <w:snapToGrid/>
        <w:spacing w:line="360" w:lineRule="auto"/>
        <w:jc w:val="center"/>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sectPr>
          <w:footerReference r:id="rId17" w:type="first"/>
          <w:footerReference r:id="rId16" w:type="default"/>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docGrid w:linePitch="299" w:charSpace="0"/>
        </w:sectPr>
      </w:pPr>
    </w:p>
    <w:p w14:paraId="65DA5112">
      <w:pPr>
        <w:spacing w:line="360" w:lineRule="auto"/>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2313" w:name="_Toc17828"/>
      <w:bookmarkStart w:id="2314" w:name="_Toc10483"/>
      <w:bookmarkStart w:id="2315" w:name="_Toc22885"/>
      <w:bookmarkStart w:id="2316" w:name="_Toc7274"/>
      <w:bookmarkStart w:id="2317" w:name="_Toc17100"/>
      <w:bookmarkStart w:id="2318" w:name="_Toc22538"/>
      <w:bookmarkStart w:id="2319" w:name="_Toc5303"/>
      <w:bookmarkStart w:id="2320" w:name="_Toc22861"/>
      <w:bookmarkStart w:id="2321" w:name="_Toc15617"/>
      <w:bookmarkStart w:id="2322" w:name="_Toc24547"/>
      <w:bookmarkStart w:id="2323" w:name="_Toc15589"/>
      <w:bookmarkStart w:id="2324" w:name="_Toc27051"/>
      <w:bookmarkStart w:id="2325" w:name="_Toc7375"/>
      <w:bookmarkStart w:id="2326" w:name="_Toc1676"/>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诚信履约承诺函（实质性格式）</w:t>
      </w:r>
    </w:p>
    <w:p w14:paraId="131E4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lang w:eastAsia="zh-CN"/>
          <w14:textFill>
            <w14:solidFill>
              <w14:schemeClr w14:val="tx1"/>
            </w14:solidFill>
          </w14:textFill>
        </w:rPr>
        <w:t>致：</w:t>
      </w:r>
      <w:r>
        <w:rPr>
          <w:rFonts w:hint="eastAsia" w:ascii="仿宋" w:hAnsi="仿宋" w:eastAsia="仿宋" w:cs="仿宋"/>
          <w:b w:val="0"/>
          <w:bCs/>
          <w:color w:val="000000" w:themeColor="text1"/>
          <w:sz w:val="24"/>
          <w:szCs w:val="24"/>
          <w:highlight w:val="none"/>
          <w:u w:val="single"/>
          <w:lang w:eastAsia="zh-CN"/>
          <w14:textFill>
            <w14:solidFill>
              <w14:schemeClr w14:val="tx1"/>
            </w14:solidFill>
          </w14:textFill>
        </w:rPr>
        <w:t>楚雄彝族自治州人民医院</w:t>
      </w:r>
    </w:p>
    <w:p w14:paraId="237E1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如我单位被确定为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的</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中标人，我单位承诺在合同签订及履约过程中将严格执行《中华人民共和国政府采购法》《中华人民共和国政府采购法实施条例》及本项目招标文件中关于合同签订及履约的相关规定，不出现以下情形： </w:t>
      </w:r>
    </w:p>
    <w:p w14:paraId="6518D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（1）中标或者成交后无正当理由拒不与采购人签订政府采购合同； </w:t>
      </w:r>
    </w:p>
    <w:p w14:paraId="3BAA9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（2）未按照招标文件确定的事项签订政府采购合同； </w:t>
      </w:r>
    </w:p>
    <w:p w14:paraId="4B3219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（3）将政府采购合同转包； </w:t>
      </w:r>
    </w:p>
    <w:p w14:paraId="4AA99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（4）提供假冒伪劣产品； </w:t>
      </w:r>
    </w:p>
    <w:p w14:paraId="3AF9CC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（5）擅自变更、中止或者终止政府采购合同。 </w:t>
      </w:r>
    </w:p>
    <w:p w14:paraId="4E1C4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55D5B37">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72BAE2B">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57FD6A1">
      <w:pPr>
        <w:keepNext w:val="0"/>
        <w:keepLines w:val="0"/>
        <w:pageBreakBefore w:val="0"/>
        <w:widowControl w:val="0"/>
        <w:kinsoku/>
        <w:wordWrap/>
        <w:overflowPunct/>
        <w:topLinePunct w:val="0"/>
        <w:autoSpaceDE/>
        <w:autoSpaceDN/>
        <w:bidi w:val="0"/>
        <w:adjustRightInd/>
        <w:snapToGrid/>
        <w:spacing w:line="360" w:lineRule="auto"/>
        <w:ind w:firstLine="51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2F9FBC3">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59F00D1">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93EAD88">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1FC8031">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9D7D08E">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6CFB45F">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767EE04">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43993CC6">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sectPr>
          <w:footerReference r:id="rId19" w:type="first"/>
          <w:footerReference r:id="rId18" w:type="default"/>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docGrid w:linePitch="299" w:charSpace="0"/>
        </w:sectPr>
      </w:pP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53E263EB">
      <w:pPr>
        <w:pStyle w:val="10"/>
        <w:keepNext w:val="0"/>
        <w:keepLines w:val="0"/>
        <w:pageBreakBefore w:val="0"/>
        <w:widowControl w:val="0"/>
        <w:kinsoku/>
        <w:wordWrap w:val="0"/>
        <w:overflowPunct w:val="0"/>
        <w:topLinePunct/>
        <w:autoSpaceDE/>
        <w:autoSpaceDN/>
        <w:bidi w:val="0"/>
        <w:adjustRightInd/>
        <w:snapToGrid/>
        <w:spacing w:line="360" w:lineRule="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2327" w:name="_Toc12653"/>
      <w:bookmarkStart w:id="2328" w:name="_Toc21973"/>
      <w:bookmarkStart w:id="2329" w:name="_Toc25551"/>
      <w:bookmarkStart w:id="2330" w:name="_Toc27204"/>
      <w:bookmarkStart w:id="2331" w:name="_Toc1394"/>
      <w:bookmarkStart w:id="2332" w:name="_Toc7000"/>
      <w:bookmarkStart w:id="2333" w:name="_Toc356"/>
      <w:bookmarkStart w:id="2334" w:name="_Toc13442"/>
      <w:bookmarkStart w:id="2335" w:name="_Toc25003"/>
      <w:bookmarkStart w:id="2336" w:name="_Toc5654"/>
      <w:bookmarkStart w:id="2337" w:name="_Toc20511"/>
      <w:bookmarkStart w:id="2338" w:name="_Toc23076"/>
      <w:bookmarkStart w:id="2339" w:name="_Toc7687"/>
      <w:bookmarkStart w:id="2340" w:name="_Toc20352"/>
      <w:bookmarkStart w:id="2341" w:name="_Toc18633"/>
      <w:bookmarkStart w:id="2342" w:name="_Toc19973"/>
      <w:bookmarkStart w:id="2343" w:name="_Toc28635"/>
      <w:bookmarkStart w:id="2344" w:name="_Toc29728"/>
      <w:bookmarkStart w:id="2345" w:name="_Toc7071"/>
      <w:bookmarkStart w:id="2346" w:name="_Toc20806"/>
      <w:r>
        <w:rPr>
          <w:rStyle w:val="31"/>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Style w:val="31"/>
          <w:rFonts w:hint="eastAsia" w:ascii="仿宋" w:hAnsi="仿宋" w:eastAsia="仿宋" w:cs="仿宋"/>
          <w:color w:val="000000" w:themeColor="text1"/>
          <w:sz w:val="28"/>
          <w:szCs w:val="28"/>
          <w:highlight w:val="none"/>
          <w:lang w:val="en-US"/>
          <w14:textFill>
            <w14:solidFill>
              <w14:schemeClr w14:val="tx1"/>
            </w14:solidFill>
          </w14:textFill>
        </w:rPr>
        <w:t>、</w:t>
      </w:r>
      <w:r>
        <w:rPr>
          <w:rFonts w:hint="eastAsia" w:ascii="仿宋" w:hAnsi="仿宋" w:eastAsia="仿宋" w:cs="仿宋"/>
          <w:b/>
          <w:color w:val="auto"/>
          <w:sz w:val="28"/>
          <w:szCs w:val="28"/>
          <w:highlight w:val="none"/>
          <w:lang w:val="en-US" w:eastAsia="zh-CN"/>
        </w:rPr>
        <w:t>商务要求响应</w:t>
      </w:r>
      <w:r>
        <w:rPr>
          <w:rFonts w:hint="eastAsia" w:ascii="仿宋" w:hAnsi="仿宋" w:eastAsia="仿宋" w:cs="仿宋"/>
          <w:b/>
          <w:color w:val="auto"/>
          <w:sz w:val="28"/>
          <w:szCs w:val="28"/>
          <w:highlight w:val="none"/>
        </w:rPr>
        <w:t>承诺书</w:t>
      </w:r>
      <w:r>
        <w:rPr>
          <w:rStyle w:val="31"/>
          <w:rFonts w:hint="eastAsia" w:ascii="仿宋" w:hAnsi="仿宋" w:eastAsia="仿宋" w:cs="仿宋"/>
          <w:color w:val="000000" w:themeColor="text1"/>
          <w:sz w:val="28"/>
          <w:szCs w:val="28"/>
          <w:highlight w:val="none"/>
          <w:lang w:val="en-US" w:eastAsia="zh-CN"/>
          <w14:textFill>
            <w14:solidFill>
              <w14:schemeClr w14:val="tx1"/>
            </w14:solidFill>
          </w14:textFill>
        </w:rPr>
        <w:t>（实质性格式）</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14:paraId="5FB92A2B">
      <w:pPr>
        <w:keepNext w:val="0"/>
        <w:keepLines w:val="0"/>
        <w:pageBreakBefore w:val="0"/>
        <w:widowControl w:val="0"/>
        <w:kinsoku/>
        <w:wordWrap w:val="0"/>
        <w:overflowPunct/>
        <w:topLinePunct/>
        <w:autoSpaceDE/>
        <w:autoSpaceDN/>
        <w:bidi w:val="0"/>
        <w:adjustRightInd/>
        <w:snapToGrid/>
        <w:spacing w:after="0" w:line="360" w:lineRule="auto"/>
        <w:textAlignment w:val="auto"/>
        <w:rPr>
          <w:rFonts w:hint="eastAsia" w:ascii="仿宋" w:hAnsi="仿宋" w:eastAsia="仿宋" w:cs="仿宋"/>
          <w:color w:val="auto"/>
          <w:sz w:val="24"/>
          <w:szCs w:val="24"/>
          <w:highlight w:val="none"/>
        </w:rPr>
      </w:pPr>
      <w:bookmarkStart w:id="2347" w:name="_Toc23768"/>
      <w:bookmarkStart w:id="2348" w:name="_Toc20056"/>
      <w:bookmarkStart w:id="2349" w:name="_Toc11157"/>
      <w:bookmarkStart w:id="2350" w:name="_Toc1382"/>
      <w:bookmarkStart w:id="2351" w:name="_Toc13211"/>
      <w:bookmarkStart w:id="2352" w:name="_Toc17418"/>
      <w:bookmarkStart w:id="2353" w:name="_Toc29743"/>
      <w:bookmarkStart w:id="2354" w:name="_Toc12254"/>
      <w:bookmarkStart w:id="2355" w:name="_Toc813"/>
      <w:bookmarkStart w:id="2356" w:name="_Toc25805"/>
      <w:bookmarkStart w:id="2357" w:name="_Toc12296"/>
      <w:bookmarkStart w:id="2358" w:name="_Toc18218"/>
      <w:bookmarkStart w:id="2359" w:name="_Toc5941"/>
      <w:bookmarkStart w:id="2360" w:name="_Toc22576"/>
      <w:bookmarkStart w:id="2361" w:name="_Toc15363"/>
      <w:bookmarkStart w:id="2362" w:name="_Toc2668"/>
      <w:bookmarkStart w:id="2363" w:name="_Toc10640"/>
      <w:bookmarkStart w:id="2364" w:name="_Toc17455"/>
      <w:bookmarkStart w:id="2365" w:name="_Toc5103"/>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招标人名称</w:t>
      </w:r>
    </w:p>
    <w:p w14:paraId="56C4EE3A">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lang w:val="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招标文件中“★商务要求”作</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提出的最低要求，</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lang w:eastAsia="zh-CN"/>
        </w:rPr>
        <w:t>将作为采购人与</w:t>
      </w:r>
      <w:r>
        <w:rPr>
          <w:rFonts w:hint="eastAsia" w:ascii="仿宋" w:hAnsi="仿宋" w:eastAsia="仿宋" w:cs="仿宋"/>
          <w:color w:val="auto"/>
          <w:sz w:val="24"/>
          <w:szCs w:val="24"/>
          <w:highlight w:val="none"/>
          <w:lang w:val="en-US" w:eastAsia="zh-CN"/>
        </w:rPr>
        <w:t>中标人签订合同</w:t>
      </w:r>
      <w:r>
        <w:rPr>
          <w:rFonts w:hint="eastAsia" w:ascii="仿宋" w:hAnsi="仿宋" w:eastAsia="仿宋" w:cs="仿宋"/>
          <w:color w:val="auto"/>
          <w:sz w:val="24"/>
          <w:szCs w:val="24"/>
          <w:highlight w:val="none"/>
          <w:lang w:eastAsia="zh-CN"/>
        </w:rPr>
        <w:t>的实质性要求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我单位</w:t>
      </w:r>
      <w:r>
        <w:rPr>
          <w:rFonts w:hint="eastAsia" w:ascii="仿宋" w:hAnsi="仿宋" w:eastAsia="仿宋" w:cs="仿宋"/>
          <w:color w:val="auto"/>
          <w:sz w:val="24"/>
          <w:szCs w:val="24"/>
          <w:highlight w:val="none"/>
        </w:rPr>
        <w:t>确认已详细阅读并理解招标文件中的所有商务条款</w:t>
      </w:r>
      <w:r>
        <w:rPr>
          <w:rFonts w:hint="eastAsia" w:ascii="仿宋" w:hAnsi="仿宋" w:eastAsia="仿宋" w:cs="仿宋"/>
          <w:color w:val="auto"/>
          <w:sz w:val="24"/>
          <w:szCs w:val="24"/>
          <w:highlight w:val="none"/>
          <w:lang w:eastAsia="zh-CN"/>
        </w:rPr>
        <w:t>，我</w:t>
      </w:r>
      <w:r>
        <w:rPr>
          <w:rFonts w:hint="eastAsia" w:ascii="仿宋" w:hAnsi="仿宋" w:eastAsia="仿宋" w:cs="仿宋"/>
          <w:color w:val="auto"/>
          <w:sz w:val="24"/>
          <w:szCs w:val="24"/>
          <w:highlight w:val="none"/>
          <w:lang w:val="en-US" w:eastAsia="zh-CN"/>
        </w:rPr>
        <w:t>单位理解并完全响应本项目中的商务要求。</w:t>
      </w:r>
    </w:p>
    <w:p w14:paraId="0E388C2A">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后我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将严格遵照执行</w:t>
      </w:r>
      <w:r>
        <w:rPr>
          <w:rFonts w:hint="eastAsia" w:ascii="仿宋" w:hAnsi="仿宋" w:eastAsia="仿宋" w:cs="仿宋"/>
          <w:color w:val="auto"/>
          <w:sz w:val="24"/>
          <w:szCs w:val="24"/>
          <w:highlight w:val="none"/>
          <w:lang w:val="en-US" w:eastAsia="zh-CN"/>
        </w:rPr>
        <w:t>商务要求约定的各项义务，确保合同的顺利履行。</w:t>
      </w:r>
    </w:p>
    <w:p w14:paraId="62431287">
      <w:pPr>
        <w:keepNext w:val="0"/>
        <w:keepLines w:val="0"/>
        <w:pageBreakBefore w:val="0"/>
        <w:widowControl w:val="0"/>
        <w:kinsoku/>
        <w:wordWrap w:val="0"/>
        <w:overflowPunct/>
        <w:topLinePunct/>
        <w:autoSpaceDE/>
        <w:autoSpaceDN/>
        <w:bidi w:val="0"/>
        <w:adjustRightInd/>
        <w:snapToGrid/>
        <w:spacing w:after="0" w:line="360" w:lineRule="auto"/>
        <w:ind w:firstLine="425"/>
        <w:textAlignment w:val="auto"/>
        <w:rPr>
          <w:rFonts w:hint="eastAsia" w:ascii="仿宋" w:hAnsi="仿宋" w:eastAsia="仿宋" w:cs="仿宋"/>
          <w:color w:val="auto"/>
          <w:sz w:val="24"/>
          <w:szCs w:val="24"/>
          <w:highlight w:val="none"/>
        </w:rPr>
      </w:pPr>
    </w:p>
    <w:p w14:paraId="33C68423">
      <w:pPr>
        <w:wordWrap w:val="0"/>
        <w:overflowPunct w:val="0"/>
        <w:topLinePunct/>
        <w:spacing w:line="360" w:lineRule="auto"/>
        <w:jc w:val="both"/>
        <w:rPr>
          <w:rFonts w:hint="eastAsia" w:ascii="仿宋" w:hAnsi="仿宋" w:eastAsia="仿宋" w:cs="仿宋"/>
          <w:color w:val="auto"/>
          <w:sz w:val="24"/>
          <w:szCs w:val="24"/>
          <w:highlight w:val="none"/>
          <w:lang w:eastAsia="zh-CN"/>
        </w:rPr>
      </w:pPr>
    </w:p>
    <w:p w14:paraId="218E4422">
      <w:pPr>
        <w:wordWrap w:val="0"/>
        <w:overflowPunct w:val="0"/>
        <w:topLinePunct/>
        <w:spacing w:line="360" w:lineRule="auto"/>
        <w:jc w:val="both"/>
        <w:rPr>
          <w:rFonts w:hint="eastAsia" w:ascii="仿宋" w:hAnsi="仿宋" w:eastAsia="仿宋" w:cs="仿宋"/>
          <w:color w:val="auto"/>
          <w:sz w:val="24"/>
          <w:szCs w:val="24"/>
          <w:highlight w:val="none"/>
          <w:lang w:eastAsia="zh-CN"/>
        </w:rPr>
      </w:pPr>
    </w:p>
    <w:p w14:paraId="7672D926">
      <w:pPr>
        <w:wordWrap w:val="0"/>
        <w:overflowPunct w:val="0"/>
        <w:topLinePunct/>
        <w:spacing w:line="360" w:lineRule="auto"/>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（电子公章）</w:t>
      </w:r>
    </w:p>
    <w:p w14:paraId="446C3E4B">
      <w:pPr>
        <w:keepNext w:val="0"/>
        <w:keepLines w:val="0"/>
        <w:pageBreakBefore w:val="0"/>
        <w:widowControl w:val="0"/>
        <w:numPr>
          <w:ilvl w:val="0"/>
          <w:numId w:val="0"/>
        </w:numPr>
        <w:kinsoku/>
        <w:wordWrap w:val="0"/>
        <w:overflowPunct w:val="0"/>
        <w:topLinePunct/>
        <w:autoSpaceDE/>
        <w:autoSpaceDN/>
        <w:bidi w:val="0"/>
        <w:adjustRightInd/>
        <w:snapToGrid/>
        <w:ind w:right="0" w:rightChars="0"/>
        <w:jc w:val="center"/>
        <w:outlineLvl w:val="1"/>
        <w:rPr>
          <w:rFonts w:hint="eastAsia" w:ascii="仿宋" w:hAnsi="仿宋" w:eastAsia="仿宋" w:cs="仿宋"/>
          <w:b/>
          <w:bCs/>
          <w:color w:val="auto"/>
          <w:sz w:val="24"/>
          <w:szCs w:val="24"/>
          <w:highlight w:val="none"/>
          <w:lang w:val="en-US" w:eastAsia="zh-CN"/>
        </w:rPr>
        <w:sectPr>
          <w:footerReference r:id="rId20" w:type="default"/>
          <w:pgSz w:w="11906" w:h="16838"/>
          <w:pgMar w:top="1440" w:right="1080" w:bottom="1440" w:left="1080" w:header="851" w:footer="907" w:gutter="0"/>
          <w:pgBorders>
            <w:top w:val="none" w:sz="0" w:space="0"/>
            <w:left w:val="none" w:sz="0" w:space="0"/>
            <w:bottom w:val="none" w:sz="0" w:space="0"/>
            <w:right w:val="none" w:sz="0" w:space="0"/>
          </w:pgBorders>
          <w:pgNumType w:fmt="decimal"/>
          <w:cols w:space="720" w:num="1"/>
          <w:docGrid w:type="lines" w:linePitch="312" w:charSpace="0"/>
        </w:sectPr>
      </w:pPr>
      <w:bookmarkStart w:id="2366" w:name="_Toc13821"/>
      <w:bookmarkStart w:id="2367" w:name="_Toc28583"/>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bookmarkEnd w:id="2366"/>
      <w:bookmarkEnd w:id="2367"/>
    </w:p>
    <w:p w14:paraId="39D6635E">
      <w:pPr>
        <w:keepNext w:val="0"/>
        <w:keepLines w:val="0"/>
        <w:pageBreakBefore w:val="0"/>
        <w:widowControl w:val="0"/>
        <w:kinsoku/>
        <w:wordWrap/>
        <w:overflowPunct/>
        <w:topLinePunct/>
        <w:autoSpaceDE w:val="0"/>
        <w:autoSpaceDN/>
        <w:bidi w:val="0"/>
        <w:adjustRightInd/>
        <w:snapToGrid/>
        <w:spacing w:line="360" w:lineRule="auto"/>
        <w:jc w:val="center"/>
        <w:textAlignment w:val="baseline"/>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368" w:name="_Toc29469"/>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供货渠道与合作机构情况</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若有</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8"/>
    </w:p>
    <w:tbl>
      <w:tblPr>
        <w:tblStyle w:val="38"/>
        <w:tblW w:w="94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5646"/>
        <w:gridCol w:w="2495"/>
      </w:tblGrid>
      <w:tr w14:paraId="372BD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744AF387">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分项</w:t>
            </w:r>
          </w:p>
        </w:tc>
        <w:tc>
          <w:tcPr>
            <w:tcW w:w="5646" w:type="dxa"/>
            <w:tcBorders>
              <w:left w:val="single" w:color="auto" w:sz="4" w:space="0"/>
            </w:tcBorders>
            <w:noWrap w:val="0"/>
            <w:vAlign w:val="center"/>
          </w:tcPr>
          <w:p w14:paraId="37F15EDC">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基 本 情 况</w:t>
            </w:r>
          </w:p>
        </w:tc>
        <w:tc>
          <w:tcPr>
            <w:tcW w:w="2495" w:type="dxa"/>
            <w:noWrap w:val="0"/>
            <w:vAlign w:val="center"/>
          </w:tcPr>
          <w:p w14:paraId="0F65DAA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联系人/联系电话/传真</w:t>
            </w:r>
          </w:p>
        </w:tc>
      </w:tr>
      <w:tr w14:paraId="703CC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77E4A216">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生产厂家</w:t>
            </w:r>
          </w:p>
        </w:tc>
        <w:tc>
          <w:tcPr>
            <w:tcW w:w="5646" w:type="dxa"/>
            <w:tcBorders>
              <w:left w:val="single" w:color="auto" w:sz="4" w:space="0"/>
            </w:tcBorders>
            <w:noWrap w:val="0"/>
            <w:vAlign w:val="center"/>
          </w:tcPr>
          <w:p w14:paraId="67FFDE99">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1F0A6908">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F766A1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销售负责人：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c>
          <w:tcPr>
            <w:tcW w:w="2495" w:type="dxa"/>
            <w:tcBorders>
              <w:bottom w:val="single" w:color="auto" w:sz="4" w:space="0"/>
            </w:tcBorders>
            <w:noWrap w:val="0"/>
            <w:vAlign w:val="center"/>
          </w:tcPr>
          <w:p w14:paraId="67E87A3A">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394CBAFE">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47C2523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3E9E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5101D02E">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关键设备合法来源渠道</w:t>
            </w:r>
          </w:p>
        </w:tc>
        <w:tc>
          <w:tcPr>
            <w:tcW w:w="5646" w:type="dxa"/>
            <w:tcBorders>
              <w:left w:val="single" w:color="auto" w:sz="4" w:space="0"/>
              <w:right w:val="single" w:color="auto" w:sz="4" w:space="0"/>
            </w:tcBorders>
            <w:noWrap w:val="0"/>
            <w:vAlign w:val="center"/>
          </w:tcPr>
          <w:p w14:paraId="721997C6">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产品名称：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A861563">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生产地：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66A0D8AA">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经销总代理：</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销售负责人：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AA8454A">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产品介绍和报价的权威网站：</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78862068">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产品合法来源验证查询专线：</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5924752A">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售后服务管理验证查询专线：</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6D5FB86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09977371">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r w14:paraId="26FB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8F0FBAF">
            <w:pPr>
              <w:keepNext w:val="0"/>
              <w:keepLines w:val="0"/>
              <w:pageBreakBefore w:val="0"/>
              <w:widowControl w:val="0"/>
              <w:kinsoku/>
              <w:wordWrap/>
              <w:overflowPunct/>
              <w:topLinePunct/>
              <w:autoSpaceDE w:val="0"/>
              <w:autoSpaceDN/>
              <w:bidi w:val="0"/>
              <w:adjustRightInd/>
              <w:snapToGrid/>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设在</w:t>
            </w:r>
            <w:r>
              <w:rPr>
                <w:rFonts w:hint="eastAsia" w:ascii="仿宋" w:hAnsi="仿宋" w:eastAsia="仿宋" w:cs="仿宋"/>
                <w:color w:val="000000" w:themeColor="text1"/>
                <w:sz w:val="24"/>
                <w:szCs w:val="24"/>
                <w:highlight w:val="none"/>
                <w:lang w:eastAsia="zh-CN"/>
                <w14:textFill>
                  <w14:solidFill>
                    <w14:schemeClr w14:val="tx1"/>
                  </w14:solidFill>
                </w14:textFill>
              </w:rPr>
              <w:t>云南</w:t>
            </w:r>
            <w:r>
              <w:rPr>
                <w:rFonts w:hint="eastAsia" w:ascii="仿宋" w:hAnsi="仿宋" w:eastAsia="仿宋" w:cs="仿宋"/>
                <w:color w:val="000000" w:themeColor="text1"/>
                <w:sz w:val="24"/>
                <w:szCs w:val="24"/>
                <w:highlight w:val="none"/>
                <w14:textFill>
                  <w14:solidFill>
                    <w14:schemeClr w14:val="tx1"/>
                  </w14:solidFill>
                </w14:textFill>
              </w:rPr>
              <w:t>省内的售后服务机构情况</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若有</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5646" w:type="dxa"/>
            <w:tcBorders>
              <w:left w:val="single" w:color="auto" w:sz="4" w:space="0"/>
              <w:right w:val="single" w:color="auto" w:sz="4" w:space="0"/>
            </w:tcBorders>
            <w:noWrap w:val="0"/>
            <w:vAlign w:val="center"/>
          </w:tcPr>
          <w:p w14:paraId="4E6DA522">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机构名称：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21A6DB33">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4743BFE9">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 责 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1D96BC9B">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服务机构性质：企业自有/委托代理</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71A51975">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4976526F">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63B2D5CD">
            <w:pPr>
              <w:keepNext w:val="0"/>
              <w:keepLines w:val="0"/>
              <w:pageBreakBefore w:val="0"/>
              <w:widowControl w:val="0"/>
              <w:kinsoku/>
              <w:wordWrap/>
              <w:overflowPunct/>
              <w:topLinePunct/>
              <w:autoSpaceDE w:val="0"/>
              <w:autoSpaceDN/>
              <w:bidi w:val="0"/>
              <w:adjustRightInd/>
              <w:snapToGrid/>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tc>
      </w:tr>
    </w:tbl>
    <w:p w14:paraId="78EBB5F8">
      <w:pPr>
        <w:pStyle w:val="7"/>
        <w:rPr>
          <w:rFonts w:hint="eastAsia" w:ascii="仿宋" w:hAnsi="仿宋" w:eastAsia="仿宋" w:cs="仿宋"/>
          <w:color w:val="000000" w:themeColor="text1"/>
          <w:sz w:val="24"/>
          <w:szCs w:val="24"/>
          <w:highlight w:val="none"/>
          <w:lang w:eastAsia="zh-CN"/>
          <w14:textFill>
            <w14:solidFill>
              <w14:schemeClr w14:val="tx1"/>
            </w14:solidFill>
          </w14:textFill>
        </w:rPr>
        <w:sectPr>
          <w:footerReference r:id="rId21" w:type="default"/>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000000" w:themeColor="text1"/>
          <w:sz w:val="24"/>
          <w:szCs w:val="24"/>
          <w:highlight w:val="none"/>
          <w:lang w:eastAsia="zh-CN"/>
          <w14:textFill>
            <w14:solidFill>
              <w14:schemeClr w14:val="tx1"/>
            </w14:solidFill>
          </w14:textFill>
        </w:rPr>
        <w:t>注：须提供相关证明材料</w:t>
      </w:r>
    </w:p>
    <w:p w14:paraId="4F426E49">
      <w:pPr>
        <w:pStyle w:val="5"/>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outlineLvl w:val="1"/>
        <w:rPr>
          <w:rFonts w:hint="eastAsia" w:ascii="仿宋" w:hAnsi="仿宋" w:eastAsia="仿宋" w:cs="仿宋"/>
          <w:color w:val="000000" w:themeColor="text1"/>
          <w:sz w:val="28"/>
          <w:szCs w:val="28"/>
          <w:highlight w:val="none"/>
          <w:u w:val="none"/>
          <w:lang w:eastAsia="zh-CN"/>
          <w14:textFill>
            <w14:solidFill>
              <w14:schemeClr w14:val="tx1"/>
            </w14:solidFill>
          </w14:textFill>
        </w:rPr>
      </w:pPr>
      <w:bookmarkStart w:id="2369" w:name="_Toc30310"/>
      <w:bookmarkStart w:id="2370" w:name="_Toc17595"/>
      <w:bookmarkStart w:id="2371" w:name="_Toc19549"/>
      <w:bookmarkStart w:id="2372" w:name="_Toc10237"/>
      <w:bookmarkStart w:id="2373" w:name="_Toc21967"/>
      <w:bookmarkStart w:id="2374" w:name="_Toc1575"/>
      <w:bookmarkStart w:id="2375" w:name="_Toc26418"/>
      <w:bookmarkStart w:id="2376" w:name="_Toc7696"/>
      <w:bookmarkStart w:id="2377" w:name="_Toc26436"/>
      <w:bookmarkStart w:id="2378" w:name="_Toc24414"/>
      <w:bookmarkStart w:id="2379" w:name="_Toc16821"/>
      <w:bookmarkStart w:id="2380" w:name="_Toc19948"/>
      <w:bookmarkStart w:id="2381" w:name="_Toc31638"/>
      <w:bookmarkStart w:id="2382" w:name="_Toc15717"/>
      <w:bookmarkStart w:id="2383" w:name="_Toc31177"/>
      <w:bookmarkStart w:id="2384" w:name="_Toc9299"/>
      <w:bookmarkStart w:id="2385" w:name="_Toc30085"/>
      <w:bookmarkStart w:id="2386" w:name="_Toc10223"/>
      <w:bookmarkStart w:id="2387" w:name="_Toc9021"/>
      <w:bookmarkStart w:id="2388" w:name="_Toc6718"/>
      <w:bookmarkStart w:id="2389" w:name="_Toc10910"/>
      <w:bookmarkStart w:id="2390" w:name="_Toc2865"/>
      <w:bookmarkStart w:id="2391" w:name="_Toc27012"/>
      <w:bookmarkStart w:id="2392" w:name="_Toc24060"/>
      <w:bookmarkStart w:id="2393" w:name="_Toc20393"/>
      <w:bookmarkStart w:id="2394" w:name="_Toc2855"/>
      <w:bookmarkStart w:id="2395" w:name="_Toc23457"/>
      <w:bookmarkStart w:id="2396" w:name="_Toc1878"/>
      <w:bookmarkStart w:id="2397" w:name="_Toc28887"/>
      <w:bookmarkStart w:id="2398" w:name="_Toc23615"/>
      <w:bookmarkStart w:id="2399" w:name="_Toc14131"/>
      <w:bookmarkStart w:id="2400" w:name="_Toc9097"/>
      <w:bookmarkStart w:id="2401" w:name="_Toc8198"/>
      <w:bookmarkStart w:id="2402" w:name="_Toc5531"/>
      <w:bookmarkStart w:id="2403" w:name="_Toc27228"/>
      <w:bookmarkStart w:id="2404" w:name="_Toc12306"/>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lang w:eastAsia="zh-CN"/>
          <w14:textFill>
            <w14:solidFill>
              <w14:schemeClr w14:val="tx1"/>
            </w14:solidFill>
          </w14:textFill>
        </w:rPr>
        <w:t>、投标保证金</w:t>
      </w:r>
      <w:r>
        <w:rPr>
          <w:rFonts w:hint="eastAsia" w:ascii="仿宋" w:hAnsi="仿宋" w:eastAsia="仿宋" w:cs="仿宋"/>
          <w:b/>
          <w:bCs/>
          <w:color w:val="000000" w:themeColor="text1"/>
          <w:spacing w:val="-1"/>
          <w:sz w:val="28"/>
          <w:szCs w:val="28"/>
          <w:highlight w:val="none"/>
          <w14:textFill>
            <w14:solidFill>
              <w14:schemeClr w14:val="tx1"/>
            </w14:solidFill>
          </w14:textFill>
        </w:rPr>
        <w:t>缴</w:t>
      </w:r>
      <w:r>
        <w:rPr>
          <w:rFonts w:hint="eastAsia" w:ascii="仿宋" w:hAnsi="仿宋" w:eastAsia="仿宋" w:cs="仿宋"/>
          <w:b/>
          <w:bCs/>
          <w:color w:val="000000" w:themeColor="text1"/>
          <w:sz w:val="28"/>
          <w:szCs w:val="28"/>
          <w:highlight w:val="none"/>
          <w14:textFill>
            <w14:solidFill>
              <w14:schemeClr w14:val="tx1"/>
            </w14:solidFill>
          </w14:textFill>
        </w:rPr>
        <w:t>纳证明</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（实质性格式）</w:t>
      </w:r>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p>
    <w:p w14:paraId="4172CB3A">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云南楚泓工程管理有限责任公司</w:t>
      </w:r>
      <w:r>
        <w:rPr>
          <w:rFonts w:hint="eastAsia" w:ascii="仿宋" w:hAnsi="仿宋" w:eastAsia="仿宋" w:cs="仿宋"/>
          <w:color w:val="000000" w:themeColor="text1"/>
          <w:sz w:val="24"/>
          <w:szCs w:val="24"/>
          <w:highlight w:val="none"/>
          <w:u w:val="none"/>
          <w14:textFill>
            <w14:solidFill>
              <w14:schemeClr w14:val="tx1"/>
            </w14:solidFill>
          </w14:textFill>
        </w:rPr>
        <w:t>：</w:t>
      </w:r>
    </w:p>
    <w:p w14:paraId="7048923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参加贵单位组织的（</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公开招标</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采购活动</w:t>
      </w:r>
      <w:r>
        <w:rPr>
          <w:rFonts w:hint="eastAsia" w:ascii="仿宋" w:hAnsi="仿宋" w:eastAsia="仿宋" w:cs="仿宋"/>
          <w:color w:val="000000" w:themeColor="text1"/>
          <w:sz w:val="24"/>
          <w:szCs w:val="24"/>
          <w:highlight w:val="none"/>
          <w14:textFill>
            <w14:solidFill>
              <w14:schemeClr w14:val="tx1"/>
            </w14:solidFill>
          </w14:textFill>
        </w:rPr>
        <w:t>。按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的规定，已通过转</w:t>
      </w:r>
      <w:r>
        <w:rPr>
          <w:rFonts w:hint="eastAsia" w:ascii="仿宋" w:hAnsi="仿宋" w:eastAsia="仿宋" w:cs="仿宋"/>
          <w:color w:val="000000" w:themeColor="text1"/>
          <w:sz w:val="24"/>
          <w:szCs w:val="24"/>
          <w:highlight w:val="none"/>
          <w:lang w:eastAsia="zh-CN"/>
          <w14:textFill>
            <w14:solidFill>
              <w14:schemeClr w14:val="tx1"/>
            </w14:solidFill>
          </w14:textFill>
        </w:rPr>
        <w:t>账</w:t>
      </w:r>
      <w:r>
        <w:rPr>
          <w:rFonts w:hint="eastAsia" w:ascii="仿宋" w:hAnsi="仿宋" w:eastAsia="仿宋" w:cs="仿宋"/>
          <w:color w:val="000000" w:themeColor="text1"/>
          <w:sz w:val="24"/>
          <w:szCs w:val="24"/>
          <w:highlight w:val="none"/>
          <w14:textFill>
            <w14:solidFill>
              <w14:schemeClr w14:val="tx1"/>
            </w14:solidFill>
          </w14:textFill>
        </w:rPr>
        <w:t>、银行汇款、支票、银行汇票等</w:t>
      </w:r>
      <w:r>
        <w:rPr>
          <w:rFonts w:hint="eastAsia" w:ascii="仿宋" w:hAnsi="仿宋" w:eastAsia="仿宋" w:cs="仿宋"/>
          <w:color w:val="000000" w:themeColor="text1"/>
          <w:sz w:val="24"/>
          <w:szCs w:val="24"/>
          <w:highlight w:val="none"/>
          <w:lang w:eastAsia="zh-CN"/>
          <w14:textFill>
            <w14:solidFill>
              <w14:schemeClr w14:val="tx1"/>
            </w14:solidFill>
          </w14:textFill>
        </w:rPr>
        <w:t>非现金</w:t>
      </w:r>
      <w:r>
        <w:rPr>
          <w:rFonts w:hint="eastAsia" w:ascii="仿宋" w:hAnsi="仿宋" w:eastAsia="仿宋" w:cs="仿宋"/>
          <w:color w:val="000000" w:themeColor="text1"/>
          <w:sz w:val="24"/>
          <w:szCs w:val="24"/>
          <w:highlight w:val="none"/>
          <w14:textFill>
            <w14:solidFill>
              <w14:schemeClr w14:val="tx1"/>
            </w14:solidFill>
          </w14:textFill>
        </w:rPr>
        <w:t>形式</w:t>
      </w:r>
      <w:r>
        <w:rPr>
          <w:rFonts w:hint="eastAsia" w:ascii="仿宋" w:hAnsi="仿宋" w:eastAsia="仿宋" w:cs="仿宋"/>
          <w:color w:val="000000" w:themeColor="text1"/>
          <w:sz w:val="24"/>
          <w:szCs w:val="24"/>
          <w:highlight w:val="none"/>
          <w:lang w:eastAsia="zh-CN"/>
          <w14:textFill>
            <w14:solidFill>
              <w14:schemeClr w14:val="tx1"/>
            </w14:solidFill>
          </w14:textFill>
        </w:rPr>
        <w:t>缴纳</w:t>
      </w:r>
      <w:r>
        <w:rPr>
          <w:rFonts w:hint="eastAsia" w:ascii="仿宋" w:hAnsi="仿宋" w:eastAsia="仿宋" w:cs="仿宋"/>
          <w:color w:val="000000" w:themeColor="text1"/>
          <w:sz w:val="24"/>
          <w:szCs w:val="24"/>
          <w:highlight w:val="none"/>
          <w14:textFill>
            <w14:solidFill>
              <w14:schemeClr w14:val="tx1"/>
            </w14:solidFill>
          </w14:textFill>
        </w:rPr>
        <w:t>人民币</w:t>
      </w:r>
      <w:r>
        <w:rPr>
          <w:rFonts w:hint="eastAsia" w:ascii="仿宋" w:hAnsi="仿宋" w:eastAsia="仿宋" w:cs="仿宋"/>
          <w:color w:val="000000" w:themeColor="text1"/>
          <w:sz w:val="24"/>
          <w:szCs w:val="24"/>
          <w:highlight w:val="none"/>
          <w:u w:val="single"/>
          <w14:textFill>
            <w14:solidFill>
              <w14:schemeClr w14:val="tx1"/>
            </w14:solidFill>
          </w14:textFill>
        </w:rPr>
        <w:t xml:space="preserve">（大写）  　　  </w:t>
      </w:r>
      <w:r>
        <w:rPr>
          <w:rFonts w:hint="eastAsia" w:ascii="仿宋" w:hAnsi="仿宋" w:eastAsia="仿宋" w:cs="仿宋"/>
          <w:color w:val="000000" w:themeColor="text1"/>
          <w:sz w:val="24"/>
          <w:szCs w:val="24"/>
          <w:highlight w:val="none"/>
          <w14:textFill>
            <w14:solidFill>
              <w14:schemeClr w14:val="tx1"/>
            </w14:solidFill>
          </w14:textFill>
        </w:rPr>
        <w:t>元的投标保证金。</w:t>
      </w:r>
    </w:p>
    <w:p w14:paraId="4B44D8E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开票信息：</w:t>
      </w:r>
    </w:p>
    <w:p w14:paraId="027EA2DE">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名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ACE5716">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纳税人识别号：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33DD05C2">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0C3C2321">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F271EDB">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        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14:paraId="1A01CF35">
      <w:pPr>
        <w:keepNext w:val="0"/>
        <w:keepLines w:val="0"/>
        <w:pageBreakBefore w:val="0"/>
        <w:widowControl w:val="0"/>
        <w:kinsoku/>
        <w:wordWrap w:val="0"/>
        <w:overflowPunct/>
        <w:topLinePunct/>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说明：上述要素的填写必须与银行转账或银行汇款凭证的要素一致，</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u w:val="none"/>
          <w:lang w:eastAsia="zh-CN"/>
          <w14:textFill>
            <w14:solidFill>
              <w14:schemeClr w14:val="tx1"/>
            </w14:solidFill>
          </w14:textFill>
        </w:rPr>
        <w:t>代理机构</w:t>
      </w:r>
      <w:r>
        <w:rPr>
          <w:rFonts w:hint="eastAsia" w:ascii="仿宋" w:hAnsi="仿宋" w:eastAsia="仿宋" w:cs="仿宋"/>
          <w:color w:val="000000" w:themeColor="text1"/>
          <w:sz w:val="24"/>
          <w:szCs w:val="24"/>
          <w:highlight w:val="none"/>
          <w:u w:val="none"/>
          <w14:textFill>
            <w14:solidFill>
              <w14:schemeClr w14:val="tx1"/>
            </w14:solidFill>
          </w14:textFill>
        </w:rPr>
        <w:t>依据</w:t>
      </w:r>
      <w:r>
        <w:rPr>
          <w:rFonts w:hint="eastAsia" w:ascii="仿宋" w:hAnsi="仿宋" w:eastAsia="仿宋" w:cs="仿宋"/>
          <w:color w:val="000000" w:themeColor="text1"/>
          <w:sz w:val="24"/>
          <w:szCs w:val="24"/>
          <w:highlight w:val="none"/>
          <w14:textFill>
            <w14:solidFill>
              <w14:schemeClr w14:val="tx1"/>
            </w14:solidFill>
          </w14:textFill>
        </w:rPr>
        <w:t>此凭证信息退还</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w:t>
      </w:r>
    </w:p>
    <w:p w14:paraId="2AC6C466">
      <w:pPr>
        <w:keepNext w:val="0"/>
        <w:keepLines w:val="0"/>
        <w:pageBreakBefore w:val="0"/>
        <w:widowControl w:val="0"/>
        <w:kinsoku/>
        <w:wordWrap w:val="0"/>
        <w:overflowPunct/>
        <w:topLinePunct/>
        <w:autoSpaceDE/>
        <w:autoSpaceDN/>
        <w:bidi w:val="0"/>
        <w:adjustRightInd/>
        <w:snapToGrid/>
        <w:spacing w:line="360" w:lineRule="auto"/>
        <w:ind w:left="0" w:leftChars="0" w:right="0"/>
        <w:jc w:val="left"/>
        <w:textAlignment w:val="auto"/>
        <w:outlineLvl w:val="2"/>
        <w:rPr>
          <w:rFonts w:hint="eastAsia" w:ascii="仿宋" w:hAnsi="仿宋" w:eastAsia="仿宋" w:cs="仿宋"/>
          <w:b/>
          <w:bCs/>
          <w:color w:val="000000" w:themeColor="text1"/>
          <w:sz w:val="24"/>
          <w:szCs w:val="24"/>
          <w:highlight w:val="none"/>
          <w14:textFill>
            <w14:solidFill>
              <w14:schemeClr w14:val="tx1"/>
            </w14:solidFill>
          </w14:textFill>
        </w:rPr>
      </w:pPr>
      <w:bookmarkStart w:id="2405" w:name="_Toc21748"/>
      <w:bookmarkStart w:id="2406" w:name="_Toc5356"/>
      <w:bookmarkStart w:id="2407" w:name="_Toc25495"/>
      <w:bookmarkStart w:id="2408" w:name="_Toc29555"/>
      <w:bookmarkStart w:id="2409" w:name="_Toc25243"/>
      <w:bookmarkStart w:id="2410" w:name="_Toc5844"/>
      <w:bookmarkStart w:id="2411" w:name="_Toc29103"/>
      <w:bookmarkStart w:id="2412" w:name="_Toc4462"/>
      <w:bookmarkStart w:id="2413" w:name="_Toc18949"/>
      <w:bookmarkStart w:id="2414" w:name="_Toc23440"/>
      <w:bookmarkStart w:id="2415" w:name="_Toc23728"/>
      <w:bookmarkStart w:id="2416" w:name="_Toc31207"/>
      <w:bookmarkStart w:id="2417" w:name="_Toc27200"/>
      <w:bookmarkStart w:id="2418" w:name="_Toc12219"/>
      <w:bookmarkStart w:id="2419" w:name="_Toc26406"/>
      <w:bookmarkStart w:id="2420" w:name="_Toc2179"/>
      <w:bookmarkStart w:id="2421" w:name="_Toc24540"/>
      <w:bookmarkStart w:id="2422" w:name="_Toc20192"/>
      <w:bookmarkStart w:id="2423" w:name="_Toc27976"/>
      <w:bookmarkStart w:id="2424" w:name="_Toc7794"/>
      <w:bookmarkStart w:id="2425" w:name="_Toc30390"/>
      <w:bookmarkStart w:id="2426" w:name="_Toc10789"/>
      <w:bookmarkStart w:id="2427" w:name="_Toc7519"/>
      <w:bookmarkStart w:id="2428" w:name="_Toc26681"/>
      <w:bookmarkStart w:id="2429" w:name="_Toc24446"/>
      <w:bookmarkStart w:id="2430" w:name="_Toc1753"/>
      <w:bookmarkStart w:id="2431" w:name="_Toc14051"/>
      <w:bookmarkStart w:id="2432" w:name="_Toc4111"/>
      <w:bookmarkStart w:id="2433" w:name="_Toc26762"/>
      <w:bookmarkStart w:id="2434" w:name="_Toc32764"/>
      <w:bookmarkStart w:id="2435" w:name="_Toc31994"/>
      <w:bookmarkStart w:id="2436" w:name="_Toc9888"/>
      <w:bookmarkStart w:id="2437" w:name="_Toc11719"/>
      <w:bookmarkStart w:id="2438" w:name="_Toc4664"/>
      <w:bookmarkStart w:id="2439" w:name="_Toc19467"/>
      <w:bookmarkStart w:id="2440" w:name="_Toc265"/>
      <w:bookmarkStart w:id="2441" w:name="_Toc5076"/>
      <w:bookmarkStart w:id="2442" w:name="_Toc8068"/>
      <w:bookmarkStart w:id="2443" w:name="_Toc8676"/>
      <w:bookmarkStart w:id="2444" w:name="_Toc8799"/>
      <w:r>
        <w:rPr>
          <w:rFonts w:hint="eastAsia" w:ascii="仿宋" w:hAnsi="仿宋" w:eastAsia="仿宋" w:cs="仿宋"/>
          <w:b/>
          <w:bCs/>
          <w:color w:val="000000" w:themeColor="text1"/>
          <w:sz w:val="24"/>
          <w:szCs w:val="24"/>
          <w:highlight w:val="none"/>
          <w14:textFill>
            <w14:solidFill>
              <w14:schemeClr w14:val="tx1"/>
            </w14:solidFill>
          </w14:textFill>
        </w:rPr>
        <w:t>附：</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保证金</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/保函、保险等</w:t>
      </w:r>
      <w:r>
        <w:rPr>
          <w:rFonts w:hint="eastAsia" w:ascii="仿宋" w:hAnsi="仿宋" w:eastAsia="仿宋" w:cs="仿宋"/>
          <w:b/>
          <w:bCs/>
          <w:color w:val="000000" w:themeColor="text1"/>
          <w:sz w:val="24"/>
          <w:szCs w:val="24"/>
          <w:highlight w:val="none"/>
          <w14:textFill>
            <w14:solidFill>
              <w14:schemeClr w14:val="tx1"/>
            </w14:solidFill>
          </w14:textFill>
        </w:rPr>
        <w:t>缴纳凭证</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r>
        <w:rPr>
          <w:rFonts w:hint="eastAsia" w:ascii="仿宋" w:hAnsi="仿宋" w:eastAsia="仿宋" w:cs="仿宋"/>
          <w:b/>
          <w:bCs/>
          <w:color w:val="000000" w:themeColor="text1"/>
          <w:sz w:val="24"/>
          <w:szCs w:val="24"/>
          <w:highlight w:val="none"/>
          <w14:textFill>
            <w14:solidFill>
              <w14:schemeClr w14:val="tx1"/>
            </w14:solidFill>
          </w14:textFill>
        </w:rPr>
        <w:t xml:space="preserve"> </w:t>
      </w:r>
    </w:p>
    <w:p w14:paraId="1DB2483B">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CBD8C1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DD36E4F">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9532CC6">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45F46386">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EC8F1C8">
      <w:pPr>
        <w:keepNext w:val="0"/>
        <w:keepLines w:val="0"/>
        <w:pageBreakBefore w:val="0"/>
        <w:widowControl w:val="0"/>
        <w:kinsoku/>
        <w:wordWrap w:val="0"/>
        <w:overflowPunct/>
        <w:topLinePunct/>
        <w:autoSpaceDE/>
        <w:autoSpaceDN/>
        <w:bidi w:val="0"/>
        <w:adjustRightInd/>
        <w:snapToGrid/>
        <w:spacing w:line="360" w:lineRule="auto"/>
        <w:ind w:left="0" w:leftChars="0" w:right="0"/>
        <w:jc w:val="center"/>
        <w:textAlignment w:val="auto"/>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22CD09A4">
      <w:pPr>
        <w:pStyle w:val="18"/>
        <w:keepNext w:val="0"/>
        <w:keepLines w:val="0"/>
        <w:pageBreakBefore w:val="0"/>
        <w:widowControl w:val="0"/>
        <w:kinsoku/>
        <w:wordWrap w:val="0"/>
        <w:overflowPunct/>
        <w:topLinePunct/>
        <w:autoSpaceDE/>
        <w:autoSpaceDN/>
        <w:bidi w:val="0"/>
        <w:adjustRightInd/>
        <w:snapToGrid/>
        <w:spacing w:after="0"/>
        <w:ind w:left="0" w:leftChars="0" w:right="0" w:firstLine="0" w:firstLineChars="0"/>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6ECAD7A4">
      <w:pPr>
        <w:keepNext w:val="0"/>
        <w:keepLines w:val="0"/>
        <w:pageBreakBefore w:val="0"/>
        <w:widowControl w:val="0"/>
        <w:kinsoku/>
        <w:wordWrap w:val="0"/>
        <w:overflowPunct w:val="0"/>
        <w:topLinePunct/>
        <w:autoSpaceDE/>
        <w:autoSpaceDN/>
        <w:bidi w:val="0"/>
        <w:adjustRightInd/>
        <w:snapToGrid/>
        <w:jc w:val="center"/>
        <w:outlineLvl w:val="1"/>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br w:type="page"/>
      </w:r>
      <w:bookmarkStart w:id="2445" w:name="_Toc15367"/>
      <w:bookmarkStart w:id="2446" w:name="_Toc24385"/>
      <w:bookmarkStart w:id="2447" w:name="_Toc8418"/>
      <w:bookmarkStart w:id="2448" w:name="_Toc16949"/>
      <w:bookmarkStart w:id="2449" w:name="_Toc17620"/>
      <w:bookmarkStart w:id="2450" w:name="_Toc1407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七、项目</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实施方案</w:t>
      </w:r>
      <w:bookmarkEnd w:id="2389"/>
      <w:bookmarkEnd w:id="2390"/>
      <w:bookmarkEnd w:id="2391"/>
      <w:bookmarkEnd w:id="2392"/>
      <w:bookmarkEnd w:id="2393"/>
      <w:bookmarkEnd w:id="2394"/>
      <w:bookmarkEnd w:id="2395"/>
      <w:bookmarkEnd w:id="2445"/>
      <w:bookmarkEnd w:id="2446"/>
      <w:bookmarkEnd w:id="2447"/>
      <w:bookmarkEnd w:id="2448"/>
      <w:bookmarkEnd w:id="2449"/>
      <w:bookmarkEnd w:id="2450"/>
    </w:p>
    <w:p w14:paraId="4C15E2FC">
      <w:pPr>
        <w:spacing w:line="360" w:lineRule="auto"/>
        <w:jc w:val="center"/>
        <w:rPr>
          <w:rFonts w:hint="eastAsia" w:ascii="仿宋" w:hAnsi="仿宋" w:eastAsia="仿宋" w:cs="仿宋"/>
          <w:snapToGrid w:val="0"/>
          <w:color w:val="000000" w:themeColor="text1"/>
          <w:kern w:val="0"/>
          <w:sz w:val="24"/>
          <w:szCs w:val="24"/>
          <w:highlight w:val="none"/>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（格式自拟，内容由</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snapToGrid w:val="0"/>
          <w:color w:val="000000" w:themeColor="text1"/>
          <w:kern w:val="0"/>
          <w:sz w:val="24"/>
          <w:szCs w:val="24"/>
          <w:highlight w:val="none"/>
          <w14:textFill>
            <w14:solidFill>
              <w14:schemeClr w14:val="tx1"/>
            </w14:solidFill>
          </w14:textFill>
        </w:rPr>
        <w:t>根据</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snapToGrid w:val="0"/>
          <w:color w:val="000000" w:themeColor="text1"/>
          <w:kern w:val="0"/>
          <w:sz w:val="24"/>
          <w:szCs w:val="24"/>
          <w:highlight w:val="none"/>
          <w14:textFill>
            <w14:solidFill>
              <w14:schemeClr w14:val="tx1"/>
            </w14:solidFill>
          </w14:textFill>
        </w:rPr>
        <w:t>办法并结合自身实际情况自行编写）</w:t>
      </w:r>
    </w:p>
    <w:p w14:paraId="660A9448">
      <w:pPr>
        <w:wordWrap w:val="0"/>
        <w:overflowPunct w:val="0"/>
        <w:topLinePunct/>
        <w:spacing w:line="360" w:lineRule="auto"/>
        <w:ind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E7C5CCB">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1FE1BAB9">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p w14:paraId="0CB0DC1C">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71291E05">
      <w:pPr>
        <w:wordWrap w:val="0"/>
        <w:overflowPunct w:val="0"/>
        <w:topLinePunct/>
        <w:spacing w:line="360" w:lineRule="auto"/>
        <w:jc w:val="center"/>
        <w:rPr>
          <w:rFonts w:hint="eastAsia" w:ascii="仿宋" w:hAnsi="仿宋" w:eastAsia="仿宋" w:cs="仿宋"/>
          <w:b w:val="0"/>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6A0845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日</w:t>
      </w:r>
    </w:p>
    <w:p w14:paraId="285B93CB">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451" w:name="_Toc28659"/>
      <w:bookmarkStart w:id="2452" w:name="_Toc18105"/>
      <w:bookmarkStart w:id="2453" w:name="_Toc13111"/>
      <w:bookmarkStart w:id="2454" w:name="_Toc20853"/>
      <w:bookmarkStart w:id="2455" w:name="_Toc7667"/>
      <w:bookmarkStart w:id="2456" w:name="_Toc18403"/>
    </w:p>
    <w:p w14:paraId="5A0A4C74">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2457" w:name="_Toc16688"/>
      <w:bookmarkStart w:id="2458" w:name="_Toc3397"/>
      <w:bookmarkStart w:id="2459" w:name="_Toc26220"/>
      <w:bookmarkStart w:id="2460" w:name="_Toc11292"/>
      <w:bookmarkStart w:id="2461" w:name="_Toc4543"/>
      <w:bookmarkStart w:id="2462" w:name="_Toc7465"/>
      <w:bookmarkStart w:id="2463" w:name="_Toc8859"/>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lang w:eastAsia="zh-CN"/>
          <w14:textFill>
            <w14:solidFill>
              <w14:schemeClr w14:val="tx1"/>
            </w14:solidFill>
          </w14:textFill>
        </w:rPr>
        <w:t>培训方案</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14:paraId="76BB07BD">
      <w:pPr>
        <w:spacing w:line="360" w:lineRule="auto"/>
        <w:jc w:val="center"/>
        <w:rPr>
          <w:rFonts w:hint="eastAsia" w:ascii="仿宋" w:hAnsi="仿宋" w:eastAsia="仿宋" w:cs="仿宋"/>
          <w:snapToGrid w:val="0"/>
          <w:color w:val="000000" w:themeColor="text1"/>
          <w:kern w:val="0"/>
          <w:sz w:val="24"/>
          <w:szCs w:val="24"/>
          <w:highlight w:val="none"/>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（格式自拟，内容由</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snapToGrid w:val="0"/>
          <w:color w:val="000000" w:themeColor="text1"/>
          <w:kern w:val="0"/>
          <w:sz w:val="24"/>
          <w:szCs w:val="24"/>
          <w:highlight w:val="none"/>
          <w14:textFill>
            <w14:solidFill>
              <w14:schemeClr w14:val="tx1"/>
            </w14:solidFill>
          </w14:textFill>
        </w:rPr>
        <w:t>根据</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snapToGrid w:val="0"/>
          <w:color w:val="000000" w:themeColor="text1"/>
          <w:kern w:val="0"/>
          <w:sz w:val="24"/>
          <w:szCs w:val="24"/>
          <w:highlight w:val="none"/>
          <w14:textFill>
            <w14:solidFill>
              <w14:schemeClr w14:val="tx1"/>
            </w14:solidFill>
          </w14:textFill>
        </w:rPr>
        <w:t>办法并结合自身实际情况自行编写）</w:t>
      </w:r>
    </w:p>
    <w:p w14:paraId="66FC62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E2051F3">
      <w:pPr>
        <w:wordWrap w:val="0"/>
        <w:overflowPunct w:val="0"/>
        <w:topLinePunct/>
        <w:spacing w:line="360" w:lineRule="auto"/>
        <w:jc w:val="both"/>
        <w:rPr>
          <w:rFonts w:hint="eastAsia" w:ascii="仿宋" w:hAnsi="仿宋" w:eastAsia="仿宋" w:cs="仿宋"/>
          <w:b w:val="0"/>
          <w:bCs/>
          <w:color w:val="000000" w:themeColor="text1"/>
          <w:sz w:val="24"/>
          <w:szCs w:val="24"/>
          <w:highlight w:val="none"/>
          <w14:textFill>
            <w14:solidFill>
              <w14:schemeClr w14:val="tx1"/>
            </w14:solidFill>
          </w14:textFill>
        </w:rPr>
      </w:pPr>
    </w:p>
    <w:p w14:paraId="59B9592A">
      <w:pPr>
        <w:wordWrap w:val="0"/>
        <w:overflowPunct w:val="0"/>
        <w:topLinePunct/>
        <w:spacing w:line="360" w:lineRule="auto"/>
        <w:jc w:val="both"/>
        <w:rPr>
          <w:rFonts w:hint="eastAsia" w:ascii="仿宋" w:hAnsi="仿宋" w:eastAsia="仿宋" w:cs="仿宋"/>
          <w:b w:val="0"/>
          <w:bCs/>
          <w:color w:val="000000" w:themeColor="text1"/>
          <w:sz w:val="24"/>
          <w:szCs w:val="24"/>
          <w:highlight w:val="none"/>
          <w14:textFill>
            <w14:solidFill>
              <w14:schemeClr w14:val="tx1"/>
            </w14:solidFill>
          </w14:textFill>
        </w:rPr>
      </w:pPr>
    </w:p>
    <w:p w14:paraId="7155665F">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4C95219">
      <w:pPr>
        <w:wordWrap w:val="0"/>
        <w:overflowPunct w:val="0"/>
        <w:topLinePunct/>
        <w:spacing w:line="360" w:lineRule="auto"/>
        <w:jc w:val="center"/>
        <w:rPr>
          <w:rFonts w:hint="eastAsia" w:ascii="仿宋" w:hAnsi="仿宋" w:eastAsia="仿宋" w:cs="仿宋"/>
          <w:b w:val="0"/>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008B3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日期：</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14:textFill>
            <w14:solidFill>
              <w14:schemeClr w14:val="tx1"/>
            </w14:solidFill>
          </w14:textFill>
        </w:rPr>
        <w:t>日</w:t>
      </w:r>
    </w:p>
    <w:p w14:paraId="0A7CC3C8">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464" w:name="_Toc13656"/>
      <w:bookmarkStart w:id="2465" w:name="_Toc21199"/>
      <w:bookmarkStart w:id="2466" w:name="_Toc10002"/>
      <w:bookmarkStart w:id="2467" w:name="_Toc516"/>
      <w:bookmarkStart w:id="2468" w:name="_Toc2731"/>
      <w:bookmarkStart w:id="2469" w:name="_Toc3028"/>
    </w:p>
    <w:p w14:paraId="39EFD90D">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470" w:name="_Toc6699"/>
      <w:bookmarkStart w:id="2471" w:name="_Toc10282"/>
      <w:bookmarkStart w:id="2472" w:name="_Toc8264"/>
      <w:bookmarkStart w:id="2473" w:name="_Toc21886"/>
      <w:bookmarkStart w:id="2474" w:name="_Toc16889"/>
      <w:bookmarkStart w:id="2475" w:name="_Toc27389"/>
      <w:bookmarkStart w:id="2476" w:name="_Toc18735"/>
      <w:r>
        <w:rPr>
          <w:rFonts w:hint="eastAsia" w:ascii="仿宋" w:hAnsi="仿宋" w:eastAsia="仿宋" w:cs="仿宋"/>
          <w:color w:val="000000" w:themeColor="text1"/>
          <w:sz w:val="28"/>
          <w:szCs w:val="28"/>
          <w:highlight w:val="none"/>
          <w:lang w:val="en-US" w:eastAsia="zh-CN"/>
          <w14:textFill>
            <w14:solidFill>
              <w14:schemeClr w14:val="tx1"/>
            </w14:solidFill>
          </w14:textFill>
        </w:rPr>
        <w:t>九、售后服务方案</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14:paraId="011EB953">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snapToGrid w:val="0"/>
          <w:color w:val="000000" w:themeColor="text1"/>
          <w:kern w:val="0"/>
          <w:sz w:val="24"/>
          <w:szCs w:val="24"/>
          <w:highlight w:val="none"/>
          <w14:textFill>
            <w14:solidFill>
              <w14:schemeClr w14:val="tx1"/>
            </w14:solidFill>
          </w14:textFill>
        </w:rPr>
        <w:t>（格式自拟，内容由</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snapToGrid w:val="0"/>
          <w:color w:val="000000" w:themeColor="text1"/>
          <w:kern w:val="0"/>
          <w:sz w:val="24"/>
          <w:szCs w:val="24"/>
          <w:highlight w:val="none"/>
          <w14:textFill>
            <w14:solidFill>
              <w14:schemeClr w14:val="tx1"/>
            </w14:solidFill>
          </w14:textFill>
        </w:rPr>
        <w:t>根据</w:t>
      </w:r>
      <w:r>
        <w:rPr>
          <w:rFonts w:hint="eastAsia" w:ascii="仿宋" w:hAnsi="仿宋" w:eastAsia="仿宋" w:cs="仿宋"/>
          <w:snapToGrid w:val="0"/>
          <w:color w:val="000000" w:themeColor="text1"/>
          <w:kern w:val="0"/>
          <w:sz w:val="24"/>
          <w:szCs w:val="24"/>
          <w:highlight w:val="none"/>
          <w:lang w:eastAsia="zh-CN"/>
          <w14:textFill>
            <w14:solidFill>
              <w14:schemeClr w14:val="tx1"/>
            </w14:solidFill>
          </w14:textFill>
        </w:rPr>
        <w:t>评审</w:t>
      </w:r>
      <w:r>
        <w:rPr>
          <w:rFonts w:hint="eastAsia" w:ascii="仿宋" w:hAnsi="仿宋" w:eastAsia="仿宋" w:cs="仿宋"/>
          <w:snapToGrid w:val="0"/>
          <w:color w:val="000000" w:themeColor="text1"/>
          <w:kern w:val="0"/>
          <w:sz w:val="24"/>
          <w:szCs w:val="24"/>
          <w:highlight w:val="none"/>
          <w14:textFill>
            <w14:solidFill>
              <w14:schemeClr w14:val="tx1"/>
            </w14:solidFill>
          </w14:textFill>
        </w:rPr>
        <w:t>办法并结合自身实际情况自行编写）</w:t>
      </w:r>
    </w:p>
    <w:p w14:paraId="2C0F6B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CDF9AC4">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006A11E">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3EA16EB7">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C8D294A">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4954F01A">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40F39C12">
      <w:pPr>
        <w:wordWrap w:val="0"/>
        <w:overflowPunct w:val="0"/>
        <w:topLinePunct/>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p>
    <w:p w14:paraId="6BA731A8">
      <w:pPr>
        <w:jc w:val="both"/>
        <w:rPr>
          <w:rFonts w:hint="eastAsia" w:ascii="仿宋" w:hAnsi="仿宋" w:eastAsia="仿宋" w:cs="仿宋"/>
          <w:b/>
          <w:color w:val="000000" w:themeColor="text1"/>
          <w:sz w:val="24"/>
          <w:szCs w:val="24"/>
          <w:highlight w:val="none"/>
          <w:lang w:eastAsia="zh-CN"/>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2BC519FB">
      <w:pPr>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附件1</w:t>
      </w:r>
    </w:p>
    <w:p w14:paraId="1F35F1A7">
      <w:pPr>
        <w:jc w:val="center"/>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项目</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技术服务</w:t>
      </w:r>
      <w:r>
        <w:rPr>
          <w:rFonts w:hint="eastAsia" w:ascii="仿宋" w:hAnsi="仿宋" w:eastAsia="仿宋" w:cs="仿宋"/>
          <w:b/>
          <w:color w:val="000000" w:themeColor="text1"/>
          <w:sz w:val="28"/>
          <w:szCs w:val="28"/>
          <w:highlight w:val="none"/>
          <w:lang w:eastAsia="zh-CN"/>
          <w14:textFill>
            <w14:solidFill>
              <w14:schemeClr w14:val="tx1"/>
            </w14:solidFill>
          </w14:textFill>
        </w:rPr>
        <w:t>人员情况表</w:t>
      </w:r>
    </w:p>
    <w:tbl>
      <w:tblPr>
        <w:tblStyle w:val="19"/>
        <w:tblpPr w:leftFromText="180" w:rightFromText="180" w:vertAnchor="text" w:horzAnchor="page" w:tblpX="708" w:tblpY="365"/>
        <w:tblOverlap w:val="never"/>
        <w:tblW w:w="10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083"/>
        <w:gridCol w:w="993"/>
        <w:gridCol w:w="850"/>
        <w:gridCol w:w="992"/>
        <w:gridCol w:w="1134"/>
        <w:gridCol w:w="1449"/>
        <w:gridCol w:w="1449"/>
        <w:gridCol w:w="1955"/>
      </w:tblGrid>
      <w:tr w14:paraId="39AC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2D9536B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083" w:type="dxa"/>
            <w:noWrap w:val="0"/>
            <w:vAlign w:val="center"/>
          </w:tcPr>
          <w:p w14:paraId="455E730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993" w:type="dxa"/>
            <w:noWrap w:val="0"/>
            <w:vAlign w:val="center"/>
          </w:tcPr>
          <w:p w14:paraId="7157173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850" w:type="dxa"/>
            <w:noWrap w:val="0"/>
            <w:vAlign w:val="center"/>
          </w:tcPr>
          <w:p w14:paraId="1AB4277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992" w:type="dxa"/>
            <w:noWrap w:val="0"/>
            <w:vAlign w:val="center"/>
          </w:tcPr>
          <w:p w14:paraId="047350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134" w:type="dxa"/>
            <w:noWrap w:val="0"/>
            <w:vAlign w:val="center"/>
          </w:tcPr>
          <w:p w14:paraId="571C40C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专业</w:t>
            </w:r>
          </w:p>
        </w:tc>
        <w:tc>
          <w:tcPr>
            <w:tcW w:w="1449" w:type="dxa"/>
            <w:noWrap w:val="0"/>
            <w:vAlign w:val="center"/>
          </w:tcPr>
          <w:p w14:paraId="777216A6">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业绩</w:t>
            </w:r>
          </w:p>
        </w:tc>
        <w:tc>
          <w:tcPr>
            <w:tcW w:w="1449" w:type="dxa"/>
            <w:noWrap w:val="0"/>
            <w:vAlign w:val="center"/>
          </w:tcPr>
          <w:p w14:paraId="4BB4592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拟担任职务</w:t>
            </w:r>
          </w:p>
        </w:tc>
        <w:tc>
          <w:tcPr>
            <w:tcW w:w="1955" w:type="dxa"/>
            <w:noWrap w:val="0"/>
            <w:vAlign w:val="center"/>
          </w:tcPr>
          <w:p w14:paraId="5777C85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从专业工作时间</w:t>
            </w:r>
          </w:p>
        </w:tc>
      </w:tr>
      <w:tr w14:paraId="4F9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55B45C19">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1083" w:type="dxa"/>
            <w:noWrap w:val="0"/>
            <w:vAlign w:val="center"/>
          </w:tcPr>
          <w:p w14:paraId="7FD3ABA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noWrap w:val="0"/>
            <w:vAlign w:val="center"/>
          </w:tcPr>
          <w:p w14:paraId="38A0471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766C33A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0164A05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5BBD8FF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09BC829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691A200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55" w:type="dxa"/>
            <w:noWrap w:val="0"/>
            <w:vAlign w:val="center"/>
          </w:tcPr>
          <w:p w14:paraId="7528DCA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2F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769B4E6C">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083" w:type="dxa"/>
            <w:noWrap w:val="0"/>
            <w:vAlign w:val="center"/>
          </w:tcPr>
          <w:p w14:paraId="0A1AF26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noWrap w:val="0"/>
            <w:vAlign w:val="center"/>
          </w:tcPr>
          <w:p w14:paraId="63DD626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1DDC707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1DFEEF6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35A2B7A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1EB0CC8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122F5F6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55" w:type="dxa"/>
            <w:noWrap w:val="0"/>
            <w:vAlign w:val="center"/>
          </w:tcPr>
          <w:p w14:paraId="4A03377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4788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31B5593D">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083" w:type="dxa"/>
            <w:noWrap w:val="0"/>
            <w:vAlign w:val="center"/>
          </w:tcPr>
          <w:p w14:paraId="65F3914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noWrap w:val="0"/>
            <w:vAlign w:val="center"/>
          </w:tcPr>
          <w:p w14:paraId="726F942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40249E5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0892E72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98399F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2C95566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1283A16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55" w:type="dxa"/>
            <w:noWrap w:val="0"/>
            <w:vAlign w:val="center"/>
          </w:tcPr>
          <w:p w14:paraId="6D288C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14:paraId="135D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1A7258B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083" w:type="dxa"/>
            <w:noWrap w:val="0"/>
            <w:vAlign w:val="center"/>
          </w:tcPr>
          <w:p w14:paraId="445D0D1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noWrap w:val="0"/>
            <w:vAlign w:val="center"/>
          </w:tcPr>
          <w:p w14:paraId="2269218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850" w:type="dxa"/>
            <w:noWrap w:val="0"/>
            <w:vAlign w:val="center"/>
          </w:tcPr>
          <w:p w14:paraId="1B94A4F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noWrap w:val="0"/>
            <w:vAlign w:val="center"/>
          </w:tcPr>
          <w:p w14:paraId="71BE92F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4" w:type="dxa"/>
            <w:noWrap w:val="0"/>
            <w:vAlign w:val="center"/>
          </w:tcPr>
          <w:p w14:paraId="129EF47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1F5384D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49" w:type="dxa"/>
            <w:noWrap w:val="0"/>
            <w:vAlign w:val="center"/>
          </w:tcPr>
          <w:p w14:paraId="328411A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55" w:type="dxa"/>
            <w:noWrap w:val="0"/>
            <w:vAlign w:val="center"/>
          </w:tcPr>
          <w:p w14:paraId="084B37C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bl>
    <w:p w14:paraId="26355361">
      <w:pPr>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25AE10B5">
      <w:pPr>
        <w:pStyle w:val="7"/>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000000" w:themeColor="text1"/>
          <w:sz w:val="24"/>
          <w:szCs w:val="24"/>
          <w:highlight w:val="none"/>
          <w:lang w:val="zh-CN" w:eastAsia="zh-CN"/>
          <w14:textFill>
            <w14:solidFill>
              <w14:schemeClr w14:val="tx1"/>
            </w14:solidFill>
          </w14:textFill>
        </w:rPr>
      </w:pPr>
    </w:p>
    <w:p w14:paraId="6700C471">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7910A463">
      <w:pPr>
        <w:keepNext w:val="0"/>
        <w:keepLines w:val="0"/>
        <w:pageBreakBefore w:val="0"/>
        <w:widowControl w:val="0"/>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6CB62DEC">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日</w:t>
      </w:r>
      <w:bookmarkStart w:id="2477" w:name="_Toc11972"/>
      <w:bookmarkStart w:id="2478" w:name="_Toc8869"/>
      <w:bookmarkStart w:id="2479" w:name="_Toc17925"/>
      <w:bookmarkStart w:id="2480" w:name="_Toc14847"/>
      <w:bookmarkStart w:id="2481" w:name="_Toc2686"/>
      <w:bookmarkStart w:id="2482" w:name="_Toc14130"/>
    </w:p>
    <w:p w14:paraId="7B5AE3F4">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6EEEADF0">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p>
    <w:p w14:paraId="35C6DB14">
      <w:pPr>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附件2</w:t>
      </w:r>
      <w:bookmarkEnd w:id="2477"/>
      <w:bookmarkEnd w:id="2478"/>
      <w:bookmarkEnd w:id="2479"/>
      <w:bookmarkEnd w:id="2480"/>
      <w:bookmarkEnd w:id="2481"/>
      <w:bookmarkEnd w:id="2482"/>
    </w:p>
    <w:p w14:paraId="35BCAA58">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bookmarkStart w:id="2483" w:name="_Toc9275"/>
      <w:bookmarkStart w:id="2484" w:name="_Toc23513"/>
      <w:bookmarkStart w:id="2485" w:name="_Toc6394"/>
      <w:bookmarkStart w:id="2486" w:name="_Toc21815"/>
      <w:bookmarkStart w:id="2487" w:name="_Toc11782"/>
      <w:bookmarkStart w:id="2488" w:name="_Toc22776"/>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售后服务网点（若有）</w:t>
      </w:r>
      <w:bookmarkEnd w:id="2483"/>
      <w:bookmarkEnd w:id="2484"/>
      <w:bookmarkEnd w:id="2485"/>
      <w:bookmarkEnd w:id="2486"/>
      <w:bookmarkEnd w:id="2487"/>
      <w:bookmarkEnd w:id="2488"/>
    </w:p>
    <w:tbl>
      <w:tblPr>
        <w:tblStyle w:val="20"/>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61"/>
        <w:gridCol w:w="1376"/>
        <w:gridCol w:w="1251"/>
        <w:gridCol w:w="1251"/>
        <w:gridCol w:w="1224"/>
        <w:gridCol w:w="1669"/>
        <w:gridCol w:w="1669"/>
      </w:tblGrid>
      <w:tr w14:paraId="5E59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3C777BA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489" w:name="_Toc2552"/>
            <w:bookmarkStart w:id="2490" w:name="_Toc2519"/>
            <w:bookmarkStart w:id="2491" w:name="_Toc11634"/>
            <w:bookmarkStart w:id="2492" w:name="_Toc15136"/>
            <w:bookmarkStart w:id="2493" w:name="_Toc27532"/>
            <w:bookmarkStart w:id="2494" w:name="_Toc15925"/>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序号</w:t>
            </w:r>
            <w:bookmarkEnd w:id="2489"/>
            <w:bookmarkEnd w:id="2490"/>
            <w:bookmarkEnd w:id="2491"/>
            <w:bookmarkEnd w:id="2492"/>
            <w:bookmarkEnd w:id="2493"/>
            <w:bookmarkEnd w:id="2494"/>
          </w:p>
        </w:tc>
        <w:tc>
          <w:tcPr>
            <w:tcW w:w="1361" w:type="dxa"/>
            <w:noWrap w:val="0"/>
            <w:vAlign w:val="center"/>
          </w:tcPr>
          <w:p w14:paraId="6904D21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495" w:name="_Toc20258"/>
            <w:bookmarkStart w:id="2496" w:name="_Toc7583"/>
            <w:bookmarkStart w:id="2497" w:name="_Toc6741"/>
            <w:bookmarkStart w:id="2498" w:name="_Toc15198"/>
            <w:bookmarkStart w:id="2499" w:name="_Toc23477"/>
            <w:bookmarkStart w:id="2500" w:name="_Toc4424"/>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机构名称</w:t>
            </w:r>
            <w:bookmarkEnd w:id="2495"/>
            <w:bookmarkEnd w:id="2496"/>
            <w:bookmarkEnd w:id="2497"/>
            <w:bookmarkEnd w:id="2498"/>
            <w:bookmarkEnd w:id="2499"/>
            <w:bookmarkEnd w:id="2500"/>
          </w:p>
        </w:tc>
        <w:tc>
          <w:tcPr>
            <w:tcW w:w="1376" w:type="dxa"/>
            <w:noWrap w:val="0"/>
            <w:vAlign w:val="center"/>
          </w:tcPr>
          <w:p w14:paraId="423A969B">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01" w:name="_Toc11988"/>
            <w:bookmarkStart w:id="2502" w:name="_Toc14381"/>
            <w:bookmarkStart w:id="2503" w:name="_Toc5744"/>
            <w:bookmarkStart w:id="2504" w:name="_Toc31804"/>
            <w:bookmarkStart w:id="2505" w:name="_Toc17243"/>
            <w:bookmarkStart w:id="2506" w:name="_Toc8313"/>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机构地址</w:t>
            </w:r>
            <w:bookmarkEnd w:id="2501"/>
            <w:bookmarkEnd w:id="2502"/>
            <w:bookmarkEnd w:id="2503"/>
            <w:bookmarkEnd w:id="2504"/>
            <w:bookmarkEnd w:id="2505"/>
            <w:bookmarkEnd w:id="2506"/>
          </w:p>
        </w:tc>
        <w:tc>
          <w:tcPr>
            <w:tcW w:w="1251" w:type="dxa"/>
            <w:noWrap w:val="0"/>
            <w:vAlign w:val="center"/>
          </w:tcPr>
          <w:p w14:paraId="01F44E7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07" w:name="_Toc4019"/>
            <w:bookmarkStart w:id="2508" w:name="_Toc6940"/>
            <w:bookmarkStart w:id="2509" w:name="_Toc23886"/>
            <w:bookmarkStart w:id="2510" w:name="_Toc18007"/>
            <w:bookmarkStart w:id="2511" w:name="_Toc3582"/>
            <w:bookmarkStart w:id="2512" w:name="_Toc31052"/>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固话号码</w:t>
            </w:r>
            <w:bookmarkEnd w:id="2507"/>
            <w:bookmarkEnd w:id="2508"/>
            <w:bookmarkEnd w:id="2509"/>
            <w:bookmarkEnd w:id="2510"/>
            <w:bookmarkEnd w:id="2511"/>
            <w:bookmarkEnd w:id="2512"/>
          </w:p>
        </w:tc>
        <w:tc>
          <w:tcPr>
            <w:tcW w:w="1251" w:type="dxa"/>
            <w:noWrap w:val="0"/>
            <w:vAlign w:val="center"/>
          </w:tcPr>
          <w:p w14:paraId="5B974CE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13" w:name="_Toc10593"/>
            <w:bookmarkStart w:id="2514" w:name="_Toc23822"/>
            <w:bookmarkStart w:id="2515" w:name="_Toc13490"/>
            <w:bookmarkStart w:id="2516" w:name="_Toc21615"/>
            <w:bookmarkStart w:id="2517" w:name="_Toc14383"/>
            <w:bookmarkStart w:id="2518" w:name="_Toc25645"/>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联系人</w:t>
            </w:r>
            <w:bookmarkEnd w:id="2513"/>
            <w:bookmarkEnd w:id="2514"/>
            <w:bookmarkEnd w:id="2515"/>
            <w:bookmarkEnd w:id="2516"/>
            <w:bookmarkEnd w:id="2517"/>
            <w:bookmarkEnd w:id="2518"/>
          </w:p>
        </w:tc>
        <w:tc>
          <w:tcPr>
            <w:tcW w:w="1224" w:type="dxa"/>
            <w:noWrap w:val="0"/>
            <w:vAlign w:val="center"/>
          </w:tcPr>
          <w:p w14:paraId="6E00389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19" w:name="_Toc25995"/>
            <w:bookmarkStart w:id="2520" w:name="_Toc11991"/>
            <w:bookmarkStart w:id="2521" w:name="_Toc22139"/>
            <w:bookmarkStart w:id="2522" w:name="_Toc10766"/>
            <w:bookmarkStart w:id="2523" w:name="_Toc26025"/>
            <w:bookmarkStart w:id="2524" w:name="_Toc9951"/>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联系电话</w:t>
            </w:r>
            <w:bookmarkEnd w:id="2519"/>
            <w:bookmarkEnd w:id="2520"/>
            <w:bookmarkEnd w:id="2521"/>
            <w:bookmarkEnd w:id="2522"/>
            <w:bookmarkEnd w:id="2523"/>
            <w:bookmarkEnd w:id="2524"/>
          </w:p>
        </w:tc>
        <w:tc>
          <w:tcPr>
            <w:tcW w:w="1669" w:type="dxa"/>
            <w:noWrap w:val="0"/>
            <w:vAlign w:val="center"/>
          </w:tcPr>
          <w:p w14:paraId="541CE64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25" w:name="_Toc12202"/>
            <w:bookmarkStart w:id="2526" w:name="_Toc2315"/>
            <w:bookmarkStart w:id="2527" w:name="_Toc6712"/>
            <w:bookmarkStart w:id="2528" w:name="_Toc29592"/>
            <w:bookmarkStart w:id="2529" w:name="_Toc22712"/>
            <w:bookmarkStart w:id="2530" w:name="_Toc19407"/>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E-mail/QQ</w:t>
            </w:r>
            <w:bookmarkEnd w:id="2525"/>
            <w:bookmarkEnd w:id="2526"/>
            <w:bookmarkEnd w:id="2527"/>
            <w:bookmarkEnd w:id="2528"/>
            <w:bookmarkEnd w:id="2529"/>
            <w:bookmarkEnd w:id="2530"/>
          </w:p>
        </w:tc>
        <w:tc>
          <w:tcPr>
            <w:tcW w:w="1669" w:type="dxa"/>
            <w:noWrap w:val="0"/>
            <w:vAlign w:val="center"/>
          </w:tcPr>
          <w:p w14:paraId="00EC3C9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31" w:name="_Toc20012"/>
            <w:bookmarkStart w:id="2532" w:name="_Toc14218"/>
            <w:bookmarkStart w:id="2533" w:name="_Toc3970"/>
            <w:bookmarkStart w:id="2534" w:name="_Toc1644"/>
            <w:bookmarkStart w:id="2535" w:name="_Toc14702"/>
            <w:bookmarkStart w:id="2536" w:name="_Toc9282"/>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400/800全国免费电话</w:t>
            </w:r>
            <w:bookmarkEnd w:id="2531"/>
            <w:bookmarkEnd w:id="2532"/>
            <w:bookmarkEnd w:id="2533"/>
            <w:bookmarkEnd w:id="2534"/>
            <w:bookmarkEnd w:id="2535"/>
            <w:bookmarkEnd w:id="2536"/>
          </w:p>
        </w:tc>
      </w:tr>
      <w:tr w14:paraId="5519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5E0AAEF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w:t>
            </w:r>
          </w:p>
        </w:tc>
        <w:tc>
          <w:tcPr>
            <w:tcW w:w="1361" w:type="dxa"/>
            <w:noWrap w:val="0"/>
            <w:vAlign w:val="center"/>
          </w:tcPr>
          <w:p w14:paraId="6B543E08">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376" w:type="dxa"/>
            <w:noWrap w:val="0"/>
            <w:vAlign w:val="center"/>
          </w:tcPr>
          <w:p w14:paraId="65F6B82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322D459B">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45455664">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24" w:type="dxa"/>
            <w:noWrap w:val="0"/>
            <w:vAlign w:val="center"/>
          </w:tcPr>
          <w:p w14:paraId="62AF453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07895FB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27BFB1E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57C3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5A0422F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w:t>
            </w:r>
          </w:p>
        </w:tc>
        <w:tc>
          <w:tcPr>
            <w:tcW w:w="1361" w:type="dxa"/>
            <w:noWrap w:val="0"/>
            <w:vAlign w:val="center"/>
          </w:tcPr>
          <w:p w14:paraId="7935A179">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376" w:type="dxa"/>
            <w:noWrap w:val="0"/>
            <w:vAlign w:val="center"/>
          </w:tcPr>
          <w:p w14:paraId="73C2B832">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72A06777">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60F27F18">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24" w:type="dxa"/>
            <w:noWrap w:val="0"/>
            <w:vAlign w:val="center"/>
          </w:tcPr>
          <w:p w14:paraId="2E29AF6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151E2C2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2FAF609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C1E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noWrap w:val="0"/>
            <w:vAlign w:val="center"/>
          </w:tcPr>
          <w:p w14:paraId="675688C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w:t>
            </w:r>
          </w:p>
        </w:tc>
        <w:tc>
          <w:tcPr>
            <w:tcW w:w="1361" w:type="dxa"/>
            <w:noWrap w:val="0"/>
            <w:vAlign w:val="center"/>
          </w:tcPr>
          <w:p w14:paraId="2FFAE78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376" w:type="dxa"/>
            <w:noWrap w:val="0"/>
            <w:vAlign w:val="center"/>
          </w:tcPr>
          <w:p w14:paraId="178796D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0789AFB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5DEFF98E">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24" w:type="dxa"/>
            <w:noWrap w:val="0"/>
            <w:vAlign w:val="center"/>
          </w:tcPr>
          <w:p w14:paraId="7D527C0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31F44DCE">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0B3AC32D">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262A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6B93174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bookmarkStart w:id="2537" w:name="_Toc4145"/>
            <w:bookmarkStart w:id="2538" w:name="_Toc15857"/>
            <w:bookmarkStart w:id="2539" w:name="_Toc24696"/>
            <w:bookmarkStart w:id="2540" w:name="_Toc27403"/>
            <w:bookmarkStart w:id="2541" w:name="_Toc9006"/>
            <w:bookmarkStart w:id="2542" w:name="_Toc4998"/>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tc>
        <w:tc>
          <w:tcPr>
            <w:tcW w:w="1361" w:type="dxa"/>
            <w:noWrap w:val="0"/>
            <w:vAlign w:val="center"/>
          </w:tcPr>
          <w:p w14:paraId="7232893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376" w:type="dxa"/>
            <w:noWrap w:val="0"/>
            <w:vAlign w:val="center"/>
          </w:tcPr>
          <w:p w14:paraId="6AE65F01">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736DE1E0">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51" w:type="dxa"/>
            <w:noWrap w:val="0"/>
            <w:vAlign w:val="center"/>
          </w:tcPr>
          <w:p w14:paraId="1A00F14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224" w:type="dxa"/>
            <w:noWrap w:val="0"/>
            <w:vAlign w:val="center"/>
          </w:tcPr>
          <w:p w14:paraId="12D315D6">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628587B3">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c>
          <w:tcPr>
            <w:tcW w:w="1669" w:type="dxa"/>
            <w:noWrap w:val="0"/>
            <w:vAlign w:val="center"/>
          </w:tcPr>
          <w:p w14:paraId="03626E1A">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bl>
    <w:p w14:paraId="478137FF">
      <w:pPr>
        <w:pStyle w:val="5"/>
        <w:keepNext w:val="0"/>
        <w:keepLines w:val="0"/>
        <w:pageBreakBefore w:val="0"/>
        <w:widowControl w:val="0"/>
        <w:numPr>
          <w:ilvl w:val="0"/>
          <w:numId w:val="0"/>
        </w:numPr>
        <w:kinsoku/>
        <w:wordWrap w:val="0"/>
        <w:overflowPunct w:val="0"/>
        <w:topLinePunct/>
        <w:autoSpaceDE/>
        <w:autoSpaceDN/>
        <w:bidi w:val="0"/>
        <w:adjustRightInd/>
        <w:snapToGrid/>
        <w:spacing w:line="360" w:lineRule="auto"/>
        <w:jc w:val="left"/>
        <w:textAlignment w:val="auto"/>
        <w:outlineLvl w:val="9"/>
        <w:rPr>
          <w:rFonts w:hint="eastAsia" w:ascii="仿宋" w:hAnsi="仿宋" w:eastAsia="仿宋" w:cs="仿宋"/>
          <w:color w:val="000000" w:themeColor="text1"/>
          <w:spacing w:val="-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注：若服务机构为合作伙伴的需提供相关证明资料（如机构营业执照等</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（扫描件加盖电子公章）</w:t>
      </w:r>
      <w:bookmarkEnd w:id="2537"/>
      <w:bookmarkEnd w:id="2538"/>
      <w:bookmarkEnd w:id="2539"/>
      <w:bookmarkEnd w:id="2540"/>
      <w:bookmarkEnd w:id="2541"/>
      <w:bookmarkEnd w:id="2542"/>
    </w:p>
    <w:p w14:paraId="027FD8E7">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p>
    <w:p w14:paraId="7A89517B">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p>
    <w:p w14:paraId="3165C839">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000000" w:themeColor="text1"/>
          <w:spacing w:val="-1"/>
          <w:sz w:val="24"/>
          <w:szCs w:val="24"/>
          <w:highlight w:val="none"/>
          <w14:textFill>
            <w14:solidFill>
              <w14:schemeClr w14:val="tx1"/>
            </w14:solidFill>
          </w14:textFill>
        </w:rPr>
      </w:pPr>
    </w:p>
    <w:p w14:paraId="18EDD2DE">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6409C79B">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rPr>
          <w:rFonts w:hint="eastAsia" w:ascii="仿宋" w:hAnsi="仿宋" w:eastAsia="仿宋" w:cs="仿宋"/>
          <w:color w:val="000000" w:themeColor="text1"/>
          <w:sz w:val="24"/>
          <w:szCs w:val="24"/>
          <w:highlight w:val="none"/>
          <w:u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法定代表人（负责人）或授权委托人：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p>
    <w:p w14:paraId="7CD8B498">
      <w:pPr>
        <w:jc w:val="center"/>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09ECD9BA">
      <w:pPr>
        <w:pStyle w:val="7"/>
        <w:keepNext w:val="0"/>
        <w:keepLines w:val="0"/>
        <w:pageBreakBefore w:val="0"/>
        <w:widowControl w:val="0"/>
        <w:kinsoku/>
        <w:wordWrap w:val="0"/>
        <w:overflowPunct w:val="0"/>
        <w:topLinePunct/>
        <w:autoSpaceDE/>
        <w:autoSpaceDN/>
        <w:bidi w:val="0"/>
        <w:adjustRightInd/>
        <w:snapToGrid/>
        <w:spacing w:line="360" w:lineRule="auto"/>
        <w:ind w:firstLine="0" w:firstLineChars="0"/>
        <w:jc w:val="center"/>
        <w:textAlignment w:val="auto"/>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2543" w:name="_Toc7777"/>
      <w:bookmarkStart w:id="2544" w:name="_Toc14665"/>
      <w:bookmarkStart w:id="2545" w:name="_Toc8491"/>
      <w:bookmarkStart w:id="2546" w:name="_Toc21716"/>
      <w:bookmarkStart w:id="2547" w:name="_Toc17330"/>
      <w:bookmarkStart w:id="2548" w:name="_Toc17082"/>
      <w:bookmarkStart w:id="2549" w:name="_Toc1184"/>
      <w:bookmarkStart w:id="2550" w:name="_Toc27237"/>
      <w:bookmarkStart w:id="2551" w:name="_Toc21181"/>
      <w:bookmarkStart w:id="2552" w:name="_Toc19149"/>
      <w:bookmarkStart w:id="2553" w:name="_Toc16593"/>
      <w:bookmarkStart w:id="2554" w:name="_Toc2194"/>
      <w:bookmarkStart w:id="2555" w:name="_Toc6202"/>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w:t>
      </w:r>
      <w:r>
        <w:rPr>
          <w:rFonts w:hint="eastAsia" w:ascii="仿宋" w:hAnsi="仿宋" w:eastAsia="仿宋" w:cs="仿宋"/>
          <w:b/>
          <w:bCs/>
          <w:color w:val="000000" w:themeColor="text1"/>
          <w:sz w:val="28"/>
          <w:szCs w:val="28"/>
          <w:highlight w:val="none"/>
          <w:lang w:eastAsia="zh-CN"/>
          <w14:textFill>
            <w14:solidFill>
              <w14:schemeClr w14:val="tx1"/>
            </w14:solidFill>
          </w14:textFill>
        </w:rPr>
        <w:t>投标人</w:t>
      </w:r>
      <w:r>
        <w:rPr>
          <w:rFonts w:hint="eastAsia" w:ascii="仿宋" w:hAnsi="仿宋" w:eastAsia="仿宋" w:cs="仿宋"/>
          <w:b/>
          <w:bCs/>
          <w:color w:val="000000" w:themeColor="text1"/>
          <w:sz w:val="28"/>
          <w:szCs w:val="28"/>
          <w:highlight w:val="none"/>
          <w14:textFill>
            <w14:solidFill>
              <w14:schemeClr w14:val="tx1"/>
            </w14:solidFill>
          </w14:textFill>
        </w:rPr>
        <w:t>主要业绩</w:t>
      </w:r>
      <w:r>
        <w:rPr>
          <w:rFonts w:hint="eastAsia" w:ascii="仿宋" w:hAnsi="仿宋" w:eastAsia="仿宋" w:cs="仿宋"/>
          <w:b/>
          <w:bCs/>
          <w:color w:val="000000" w:themeColor="text1"/>
          <w:sz w:val="28"/>
          <w:szCs w:val="28"/>
          <w:highlight w:val="none"/>
          <w:lang w:eastAsia="zh-CN"/>
          <w14:textFill>
            <w14:solidFill>
              <w14:schemeClr w14:val="tx1"/>
            </w14:solidFill>
          </w14:textFill>
        </w:rPr>
        <w:t>（若有）</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p>
    <w:tbl>
      <w:tblPr>
        <w:tblStyle w:val="19"/>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05"/>
        <w:gridCol w:w="1840"/>
        <w:gridCol w:w="1366"/>
        <w:gridCol w:w="1294"/>
        <w:gridCol w:w="1255"/>
        <w:gridCol w:w="1036"/>
        <w:gridCol w:w="1104"/>
      </w:tblGrid>
      <w:tr w14:paraId="1C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38A8639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105" w:type="dxa"/>
            <w:noWrap w:val="0"/>
            <w:vAlign w:val="center"/>
          </w:tcPr>
          <w:p w14:paraId="1996E6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w:t>
            </w:r>
          </w:p>
        </w:tc>
        <w:tc>
          <w:tcPr>
            <w:tcW w:w="1840" w:type="dxa"/>
            <w:noWrap w:val="0"/>
            <w:vAlign w:val="center"/>
          </w:tcPr>
          <w:p w14:paraId="3E6605A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联系人及联系电话</w:t>
            </w:r>
          </w:p>
        </w:tc>
        <w:tc>
          <w:tcPr>
            <w:tcW w:w="1366" w:type="dxa"/>
            <w:noWrap w:val="0"/>
            <w:vAlign w:val="center"/>
          </w:tcPr>
          <w:p w14:paraId="6A17AEC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供货安装期限</w:t>
            </w:r>
          </w:p>
        </w:tc>
        <w:tc>
          <w:tcPr>
            <w:tcW w:w="1294" w:type="dxa"/>
            <w:noWrap w:val="0"/>
            <w:vAlign w:val="center"/>
          </w:tcPr>
          <w:p w14:paraId="4120136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项目地点</w:t>
            </w:r>
          </w:p>
        </w:tc>
        <w:tc>
          <w:tcPr>
            <w:tcW w:w="1255" w:type="dxa"/>
            <w:noWrap w:val="0"/>
            <w:vAlign w:val="center"/>
          </w:tcPr>
          <w:p w14:paraId="6208FC4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项目规模</w:t>
            </w:r>
          </w:p>
        </w:tc>
        <w:tc>
          <w:tcPr>
            <w:tcW w:w="1036" w:type="dxa"/>
            <w:noWrap w:val="0"/>
            <w:vAlign w:val="center"/>
          </w:tcPr>
          <w:p w14:paraId="0F947C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pacing w:val="-16"/>
                <w:sz w:val="24"/>
                <w:szCs w:val="24"/>
                <w:highlight w:val="none"/>
                <w14:textFill>
                  <w14:solidFill>
                    <w14:schemeClr w14:val="tx1"/>
                  </w14:solidFill>
                </w14:textFill>
              </w:rPr>
            </w:pPr>
            <w:r>
              <w:rPr>
                <w:rFonts w:hint="eastAsia" w:ascii="仿宋" w:hAnsi="仿宋" w:eastAsia="仿宋" w:cs="仿宋"/>
                <w:color w:val="000000" w:themeColor="text1"/>
                <w:spacing w:val="-16"/>
                <w:sz w:val="24"/>
                <w:szCs w:val="24"/>
                <w:highlight w:val="none"/>
                <w14:textFill>
                  <w14:solidFill>
                    <w14:schemeClr w14:val="tx1"/>
                  </w14:solidFill>
                </w14:textFill>
              </w:rPr>
              <w:t>签约合同金额</w:t>
            </w:r>
          </w:p>
        </w:tc>
        <w:tc>
          <w:tcPr>
            <w:tcW w:w="1104" w:type="dxa"/>
            <w:noWrap w:val="0"/>
            <w:vAlign w:val="center"/>
          </w:tcPr>
          <w:p w14:paraId="75A417E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pacing w:val="-16"/>
                <w:sz w:val="24"/>
                <w:szCs w:val="24"/>
                <w:highlight w:val="none"/>
                <w14:textFill>
                  <w14:solidFill>
                    <w14:schemeClr w14:val="tx1"/>
                  </w14:solidFill>
                </w14:textFill>
              </w:rPr>
            </w:pPr>
            <w:r>
              <w:rPr>
                <w:rFonts w:hint="eastAsia" w:ascii="仿宋" w:hAnsi="仿宋" w:eastAsia="仿宋" w:cs="仿宋"/>
                <w:color w:val="000000" w:themeColor="text1"/>
                <w:spacing w:val="-16"/>
                <w:sz w:val="24"/>
                <w:szCs w:val="24"/>
                <w:highlight w:val="none"/>
                <w14:textFill>
                  <w14:solidFill>
                    <w14:schemeClr w14:val="tx1"/>
                  </w14:solidFill>
                </w14:textFill>
              </w:rPr>
              <w:t>合同内容</w:t>
            </w:r>
          </w:p>
        </w:tc>
      </w:tr>
      <w:tr w14:paraId="2E44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5CC221C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5" w:type="dxa"/>
            <w:noWrap w:val="0"/>
            <w:vAlign w:val="center"/>
          </w:tcPr>
          <w:p w14:paraId="3D5F697A">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840" w:type="dxa"/>
            <w:noWrap w:val="0"/>
            <w:vAlign w:val="center"/>
          </w:tcPr>
          <w:p w14:paraId="5F2178E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366" w:type="dxa"/>
            <w:noWrap w:val="0"/>
            <w:vAlign w:val="center"/>
          </w:tcPr>
          <w:p w14:paraId="2E9034C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94" w:type="dxa"/>
            <w:noWrap w:val="0"/>
            <w:vAlign w:val="center"/>
          </w:tcPr>
          <w:p w14:paraId="5544439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55" w:type="dxa"/>
            <w:noWrap w:val="0"/>
            <w:vAlign w:val="center"/>
          </w:tcPr>
          <w:p w14:paraId="2684AF34">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36" w:type="dxa"/>
            <w:noWrap w:val="0"/>
            <w:vAlign w:val="center"/>
          </w:tcPr>
          <w:p w14:paraId="6E4198B2">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4" w:type="dxa"/>
            <w:noWrap w:val="0"/>
            <w:vAlign w:val="center"/>
          </w:tcPr>
          <w:p w14:paraId="69F003E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4DFA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07D57F0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5" w:type="dxa"/>
            <w:noWrap w:val="0"/>
            <w:vAlign w:val="center"/>
          </w:tcPr>
          <w:p w14:paraId="287B7CA1">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840" w:type="dxa"/>
            <w:noWrap w:val="0"/>
            <w:vAlign w:val="center"/>
          </w:tcPr>
          <w:p w14:paraId="6D73052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366" w:type="dxa"/>
            <w:noWrap w:val="0"/>
            <w:vAlign w:val="center"/>
          </w:tcPr>
          <w:p w14:paraId="4572EC5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94" w:type="dxa"/>
            <w:noWrap w:val="0"/>
            <w:vAlign w:val="center"/>
          </w:tcPr>
          <w:p w14:paraId="69BC080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55" w:type="dxa"/>
            <w:noWrap w:val="0"/>
            <w:vAlign w:val="center"/>
          </w:tcPr>
          <w:p w14:paraId="37CC8C8E">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36" w:type="dxa"/>
            <w:noWrap w:val="0"/>
            <w:vAlign w:val="center"/>
          </w:tcPr>
          <w:p w14:paraId="6B6D601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4" w:type="dxa"/>
            <w:noWrap w:val="0"/>
            <w:vAlign w:val="center"/>
          </w:tcPr>
          <w:p w14:paraId="0CA9597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50B7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03EFF637">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5" w:type="dxa"/>
            <w:noWrap w:val="0"/>
            <w:vAlign w:val="center"/>
          </w:tcPr>
          <w:p w14:paraId="769D63B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840" w:type="dxa"/>
            <w:noWrap w:val="0"/>
            <w:vAlign w:val="center"/>
          </w:tcPr>
          <w:p w14:paraId="26EC68A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366" w:type="dxa"/>
            <w:noWrap w:val="0"/>
            <w:vAlign w:val="center"/>
          </w:tcPr>
          <w:p w14:paraId="4EAD7F3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94" w:type="dxa"/>
            <w:noWrap w:val="0"/>
            <w:vAlign w:val="center"/>
          </w:tcPr>
          <w:p w14:paraId="3C8F565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55" w:type="dxa"/>
            <w:noWrap w:val="0"/>
            <w:vAlign w:val="center"/>
          </w:tcPr>
          <w:p w14:paraId="0775B70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36" w:type="dxa"/>
            <w:noWrap w:val="0"/>
            <w:vAlign w:val="center"/>
          </w:tcPr>
          <w:p w14:paraId="3C2E65E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4" w:type="dxa"/>
            <w:noWrap w:val="0"/>
            <w:vAlign w:val="center"/>
          </w:tcPr>
          <w:p w14:paraId="1A19A4E1">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55A3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noWrap w:val="0"/>
            <w:vAlign w:val="center"/>
          </w:tcPr>
          <w:p w14:paraId="37AA4F6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5" w:type="dxa"/>
            <w:noWrap w:val="0"/>
            <w:vAlign w:val="center"/>
          </w:tcPr>
          <w:p w14:paraId="5A2B2C2B">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840" w:type="dxa"/>
            <w:noWrap w:val="0"/>
            <w:vAlign w:val="center"/>
          </w:tcPr>
          <w:p w14:paraId="574FFEA0">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366" w:type="dxa"/>
            <w:noWrap w:val="0"/>
            <w:vAlign w:val="center"/>
          </w:tcPr>
          <w:p w14:paraId="4290F9A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94" w:type="dxa"/>
            <w:noWrap w:val="0"/>
            <w:vAlign w:val="center"/>
          </w:tcPr>
          <w:p w14:paraId="66A1C6B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55" w:type="dxa"/>
            <w:noWrap w:val="0"/>
            <w:vAlign w:val="center"/>
          </w:tcPr>
          <w:p w14:paraId="5CA659F9">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36" w:type="dxa"/>
            <w:noWrap w:val="0"/>
            <w:vAlign w:val="center"/>
          </w:tcPr>
          <w:p w14:paraId="30E7EB07">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4" w:type="dxa"/>
            <w:noWrap w:val="0"/>
            <w:vAlign w:val="center"/>
          </w:tcPr>
          <w:p w14:paraId="666505D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0119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227" w:type="dxa"/>
            <w:noWrap w:val="0"/>
            <w:vAlign w:val="center"/>
          </w:tcPr>
          <w:p w14:paraId="72722A5D">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5" w:type="dxa"/>
            <w:noWrap w:val="0"/>
            <w:vAlign w:val="center"/>
          </w:tcPr>
          <w:p w14:paraId="7108DC8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840" w:type="dxa"/>
            <w:noWrap w:val="0"/>
            <w:vAlign w:val="center"/>
          </w:tcPr>
          <w:p w14:paraId="2664F21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366" w:type="dxa"/>
            <w:noWrap w:val="0"/>
            <w:vAlign w:val="center"/>
          </w:tcPr>
          <w:p w14:paraId="3E0ACA5F">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94" w:type="dxa"/>
            <w:noWrap w:val="0"/>
            <w:vAlign w:val="center"/>
          </w:tcPr>
          <w:p w14:paraId="59E15666">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255" w:type="dxa"/>
            <w:noWrap w:val="0"/>
            <w:vAlign w:val="center"/>
          </w:tcPr>
          <w:p w14:paraId="75C4B375">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036" w:type="dxa"/>
            <w:noWrap w:val="0"/>
            <w:vAlign w:val="center"/>
          </w:tcPr>
          <w:p w14:paraId="49F28048">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c>
          <w:tcPr>
            <w:tcW w:w="1104" w:type="dxa"/>
            <w:noWrap w:val="0"/>
            <w:vAlign w:val="center"/>
          </w:tcPr>
          <w:p w14:paraId="04B8DD6C">
            <w:pPr>
              <w:keepNext w:val="0"/>
              <w:keepLines w:val="0"/>
              <w:pageBreakBefore w:val="0"/>
              <w:widowControl w:val="0"/>
              <w:kinsoku/>
              <w:wordWrap w:val="0"/>
              <w:overflowPunct w:val="0"/>
              <w:topLinePunct/>
              <w:autoSpaceDE/>
              <w:autoSpaceDN/>
              <w:bidi w:val="0"/>
              <w:adjustRightInd/>
              <w:snapToGrid/>
              <w:spacing w:line="360" w:lineRule="auto"/>
              <w:ind w:left="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c>
      </w:tr>
      <w:tr w14:paraId="040D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0227" w:type="dxa"/>
            <w:gridSpan w:val="8"/>
            <w:noWrap w:val="0"/>
            <w:vAlign w:val="center"/>
          </w:tcPr>
          <w:p w14:paraId="7AB86A9D">
            <w:pPr>
              <w:keepNext w:val="0"/>
              <w:keepLines w:val="0"/>
              <w:pageBreakBefore w:val="0"/>
              <w:widowControl w:val="0"/>
              <w:kinsoku/>
              <w:wordWrap w:val="0"/>
              <w:overflowPunct w:val="0"/>
              <w:topLinePunct/>
              <w:autoSpaceDE/>
              <w:autoSpaceDN/>
              <w:bidi w:val="0"/>
              <w:adjustRightInd/>
              <w:snapToGrid/>
              <w:spacing w:line="360" w:lineRule="auto"/>
              <w:ind w:left="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说明：附（</w:t>
            </w:r>
            <w:r>
              <w:rPr>
                <w:rFonts w:hint="eastAsia" w:ascii="仿宋" w:hAnsi="仿宋" w:eastAsia="仿宋" w:cs="仿宋"/>
                <w:color w:val="000000" w:themeColor="text1"/>
                <w:sz w:val="24"/>
                <w:szCs w:val="24"/>
                <w:highlight w:val="none"/>
                <w:lang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办法要求提供的）证明材料。</w:t>
            </w:r>
          </w:p>
        </w:tc>
      </w:tr>
    </w:tbl>
    <w:p w14:paraId="5089BF74">
      <w:pPr>
        <w:keepNext w:val="0"/>
        <w:keepLines w:val="0"/>
        <w:pageBreakBefore w:val="0"/>
        <w:widowControl w:val="0"/>
        <w:kinsoku/>
        <w:wordWrap w:val="0"/>
        <w:overflowPunct w:val="0"/>
        <w:topLinePunct/>
        <w:autoSpaceDE/>
        <w:autoSpaceDN/>
        <w:bidi w:val="0"/>
        <w:adjustRightInd/>
        <w:snapToGrid/>
        <w:rPr>
          <w:rFonts w:hint="eastAsia" w:ascii="仿宋" w:hAnsi="仿宋" w:eastAsia="仿宋" w:cs="仿宋"/>
          <w:color w:val="000000" w:themeColor="text1"/>
          <w:sz w:val="24"/>
          <w:szCs w:val="24"/>
          <w:highlight w:val="none"/>
          <w:lang w:val="zh-CN" w:eastAsia="zh-CN"/>
          <w14:textFill>
            <w14:solidFill>
              <w14:schemeClr w14:val="tx1"/>
            </w14:solidFill>
          </w14:textFill>
        </w:rPr>
        <w:sectPr>
          <w:pgSz w:w="11906" w:h="16838"/>
          <w:pgMar w:top="1134" w:right="1134" w:bottom="1134" w:left="1134"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0B516881">
      <w:pPr>
        <w:pStyle w:val="18"/>
        <w:spacing w:line="360" w:lineRule="auto"/>
        <w:ind w:left="0" w:leftChars="0" w:firstLine="0" w:firstLineChars="0"/>
        <w:jc w:val="center"/>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2556" w:name="_Toc12360"/>
      <w:bookmarkStart w:id="2557" w:name="_Toc2529"/>
      <w:bookmarkStart w:id="2558" w:name="_Toc24393"/>
      <w:bookmarkStart w:id="2559" w:name="_Toc13932"/>
      <w:bookmarkStart w:id="2560" w:name="_Toc31778"/>
      <w:bookmarkStart w:id="2561" w:name="_Toc28744"/>
      <w:bookmarkStart w:id="2562" w:name="_Toc15953"/>
      <w:bookmarkStart w:id="2563" w:name="_Toc2990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十一、</w:t>
      </w:r>
      <w:bookmarkEnd w:id="2396"/>
      <w:bookmarkEnd w:id="2397"/>
      <w:bookmarkEnd w:id="2398"/>
      <w:bookmarkEnd w:id="2399"/>
      <w:bookmarkStart w:id="2564" w:name="_Toc19049"/>
      <w:bookmarkStart w:id="2565" w:name="_Toc18646"/>
      <w:bookmarkStart w:id="2566" w:name="_Toc6985"/>
      <w:r>
        <w:rPr>
          <w:rFonts w:hint="eastAsia" w:ascii="仿宋" w:hAnsi="仿宋" w:eastAsia="仿宋" w:cs="仿宋"/>
          <w:b/>
          <w:bCs/>
          <w:color w:val="000000" w:themeColor="text1"/>
          <w:sz w:val="28"/>
          <w:szCs w:val="28"/>
          <w:highlight w:val="none"/>
          <w:lang w:val="en-US" w:eastAsia="zh-CN"/>
          <w14:textFill>
            <w14:solidFill>
              <w14:schemeClr w14:val="tx1"/>
            </w14:solidFill>
          </w14:textFill>
        </w:rPr>
        <w:t>远程参与开标会议诚信承诺书</w:t>
      </w:r>
      <w:bookmarkEnd w:id="2400"/>
      <w:bookmarkEnd w:id="2401"/>
      <w:bookmarkEnd w:id="2402"/>
      <w:bookmarkEnd w:id="2403"/>
      <w:bookmarkEnd w:id="2404"/>
      <w:bookmarkEnd w:id="2556"/>
      <w:bookmarkEnd w:id="2557"/>
      <w:bookmarkEnd w:id="2558"/>
      <w:bookmarkEnd w:id="2559"/>
      <w:bookmarkEnd w:id="2560"/>
      <w:bookmarkEnd w:id="2561"/>
      <w:bookmarkEnd w:id="2562"/>
      <w:bookmarkEnd w:id="2563"/>
      <w:bookmarkEnd w:id="2564"/>
      <w:bookmarkEnd w:id="2565"/>
      <w:bookmarkEnd w:id="2566"/>
    </w:p>
    <w:p w14:paraId="264685D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致：</w:t>
      </w:r>
      <w:r>
        <w:rPr>
          <w:rFonts w:hint="eastAsia" w:ascii="仿宋" w:hAnsi="仿宋" w:eastAsia="仿宋" w:cs="仿宋"/>
          <w:b w:val="0"/>
          <w:bCs w:val="0"/>
          <w:color w:val="000000" w:themeColor="text1"/>
          <w:kern w:val="0"/>
          <w:sz w:val="24"/>
          <w:szCs w:val="24"/>
          <w:highlight w:val="none"/>
          <w:u w:val="single"/>
          <w:lang w:val="en-US" w:eastAsia="zh-CN" w:bidi="ar"/>
          <w14:textFill>
            <w14:solidFill>
              <w14:schemeClr w14:val="tx1"/>
            </w14:solidFill>
          </w14:textFill>
        </w:rPr>
        <w:t>楚雄彝族自治州人民医院</w:t>
      </w:r>
      <w:r>
        <w:rPr>
          <w:rFonts w:hint="eastAsia" w:ascii="仿宋" w:hAnsi="仿宋" w:eastAsia="仿宋" w:cs="仿宋"/>
          <w:b w:val="0"/>
          <w:b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w:t>
      </w:r>
    </w:p>
    <w:p w14:paraId="73E6E5A2">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我方郑重承诺：遵循公开、公平、公正和诚实守信的原则，参加本次远程开标会议，是我方真实意思的表达。</w:t>
      </w:r>
    </w:p>
    <w:p w14:paraId="5FACEF6E">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一、不出借、买卖、伪造、涂改企业和从业人员的资质证书、营业执照、资格业绩、印章以及其他相关资信证明文件，严禁其他企业或个人以我公司的名义投标。</w:t>
      </w:r>
    </w:p>
    <w:p w14:paraId="13CA013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二、严格遵守法律法规和招标文件规定的投标程序。不隐瞒真实情况，不弄虚作假，不骗取投标和中标资格。</w:t>
      </w:r>
    </w:p>
    <w:p w14:paraId="6918ABC0">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三、坚决抵制和杜绝串标、围标、哄抬报价、贿赂、回扣等违法投标和不正当竞争行为。</w:t>
      </w:r>
    </w:p>
    <w:p w14:paraId="0D2765D2">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四、依法经营，公平竞争，不采取违法、违规或不正当手段损害、侵犯同行企业的正当权益。</w:t>
      </w:r>
    </w:p>
    <w:p w14:paraId="342BEC5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五、遵守指令、不擅离职守。开标评标过程中，我方将坚持全程参加开评标会议，积极响应采购人的指令和操作要求，不擅离职守，始终保持通讯顺畅，因我方原因在规定时间内无法与管理端建立起联系的，即视为放弃交互的权利，我方认可采购人任意处置决定，接受包括终止投标资格在内的任何处理结果。</w:t>
      </w:r>
    </w:p>
    <w:p w14:paraId="3B14A93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22A98E32">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outlineLvl w:val="1"/>
        <w:rPr>
          <w:rFonts w:hint="eastAsia" w:ascii="仿宋" w:hAnsi="仿宋" w:eastAsia="仿宋" w:cs="仿宋"/>
          <w:color w:val="000000" w:themeColor="text1"/>
          <w:sz w:val="24"/>
          <w:szCs w:val="24"/>
          <w:highlight w:val="none"/>
          <w14:textFill>
            <w14:solidFill>
              <w14:schemeClr w14:val="tx1"/>
            </w14:solidFill>
          </w14:textFill>
        </w:rPr>
      </w:pPr>
      <w:bookmarkStart w:id="2567" w:name="_Toc24543"/>
      <w:bookmarkStart w:id="2568" w:name="_Toc28686"/>
      <w:bookmarkStart w:id="2569" w:name="_Toc1786"/>
      <w:bookmarkStart w:id="2570" w:name="_Toc7006"/>
      <w:bookmarkStart w:id="2571" w:name="_Toc3721"/>
      <w:bookmarkStart w:id="2572" w:name="_Toc19265"/>
      <w:bookmarkStart w:id="2573" w:name="_Toc30562"/>
      <w:bookmarkStart w:id="2574" w:name="_Toc27193"/>
      <w:bookmarkStart w:id="2575" w:name="_Toc28503"/>
      <w:bookmarkStart w:id="2576" w:name="_Toc7005"/>
      <w:bookmarkStart w:id="2577" w:name="_Toc18899"/>
      <w:bookmarkStart w:id="2578" w:name="_Toc30520"/>
      <w:bookmarkStart w:id="2579" w:name="_Toc31557"/>
      <w:bookmarkStart w:id="2580" w:name="_Toc5974"/>
      <w:bookmarkStart w:id="2581" w:name="_Toc12859"/>
      <w:bookmarkStart w:id="2582" w:name="_Toc7362"/>
      <w:bookmarkStart w:id="2583" w:name="_Toc7417"/>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七、不向采购人或评标委员会成员或相关人员行贿，以牟取中标。</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p>
    <w:p w14:paraId="3DA6827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我方若有违反承诺内容的行为，自愿接受取消招投标资格、将不良行为记录记入档案、没收投标保证金等有关处理，并承担相应的法律责任。给采购人造成损失的，依法承担赔偿责任。</w:t>
      </w:r>
    </w:p>
    <w:p w14:paraId="279EE799">
      <w:pPr>
        <w:pStyle w:val="18"/>
        <w:spacing w:line="360" w:lineRule="auto"/>
        <w:ind w:left="0" w:leftChars="0" w:firstLine="0" w:firstLineChars="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0539F9E5">
      <w:pPr>
        <w:pStyle w:val="18"/>
        <w:spacing w:line="360" w:lineRule="auto"/>
        <w:ind w:left="0" w:leftChars="0" w:firstLine="0" w:firstLineChars="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73D39C35">
      <w:pPr>
        <w:pStyle w:val="18"/>
        <w:spacing w:line="360" w:lineRule="auto"/>
        <w:ind w:left="0" w:leftChars="0" w:firstLine="0" w:firstLineChars="0"/>
        <w:jc w:val="center"/>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p>
    <w:p w14:paraId="6E1CDB61">
      <w:pPr>
        <w:wordWrap w:val="0"/>
        <w:overflowPunct w:val="0"/>
        <w:topLinePunct/>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eastAsia="zh-CN"/>
          <w14:textFill>
            <w14:solidFill>
              <w14:schemeClr w14:val="tx1"/>
            </w14:solidFill>
          </w14:textFill>
        </w:rPr>
        <w:t>（电子公章）</w:t>
      </w:r>
    </w:p>
    <w:p w14:paraId="13806CBB">
      <w:pPr>
        <w:pStyle w:val="7"/>
        <w:keepNext w:val="0"/>
        <w:keepLines w:val="0"/>
        <w:pageBreakBefore w:val="0"/>
        <w:widowControl w:val="0"/>
        <w:tabs>
          <w:tab w:val="left" w:pos="2937"/>
        </w:tabs>
        <w:kinsoku/>
        <w:wordWrap w:val="0"/>
        <w:overflowPunct w:val="0"/>
        <w:topLinePunct/>
        <w:autoSpaceDE/>
        <w:autoSpaceDN/>
        <w:bidi w:val="0"/>
        <w:adjustRightInd/>
        <w:snapToGrid/>
        <w:spacing w:after="0" w:line="360" w:lineRule="auto"/>
        <w:ind w:right="0"/>
        <w:jc w:val="center"/>
        <w:textAlignment w:val="auto"/>
        <w:outlineLvl w:val="0"/>
        <w:rPr>
          <w:rFonts w:hint="eastAsia" w:ascii="仿宋" w:hAnsi="仿宋" w:eastAsia="仿宋" w:cs="仿宋"/>
          <w:color w:val="000000" w:themeColor="text1"/>
          <w:sz w:val="24"/>
          <w:szCs w:val="24"/>
          <w:highlight w:val="none"/>
          <w:u w:val="none"/>
          <w:lang w:val="en-US"/>
          <w14:textFill>
            <w14:solidFill>
              <w14:schemeClr w14:val="tx1"/>
            </w14:solidFill>
          </w14:textFill>
        </w:rPr>
      </w:pPr>
      <w:bookmarkStart w:id="2584" w:name="_Toc29718"/>
      <w:bookmarkStart w:id="2585" w:name="_Toc28319"/>
      <w:bookmarkStart w:id="2586" w:name="_Toc12654"/>
      <w:bookmarkStart w:id="2587" w:name="_Toc20187"/>
      <w:bookmarkStart w:id="2588" w:name="_Toc6085"/>
      <w:bookmarkStart w:id="2589" w:name="_Toc15305"/>
      <w:bookmarkStart w:id="2590" w:name="_Toc3394"/>
      <w:bookmarkStart w:id="2591" w:name="_Toc3921"/>
      <w:bookmarkStart w:id="2592" w:name="_Toc31868"/>
      <w:bookmarkStart w:id="2593" w:name="_Toc21134"/>
      <w:bookmarkStart w:id="2594" w:name="_Toc24769"/>
      <w:bookmarkStart w:id="2595" w:name="_Toc24597"/>
      <w:bookmarkStart w:id="2596" w:name="_Toc30962"/>
      <w:bookmarkStart w:id="2597" w:name="_Toc25756"/>
      <w:bookmarkStart w:id="2598" w:name="_Toc12215"/>
      <w:bookmarkStart w:id="2599" w:name="_Toc22149"/>
      <w:bookmarkStart w:id="2600" w:name="_Toc9390"/>
      <w:r>
        <w:rPr>
          <w:rFonts w:hint="eastAsia" w:ascii="仿宋" w:hAnsi="仿宋" w:eastAsia="仿宋" w:cs="仿宋"/>
          <w:color w:val="000000" w:themeColor="text1"/>
          <w:sz w:val="24"/>
          <w:szCs w:val="24"/>
          <w:highlight w:val="none"/>
          <w14:textFill>
            <w14:solidFill>
              <w14:schemeClr w14:val="tx1"/>
            </w14:solidFill>
          </w14:textFill>
        </w:rPr>
        <w:t>法定代表人（负责人）：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color w:val="000000" w:themeColor="text1"/>
          <w:sz w:val="24"/>
          <w:szCs w:val="24"/>
          <w:highlight w:val="none"/>
          <w14:textFill>
            <w14:solidFill>
              <w14:schemeClr w14:val="tx1"/>
            </w14:solidFill>
          </w14:textFill>
        </w:rPr>
        <w:t>）</w:t>
      </w:r>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p>
    <w:p w14:paraId="56DF8FAC">
      <w:pPr>
        <w:pStyle w:val="18"/>
        <w:spacing w:line="360" w:lineRule="auto"/>
        <w:ind w:left="0" w:leftChars="0" w:firstLine="0" w:firstLineChars="0"/>
        <w:jc w:val="center"/>
        <w:outlineLvl w:val="0"/>
        <w:rPr>
          <w:rFonts w:hint="eastAsia" w:ascii="仿宋" w:hAnsi="仿宋" w:eastAsia="仿宋" w:cs="仿宋"/>
          <w:color w:val="000000" w:themeColor="text1"/>
          <w:sz w:val="24"/>
          <w:szCs w:val="24"/>
          <w:highlight w:val="none"/>
          <w14:textFill>
            <w14:solidFill>
              <w14:schemeClr w14:val="tx1"/>
            </w14:solidFill>
          </w14:textFill>
        </w:rPr>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pPr>
      <w:bookmarkStart w:id="2601" w:name="_Toc13958"/>
      <w:bookmarkStart w:id="2602" w:name="_Toc27089"/>
      <w:bookmarkStart w:id="2603" w:name="_Toc27155"/>
      <w:bookmarkStart w:id="2604" w:name="_Toc17789"/>
      <w:bookmarkStart w:id="2605" w:name="_Toc29289"/>
      <w:bookmarkStart w:id="2606" w:name="_Toc29569"/>
      <w:bookmarkStart w:id="2607" w:name="_Toc27399"/>
      <w:bookmarkStart w:id="2608" w:name="_Toc11811"/>
      <w:bookmarkStart w:id="2609" w:name="_Toc16056"/>
      <w:bookmarkStart w:id="2610" w:name="_Toc30995"/>
      <w:bookmarkStart w:id="2611" w:name="_Toc15052"/>
      <w:bookmarkStart w:id="2612" w:name="_Toc28684"/>
      <w:bookmarkStart w:id="2613" w:name="_Toc26212"/>
      <w:bookmarkStart w:id="2614" w:name="_Toc2800"/>
      <w:bookmarkStart w:id="2615" w:name="_Toc27625"/>
      <w:bookmarkStart w:id="2616" w:name="_Toc8448"/>
      <w:bookmarkStart w:id="2617" w:name="_Toc26447"/>
      <w:bookmarkStart w:id="2618" w:name="_Toc32699"/>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期：</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p>
    <w:p w14:paraId="797ED271">
      <w:pPr>
        <w:pStyle w:val="18"/>
        <w:spacing w:line="360" w:lineRule="auto"/>
        <w:ind w:left="0" w:leftChars="0" w:firstLine="0" w:firstLineChars="0"/>
        <w:jc w:val="center"/>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2619" w:name="_Toc30198"/>
      <w:bookmarkStart w:id="2620" w:name="_Toc12385"/>
      <w:bookmarkStart w:id="2621" w:name="_Toc20866"/>
      <w:bookmarkStart w:id="2622" w:name="_Toc18558"/>
      <w:bookmarkStart w:id="2623" w:name="_Toc21548"/>
      <w:bookmarkStart w:id="2624" w:name="_Toc20071"/>
      <w:bookmarkStart w:id="2625" w:name="_Toc5447"/>
      <w:bookmarkStart w:id="2626" w:name="_Toc3105"/>
      <w:bookmarkStart w:id="2627" w:name="_Toc20372"/>
      <w:bookmarkStart w:id="2628" w:name="_Toc30116"/>
      <w:bookmarkStart w:id="2629" w:name="_Toc29699"/>
      <w:bookmarkStart w:id="2630" w:name="_Toc24704"/>
      <w:bookmarkStart w:id="2631" w:name="_Toc24721"/>
      <w:bookmarkStart w:id="2632" w:name="_Toc30111"/>
      <w:bookmarkStart w:id="2633" w:name="_Toc7514"/>
      <w:bookmarkStart w:id="2634" w:name="_Toc421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十二、投标质量保证书</w:t>
      </w:r>
      <w:bookmarkEnd w:id="2619"/>
      <w:bookmarkEnd w:id="2620"/>
      <w:bookmarkEnd w:id="2621"/>
      <w:bookmarkEnd w:id="2622"/>
      <w:bookmarkEnd w:id="2623"/>
      <w:bookmarkEnd w:id="2624"/>
    </w:p>
    <w:p w14:paraId="67A45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u w:val="none"/>
          <w:lang w:eastAsia="zh-CN"/>
          <w14:textFill>
            <w14:solidFill>
              <w14:schemeClr w14:val="tx1"/>
            </w14:solidFill>
          </w14:textFill>
        </w:rPr>
        <w:t>致：</w:t>
      </w:r>
      <w:r>
        <w:rPr>
          <w:rFonts w:hint="eastAsia" w:ascii="仿宋" w:hAnsi="仿宋" w:eastAsia="仿宋" w:cs="仿宋"/>
          <w:b w:val="0"/>
          <w:bCs/>
          <w:color w:val="000000" w:themeColor="text1"/>
          <w:sz w:val="24"/>
          <w:szCs w:val="24"/>
          <w:highlight w:val="none"/>
          <w:u w:val="single"/>
          <w:lang w:eastAsia="zh-CN"/>
          <w14:textFill>
            <w14:solidFill>
              <w14:schemeClr w14:val="tx1"/>
            </w14:solidFill>
          </w14:textFill>
        </w:rPr>
        <w:t>楚雄彝族自治州人民医院</w:t>
      </w:r>
      <w:r>
        <w:rPr>
          <w:rFonts w:hint="eastAsia" w:ascii="仿宋" w:hAnsi="仿宋" w:eastAsia="仿宋" w:cs="仿宋"/>
          <w:b w:val="0"/>
          <w:b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采购人）</w:t>
      </w:r>
    </w:p>
    <w:p w14:paraId="307B7B26">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本投标书作为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）对（项目名称：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公开招标</w:t>
      </w:r>
      <w:r>
        <w:rPr>
          <w:rFonts w:hint="eastAsia" w:ascii="仿宋" w:hAnsi="仿宋" w:eastAsia="仿宋" w:cs="仿宋"/>
          <w:color w:val="000000" w:themeColor="text1"/>
          <w:sz w:val="24"/>
          <w:szCs w:val="24"/>
          <w:highlight w:val="none"/>
          <w14:textFill>
            <w14:solidFill>
              <w14:schemeClr w14:val="tx1"/>
            </w14:solidFill>
          </w14:textFill>
        </w:rPr>
        <w:t>采购活动提供质量保证的证明。</w:t>
      </w:r>
    </w:p>
    <w:p w14:paraId="1BADEB13">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我方承诺提供以下质量保证并承担相应的法律责任：</w:t>
      </w:r>
    </w:p>
    <w:p w14:paraId="525896D2">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1、提供的货物是全新的、符合国家质量标准、中国有关部门手续完备、具有生产企业质量保证书（或合格证明）的货物；</w:t>
      </w:r>
      <w:r>
        <w:rPr>
          <w:rFonts w:hint="eastAsia" w:ascii="仿宋" w:hAnsi="仿宋" w:eastAsia="仿宋" w:cs="仿宋"/>
          <w:b/>
          <w:bCs/>
          <w:color w:val="000000" w:themeColor="text1"/>
          <w:sz w:val="24"/>
          <w:szCs w:val="24"/>
          <w:highlight w:val="none"/>
          <w14:textFill>
            <w14:solidFill>
              <w14:schemeClr w14:val="tx1"/>
            </w14:solidFill>
          </w14:textFill>
        </w:rPr>
        <w:t>保证产品为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注册有</w:t>
      </w:r>
      <w:r>
        <w:rPr>
          <w:rFonts w:hint="eastAsia" w:ascii="仿宋" w:hAnsi="仿宋" w:eastAsia="仿宋" w:cs="仿宋"/>
          <w:b/>
          <w:bCs/>
          <w:color w:val="000000" w:themeColor="text1"/>
          <w:sz w:val="24"/>
          <w:szCs w:val="24"/>
          <w:highlight w:val="none"/>
          <w14:textFill>
            <w14:solidFill>
              <w14:schemeClr w14:val="tx1"/>
            </w14:solidFill>
          </w14:textFill>
        </w:rPr>
        <w:t>效期内的合格产品。</w:t>
      </w:r>
    </w:p>
    <w:p w14:paraId="61183360">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2、保证甲方在合同产品使用期间不受第三方提出侵犯其专利权、商标，提供的货物符合投标文件承诺和所签合同规定的技术要求；</w:t>
      </w:r>
    </w:p>
    <w:p w14:paraId="72DC418F">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3、保证“投标文件售后服务承诺”全部内容的满足。</w:t>
      </w:r>
    </w:p>
    <w:p w14:paraId="61D894C3">
      <w:pPr>
        <w:keepNext w:val="0"/>
        <w:keepLines w:val="0"/>
        <w:pageBreakBefore w:val="0"/>
        <w:widowControl w:val="0"/>
        <w:suppressLineNumbers w:val="0"/>
        <w:kinsoku/>
        <w:wordWrap w:val="0"/>
        <w:overflowPunct/>
        <w:topLinePunct/>
        <w:autoSpaceDE/>
        <w:autoSpaceDN/>
        <w:bidi w:val="0"/>
        <w:adjustRightInd/>
        <w:snapToGrid/>
        <w:spacing w:line="48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本保证书自开标日起90日内有效，如我方最终成交则至货物保质期满为止有效。</w:t>
      </w:r>
    </w:p>
    <w:p w14:paraId="0BCA5991">
      <w:pPr>
        <w:pStyle w:val="7"/>
        <w:tabs>
          <w:tab w:val="left" w:pos="567"/>
        </w:tabs>
        <w:rPr>
          <w:rFonts w:hint="eastAsia" w:ascii="仿宋" w:hAnsi="仿宋" w:eastAsia="仿宋" w:cs="仿宋"/>
          <w:color w:val="000000" w:themeColor="text1"/>
          <w:sz w:val="24"/>
          <w:szCs w:val="24"/>
          <w:highlight w:val="none"/>
          <w14:textFill>
            <w14:solidFill>
              <w14:schemeClr w14:val="tx1"/>
            </w14:solidFill>
          </w14:textFill>
        </w:rPr>
      </w:pPr>
    </w:p>
    <w:p w14:paraId="646D2C67">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p w14:paraId="4FEE0F09">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p w14:paraId="0B533B71">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p w14:paraId="5AA4F195">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p w14:paraId="2A632455">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p>
    <w:p w14:paraId="500DA102">
      <w:pPr>
        <w:wordWrap w:val="0"/>
        <w:overflowPunct w:val="0"/>
        <w:topLinePunct/>
        <w:spacing w:line="48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投标人</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（电子公章）</w:t>
      </w:r>
    </w:p>
    <w:p w14:paraId="1187D8EE">
      <w:pPr>
        <w:pStyle w:val="7"/>
        <w:keepNext w:val="0"/>
        <w:keepLines w:val="0"/>
        <w:pageBreakBefore w:val="0"/>
        <w:widowControl w:val="0"/>
        <w:tabs>
          <w:tab w:val="left" w:pos="2937"/>
        </w:tabs>
        <w:kinsoku/>
        <w:wordWrap w:val="0"/>
        <w:overflowPunct w:val="0"/>
        <w:topLinePunct/>
        <w:autoSpaceDE/>
        <w:autoSpaceDN/>
        <w:bidi w:val="0"/>
        <w:adjustRightInd/>
        <w:snapToGrid/>
        <w:spacing w:after="0" w:line="480" w:lineRule="auto"/>
        <w:ind w:right="0"/>
        <w:jc w:val="center"/>
        <w:textAlignment w:val="auto"/>
        <w:outlineLvl w:val="0"/>
        <w:rPr>
          <w:rFonts w:hint="eastAsia" w:ascii="仿宋" w:hAnsi="仿宋" w:eastAsia="仿宋" w:cs="仿宋"/>
          <w:b w:val="0"/>
          <w:bCs w:val="0"/>
          <w:color w:val="000000" w:themeColor="text1"/>
          <w:sz w:val="24"/>
          <w:szCs w:val="24"/>
          <w:highlight w:val="none"/>
          <w:u w:val="none"/>
          <w:lang w:val="en-US"/>
          <w14:textFill>
            <w14:solidFill>
              <w14:schemeClr w14:val="tx1"/>
            </w14:solidFill>
          </w14:textFill>
        </w:rPr>
      </w:pPr>
      <w:bookmarkStart w:id="2635" w:name="_Toc6892"/>
      <w:bookmarkStart w:id="2636" w:name="_Toc29465"/>
      <w:bookmarkStart w:id="2637" w:name="_Toc6188"/>
      <w:bookmarkStart w:id="2638" w:name="_Toc8983"/>
      <w:bookmarkStart w:id="2639" w:name="_Toc20306"/>
      <w:bookmarkStart w:id="2640" w:name="_Toc3428"/>
      <w:r>
        <w:rPr>
          <w:rFonts w:hint="eastAsia" w:ascii="仿宋" w:hAnsi="仿宋" w:eastAsia="仿宋" w:cs="仿宋"/>
          <w:b w:val="0"/>
          <w:bCs w:val="0"/>
          <w:color w:val="000000" w:themeColor="text1"/>
          <w:sz w:val="24"/>
          <w:szCs w:val="24"/>
          <w:highlight w:val="none"/>
          <w14:textFill>
            <w14:solidFill>
              <w14:schemeClr w14:val="tx1"/>
            </w14:solidFill>
          </w14:textFill>
        </w:rPr>
        <w:t>法定代表人（负责人）：</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签字或电子签章</w:t>
      </w:r>
      <w:r>
        <w:rPr>
          <w:rFonts w:hint="eastAsia" w:ascii="仿宋" w:hAnsi="仿宋" w:eastAsia="仿宋" w:cs="仿宋"/>
          <w:b w:val="0"/>
          <w:bCs w:val="0"/>
          <w:color w:val="000000" w:themeColor="text1"/>
          <w:sz w:val="24"/>
          <w:szCs w:val="24"/>
          <w:highlight w:val="none"/>
          <w14:textFill>
            <w14:solidFill>
              <w14:schemeClr w14:val="tx1"/>
            </w14:solidFill>
          </w14:textFill>
        </w:rPr>
        <w:t>）</w:t>
      </w:r>
      <w:bookmarkEnd w:id="2635"/>
      <w:bookmarkEnd w:id="2636"/>
      <w:bookmarkEnd w:id="2637"/>
      <w:bookmarkEnd w:id="2638"/>
      <w:bookmarkEnd w:id="2639"/>
      <w:bookmarkEnd w:id="2640"/>
    </w:p>
    <w:p w14:paraId="352BA1E2">
      <w:pPr>
        <w:pStyle w:val="5"/>
        <w:bidi w:val="0"/>
        <w:spacing w:line="480" w:lineRule="auto"/>
        <w:jc w:val="center"/>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bookmarkStart w:id="2641" w:name="_Toc23589"/>
      <w:bookmarkStart w:id="2642" w:name="_Toc10859"/>
      <w:bookmarkStart w:id="2643" w:name="_Toc26100"/>
      <w:bookmarkStart w:id="2644" w:name="_Toc13934"/>
      <w:bookmarkStart w:id="2645" w:name="_Toc11207"/>
      <w:bookmarkStart w:id="2646" w:name="_Toc10142"/>
      <w:r>
        <w:rPr>
          <w:rFonts w:hint="eastAsia" w:ascii="仿宋" w:hAnsi="仿宋" w:eastAsia="仿宋" w:cs="仿宋"/>
          <w:b w:val="0"/>
          <w:bCs w:val="0"/>
          <w:color w:val="000000" w:themeColor="text1"/>
          <w:sz w:val="24"/>
          <w:szCs w:val="24"/>
          <w:highlight w:val="none"/>
          <w14:textFill>
            <w14:solidFill>
              <w14:schemeClr w14:val="tx1"/>
            </w14:solidFill>
          </w14:textFill>
        </w:rPr>
        <w:t>日</w:t>
      </w:r>
      <w:r>
        <w:rPr>
          <w:rFonts w:hint="eastAsia" w:ascii="仿宋" w:hAnsi="仿宋" w:eastAsia="仿宋" w:cs="仿宋"/>
          <w:b w:val="0"/>
          <w:bCs w:val="0"/>
          <w:color w:val="000000" w:themeColor="text1"/>
          <w:sz w:val="24"/>
          <w:szCs w:val="24"/>
          <w:highlight w:val="none"/>
          <w14:textFill>
            <w14:solidFill>
              <w14:schemeClr w14:val="tx1"/>
            </w14:solidFill>
          </w14:textFill>
        </w:rPr>
        <w:tab/>
      </w:r>
      <w:r>
        <w:rPr>
          <w:rFonts w:hint="eastAsia" w:ascii="仿宋" w:hAnsi="仿宋" w:eastAsia="仿宋" w:cs="仿宋"/>
          <w:b w:val="0"/>
          <w:bCs w:val="0"/>
          <w:color w:val="000000" w:themeColor="text1"/>
          <w:sz w:val="24"/>
          <w:szCs w:val="24"/>
          <w:highlight w:val="none"/>
          <w14:textFill>
            <w14:solidFill>
              <w14:schemeClr w14:val="tx1"/>
            </w14:solidFill>
          </w14:textFill>
        </w:rPr>
        <w:t>期：</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年</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月</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14:textFill>
            <w14:solidFill>
              <w14:schemeClr w14:val="tx1"/>
            </w14:solidFill>
          </w14:textFill>
        </w:rPr>
        <w:t>日</w:t>
      </w:r>
      <w:bookmarkEnd w:id="2641"/>
      <w:bookmarkEnd w:id="2642"/>
      <w:bookmarkEnd w:id="2643"/>
      <w:bookmarkEnd w:id="2644"/>
      <w:bookmarkEnd w:id="2645"/>
      <w:bookmarkEnd w:id="2646"/>
    </w:p>
    <w:p w14:paraId="3A775B8F">
      <w:pPr>
        <w:pStyle w:val="5"/>
        <w:bidi w:val="0"/>
        <w:jc w:val="center"/>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9D0BA02">
      <w:pPr>
        <w:pStyle w:val="5"/>
        <w:bidi w:val="0"/>
        <w:jc w:val="center"/>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78B858D">
      <w:pPr>
        <w:pStyle w:val="5"/>
        <w:bidi w:val="0"/>
        <w:jc w:val="center"/>
        <w:outlineLvl w:val="1"/>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DEE6F6B">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4055339">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633CC709">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D43644B">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F940ABA">
      <w:pPr>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647" w:name="_Toc16084"/>
      <w:bookmarkStart w:id="2648" w:name="_Toc11236"/>
      <w:bookmarkStart w:id="2649" w:name="_Toc9400"/>
      <w:bookmarkStart w:id="2650" w:name="_Toc10709"/>
      <w:bookmarkStart w:id="2651" w:name="_Toc31208"/>
      <w:bookmarkStart w:id="2652" w:name="_Toc452"/>
      <w:r>
        <w:rPr>
          <w:rFonts w:hint="eastAsia" w:ascii="仿宋" w:hAnsi="仿宋" w:eastAsia="仿宋" w:cs="仿宋"/>
          <w:color w:val="000000" w:themeColor="text1"/>
          <w:sz w:val="24"/>
          <w:szCs w:val="24"/>
          <w:highlight w:val="none"/>
          <w:lang w:val="en-US" w:eastAsia="zh-CN"/>
          <w14:textFill>
            <w14:solidFill>
              <w14:schemeClr w14:val="tx1"/>
            </w14:solidFill>
          </w14:textFill>
        </w:rPr>
        <w:br w:type="page"/>
      </w:r>
    </w:p>
    <w:p w14:paraId="72046877">
      <w:pPr>
        <w:pStyle w:val="5"/>
        <w:bidi w:val="0"/>
        <w:jc w:val="center"/>
        <w:outlineLvl w:val="1"/>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color w:val="000000" w:themeColor="text1"/>
          <w:sz w:val="28"/>
          <w:szCs w:val="28"/>
          <w:highlight w:val="none"/>
          <w:lang w:eastAsia="zh-CN"/>
          <w14:textFill>
            <w14:solidFill>
              <w14:schemeClr w14:val="tx1"/>
            </w14:solidFill>
          </w14:textFill>
        </w:rPr>
        <w:t>投标人认为有必要提供的其他资料</w:t>
      </w:r>
      <w:r>
        <w:rPr>
          <w:rFonts w:hint="eastAsia" w:ascii="仿宋" w:hAnsi="仿宋" w:eastAsia="仿宋" w:cs="仿宋"/>
          <w:color w:val="000000" w:themeColor="text1"/>
          <w:sz w:val="28"/>
          <w:szCs w:val="28"/>
          <w:highlight w:val="none"/>
          <w:lang w:val="en-US" w:eastAsia="zh-CN"/>
          <w14:textFill>
            <w14:solidFill>
              <w14:schemeClr w14:val="tx1"/>
            </w14:solidFill>
          </w14:textFill>
        </w:rPr>
        <w:t>（若有）</w:t>
      </w:r>
      <w:bookmarkEnd w:id="2625"/>
      <w:bookmarkEnd w:id="2626"/>
      <w:bookmarkEnd w:id="2627"/>
      <w:bookmarkEnd w:id="2628"/>
      <w:bookmarkEnd w:id="2629"/>
      <w:bookmarkEnd w:id="2630"/>
      <w:bookmarkEnd w:id="2631"/>
      <w:bookmarkEnd w:id="2632"/>
      <w:bookmarkEnd w:id="2633"/>
      <w:bookmarkEnd w:id="2634"/>
      <w:bookmarkEnd w:id="2647"/>
      <w:bookmarkEnd w:id="2648"/>
      <w:bookmarkEnd w:id="2649"/>
      <w:bookmarkEnd w:id="2650"/>
      <w:bookmarkEnd w:id="2651"/>
      <w:bookmarkEnd w:id="2652"/>
    </w:p>
    <w:p w14:paraId="3B921BA2">
      <w:pPr>
        <w:pStyle w:val="7"/>
        <w:keepNext w:val="0"/>
        <w:keepLines w:val="0"/>
        <w:pageBreakBefore w:val="0"/>
        <w:widowControl w:val="0"/>
        <w:kinsoku/>
        <w:wordWrap w:val="0"/>
        <w:overflowPunct w:val="0"/>
        <w:topLinePunct/>
        <w:autoSpaceDE/>
        <w:autoSpaceDN/>
        <w:bidi w:val="0"/>
        <w:adjustRightInd/>
        <w:snapToGrid/>
        <w:spacing w:before="159" w:line="360" w:lineRule="auto"/>
        <w:jc w:val="center"/>
        <w:outlineLvl w:val="0"/>
        <w:rPr>
          <w:rFonts w:hint="eastAsia" w:ascii="仿宋" w:hAnsi="仿宋" w:eastAsia="仿宋" w:cs="仿宋"/>
          <w:color w:val="000000" w:themeColor="text1"/>
          <w:sz w:val="24"/>
          <w:szCs w:val="24"/>
          <w:highlight w:val="none"/>
          <w14:textFill>
            <w14:solidFill>
              <w14:schemeClr w14:val="tx1"/>
            </w14:solidFill>
          </w14:textFill>
        </w:rPr>
      </w:pPr>
      <w:bookmarkStart w:id="2653" w:name="_Toc29207"/>
      <w:bookmarkStart w:id="2654" w:name="_Toc20310"/>
      <w:bookmarkStart w:id="2655" w:name="_Toc16272"/>
      <w:bookmarkStart w:id="2656" w:name="_Toc24880"/>
      <w:bookmarkStart w:id="2657" w:name="_Toc28935"/>
      <w:bookmarkStart w:id="2658" w:name="_Toc30463"/>
      <w:bookmarkStart w:id="2659" w:name="_Toc9389"/>
      <w:bookmarkStart w:id="2660" w:name="_Toc78"/>
      <w:bookmarkStart w:id="2661" w:name="_Toc27901"/>
      <w:bookmarkStart w:id="2662" w:name="_Toc22433"/>
      <w:bookmarkStart w:id="2663" w:name="_Toc3788"/>
      <w:bookmarkStart w:id="2664" w:name="_Toc6558"/>
      <w:bookmarkStart w:id="2665" w:name="_Toc27622"/>
      <w:bookmarkStart w:id="2666" w:name="_Toc6646"/>
      <w:bookmarkStart w:id="2667" w:name="_Toc23419"/>
      <w:bookmarkStart w:id="2668" w:name="_Toc659"/>
      <w:bookmarkStart w:id="2669" w:name="_Toc9617"/>
      <w:bookmarkStart w:id="2670" w:name="_Toc24692"/>
      <w:bookmarkStart w:id="2671" w:name="_Toc5885"/>
      <w:bookmarkStart w:id="2672" w:name="_Toc14472"/>
      <w:bookmarkStart w:id="2673" w:name="_Toc7240"/>
      <w:r>
        <w:rPr>
          <w:rFonts w:hint="eastAsia" w:ascii="仿宋" w:hAnsi="仿宋" w:eastAsia="仿宋" w:cs="仿宋"/>
          <w:color w:val="000000" w:themeColor="text1"/>
          <w:sz w:val="24"/>
          <w:szCs w:val="24"/>
          <w:highlight w:val="none"/>
          <w:lang w:eastAsia="zh-CN"/>
          <w14:textFill>
            <w14:solidFill>
              <w14:schemeClr w14:val="tx1"/>
            </w14:solidFill>
          </w14:textFill>
        </w:rPr>
        <w:t>招标文件要求投标人提交的其他资料或投标人认为应提交的其他资料</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7109B342">
      <w:pPr>
        <w:pStyle w:val="18"/>
        <w:spacing w:line="360" w:lineRule="auto"/>
        <w:ind w:left="0" w:leftChars="0" w:firstLine="0" w:firstLineChars="0"/>
        <w:jc w:val="center"/>
        <w:outlineLvl w:val="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2674" w:name="_Toc18589"/>
      <w:bookmarkStart w:id="2675" w:name="_Toc9910"/>
      <w:bookmarkStart w:id="2676" w:name="_Toc22774"/>
      <w:bookmarkStart w:id="2677" w:name="_Toc20080"/>
      <w:bookmarkStart w:id="2678" w:name="_Toc23205"/>
      <w:bookmarkStart w:id="2679" w:name="_Toc18310"/>
      <w:bookmarkStart w:id="2680" w:name="_Toc4970"/>
      <w:bookmarkStart w:id="2681" w:name="_Toc20273"/>
      <w:bookmarkStart w:id="2682" w:name="_Toc1585"/>
      <w:bookmarkStart w:id="2683" w:name="_Toc407"/>
      <w:bookmarkStart w:id="2684" w:name="_Toc3156"/>
      <w:bookmarkStart w:id="2685" w:name="_Toc7374"/>
      <w:bookmarkStart w:id="2686" w:name="_Toc23386"/>
      <w:bookmarkStart w:id="2687" w:name="_Toc28702"/>
      <w:bookmarkStart w:id="2688" w:name="_Toc14857"/>
      <w:bookmarkStart w:id="2689" w:name="_Toc878"/>
      <w:bookmarkStart w:id="2690" w:name="_Toc22527"/>
      <w:bookmarkStart w:id="2691" w:name="_Toc4096"/>
      <w:bookmarkStart w:id="2692" w:name="_Toc3793"/>
      <w:bookmarkStart w:id="2693" w:name="_Toc7745"/>
      <w:bookmarkStart w:id="2694" w:name="_Toc2163"/>
      <w:r>
        <w:rPr>
          <w:rFonts w:hint="eastAsia" w:ascii="仿宋" w:hAnsi="仿宋" w:eastAsia="仿宋" w:cs="仿宋"/>
          <w:color w:val="000000" w:themeColor="text1"/>
          <w:sz w:val="24"/>
          <w:szCs w:val="24"/>
          <w:highlight w:val="none"/>
          <w:lang w:eastAsia="zh-CN"/>
          <w14:textFill>
            <w14:solidFill>
              <w14:schemeClr w14:val="tx1"/>
            </w14:solidFill>
          </w14:textFill>
        </w:rPr>
        <w:t>（格式自拟）</w:t>
      </w:r>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p>
    <w:p w14:paraId="5A0E83ED">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240" w:lineRule="auto"/>
        <w:ind w:left="0" w:leftChars="0" w:right="0" w:firstLine="480" w:firstLineChars="200"/>
        <w:jc w:val="left"/>
        <w:textAlignment w:val="auto"/>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p>
    <w:sectPr>
      <w:pgSz w:w="11906" w:h="16838"/>
      <w:pgMar w:top="1134" w:right="1134" w:bottom="1134" w:left="1134" w:header="709" w:footer="907" w:gutter="0"/>
      <w:pgBorders>
        <w:top w:val="none" w:sz="0" w:space="0"/>
        <w:left w:val="none" w:sz="0" w:space="0"/>
        <w:bottom w:val="none" w:sz="0" w:space="0"/>
        <w:right w:val="none" w:sz="0" w:space="0"/>
      </w:pgBorders>
      <w:pgNumType w:fmt="decimal"/>
      <w:cols w:space="720" w:num="1"/>
      <w:titlePg/>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Yu Mincho Light">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S PMincho">
    <w:altName w:val="MS UI Gothic"/>
    <w:panose1 w:val="02020600040205080304"/>
    <w:charset w:val="80"/>
    <w:family w:val="roman"/>
    <w:pitch w:val="default"/>
    <w:sig w:usb0="00000000" w:usb1="00000000" w:usb2="00000012" w:usb3="00000000" w:csb0="0002009F" w:csb1="00000000"/>
  </w:font>
  <w:font w:name="MS UI 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98E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18BF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C18BF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268F3">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62651">
                          <w:pPr>
                            <w:pStyle w:val="1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5062651">
                    <w:pPr>
                      <w:pStyle w:val="1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C8E1">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0BAB1">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140BAB1">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568E">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0487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1D0487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00B0">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7B97">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F0A7B97">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5E06">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BB7A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3EBB7A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167B">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794FF">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E7794FF">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8044">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5C7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ED5C76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77E6">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08BFD">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D08BFD">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425D">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10A53">
                          <w:pPr>
                            <w:pStyle w:val="11"/>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10A53">
                    <w:pPr>
                      <w:pStyle w:val="11"/>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C852">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4BD16">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A94BD16">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EC5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7A08B">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8F7A08B">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DCBB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E97E5">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12E97E5">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5A5D">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8FE9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068FE9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28E7">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1E188">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DA1E188">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8EE2">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7ABE5">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A37ABE5">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3219">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FE1B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F2FE1B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C139">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90C4">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6AF90C4">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4A73">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9E5E6">
                          <w:pPr>
                            <w:pStyle w:val="1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569E5E6">
                    <w:pPr>
                      <w:pStyle w:val="1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3D4C0"/>
    <w:multiLevelType w:val="singleLevel"/>
    <w:tmpl w:val="BA93D4C0"/>
    <w:lvl w:ilvl="0" w:tentative="0">
      <w:start w:val="5"/>
      <w:numFmt w:val="chineseCounting"/>
      <w:suff w:val="space"/>
      <w:lvlText w:val="第%1章"/>
      <w:lvlJc w:val="left"/>
      <w:rPr>
        <w:rFonts w:hint="eastAsia"/>
      </w:rPr>
    </w:lvl>
  </w:abstractNum>
  <w:abstractNum w:abstractNumId="1">
    <w:nsid w:val="4A9EB725"/>
    <w:multiLevelType w:val="singleLevel"/>
    <w:tmpl w:val="4A9EB725"/>
    <w:lvl w:ilvl="0" w:tentative="0">
      <w:start w:val="1"/>
      <w:numFmt w:val="chineseCounting"/>
      <w:suff w:val="space"/>
      <w:lvlText w:val="第%1章"/>
      <w:lvlJc w:val="left"/>
      <w:rPr>
        <w:rFonts w:hint="eastAsia"/>
      </w:rPr>
    </w:lvl>
  </w:abstractNum>
  <w:abstractNum w:abstractNumId="2">
    <w:nsid w:val="608BC416"/>
    <w:multiLevelType w:val="singleLevel"/>
    <w:tmpl w:val="608BC416"/>
    <w:lvl w:ilvl="0" w:tentative="0">
      <w:start w:val="5"/>
      <w:numFmt w:val="chineseCounting"/>
      <w:suff w:val="nothing"/>
      <w:lvlText w:val="%1、"/>
      <w:lvlJc w:val="left"/>
      <w:rPr>
        <w:rFonts w:hint="eastAsia"/>
      </w:rPr>
    </w:lvl>
  </w:abstractNum>
  <w:abstractNum w:abstractNumId="3">
    <w:nsid w:val="6284E92E"/>
    <w:multiLevelType w:val="singleLevel"/>
    <w:tmpl w:val="6284E92E"/>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mZlZWYzNDE5ODljN2YzMDRkZWFlM2U0ODIxZmYifQ=="/>
  </w:docVars>
  <w:rsids>
    <w:rsidRoot w:val="130510DE"/>
    <w:rsid w:val="00270BE1"/>
    <w:rsid w:val="00396FF2"/>
    <w:rsid w:val="003D0404"/>
    <w:rsid w:val="004B5929"/>
    <w:rsid w:val="00B76409"/>
    <w:rsid w:val="01256F97"/>
    <w:rsid w:val="014E3892"/>
    <w:rsid w:val="015754F6"/>
    <w:rsid w:val="018C33F1"/>
    <w:rsid w:val="01C901A1"/>
    <w:rsid w:val="024C2B81"/>
    <w:rsid w:val="025065CD"/>
    <w:rsid w:val="02597332"/>
    <w:rsid w:val="028B36A9"/>
    <w:rsid w:val="029562D6"/>
    <w:rsid w:val="02A14EBF"/>
    <w:rsid w:val="035F6CF1"/>
    <w:rsid w:val="040E6CE1"/>
    <w:rsid w:val="055661F0"/>
    <w:rsid w:val="05685DCD"/>
    <w:rsid w:val="05746676"/>
    <w:rsid w:val="05777BCD"/>
    <w:rsid w:val="05BC3F13"/>
    <w:rsid w:val="05C2313D"/>
    <w:rsid w:val="060422D9"/>
    <w:rsid w:val="06071298"/>
    <w:rsid w:val="065B15E4"/>
    <w:rsid w:val="06AC3C62"/>
    <w:rsid w:val="06FE205F"/>
    <w:rsid w:val="07553971"/>
    <w:rsid w:val="07D64CD8"/>
    <w:rsid w:val="08B1198F"/>
    <w:rsid w:val="08CF3D25"/>
    <w:rsid w:val="08F73BE1"/>
    <w:rsid w:val="091213D6"/>
    <w:rsid w:val="0999397B"/>
    <w:rsid w:val="09A43FCA"/>
    <w:rsid w:val="0A1E30DF"/>
    <w:rsid w:val="0A9465B6"/>
    <w:rsid w:val="0AB5290D"/>
    <w:rsid w:val="0AB74E1A"/>
    <w:rsid w:val="0B6C7DF0"/>
    <w:rsid w:val="0B9F01C5"/>
    <w:rsid w:val="0C513186"/>
    <w:rsid w:val="0C833643"/>
    <w:rsid w:val="0CD37C90"/>
    <w:rsid w:val="0D1348B1"/>
    <w:rsid w:val="0DB13287"/>
    <w:rsid w:val="0DF5231E"/>
    <w:rsid w:val="0E2A1FC8"/>
    <w:rsid w:val="0E460DCC"/>
    <w:rsid w:val="0E7250C9"/>
    <w:rsid w:val="0F113188"/>
    <w:rsid w:val="0F264E85"/>
    <w:rsid w:val="0F6E2388"/>
    <w:rsid w:val="0F930041"/>
    <w:rsid w:val="107A5ACE"/>
    <w:rsid w:val="10ED64DF"/>
    <w:rsid w:val="11522B55"/>
    <w:rsid w:val="11BA4BC6"/>
    <w:rsid w:val="121976AB"/>
    <w:rsid w:val="124D67E5"/>
    <w:rsid w:val="130510DE"/>
    <w:rsid w:val="130D010A"/>
    <w:rsid w:val="13767A5D"/>
    <w:rsid w:val="139F43E0"/>
    <w:rsid w:val="13F85C09"/>
    <w:rsid w:val="148C1F39"/>
    <w:rsid w:val="14BE346A"/>
    <w:rsid w:val="162C0142"/>
    <w:rsid w:val="16F77107"/>
    <w:rsid w:val="172D59A5"/>
    <w:rsid w:val="18D95A71"/>
    <w:rsid w:val="19EB0F5F"/>
    <w:rsid w:val="19EF056A"/>
    <w:rsid w:val="1AB377E9"/>
    <w:rsid w:val="1B3B21F0"/>
    <w:rsid w:val="1B8D46EF"/>
    <w:rsid w:val="1BBA1491"/>
    <w:rsid w:val="1BD047A3"/>
    <w:rsid w:val="1C623275"/>
    <w:rsid w:val="1C6D0116"/>
    <w:rsid w:val="1CD04682"/>
    <w:rsid w:val="1D4406D2"/>
    <w:rsid w:val="1DF331B8"/>
    <w:rsid w:val="1E2702D2"/>
    <w:rsid w:val="1E285DF8"/>
    <w:rsid w:val="1EA41923"/>
    <w:rsid w:val="1EF34658"/>
    <w:rsid w:val="1F124E9C"/>
    <w:rsid w:val="1FCD6C57"/>
    <w:rsid w:val="1FF13814"/>
    <w:rsid w:val="1FFB7C68"/>
    <w:rsid w:val="203942EC"/>
    <w:rsid w:val="20DF4E94"/>
    <w:rsid w:val="21270A00"/>
    <w:rsid w:val="212B1733"/>
    <w:rsid w:val="21464F13"/>
    <w:rsid w:val="21C36564"/>
    <w:rsid w:val="225063D5"/>
    <w:rsid w:val="22C97BAA"/>
    <w:rsid w:val="22E44F96"/>
    <w:rsid w:val="2392443F"/>
    <w:rsid w:val="23D81FDE"/>
    <w:rsid w:val="24003A9F"/>
    <w:rsid w:val="24596D0B"/>
    <w:rsid w:val="247C0D6C"/>
    <w:rsid w:val="247E5C56"/>
    <w:rsid w:val="24DD793C"/>
    <w:rsid w:val="268B33C8"/>
    <w:rsid w:val="26A86AB0"/>
    <w:rsid w:val="26D203C0"/>
    <w:rsid w:val="277976C4"/>
    <w:rsid w:val="27FE0B67"/>
    <w:rsid w:val="283E4B96"/>
    <w:rsid w:val="28C3509B"/>
    <w:rsid w:val="29916F47"/>
    <w:rsid w:val="2A7E571E"/>
    <w:rsid w:val="2B345DDC"/>
    <w:rsid w:val="2BE8691D"/>
    <w:rsid w:val="2C2C2F57"/>
    <w:rsid w:val="2C363DD6"/>
    <w:rsid w:val="2C471B3F"/>
    <w:rsid w:val="2C524F72"/>
    <w:rsid w:val="2CE35D0C"/>
    <w:rsid w:val="2D355E3C"/>
    <w:rsid w:val="2E68188E"/>
    <w:rsid w:val="2EB67F7C"/>
    <w:rsid w:val="2F065CE2"/>
    <w:rsid w:val="2F50269F"/>
    <w:rsid w:val="300A1801"/>
    <w:rsid w:val="301C4B8B"/>
    <w:rsid w:val="30D342DA"/>
    <w:rsid w:val="30F71845"/>
    <w:rsid w:val="31723B02"/>
    <w:rsid w:val="32250B75"/>
    <w:rsid w:val="32D83E39"/>
    <w:rsid w:val="33370B5F"/>
    <w:rsid w:val="33B30E42"/>
    <w:rsid w:val="34AE342D"/>
    <w:rsid w:val="35FC1BEC"/>
    <w:rsid w:val="36486BE0"/>
    <w:rsid w:val="3671785E"/>
    <w:rsid w:val="3772660A"/>
    <w:rsid w:val="38155BBD"/>
    <w:rsid w:val="38503B75"/>
    <w:rsid w:val="38A071A7"/>
    <w:rsid w:val="392A6A70"/>
    <w:rsid w:val="39677CC5"/>
    <w:rsid w:val="3B2C2F74"/>
    <w:rsid w:val="3B944458"/>
    <w:rsid w:val="3C6504EB"/>
    <w:rsid w:val="3C797AF3"/>
    <w:rsid w:val="3C7B7D0F"/>
    <w:rsid w:val="3CDE029E"/>
    <w:rsid w:val="3D0E0B83"/>
    <w:rsid w:val="3D7B5AED"/>
    <w:rsid w:val="3D7E738B"/>
    <w:rsid w:val="3DD039F9"/>
    <w:rsid w:val="3E02437C"/>
    <w:rsid w:val="3E950E30"/>
    <w:rsid w:val="3EAA00F0"/>
    <w:rsid w:val="3EAB2402"/>
    <w:rsid w:val="3EE55913"/>
    <w:rsid w:val="3F8769CB"/>
    <w:rsid w:val="401A3F4F"/>
    <w:rsid w:val="403C692C"/>
    <w:rsid w:val="419929E5"/>
    <w:rsid w:val="41AC2719"/>
    <w:rsid w:val="422848B1"/>
    <w:rsid w:val="42953E9C"/>
    <w:rsid w:val="42DD0FDE"/>
    <w:rsid w:val="430640AA"/>
    <w:rsid w:val="436357B5"/>
    <w:rsid w:val="436C6603"/>
    <w:rsid w:val="43D146B8"/>
    <w:rsid w:val="44933678"/>
    <w:rsid w:val="45101CA8"/>
    <w:rsid w:val="46072613"/>
    <w:rsid w:val="46D13889"/>
    <w:rsid w:val="47A73FEA"/>
    <w:rsid w:val="47C00CCC"/>
    <w:rsid w:val="47D209FF"/>
    <w:rsid w:val="48354DA9"/>
    <w:rsid w:val="484E277B"/>
    <w:rsid w:val="487A3570"/>
    <w:rsid w:val="48F21359"/>
    <w:rsid w:val="49883A6B"/>
    <w:rsid w:val="4A421E6C"/>
    <w:rsid w:val="4A7D490B"/>
    <w:rsid w:val="4A993A56"/>
    <w:rsid w:val="4AAC152E"/>
    <w:rsid w:val="4B2217C7"/>
    <w:rsid w:val="4B600FBA"/>
    <w:rsid w:val="4B7477FD"/>
    <w:rsid w:val="4C365A00"/>
    <w:rsid w:val="4C5449D4"/>
    <w:rsid w:val="4C60482B"/>
    <w:rsid w:val="4C720CFA"/>
    <w:rsid w:val="4CEC67F1"/>
    <w:rsid w:val="4D695962"/>
    <w:rsid w:val="4DE03A95"/>
    <w:rsid w:val="4E191136"/>
    <w:rsid w:val="4EE72FC3"/>
    <w:rsid w:val="4F1E360F"/>
    <w:rsid w:val="4F2608AE"/>
    <w:rsid w:val="4F526602"/>
    <w:rsid w:val="4F730D1A"/>
    <w:rsid w:val="50B068F4"/>
    <w:rsid w:val="50E772C9"/>
    <w:rsid w:val="511856D5"/>
    <w:rsid w:val="51A23132"/>
    <w:rsid w:val="51AC22C1"/>
    <w:rsid w:val="51B7353F"/>
    <w:rsid w:val="51BA0419"/>
    <w:rsid w:val="51CC382A"/>
    <w:rsid w:val="52A03BD4"/>
    <w:rsid w:val="52ED206B"/>
    <w:rsid w:val="52F21995"/>
    <w:rsid w:val="531E0F9C"/>
    <w:rsid w:val="5410284B"/>
    <w:rsid w:val="543A50EC"/>
    <w:rsid w:val="54FC7620"/>
    <w:rsid w:val="55337CA2"/>
    <w:rsid w:val="5583133B"/>
    <w:rsid w:val="55B54B3C"/>
    <w:rsid w:val="56105639"/>
    <w:rsid w:val="566969D2"/>
    <w:rsid w:val="567B5594"/>
    <w:rsid w:val="567E247E"/>
    <w:rsid w:val="571406EC"/>
    <w:rsid w:val="580469B3"/>
    <w:rsid w:val="584B2834"/>
    <w:rsid w:val="586F244C"/>
    <w:rsid w:val="589A6991"/>
    <w:rsid w:val="589C2A76"/>
    <w:rsid w:val="589F34AA"/>
    <w:rsid w:val="599D583D"/>
    <w:rsid w:val="59C7413C"/>
    <w:rsid w:val="59E12A15"/>
    <w:rsid w:val="5AB4295D"/>
    <w:rsid w:val="5B1E7D8B"/>
    <w:rsid w:val="5B8C4BF2"/>
    <w:rsid w:val="5C0056E3"/>
    <w:rsid w:val="5D3330D1"/>
    <w:rsid w:val="5E2F0501"/>
    <w:rsid w:val="5E473A9D"/>
    <w:rsid w:val="5EB97DCB"/>
    <w:rsid w:val="5EBA7B21"/>
    <w:rsid w:val="5F1F0F77"/>
    <w:rsid w:val="5F381638"/>
    <w:rsid w:val="5F7D4CC5"/>
    <w:rsid w:val="600F4147"/>
    <w:rsid w:val="60936B26"/>
    <w:rsid w:val="610037DC"/>
    <w:rsid w:val="61300818"/>
    <w:rsid w:val="61497B2C"/>
    <w:rsid w:val="61B62F10"/>
    <w:rsid w:val="61F11B8A"/>
    <w:rsid w:val="63C03EC5"/>
    <w:rsid w:val="64D21BE7"/>
    <w:rsid w:val="65722D9A"/>
    <w:rsid w:val="65DD1CCA"/>
    <w:rsid w:val="66D41C46"/>
    <w:rsid w:val="671A063A"/>
    <w:rsid w:val="675009A2"/>
    <w:rsid w:val="68440417"/>
    <w:rsid w:val="68495352"/>
    <w:rsid w:val="69930433"/>
    <w:rsid w:val="69A973BA"/>
    <w:rsid w:val="6ADE12E5"/>
    <w:rsid w:val="6B0B19AE"/>
    <w:rsid w:val="6B5B2936"/>
    <w:rsid w:val="6BA20565"/>
    <w:rsid w:val="6C027255"/>
    <w:rsid w:val="6C682892"/>
    <w:rsid w:val="6CA82754"/>
    <w:rsid w:val="6CAA52D6"/>
    <w:rsid w:val="6CAD71C1"/>
    <w:rsid w:val="6CCA7D73"/>
    <w:rsid w:val="6CFB78A5"/>
    <w:rsid w:val="6E2039C3"/>
    <w:rsid w:val="6E6F0506"/>
    <w:rsid w:val="6F50591F"/>
    <w:rsid w:val="701B08E6"/>
    <w:rsid w:val="70433998"/>
    <w:rsid w:val="70584443"/>
    <w:rsid w:val="70785D38"/>
    <w:rsid w:val="71031AA6"/>
    <w:rsid w:val="71325EE7"/>
    <w:rsid w:val="714E0847"/>
    <w:rsid w:val="715247BD"/>
    <w:rsid w:val="71527F6E"/>
    <w:rsid w:val="71886828"/>
    <w:rsid w:val="71B30E9D"/>
    <w:rsid w:val="71E80C9B"/>
    <w:rsid w:val="726B5372"/>
    <w:rsid w:val="727A4863"/>
    <w:rsid w:val="72BA5B47"/>
    <w:rsid w:val="72D336FA"/>
    <w:rsid w:val="73351CBE"/>
    <w:rsid w:val="7386251A"/>
    <w:rsid w:val="73A30A33"/>
    <w:rsid w:val="73EF4804"/>
    <w:rsid w:val="73F30AFC"/>
    <w:rsid w:val="73FF67F4"/>
    <w:rsid w:val="74253AE1"/>
    <w:rsid w:val="748051BB"/>
    <w:rsid w:val="74BC6ED8"/>
    <w:rsid w:val="76C375E1"/>
    <w:rsid w:val="76E23A91"/>
    <w:rsid w:val="770C1996"/>
    <w:rsid w:val="779865A5"/>
    <w:rsid w:val="77C47AB5"/>
    <w:rsid w:val="77FC724F"/>
    <w:rsid w:val="783E7867"/>
    <w:rsid w:val="787E5EB6"/>
    <w:rsid w:val="78E13352"/>
    <w:rsid w:val="78F32400"/>
    <w:rsid w:val="792E5B65"/>
    <w:rsid w:val="7A0F14BB"/>
    <w:rsid w:val="7A1D3A21"/>
    <w:rsid w:val="7A6C39F7"/>
    <w:rsid w:val="7AC202DC"/>
    <w:rsid w:val="7B0501C8"/>
    <w:rsid w:val="7B236386"/>
    <w:rsid w:val="7B6F6FFC"/>
    <w:rsid w:val="7B701C1B"/>
    <w:rsid w:val="7BA45C5D"/>
    <w:rsid w:val="7BCC5954"/>
    <w:rsid w:val="7BEE5100"/>
    <w:rsid w:val="7CAA7279"/>
    <w:rsid w:val="7CB43C54"/>
    <w:rsid w:val="7DBB7264"/>
    <w:rsid w:val="7E0806FB"/>
    <w:rsid w:val="7E3468D5"/>
    <w:rsid w:val="7EA2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6"/>
    <w:autoRedefine/>
    <w:qFormat/>
    <w:uiPriority w:val="0"/>
    <w:pPr>
      <w:ind w:left="3"/>
      <w:outlineLvl w:val="0"/>
    </w:pPr>
    <w:rPr>
      <w:rFonts w:ascii="Microsoft JhengHei" w:hAnsi="Microsoft JhengHei" w:eastAsia="Microsoft JhengHei"/>
      <w:b/>
      <w:bCs/>
      <w:sz w:val="44"/>
      <w:szCs w:val="44"/>
    </w:rPr>
  </w:style>
  <w:style w:type="paragraph" w:styleId="3">
    <w:name w:val="heading 2"/>
    <w:basedOn w:val="1"/>
    <w:next w:val="4"/>
    <w:link w:val="32"/>
    <w:autoRedefine/>
    <w:qFormat/>
    <w:uiPriority w:val="0"/>
    <w:pPr>
      <w:spacing w:before="120" w:after="120"/>
      <w:ind w:left="3"/>
      <w:jc w:val="center"/>
      <w:outlineLvl w:val="1"/>
    </w:pPr>
    <w:rPr>
      <w:rFonts w:ascii="宋体" w:hAnsi="宋体"/>
      <w:b/>
      <w:sz w:val="44"/>
      <w:szCs w:val="44"/>
    </w:rPr>
  </w:style>
  <w:style w:type="paragraph" w:styleId="5">
    <w:name w:val="heading 3"/>
    <w:basedOn w:val="1"/>
    <w:next w:val="1"/>
    <w:link w:val="36"/>
    <w:autoRedefine/>
    <w:qFormat/>
    <w:uiPriority w:val="9"/>
    <w:pPr>
      <w:ind w:left="100"/>
      <w:outlineLvl w:val="2"/>
    </w:pPr>
    <w:rPr>
      <w:rFonts w:ascii="Microsoft JhengHei" w:hAnsi="Microsoft JhengHei"/>
      <w:b/>
      <w:bCs/>
      <w:sz w:val="30"/>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jc w:val="both"/>
    </w:pPr>
    <w:rPr>
      <w:kern w:val="2"/>
      <w:sz w:val="21"/>
      <w:szCs w:val="24"/>
    </w:rPr>
  </w:style>
  <w:style w:type="paragraph" w:styleId="6">
    <w:name w:val="annotation text"/>
    <w:basedOn w:val="1"/>
    <w:autoRedefine/>
    <w:qFormat/>
    <w:uiPriority w:val="0"/>
    <w:pPr>
      <w:jc w:val="left"/>
    </w:pPr>
  </w:style>
  <w:style w:type="paragraph" w:styleId="7">
    <w:name w:val="Body Text"/>
    <w:basedOn w:val="1"/>
    <w:next w:val="1"/>
    <w:autoRedefine/>
    <w:qFormat/>
    <w:uiPriority w:val="0"/>
    <w:rPr>
      <w:rFonts w:ascii="仿宋" w:hAnsi="仿宋" w:eastAsia="仿宋" w:cs="仿宋"/>
      <w:sz w:val="30"/>
      <w:szCs w:val="30"/>
    </w:rPr>
  </w:style>
  <w:style w:type="paragraph" w:styleId="8">
    <w:name w:val="Body Text Indent"/>
    <w:basedOn w:val="1"/>
    <w:next w:val="1"/>
    <w:autoRedefine/>
    <w:unhideWhenUsed/>
    <w:qFormat/>
    <w:uiPriority w:val="99"/>
    <w:pPr>
      <w:spacing w:after="120"/>
      <w:ind w:left="420" w:leftChars="200"/>
    </w:pPr>
    <w:rPr>
      <w:rFonts w:eastAsia="微软雅黑"/>
      <w:kern w:val="0"/>
      <w:sz w:val="24"/>
      <w:szCs w:val="20"/>
    </w:rPr>
  </w:style>
  <w:style w:type="paragraph" w:styleId="9">
    <w:name w:val="toc 5"/>
    <w:basedOn w:val="1"/>
    <w:next w:val="1"/>
    <w:qFormat/>
    <w:uiPriority w:val="39"/>
    <w:pPr>
      <w:ind w:left="1680" w:leftChars="800"/>
    </w:pPr>
    <w:rPr>
      <w:rFonts w:ascii="黑体" w:hAnsi="黑体" w:eastAsia="@Yu Mincho Light" w:cs="@MS PMincho"/>
      <w:szCs w:val="22"/>
    </w:rPr>
  </w:style>
  <w:style w:type="paragraph" w:styleId="10">
    <w:name w:val="Plain Text"/>
    <w:basedOn w:val="1"/>
    <w:autoRedefine/>
    <w:qFormat/>
    <w:uiPriority w:val="0"/>
    <w:rPr>
      <w:rFonts w:ascii="宋体" w:hAnsi="Courier New"/>
      <w:kern w:val="0"/>
      <w:sz w:val="20"/>
      <w:szCs w:val="21"/>
    </w:r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autoRedefine/>
    <w:qFormat/>
    <w:uiPriority w:val="0"/>
    <w:pPr>
      <w:widowControl/>
      <w:spacing w:before="100" w:beforeAutospacing="1" w:after="100" w:afterAutospacing="1"/>
    </w:pPr>
    <w:rPr>
      <w:rFonts w:ascii="宋体" w:hAnsi="宋体" w:cs="宋体"/>
      <w:sz w:val="24"/>
      <w:szCs w:val="24"/>
      <w:lang w:eastAsia="zh-CN"/>
    </w:rPr>
  </w:style>
  <w:style w:type="paragraph" w:styleId="16">
    <w:name w:val="Title"/>
    <w:basedOn w:val="1"/>
    <w:next w:val="1"/>
    <w:autoRedefine/>
    <w:qFormat/>
    <w:uiPriority w:val="0"/>
    <w:pPr>
      <w:autoSpaceDE w:val="0"/>
      <w:autoSpaceDN w:val="0"/>
      <w:adjustRightInd w:val="0"/>
      <w:spacing w:beforeLines="50" w:after="60" w:line="360" w:lineRule="auto"/>
      <w:jc w:val="center"/>
      <w:textAlignment w:val="baseline"/>
      <w:outlineLvl w:val="0"/>
    </w:pPr>
    <w:rPr>
      <w:rFonts w:ascii="Arial" w:hAnsi="Arial" w:cs="Arial"/>
      <w:b/>
      <w:bCs/>
      <w:sz w:val="32"/>
      <w:szCs w:val="32"/>
      <w:lang w:eastAsia="zh-CN"/>
    </w:rPr>
  </w:style>
  <w:style w:type="paragraph" w:styleId="17">
    <w:name w:val="Body Text First Indent"/>
    <w:basedOn w:val="7"/>
    <w:autoRedefine/>
    <w:qFormat/>
    <w:uiPriority w:val="0"/>
    <w:pPr>
      <w:ind w:firstLine="420" w:firstLineChars="100"/>
    </w:pPr>
  </w:style>
  <w:style w:type="paragraph" w:styleId="18">
    <w:name w:val="Body Text First Indent 2"/>
    <w:basedOn w:val="8"/>
    <w:autoRedefine/>
    <w:qFormat/>
    <w:uiPriority w:val="0"/>
    <w:pPr>
      <w:widowControl w:val="0"/>
      <w:tabs>
        <w:tab w:val="left" w:pos="993"/>
      </w:tabs>
      <w:spacing w:after="120" w:line="240" w:lineRule="auto"/>
      <w:ind w:left="420" w:leftChars="200" w:firstLine="420" w:firstLineChars="200"/>
    </w:pPr>
    <w:rPr>
      <w:rFonts w:ascii="Times New Roman" w:hAnsi="Times New Roman" w:eastAsia="宋体"/>
      <w:kern w:val="2"/>
      <w:sz w:val="21"/>
      <w:szCs w:val="24"/>
    </w:rPr>
  </w:style>
  <w:style w:type="table" w:styleId="20">
    <w:name w:val="Table Grid"/>
    <w:basedOn w:val="19"/>
    <w:autoRedefine/>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rFonts w:ascii="Calibri" w:hAnsi="Calibri" w:eastAsia="宋体" w:cs="Times New Roman"/>
      <w:b/>
      <w:bCs/>
    </w:rPr>
  </w:style>
  <w:style w:type="character" w:styleId="23">
    <w:name w:val="Emphasis"/>
    <w:basedOn w:val="21"/>
    <w:autoRedefine/>
    <w:qFormat/>
    <w:uiPriority w:val="0"/>
    <w:rPr>
      <w:i/>
    </w:rPr>
  </w:style>
  <w:style w:type="character" w:styleId="24">
    <w:name w:val="Hyperlink"/>
    <w:basedOn w:val="21"/>
    <w:qFormat/>
    <w:uiPriority w:val="0"/>
    <w:rPr>
      <w:color w:val="0000FF"/>
      <w:u w:val="single"/>
    </w:rPr>
  </w:style>
  <w:style w:type="character" w:styleId="25">
    <w:name w:val="annotation reference"/>
    <w:qFormat/>
    <w:uiPriority w:val="99"/>
    <w:rPr>
      <w:sz w:val="21"/>
      <w:szCs w:val="21"/>
    </w:rPr>
  </w:style>
  <w:style w:type="character" w:customStyle="1" w:styleId="26">
    <w:name w:val="标题 1 字符"/>
    <w:link w:val="2"/>
    <w:autoRedefine/>
    <w:qFormat/>
    <w:uiPriority w:val="0"/>
    <w:rPr>
      <w:rFonts w:ascii="Microsoft JhengHei" w:hAnsi="Microsoft JhengHei" w:eastAsia="Microsoft JhengHei"/>
      <w:b/>
      <w:bCs/>
      <w:sz w:val="44"/>
      <w:szCs w:val="44"/>
    </w:rPr>
  </w:style>
  <w:style w:type="paragraph" w:customStyle="1" w:styleId="27">
    <w:name w:val="p0"/>
    <w:basedOn w:val="1"/>
    <w:autoRedefine/>
    <w:qFormat/>
    <w:uiPriority w:val="0"/>
    <w:pPr>
      <w:widowControl/>
      <w:jc w:val="both"/>
    </w:pPr>
    <w:rPr>
      <w:rFonts w:ascii="Times New Roman" w:hAnsi="Times New Roman"/>
      <w:sz w:val="21"/>
      <w:szCs w:val="21"/>
      <w:lang w:eastAsia="zh-CN"/>
    </w:rPr>
  </w:style>
  <w:style w:type="paragraph" w:customStyle="1" w:styleId="28">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 w:type="paragraph" w:customStyle="1" w:styleId="29">
    <w:name w:val="Table Paragraph"/>
    <w:basedOn w:val="1"/>
    <w:autoRedefine/>
    <w:qFormat/>
    <w:uiPriority w:val="0"/>
  </w:style>
  <w:style w:type="table" w:customStyle="1" w:styleId="30">
    <w:name w:val="Table Normal"/>
    <w:autoRedefine/>
    <w:semiHidden/>
    <w:unhideWhenUsed/>
    <w:qFormat/>
    <w:uiPriority w:val="0"/>
    <w:tblPr>
      <w:tblCellMar>
        <w:top w:w="0" w:type="dxa"/>
        <w:left w:w="0" w:type="dxa"/>
        <w:bottom w:w="0" w:type="dxa"/>
        <w:right w:w="0" w:type="dxa"/>
      </w:tblCellMar>
    </w:tblPr>
  </w:style>
  <w:style w:type="character" w:customStyle="1" w:styleId="31">
    <w:name w:val="标题 2 Char1"/>
    <w:link w:val="3"/>
    <w:autoRedefine/>
    <w:qFormat/>
    <w:uiPriority w:val="0"/>
    <w:rPr>
      <w:rFonts w:ascii="宋体" w:hAnsi="宋体"/>
      <w:b/>
      <w:sz w:val="44"/>
      <w:szCs w:val="44"/>
    </w:rPr>
  </w:style>
  <w:style w:type="character" w:customStyle="1" w:styleId="32">
    <w:name w:val="标题 2 Char"/>
    <w:link w:val="3"/>
    <w:autoRedefine/>
    <w:qFormat/>
    <w:uiPriority w:val="0"/>
    <w:rPr>
      <w:rFonts w:ascii="Arial" w:hAnsi="Arial" w:eastAsia="黑体" w:cs="Times New Roman"/>
      <w:b/>
      <w:bCs/>
      <w:kern w:val="2"/>
      <w:sz w:val="32"/>
      <w:szCs w:val="32"/>
    </w:rPr>
  </w:style>
  <w:style w:type="paragraph" w:customStyle="1" w:styleId="3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标准中文版式_正文"/>
    <w:basedOn w:val="1"/>
    <w:autoRedefine/>
    <w:qFormat/>
    <w:uiPriority w:val="0"/>
    <w:pPr>
      <w:spacing w:before="30" w:beforeLines="0" w:line="360" w:lineRule="auto"/>
      <w:ind w:firstLineChars="200"/>
    </w:pPr>
    <w:rPr>
      <w:rFonts w:ascii="Arial" w:hAnsi="Arial"/>
      <w:sz w:val="24"/>
    </w:rPr>
  </w:style>
  <w:style w:type="paragraph" w:customStyle="1" w:styleId="35">
    <w:name w:val="列出段落1"/>
    <w:basedOn w:val="1"/>
    <w:autoRedefine/>
    <w:qFormat/>
    <w:uiPriority w:val="34"/>
    <w:pPr>
      <w:ind w:firstLine="420" w:firstLineChars="200"/>
      <w:jc w:val="both"/>
    </w:pPr>
    <w:rPr>
      <w:kern w:val="2"/>
      <w:sz w:val="21"/>
      <w:szCs w:val="24"/>
      <w:lang w:eastAsia="zh-CN"/>
    </w:rPr>
  </w:style>
  <w:style w:type="character" w:customStyle="1" w:styleId="36">
    <w:name w:val="标题 3 字符"/>
    <w:link w:val="5"/>
    <w:autoRedefine/>
    <w:qFormat/>
    <w:uiPriority w:val="9"/>
    <w:rPr>
      <w:rFonts w:ascii="Microsoft JhengHei" w:hAnsi="Microsoft JhengHei"/>
      <w:b/>
      <w:bCs/>
      <w:sz w:val="30"/>
      <w:szCs w:val="32"/>
    </w:rPr>
  </w:style>
  <w:style w:type="paragraph" w:customStyle="1" w:styleId="37">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38">
    <w:name w:val="Table Normal_1"/>
    <w:autoRedefine/>
    <w:unhideWhenUsed/>
    <w:qFormat/>
    <w:uiPriority w:val="0"/>
    <w:tblPr>
      <w:tblCellMar>
        <w:top w:w="0" w:type="dxa"/>
        <w:left w:w="0" w:type="dxa"/>
        <w:bottom w:w="0" w:type="dxa"/>
        <w:right w:w="0" w:type="dxa"/>
      </w:tblCellMar>
    </w:tblPr>
  </w:style>
  <w:style w:type="paragraph" w:customStyle="1" w:styleId="3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0">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41">
    <w:name w:val="grame"/>
    <w:basedOn w:val="21"/>
    <w:qFormat/>
    <w:uiPriority w:val="6"/>
  </w:style>
  <w:style w:type="character" w:customStyle="1" w:styleId="42">
    <w:name w:val="font41"/>
    <w:basedOn w:val="21"/>
    <w:qFormat/>
    <w:uiPriority w:val="0"/>
    <w:rPr>
      <w:rFonts w:hint="eastAsia" w:ascii="宋体" w:hAnsi="宋体" w:eastAsia="宋体" w:cs="宋体"/>
      <w:color w:val="FF0000"/>
      <w:sz w:val="32"/>
      <w:szCs w:val="32"/>
      <w:u w:val="none"/>
    </w:rPr>
  </w:style>
  <w:style w:type="character" w:customStyle="1" w:styleId="43">
    <w:name w:val="font11"/>
    <w:basedOn w:val="21"/>
    <w:qFormat/>
    <w:uiPriority w:val="0"/>
    <w:rPr>
      <w:rFonts w:hint="eastAsia" w:ascii="宋体" w:hAnsi="宋体" w:eastAsia="宋体" w:cs="宋体"/>
      <w:color w:val="000000"/>
      <w:sz w:val="32"/>
      <w:szCs w:val="32"/>
      <w:u w:val="none"/>
    </w:rPr>
  </w:style>
  <w:style w:type="paragraph" w:customStyle="1" w:styleId="4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4a07ad68-eada-4929-95c7-fc2a55259a78</errorID>
      <errorWord>94.8万元</errorWord>
      <group>L1_Other</group>
      <groupName>其他问题</groupName>
      <ability>L2_Consistency</ability>
      <abilityName>一致性检查</abilityName>
      <candidateList>
        <item>98.4万元</item>
      </candidateList>
      <explain>数字一致性问题，预算金额前后表述不一致，以‘投标人须知前附表’中的‘98.4万元’为准</explain>
      <paraID>7D00A8E2</paraID>
      <start>11</start>
      <end>17</end>
      <status>modified</status>
      <modifiedWord>98.4万元</modifiedWord>
      <trackRevisions>false</trackRevisions>
    </reviewItem>
    <reviewItem>
      <errorID>aeac1ed7-fce9-45ac-88d0-920ae7c20fb8</errorID>
      <errorWord>。</errorWord>
      <group>L1_Punc</group>
      <groupName>标点问题</groupName>
      <ability>L2_Punc_CN</ability>
      <abilityName>标点符号问题</abilityName>
      <candidateList>
        <item/>
      </candidateList>
      <explain/>
      <paraID>4355CBAF</paraID>
      <start>15</start>
      <end>16</end>
      <status>ignored</status>
      <modifiedWord/>
      <trackRevisions>false</trackRevisions>
    </reviewItem>
    <reviewItem>
      <errorID>07f82d92-4c65-4a26-ba06-d52430054ba4</errorID>
      <errorWord>。</errorWord>
      <group>L1_Punc</group>
      <groupName>标点问题</groupName>
      <ability>L2_Punc_CN</ability>
      <abilityName>标点符号问题</abilityName>
      <candidateList>
        <item/>
      </candidateList>
      <explain/>
      <paraID>3CDB35F6</paraID>
      <start>40</start>
      <end>41</end>
      <status>ignored</status>
      <modifiedWord/>
      <trackRevisions>false</trackRevisions>
    </reviewItem>
    <reviewItem>
      <errorID>1464a69d-2997-475a-9f4b-e8ff96591e70</errorID>
      <errorWord>时间</errorWord>
      <group>L1_Word</group>
      <groupName>字词问题</groupName>
      <ability>L2_Typo</ability>
      <abilityName>字词错误</abilityName>
      <candidateList>
        <item> 时间</item>
      </candidateList>
      <explain/>
      <paraID>3B0AC6D6</paraID>
      <start>2</start>
      <end>4</end>
      <status>ignored</status>
      <modifiedWord/>
      <trackRevisions>false</trackRevisions>
    </reviewItem>
    <reviewItem>
      <errorID>87e491fb-8352-470a-bc66-5d9be9790a73</errorID>
      <errorWord>分</errorWord>
      <group>L1_Word</group>
      <groupName>字词问题</groupName>
      <ability>L2_Typo</ability>
      <abilityName>字词错误</abilityName>
      <candidateList>
        <item> </item>
      </candidateList>
      <explain/>
      <paraID>3B0AC6D6</paraID>
      <start>22</start>
      <end>23</end>
      <status>ignored</status>
      <modifiedWord/>
      <trackRevisions>false</trackRevisions>
    </reviewItem>
    <reviewItem>
      <errorID>f944e251-ce2f-438f-a730-7d74135225b0</errorID>
      <errorWord>地点</errorWord>
      <group>L1_Word</group>
      <groupName>字词问题</groupName>
      <ability>L2_Typo</ability>
      <abilityName>字词错误</abilityName>
      <candidateList>
        <item> 地点</item>
      </candidateList>
      <explain/>
      <paraID> 12B9EE1</paraID>
      <start>2</start>
      <end>5</end>
      <status>modified</status>
      <modifiedWord> 地点</modifiedWord>
      <trackRevisions>false</trackRevisions>
    </reviewItem>
    <reviewItem>
      <errorID>38c6263e-ab48-418e-a29b-0517aebb6ed1</errorID>
      <errorWord>https</errorWord>
      <group>L1_Punc</group>
      <groupName>标点问题</groupName>
      <ability>L2_Punc_CN</ability>
      <abilityName>标点符号问题</abilityName>
      <candidateList>
        <item>，https</item>
      </candidateList>
      <explain/>
      <paraID> 12B9EE1</paraID>
      <start>23</start>
      <end>28</end>
      <status>ignored</status>
      <modifiedWord/>
      <trackRevisions>false</trackRevisions>
    </reviewItem>
    <reviewItem>
      <errorID>6b08dc33-7cb5-40c8-8358-e706cebacf50</errorID>
      <errorWord>投标</errorWord>
      <group>L1_Word</group>
      <groupName>字词问题</groupName>
      <ability>L2_Typo</ability>
      <abilityName>字词错误</abilityName>
      <candidateList>
        <item> 投标</item>
      </candidateList>
      <explain/>
      <paraID>3D4D2F98</paraID>
      <start>2</start>
      <end>4</end>
      <status>ignored</status>
      <modifiedWord/>
      <trackRevisions>false</trackRevisions>
    </reviewItem>
    <reviewItem>
      <errorID>1c6b58b8-2fc4-4e9c-843a-f93b49405789</errorID>
      <errorWord>本次</errorWord>
      <group>L1_Word</group>
      <groupName>字词问题</groupName>
      <ability>L2_Typo</ability>
      <abilityName>字词错误</abilityName>
      <candidateList>
        <item> 本次</item>
      </candidateList>
      <explain/>
      <paraID>1CB8F5AD</paraID>
      <start>2</start>
      <end>4</end>
      <status>ignored</status>
      <modifiedWord/>
      <trackRevisions>false</trackRevisions>
    </reviewItem>
    <reviewItem>
      <errorID>a6078582-37fe-4ad1-ae3a-3ed820d70d87</errorID>
      <errorWord>最新的消息</errorWord>
      <group>L1_Word</group>
      <groupName>字词问题</groupName>
      <ability>L2_Typo</ability>
      <abilityName>字词错误</abilityName>
      <candidateList>
        <item>最新消息</item>
      </candidateList>
      <explain/>
      <paraID>1CB8F5AD</paraID>
      <start>47</start>
      <end>52</end>
      <status>ignored</status>
      <modifiedWord/>
      <trackRevisions>false</trackRevisions>
    </reviewItem>
    <reviewItem>
      <errorID>330da353-c13f-4340-b584-e11a5da41845</errorID>
      <errorWord>认真学习</errorWord>
      <group>L1_Word</group>
      <groupName>字词问题</groupName>
      <ability>L2_Typo</ability>
      <abilityName>字词错误</abilityName>
      <candidateList>
        <item>应认真学习</item>
      </candidateList>
      <explain/>
      <paraID>6676B204</paraID>
      <start>23</start>
      <end>27</end>
      <status>ignored</status>
      <modifiedWord/>
      <trackRevisions>false</trackRevisions>
    </reviewItem>
    <reviewItem>
      <errorID>d879325d-14f0-49a8-b8e7-a3baaabaa36f</errorID>
      <errorWord>-</errorWord>
      <group>L1_Format</group>
      <groupName>格式问题</groupName>
      <ability>L2_HalfPunc_CN</ability>
      <abilityName>全半角问题</abilityName>
      <candidateList>
        <item>－</item>
      </candidateList>
      <explain>文本全半角错误。</explain>
      <paraID>6676B204</paraID>
      <start>207</start>
      <end>208</end>
      <status>unmodified</status>
      <modifiedWord/>
      <trackRevisions>false</trackRevisions>
    </reviewItem>
    <reviewItem>
      <errorID>46c4ad6b-1f0f-42f5-b1d7-eb88ce577afe</errorID>
      <errorWord>-</errorWord>
      <group>L1_Format</group>
      <groupName>格式问题</groupName>
      <ability>L2_HalfPunc_CN</ability>
      <abilityName>全半角问题</abilityName>
      <candidateList>
        <item>－</item>
      </candidateList>
      <explain>文本全半角错误。</explain>
      <paraID>6676B204</paraID>
      <start>212</start>
      <end>213</end>
      <status>unmodified</status>
      <modifiedWord/>
      <trackRevisions>false</trackRevisions>
    </reviewItem>
    <reviewItem>
      <errorID>3da1f99e-e509-4930-a450-5657f88f58ad</errorID>
      <errorWord>-</errorWord>
      <group>L1_Format</group>
      <groupName>格式问题</groupName>
      <ability>L2_HalfPunc_CN</ability>
      <abilityName>全半角问题</abilityName>
      <candidateList>
        <item>－</item>
      </candidateList>
      <explain>文本全半角错误。</explain>
      <paraID>6676B204</paraID>
      <start>217</start>
      <end>218</end>
      <status>unmodified</status>
      <modifiedWord/>
      <trackRevisions>false</trackRevisions>
    </reviewItem>
    <reviewItem>
      <errorID>16c4ab45-35dd-4201-bfd5-876a3ce7348f</errorID>
      <errorWord>-</errorWord>
      <group>L1_Format</group>
      <groupName>格式问题</groupName>
      <ability>L2_HalfPunc_CN</ability>
      <abilityName>全半角问题</abilityName>
      <candidateList>
        <item>－</item>
      </candidateList>
      <explain>文本全半角错误。</explain>
      <paraID>6676B204</paraID>
      <start>395</start>
      <end>396</end>
      <status>unmodified</status>
      <modifiedWord/>
      <trackRevisions>false</trackRevisions>
    </reviewItem>
    <reviewItem>
      <errorID>3a2e2ca8-08f7-4474-97b3-e1885c1a39d7</errorID>
      <errorWord>-</errorWord>
      <group>L1_Format</group>
      <groupName>格式问题</groupName>
      <ability>L2_HalfPunc_CN</ability>
      <abilityName>全半角问题</abilityName>
      <candidateList>
        <item>－</item>
      </candidateList>
      <explain>文本全半角错误。</explain>
      <paraID>6676B204</paraID>
      <start>401</start>
      <end>402</end>
      <status>unmodified</status>
      <modifiedWord/>
      <trackRevisions>false</trackRevisions>
    </reviewItem>
    <reviewItem>
      <errorID>9490616d-ac89-4587-8acc-5a9052fccee1</errorID>
      <errorWord>ca</errorWord>
      <group>L1_Grammar</group>
      <groupName>语法问题</groupName>
      <ability>L2_Grammar</ability>
      <abilityName>语法错误</abilityName>
      <candidateList>
        <item> CA </item>
      </candidateList>
      <explain/>
      <paraID>6676B204</paraID>
      <start>454</start>
      <end>458</end>
      <status>modified</status>
      <modifiedWord> CA </modifiedWord>
      <trackRevisions>false</trackRevisions>
    </reviewItem>
    <reviewItem>
      <errorID>f23cb9b1-b95d-498f-8f83-9c5c41a29b87</errorID>
      <errorWord>-</errorWord>
      <group>L1_Format</group>
      <groupName>格式问题</groupName>
      <ability>L2_HalfPunc_CN</ability>
      <abilityName>全半角问题</abilityName>
      <candidateList>
        <item>－</item>
      </candidateList>
      <explain>文本全半角错误。</explain>
      <paraID>6676B204</paraID>
      <start>492</start>
      <end>493</end>
      <status>ignored</status>
      <modifiedWord/>
      <trackRevisions>false</trackRevisions>
    </reviewItem>
    <reviewItem>
      <errorID>e613f583-5468-40e0-bf8a-64f46e7dfba8</errorID>
      <errorWord>-</errorWord>
      <group>L1_Format</group>
      <groupName>格式问题</groupName>
      <ability>L2_HalfPunc_CN</ability>
      <abilityName>全半角问题</abilityName>
      <candidateList>
        <item>－</item>
      </candidateList>
      <explain>文本全半角错误。</explain>
      <paraID>6676B204</paraID>
      <start>498</start>
      <end>499</end>
      <status>unmodified</status>
      <modifiedWord/>
      <trackRevisions>false</trackRevisions>
    </reviewItem>
    <reviewItem>
      <errorID>c13f9453-50a8-40cf-8ab3-e288e9e5a652</errorID>
      <errorWord>-</errorWord>
      <group>L1_Format</group>
      <groupName>格式问题</groupName>
      <ability>L2_HalfPunc_CN</ability>
      <abilityName>全半角问题</abilityName>
      <candidateList>
        <item>－</item>
      </candidateList>
      <explain>文本全半角错误。</explain>
      <paraID>6676B204</paraID>
      <start>503</start>
      <end>504</end>
      <status>unmodified</status>
      <modifiedWord/>
      <trackRevisions>false</trackRevisions>
    </reviewItem>
    <reviewItem>
      <errorID>9e7c8a93-8938-4942-b540-53ce1049dbc2</errorID>
      <errorWord>-</errorWord>
      <group>L1_Format</group>
      <groupName>格式问题</groupName>
      <ability>L2_HalfPunc_CN</ability>
      <abilityName>全半角问题</abilityName>
      <candidateList>
        <item>－</item>
      </candidateList>
      <explain>文本全半角错误。</explain>
      <paraID>6676B204</paraID>
      <start>504</start>
      <end>505</end>
      <status>unmodified</status>
      <modifiedWord/>
      <trackRevisions>false</trackRevisions>
    </reviewItem>
    <reviewItem>
      <errorID>db566b04-1dca-4a5b-bf56-83d53230e77b</errorID>
      <errorWord>list</errorWord>
      <group>L1_Punc</group>
      <groupName>标点问题</groupName>
      <ability>L2_Punc_CN</ability>
      <abilityName>标点符号问题</abilityName>
      <candidateList>
        <item>list。</item>
      </candidateList>
      <explain/>
      <paraID>6676B204</paraID>
      <start>656</start>
      <end>660</end>
      <status>ignored</status>
      <modifiedWord/>
      <trackRevisions>false</trackRevisions>
    </reviewItem>
    <reviewItem>
      <errorID>b91f66d2-5d93-4ba9-93a9-2a0f81d3fe5d</errorID>
      <errorWord>前，提前</errorWord>
      <group>L1_Grammar</group>
      <groupName>语法问题</groupName>
      <ability>L2_Grammar</ability>
      <abilityName>语法错误</abilityName>
      <candidateList>
        <item>前</item>
      </candidateList>
      <explain/>
      <paraID>6676B204</paraID>
      <start>681</start>
      <end>685</end>
      <status>ignored</status>
      <modifiedWord/>
      <trackRevisions>false</trackRevisions>
    </reviewItem>
    <reviewItem>
      <errorID>948bdc55-4152-4a1f-8dec-0ce10474cdd8</errorID>
      <errorWord>，</errorWord>
      <group>L1_Punc</group>
      <groupName>标点问题</groupName>
      <ability>L2_Punc_CN</ability>
      <abilityName>标点符号问题</abilityName>
      <candidateList>
        <item>。</item>
      </candidateList>
      <explain/>
      <paraID>6676B204</paraID>
      <start>709</start>
      <end>710</end>
      <status>ignored</status>
      <modifiedWord/>
      <trackRevisions>false</trackRevisions>
    </reviewItem>
    <reviewItem>
      <errorID>ffb556c2-7a60-47a7-8ca4-7134b68e27dd</errorID>
      <errorWord>，</errorWord>
      <group>L1_Punc</group>
      <groupName>标点问题</groupName>
      <ability>L2_Punc_CN</ability>
      <abilityName>标点符号问题</abilityName>
      <candidateList>
        <item/>
      </candidateList>
      <explain/>
      <paraID>6676B204</paraID>
      <start>719</start>
      <end>720</end>
      <status>ignored</status>
      <modifiedWord/>
      <trackRevisions>false</trackRevisions>
    </reviewItem>
    <reviewItem>
      <errorID>70d58464-728e-4cec-8b00-852b6cbbacbc</errorID>
      <errorWord>解密的</errorWord>
      <group>L1_Word</group>
      <groupName>字词问题</groupName>
      <ability>L2_Typo</ability>
      <abilityName>字词错误</abilityName>
      <candidateList>
        <item>解密</item>
      </candidateList>
      <explain/>
      <paraID>6676B204</paraID>
      <start>728</start>
      <end>731</end>
      <status>ignored</status>
      <modifiedWord/>
      <trackRevisions>false</trackRevisions>
    </reviewItem>
    <reviewItem>
      <errorID>bf57099f-971b-49ab-a2a8-3b5a72376628</errorID>
      <errorWord>：</errorWord>
      <group>L1_Punc</group>
      <groupName>标点问题</groupName>
      <ability>L2_Punc_CN</ability>
      <abilityName>标点符号问题</abilityName>
      <candidateList>
        <item/>
      </candidateList>
      <explain/>
      <paraID>6676B204</paraID>
      <start>740</start>
      <end>740</end>
      <status>modified</status>
      <modifiedWord/>
      <trackRevisions>false</trackRevisions>
    </reviewItem>
    <reviewItem>
      <errorID>83ac8edc-65ce-4450-a80d-f43369673c2b</errorID>
      <errorWord>-</errorWord>
      <group>L1_Format</group>
      <groupName>格式问题</groupName>
      <ability>L2_HalfPunc_CN</ability>
      <abilityName>全半角问题</abilityName>
      <candidateList>
        <item>－</item>
      </candidateList>
      <explain>文本全半角错误。</explain>
      <paraID>6676B204</paraID>
      <start>797</start>
      <end>798</end>
      <status>ignored</status>
      <modifiedWord/>
      <trackRevisions>false</trackRevisions>
    </reviewItem>
    <reviewItem>
      <errorID>95ef30ae-f542-449d-a8bd-3b3dce0f5219</errorID>
      <errorWord>-</errorWord>
      <group>L1_Format</group>
      <groupName>格式问题</groupName>
      <ability>L2_HalfPunc_CN</ability>
      <abilityName>全半角问题</abilityName>
      <candidateList>
        <item>－</item>
      </candidateList>
      <explain>文本全半角错误。</explain>
      <paraID>6676B204</paraID>
      <start>803</start>
      <end>804</end>
      <status>ignored</status>
      <modifiedWord/>
      <trackRevisions>false</trackRevisions>
    </reviewItem>
    <reviewItem>
      <errorID>af131911-6dfa-482d-86be-887922124cdb</errorID>
      <errorWord>-</errorWord>
      <group>L1_Format</group>
      <groupName>格式问题</groupName>
      <ability>L2_HalfPunc_CN</ability>
      <abilityName>全半角问题</abilityName>
      <candidateList>
        <item>－</item>
      </candidateList>
      <explain>文本全半角错误。</explain>
      <paraID>6676B204</paraID>
      <start>808</start>
      <end>809</end>
      <status>ignored</status>
      <modifiedWord/>
      <trackRevisions>false</trackRevisions>
    </reviewItem>
    <reviewItem>
      <errorID>28f21730-67fc-444c-bdf4-b1a59cb687a7</errorID>
      <errorWord>-</errorWord>
      <group>L1_Format</group>
      <groupName>格式问题</groupName>
      <ability>L2_HalfPunc_CN</ability>
      <abilityName>全半角问题</abilityName>
      <candidateList>
        <item>－</item>
      </candidateList>
      <explain>文本全半角错误。</explain>
      <paraID>6676B204</paraID>
      <start>813</start>
      <end>814</end>
      <status>ignored</status>
      <modifiedWord/>
      <trackRevisions>false</trackRevisions>
    </reviewItem>
    <reviewItem>
      <errorID>e523bea5-7744-40c0-a964-60d5ca41bf92</errorID>
      <errorWord>，</errorWord>
      <group>L1_Punc</group>
      <groupName>标点问题</groupName>
      <ability>L2_Punc_CN</ability>
      <abilityName>标点符号问题</abilityName>
      <candidateList>
        <item>。</item>
      </candidateList>
      <explain/>
      <paraID>6720103B</paraID>
      <start>20</start>
      <end>21</end>
      <status>ignored</status>
      <modifiedWord/>
      <trackRevisions>false</trackRevisions>
    </reviewItem>
    <reviewItem>
      <errorID>78274902-925f-4050-865b-5e735bd3dd4f</errorID>
      <errorWord>，时间</errorWord>
      <group>L1_Grammar</group>
      <groupName>语法问题</groupName>
      <ability>L2_Grammar</ability>
      <abilityName>语法错误</abilityName>
      <candidateList>
        <item> </item>
      </candidateList>
      <explain/>
      <paraID> AAF98CE</paraID>
      <start>14</start>
      <end>17</end>
      <status>ignored</status>
      <modifiedWord/>
      <trackRevisions>false</trackRevisions>
    </reviewItem>
    <reviewItem>
      <errorID>44b3865c-f3b4-415d-964f-61000a96d845</errorID>
      <errorWord>做</errorWord>
      <group>L1_Word</group>
      <groupName>字词问题</groupName>
      <ability>L2_Typo</ability>
      <abilityName>字词错误</abilityName>
      <candidateList>
        <item>作</item>
      </candidateList>
      <explain>存在发音相同字词的误用。</explain>
      <paraID>34770F07</paraID>
      <start>66</start>
      <end>67</end>
      <status>ignored</status>
      <modifiedWord/>
      <trackRevisions>false</trackRevisions>
    </reviewItem>
    <reviewItem>
      <errorID>1cec4806-c53c-473f-9675-5906aadec76a</errorID>
      <errorWord>中标、中标人</errorWord>
      <group>L1_Grammar</group>
      <groupName>语法问题</groupName>
      <ability>L2_Grammar</ability>
      <abilityName>语法错误</abilityName>
      <candidateList>
        <item>中标人</item>
      </candidateList>
      <explain/>
      <paraID>7387510E</paraID>
      <start>50</start>
      <end>53</end>
      <status>modified</status>
      <modifiedWord>中标人</modifiedWord>
      <trackRevisions>false</trackRevisions>
    </reviewItem>
    <reviewItem>
      <errorID>14ea3799-6685-44bb-9b72-7d0cef48512d</errorID>
      <errorWord>评审价格</errorWord>
      <group>L1_Word</group>
      <groupName>字词问题</groupName>
      <ability>L2_Typo</ability>
      <abilityName>字词错误</abilityName>
      <candidateList>
        <item>价格评审</item>
      </candidateList>
      <explain/>
      <paraID>758A34BD</paraID>
      <start>143</start>
      <end>147</end>
      <status>ignored</status>
      <modifiedWord/>
      <trackRevisions>false</trackRevisions>
    </reviewItem>
    <reviewItem>
      <errorID>1a1ff6f0-6316-4d63-b623-5ed3f882b709</errorID>
      <errorWord>查阅、下载；</errorWord>
      <group>L1_Grammar</group>
      <groupName>语法问题</groupName>
      <ability>L2_Grammar</ability>
      <abilityName>语法错误</abilityName>
      <candidateList>
        <item>以及</item>
      </candidateList>
      <explain/>
      <paraID>79C9E33E</paraID>
      <start>83</start>
      <end>85</end>
      <status>modified</status>
      <modifiedWord>以及</modifiedWord>
      <trackRevisions>false</trackRevisions>
    </reviewItem>
    <reviewItem>
      <errorID>c46de081-5fd1-4470-b2ce-90ce43bfae3d</errorID>
      <errorWord>网</errorWord>
      <group>L1_Word</group>
      <groupName>字词问题</groupName>
      <ability>L2_Typo</ability>
      <abilityName>字词错误</abilityName>
      <candidateList>
        <item>网站</item>
      </candidateList>
      <explain/>
      <paraID>79C9E33E</paraID>
      <start>90</start>
      <end>92</end>
      <status>modified</status>
      <modifiedWord>网站</modifiedWord>
      <trackRevisions>false</trackRevisions>
    </reviewItem>
    <reviewItem>
      <errorID>bca55126-51ae-4319-bc74-fee50867bcf6</errorID>
      <errorWord>扣除</errorWord>
      <group>L1_Grammar</group>
      <groupName>语法问题</groupName>
      <ability>L2_Grammar</ability>
      <abilityName>语法错误</abilityName>
      <candidateList>
        <item>评审的扣除</item>
      </candidateList>
      <explain/>
      <paraID> ED68F7F</paraID>
      <start>43</start>
      <end>45</end>
      <status>ignored</status>
      <modifiedWord/>
      <trackRevisions>false</trackRevisions>
    </reviewItem>
    <reviewItem>
      <errorID>6b6d73f9-fa3d-490b-858b-0040a909b3fe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3249CBC1</paraID>
      <start>48</start>
      <end>49</end>
      <status>ignored</status>
      <modifiedWord/>
      <trackRevisions>false</trackRevisions>
    </reviewItem>
    <reviewItem>
      <errorID>afca508f-0823-4cff-9e70-b23e126538e6</errorID>
      <errorWord>或者</errorWord>
      <group>L1_Word</group>
      <groupName>字词问题</groupName>
      <ability>L2_Typo</ability>
      <abilityName>字词错误</abilityName>
      <candidateList>
        <item>或</item>
      </candidateList>
      <explain/>
      <paraID>621861D2</paraID>
      <start>84</start>
      <end>86</end>
      <status>ignored</status>
      <modifiedWord/>
      <trackRevisions>false</trackRevisions>
    </reviewItem>
    <reviewItem>
      <errorID>b2210725-ed0c-4c29-a19e-63710144c562</errorID>
      <errorWord>。</errorWord>
      <group>L1_Punc</group>
      <groupName>标点问题</groupName>
      <ability>L2_Punc_CN</ability>
      <abilityName>标点符号问题</abilityName>
      <candidateList>
        <item>，</item>
      </candidateList>
      <explain/>
      <paraID>621861D2</paraID>
      <start>91</start>
      <end>92</end>
      <status>ignored</status>
      <modifiedWord/>
      <trackRevisions>false</trackRevisions>
    </reviewItem>
    <reviewItem>
      <errorID>16332466-d36c-45e1-b0c8-782f43dcae51</errorID>
      <errorWord>，</errorWord>
      <group>L1_Word</group>
      <groupName>字词问题</groupName>
      <ability>L2_Typo</ability>
      <abilityName>字词错误</abilityName>
      <candidateList>
        <item>的，</item>
      </candidateList>
      <explain/>
      <paraID>590DB9D8</paraID>
      <start>47</start>
      <end>48</end>
      <status>ignored</status>
      <modifiedWord/>
      <trackRevisions>false</trackRevisions>
    </reviewItem>
    <reviewItem>
      <errorID>d73b2dad-4597-4cc9-917d-e2ee389a7542</errorID>
      <errorWord>：/</errorWord>
      <group>L1_Punc</group>
      <groupName>标点问题</groupName>
      <ability>L2_Punc_CN</ability>
      <abilityName>标点符号问题</abilityName>
      <candidateList>
        <item>：</item>
      </candidateList>
      <explain/>
      <paraID>555F567F</paraID>
      <start>10</start>
      <end>12</end>
      <status>unmodified</status>
      <modifiedWord/>
      <trackRevisions>false</trackRevisions>
    </reviewItem>
    <reviewItem>
      <errorID>757083d4-75aa-42b4-bf42-ce9561577b03</errorID>
      <errorWord>：/</errorWord>
      <group>L1_Punc</group>
      <groupName>标点问题</groupName>
      <ability>L2_Punc_CN</ability>
      <abilityName>标点符号问题</abilityName>
      <candidateList>
        <item>：</item>
      </candidateList>
      <explain/>
      <paraID>202F8531</paraID>
      <start>6</start>
      <end>8</end>
      <status>unmodified</status>
      <modifiedWord/>
      <trackRevisions>false</trackRevisions>
    </reviewItem>
    <reviewItem>
      <errorID>a466d4f2-5a55-4d91-810e-b1f81962ef78</errorID>
      <errorWord>：/</errorWord>
      <group>L1_Punc</group>
      <groupName>标点问题</groupName>
      <ability>L2_Punc_CN</ability>
      <abilityName>标点符号问题</abilityName>
      <candidateList>
        <item>：</item>
      </candidateList>
      <explain/>
      <paraID>34412B8B</paraID>
      <start>9</start>
      <end>11</end>
      <status>unmodified</status>
      <modifiedWord/>
      <trackRevisions>false</trackRevisions>
    </reviewItem>
    <reviewItem>
      <errorID>88d538fb-9b71-42e0-b5c8-fb7e4b7aeb24</errorID>
      <errorWord>整份标</errorWord>
      <group>L1_Word</group>
      <groupName>字词问题</groupName>
      <ability>L2_Typo</ability>
      <abilityName>字词错误</abilityName>
      <candidateList>
        <item>整份</item>
      </candidateList>
      <explain/>
      <paraID>63BB4954</paraID>
      <start>33</start>
      <end>36</end>
      <status>ignored</status>
      <modifiedWord/>
      <trackRevisions>false</trackRevisions>
    </reviewItem>
    <reviewItem>
      <errorID>ef764704-58d9-4da7-b6ec-b4025e826df7</errorID>
      <errorWord>。</errorWord>
      <group>L1_Punc</group>
      <groupName>标点问题</groupName>
      <ability>L2_Punc_CN</ability>
      <abilityName>标点符号问题</abilityName>
      <candidateList>
        <item>，</item>
      </candidateList>
      <explain/>
      <paraID>779B7B5D</paraID>
      <start>61</start>
      <end>62</end>
      <status>ignored</status>
      <modifiedWord/>
      <trackRevisions>false</trackRevisions>
    </reviewItem>
    <reviewItem>
      <errorID>e1be9749-2503-4073-86ec-3ac8aaa7c045</errorID>
      <errorWord>)</errorWord>
      <group>L1_Format</group>
      <groupName>格式问题</groupName>
      <ability>L2_HalfPunc_CN</ability>
      <abilityName>全半角问题</abilityName>
      <candidateList>
        <item>）</item>
      </candidateList>
      <explain>文本全半角错误。</explain>
      <paraID>4C24A715</paraID>
      <start>67</start>
      <end>68</end>
      <status>ignored</status>
      <modifiedWord/>
      <trackRevisions>false</trackRevisions>
    </reviewItem>
    <reviewItem>
      <errorID>bd8d6646-32b0-4fb5-8297-250f38b9d8b8</errorID>
      <errorWord>)</errorWord>
      <group>L1_Format</group>
      <groupName>格式问题</groupName>
      <ability>L2_HalfPunc_CN</ability>
      <abilityName>全半角问题</abilityName>
      <candidateList>
        <item>）</item>
      </candidateList>
      <explain>文本全半角错误。</explain>
      <paraID>4C24A715</paraID>
      <start>92</start>
      <end>93</end>
      <status>ignored</status>
      <modifiedWord/>
      <trackRevisions>false</trackRevisions>
    </reviewItem>
    <reviewItem>
      <errorID>e8473e76-6998-45f4-88b8-6f78c0a2343d</errorID>
      <errorWord>,</errorWord>
      <group>L1_Format</group>
      <groupName>格式问题</groupName>
      <ability>L2_HalfPunc_CN</ability>
      <abilityName>全半角问题</abilityName>
      <candidateList>
        <item>，</item>
      </candidateList>
      <explain>文本全半角错误。</explain>
      <paraID>7E8169D2</paraID>
      <start>21</start>
      <end>22</end>
      <status>ignored</status>
      <modifiedWord/>
      <trackRevisions>false</trackRevisions>
    </reviewItem>
    <reviewItem>
      <errorID>43f949af-61a2-436a-8553-8066f505029b</errorID>
      <errorWord>不予</errorWord>
      <group>L1_Grammar</group>
      <groupName>语法问题</groupName>
      <ability>L2_Grammar</ability>
      <abilityName>语法错误</abilityName>
      <candidateList>
        <item>该证明文件不予</item>
      </candidateList>
      <explain/>
      <paraID>7E8169D2</paraID>
      <start>59</start>
      <end>61</end>
      <status>ignored</status>
      <modifiedWord/>
      <trackRevisions>false</trackRevisions>
    </reviewItem>
    <reviewItem>
      <errorID>04bdef56-9362-4d19-ba95-0ad1e2322d04</errorID>
      <errorWord>的政府采购</errorWord>
      <group>L1_Grammar</group>
      <groupName>语法问题</groupName>
      <ability>L2_Grammar</ability>
      <abilityName>语法错误</abilityName>
      <candidateList>
        <item>的</item>
      </candidateList>
      <explain/>
      <paraID>7E8169D2</paraID>
      <start>88</start>
      <end>93</end>
      <status>ignored</status>
      <modifiedWord/>
      <trackRevisions>false</trackRevisions>
    </reviewItem>
    <reviewItem>
      <errorID>743dcca6-a1db-4596-ba7b-13ea461d04cc</errorID>
      <errorWord>不予</errorWord>
      <group>L1_Grammar</group>
      <groupName>语法问题</groupName>
      <ability>L2_Grammar</ability>
      <abilityName>语法错误</abilityName>
      <candidateList>
        <item>该证明文件不予</item>
      </candidateList>
      <explain/>
      <paraID>67712097</paraID>
      <start>61</start>
      <end>63</end>
      <status>ignored</status>
      <modifiedWord/>
      <trackRevisions>false</trackRevisions>
    </reviewItem>
    <reviewItem>
      <errorID>8873d535-5c78-4bc5-b36f-f3719514c4ef</errorID>
      <errorWord>的政府采购</errorWord>
      <group>L1_Grammar</group>
      <groupName>语法问题</groupName>
      <ability>L2_Grammar</ability>
      <abilityName>语法错误</abilityName>
      <candidateList>
        <item>的</item>
      </candidateList>
      <explain/>
      <paraID>67712097</paraID>
      <start>90</start>
      <end>95</end>
      <status>ignored</status>
      <modifiedWord/>
      <trackRevisions>false</trackRevisions>
    </reviewItem>
    <reviewItem>
      <errorID>91bb58a8-e09e-4d5e-b997-905ca9147601</errorID>
      <errorWord>不予</errorWord>
      <group>L1_Grammar</group>
      <groupName>语法问题</groupName>
      <ability>L2_Grammar</ability>
      <abilityName>语法错误</abilityName>
      <candidateList>
        <item>该证明文件不予</item>
      </candidateList>
      <explain/>
      <paraID>58DB46F6</paraID>
      <start>58</start>
      <end>60</end>
      <status>ignored</status>
      <modifiedWord/>
      <trackRevisions>false</trackRevisions>
    </reviewItem>
    <reviewItem>
      <errorID>d6cb2091-c7ab-404f-ac87-22e1d7b27dca</errorID>
      <errorWord>的政府采购</errorWord>
      <group>L1_Grammar</group>
      <groupName>语法问题</groupName>
      <ability>L2_Grammar</ability>
      <abilityName>语法错误</abilityName>
      <candidateList>
        <item>的</item>
      </candidateList>
      <explain/>
      <paraID>58DB46F6</paraID>
      <start>87</start>
      <end>92</end>
      <status>ignored</status>
      <modifiedWord/>
      <trackRevisions>false</trackRevisions>
    </reviewItem>
    <reviewItem>
      <errorID>4570b901-e546-4fee-984a-83f96adbe279</errorID>
      <errorWord>不</errorWord>
      <group>L1_Grammar</group>
      <groupName>语法问题</groupName>
      <ability>L2_Grammar</ability>
      <abilityName>语法错误</abilityName>
      <candidateList>
        <item>的项目不</item>
      </candidateList>
      <explain/>
      <paraID>1A228B74</paraID>
      <start>157</start>
      <end>158</end>
      <status>ignored</status>
      <modifiedWord/>
      <trackRevisions>false</trackRevisions>
    </reviewItem>
    <reviewItem>
      <errorID>77219a98-e351-4668-9b81-0c6f2d8ca797</errorID>
      <errorWord>,</errorWord>
      <group>L1_Format</group>
      <groupName>格式问题</groupName>
      <ability>L2_HalfPunc_CN</ability>
      <abilityName>全半角问题</abilityName>
      <candidateList>
        <item>，</item>
      </candidateList>
      <explain>文本全半角错误。</explain>
      <paraID> B0E54B2</paraID>
      <start>17</start>
      <end>18</end>
      <status>ignored</status>
      <modifiedWord/>
      <trackRevisions>false</trackRevisions>
    </reviewItem>
    <reviewItem>
      <errorID>354f564f-89bf-4049-a92b-acacc814be15</errorID>
      <errorWord>，</errorWord>
      <group>L1_Punc</group>
      <groupName>标点问题</groupName>
      <ability>L2_Punc_CN</ability>
      <abilityName>标点符号问题</abilityName>
      <candidateList>
        <item>、</item>
      </candidateList>
      <explain/>
      <paraID>4C8D3060</paraID>
      <start>63</start>
      <end>64</end>
      <status>ignored</status>
      <modifiedWord/>
      <trackRevisions>false</trackRevisions>
    </reviewItem>
    <reviewItem>
      <errorID>cacd9be4-c2cd-4065-b00a-66cc58400957</errorID>
      <errorWord>，</errorWord>
      <group>L1_Punc</group>
      <groupName>标点问题</groupName>
      <ability>L2_Punc_CN</ability>
      <abilityName>标点符号问题</abilityName>
      <candidateList>
        <item>、</item>
      </candidateList>
      <explain/>
      <paraID>4C8D3060</paraID>
      <start>68</start>
      <end>69</end>
      <status>ignored</status>
      <modifiedWord/>
      <trackRevisions>false</trackRevisions>
    </reviewItem>
    <reviewItem>
      <errorID>e30024f3-0557-4206-9f78-ca84167da0e2</errorID>
      <errorWord>，</errorWord>
      <group>L1_Punc</group>
      <groupName>标点问题</groupName>
      <ability>L2_Punc_CN</ability>
      <abilityName>标点符号问题</abilityName>
      <candidateList>
        <item>、</item>
      </candidateList>
      <explain/>
      <paraID>4C8D3060</paraID>
      <start>73</start>
      <end>74</end>
      <status>ignored</status>
      <modifiedWord/>
      <trackRevisions>false</trackRevisions>
    </reviewItem>
    <reviewItem>
      <errorID>9d8eb59b-eac3-43b0-b505-ef57dab2ee83</errorID>
      <errorWord>，</errorWord>
      <group>L1_Punc</group>
      <groupName>标点问题</groupName>
      <ability>L2_Punc_CN</ability>
      <abilityName>标点符号问题</abilityName>
      <candidateList>
        <item>、</item>
      </candidateList>
      <explain/>
      <paraID>4C8D3060</paraID>
      <start>78</start>
      <end>79</end>
      <status>ignored</status>
      <modifiedWord/>
      <trackRevisions>false</trackRevisions>
    </reviewItem>
    <reviewItem>
      <errorID>122c25cc-05a2-418a-a398-768aa483c57b</errorID>
      <errorWord>，</errorWord>
      <group>L1_Punc</group>
      <groupName>标点问题</groupName>
      <ability>L2_Punc_CN</ability>
      <abilityName>标点符号问题</abilityName>
      <candidateList>
        <item>、</item>
      </candidateList>
      <explain/>
      <paraID>4C8D3060</paraID>
      <start>87</start>
      <end>88</end>
      <status>ignored</status>
      <modifiedWord/>
      <trackRevisions>false</trackRevisions>
    </reviewItem>
    <reviewItem>
      <errorID>c070a239-9d8b-4a37-85eb-4d88377c0ec5</errorID>
      <errorWord>，</errorWord>
      <group>L1_Punc</group>
      <groupName>标点问题</groupName>
      <ability>L2_Punc_CN</ability>
      <abilityName>标点符号问题</abilityName>
      <candidateList>
        <item>、</item>
      </candidateList>
      <explain/>
      <paraID>4C8D3060</paraID>
      <start>90</start>
      <end>91</end>
      <status>ignored</status>
      <modifiedWord/>
      <trackRevisions>false</trackRevisions>
    </reviewItem>
    <reviewItem>
      <errorID>66f9992d-49f2-4cb4-8b4f-efd8d89ab690</errorID>
      <errorWord>，</errorWord>
      <group>L1_Punc</group>
      <groupName>标点问题</groupName>
      <ability>L2_Punc_CN</ability>
      <abilityName>标点符号问题</abilityName>
      <candidateList>
        <item>、</item>
      </candidateList>
      <explain/>
      <paraID>4C8D3060</paraID>
      <start>95</start>
      <end>96</end>
      <status>ignored</status>
      <modifiedWord/>
      <trackRevisions>false</trackRevisions>
    </reviewItem>
    <reviewItem>
      <errorID>45cb1392-c9df-412c-a68c-dc9bd8e24032</errorID>
      <errorWord>，</errorWord>
      <group>L1_Punc</group>
      <groupName>标点问题</groupName>
      <ability>L2_Punc_CN</ability>
      <abilityName>标点符号问题</abilityName>
      <candidateList>
        <item>、</item>
      </candidateList>
      <explain/>
      <paraID>4C8D3060</paraID>
      <start>103</start>
      <end>104</end>
      <status>ignored</status>
      <modifiedWord/>
      <trackRevisions>false</trackRevisions>
    </reviewItem>
    <reviewItem>
      <errorID>eed797ad-a567-4d59-bfbc-4618c5893c84</errorID>
      <errorWord>,</errorWord>
      <group>L1_Format</group>
      <groupName>格式问题</groupName>
      <ability>L2_HalfPunc_CN</ability>
      <abilityName>全半角问题</abilityName>
      <candidateList>
        <item>，</item>
      </candidateList>
      <explain>文本全半角错误。</explain>
      <paraID>1BB0A875</paraID>
      <start>27</start>
      <end>28</end>
      <status>ignored</status>
      <modifiedWord/>
      <trackRevisions>false</trackRevisions>
    </reviewItem>
    <reviewItem>
      <errorID>603cfffa-f567-4ede-a32e-869f95987334</errorID>
      <errorWord>，</errorWord>
      <group>L1_Punc</group>
      <groupName>标点问题</groupName>
      <ability>L2_Punc_CN</ability>
      <abilityName>标点符号问题</abilityName>
      <candidateList>
        <item>。</item>
      </candidateList>
      <explain/>
      <paraID>7B1076FB</paraID>
      <start>120</start>
      <end>121</end>
      <status>ignored</status>
      <modifiedWord/>
      <trackRevisions>false</trackRevisions>
    </reviewItem>
    <reviewItem>
      <errorID>2b395acb-1ec7-4fb2-9c23-84612f90c353</errorID>
      <errorWord>附加条件的</errorWord>
      <group>L1_Word</group>
      <groupName>字词问题</groupName>
      <ability>L2_Typo</ability>
      <abilityName>字词错误</abilityName>
      <candidateList>
        <item>附加条件</item>
      </candidateList>
      <explain/>
      <paraID>7B1076FB</paraID>
      <start>150</start>
      <end>155</end>
      <status>ignored</status>
      <modifiedWord/>
      <trackRevisions>false</trackRevisions>
    </reviewItem>
    <reviewItem>
      <errorID>7f07c57a-f9fe-41bb-a0f7-aea531786f04</errorID>
      <errorWord>。</errorWord>
      <group>L1_Punc</group>
      <groupName>标点问题</groupName>
      <ability>L2_Punc_CN</ability>
      <abilityName>标点符号问题</abilityName>
      <candidateList>
        <item>，</item>
      </candidateList>
      <explain/>
      <paraID>1437D0F7</paraID>
      <start>54</start>
      <end>55</end>
      <status>ignored</status>
      <modifiedWord/>
      <trackRevisions>false</trackRevisions>
    </reviewItem>
    <reviewItem>
      <errorID>5e52f99a-52dd-4285-bb87-7351adb184a6</errorID>
      <errorWord>，投标人</errorWord>
      <group>L1_Grammar</group>
      <groupName>语法问题</groupName>
      <ability>L2_Grammar</ability>
      <abilityName>语法错误</abilityName>
      <candidateList>
        <item>，</item>
      </candidateList>
      <explain/>
      <paraID>33D10750</paraID>
      <start>28</start>
      <end>32</end>
      <status>ignored</status>
      <modifiedWord/>
      <trackRevisions>false</trackRevisions>
    </reviewItem>
    <reviewItem>
      <errorID>6311e60f-9d3b-4c34-9459-4df7e58057c2</errorID>
      <errorWord>按照</errorWord>
      <group>L1_Word</group>
      <groupName>字词问题</groupName>
      <ability>L2_Typo</ability>
      <abilityName>字词错误</abilityName>
      <candidateList>
        <item>以</item>
      </candidateList>
      <explain/>
      <paraID>5F94BA66</paraID>
      <start>31</start>
      <end>33</end>
      <status>ignored</status>
      <modifiedWord/>
      <trackRevisions>false</trackRevisions>
    </reviewItem>
    <reviewItem>
      <errorID>0f8d3b78-985f-4a75-bd6e-9d8819116ccb</errorID>
      <errorWord>补正应当</errorWord>
      <group>L1_Grammar</group>
      <groupName>语法问题</groupName>
      <ability>L2_Grammar</ability>
      <abilityName>语法错误</abilityName>
      <candidateList>
        <item>补正</item>
      </candidateList>
      <explain/>
      <paraID>5F94BA66</paraID>
      <start>44</start>
      <end>48</end>
      <status>ignored</status>
      <modifiedWord/>
      <trackRevisions>false</trackRevisions>
    </reviewItem>
    <reviewItem>
      <errorID>4db3a4cb-13cc-4cdb-8031-9611c11f33f6</errorID>
      <errorWord>的规定</errorWord>
      <group>L1_Grammar</group>
      <groupName>语法问题</groupName>
      <ability>L2_Grammar</ability>
      <abilityName>语法错误</abilityName>
      <candidateList>
        <item>，</item>
      </candidateList>
      <explain/>
      <paraID>5F94BA66</paraID>
      <start>117</start>
      <end>120</end>
      <status>ignored</status>
      <modifiedWord/>
      <trackRevisions>false</trackRevisions>
    </reviewItem>
    <reviewItem>
      <errorID>075f3a3d-17af-4c54-b37f-a142bd9f7dc3</errorID>
      <errorWord>的</errorWord>
      <group>L1_Grammar</group>
      <groupName>语法问题</groupName>
      <ability>L2_Grammar</ability>
      <abilityName>语法错误</abilityName>
      <candidateList>
        <item>是否为</item>
      </candidateList>
      <explain/>
      <paraID>7174FB54</paraID>
      <start>14</start>
      <end>15</end>
      <status>ignored</status>
      <modifiedWord/>
      <trackRevisions>false</trackRevisions>
    </reviewItem>
    <reviewItem>
      <errorID>e9cd9268-2bca-45d6-91db-fb5aeb688370</errorID>
      <errorWord>进行</errorWord>
      <group>L1_Grammar</group>
      <groupName>语法问题</groupName>
      <ability>L2_Grammar</ability>
      <abilityName>语法错误</abilityName>
      <candidateList>
        <item>的规定进行</item>
      </candidateList>
      <explain/>
      <paraID>4AE78924</paraID>
      <start>162</start>
      <end>164</end>
      <status>ignored</status>
      <modifiedWord/>
      <trackRevisions>false</trackRevisions>
    </reviewItem>
    <reviewItem>
      <errorID>88bc7286-e190-4de9-acf0-f2adb06cd8ea</errorID>
      <errorWord>做出</errorWord>
      <group>L1_Word</group>
      <groupName>字词问题</groupName>
      <ability>L2_Typo</ability>
      <abilityName>字词错误</abilityName>
      <candidateList>
        <item>作出</item>
      </candidateList>
      <explain/>
      <paraID>4BAD57EE</paraID>
      <start>58</start>
      <end>60</end>
      <status>ignored</status>
      <modifiedWord/>
      <trackRevisions>false</trackRevisions>
    </reviewItem>
    <reviewItem>
      <errorID>e7db1a3e-c931-4f8c-a5fe-1b6ac7a38995</errorID>
      <errorWord>地</errorWord>
      <group>L1_Word</group>
      <groupName>字词问题</groupName>
      <ability>L2_Typo</ability>
      <abilityName>字词错误</abilityName>
      <candidateList>
        <item>的</item>
      </candidateList>
      <explain/>
      <paraID>52C78C2D</paraID>
      <start>44</start>
      <end>45</end>
      <status>ignored</status>
      <modifiedWord/>
      <trackRevisions>false</trackRevisions>
    </reviewItem>
    <reviewItem>
      <errorID>78b83a13-ef9c-490c-ba35-4e713bffcfd6</errorID>
      <errorWord>，</errorWord>
      <group>L1_Punc</group>
      <groupName>标点问题</groupName>
      <ability>L2_Punc_CN</ability>
      <abilityName>标点符号问题</abilityName>
      <candidateList>
        <item>。</item>
      </candidateList>
      <explain/>
      <paraID>52C78C2D</paraID>
      <start>47</start>
      <end>48</end>
      <status>ignored</status>
      <modifiedWord/>
      <trackRevisions>false</trackRevisions>
    </reviewItem>
    <reviewItem>
      <errorID>7d595002-0665-48d1-8cc9-5f49dbbf0954</errorID>
      <errorWord>和</errorWord>
      <group>L1_Grammar</group>
      <groupName>语法问题</groupName>
      <ability>L2_Grammar</ability>
      <abilityName>语法错误</abilityName>
      <candidateList>
        <item>，并进行</item>
      </candidateList>
      <explain/>
      <paraID>52C78C2D</paraID>
      <start>85</start>
      <end>86</end>
      <status>ignored</status>
      <modifiedWord/>
      <trackRevisions>false</trackRevisions>
    </reviewItem>
    <reviewItem>
      <errorID>bde1c280-0f65-466d-b8de-5d3d71ba0588</errorID>
      <errorWord>同</errorWord>
      <group>L1_Word</group>
      <groupName>字词问题</groupName>
      <ability>L2_Typo</ability>
      <abilityName>字词错误</abilityName>
      <candidateList>
        <item>与</item>
      </candidateList>
      <explain/>
      <paraID>37A8606D</paraID>
      <start>96</start>
      <end>97</end>
      <status>ignored</status>
      <modifiedWord/>
      <trackRevisions>false</trackRevisions>
    </reviewItem>
    <reviewItem>
      <errorID>a944d465-9dd1-494d-9ccb-249f6d7d9a24</errorID>
      <errorWord>,</errorWord>
      <group>L1_Format</group>
      <groupName>格式问题</groupName>
      <ability>L2_HalfPunc_CN</ability>
      <abilityName>全半角问题</abilityName>
      <candidateList>
        <item>，</item>
      </candidateList>
      <explain>文本全半角错误。</explain>
      <paraID>5EF43777</paraID>
      <start>28</start>
      <end>29</end>
      <status>ignored</status>
      <modifiedWord/>
      <trackRevisions>false</trackRevisions>
    </reviewItem>
    <reviewItem>
      <errorID>c7b4060c-5ea9-455b-9fe7-553186907ebc</errorID>
      <errorWord>生成器</errorWord>
      <group>L1_Punc</group>
      <groupName>标点问题</groupName>
      <ability>L2_Punc_CN</ability>
      <abilityName>标点符号问题</abilityName>
      <candidateList>
        <item>生成器。</item>
      </candidateList>
      <explain/>
      <paraID>38F9381B</paraID>
      <start>41</start>
      <end>44</end>
      <status>ignored</status>
      <modifiedWord/>
      <trackRevisions>false</trackRevisions>
    </reviewItem>
    <reviewItem>
      <errorID>978b3f93-13d0-4821-9ded-c2a9f6789081</errorID>
      <errorWord>GB28234</errorWord>
      <group>L1_Word</group>
      <groupName>字词问题</groupName>
      <ability>L2_Typo</ability>
      <abilityName>字词错误</abilityName>
      <candidateList>
        <item>GB 28234</item>
      </candidateList>
      <explain/>
      <paraID>7F97E727</paraID>
      <start>28</start>
      <end>35</end>
      <status>ignored</status>
      <modifiedWord/>
      <trackRevisions>false</trackRevisions>
    </reviewItem>
    <reviewItem>
      <errorID>bd3efa11-d55f-46bb-b68a-7da4bd8771e0</errorID>
      <errorWord> </errorWord>
      <group>L1_Punc</group>
      <groupName>标点问题</groupName>
      <ability>L2_Punc_CN</ability>
      <abilityName>标点符号问题</abilityName>
      <candidateList>
        <item/>
      </candidateList>
      <explain>此处空格冗余，建议删除。</explain>
      <paraID>7F97E727</paraID>
      <start>62</start>
      <end>63</end>
      <status>unmodified</status>
      <modifiedWord/>
      <trackRevisions>false</trackRevisions>
    </reviewItem>
    <reviewItem>
      <errorID>577eb154-2e52-4938-95f6-ab01bcb3a4ff</errorID>
      <errorWord> </errorWord>
      <group>L1_Punc</group>
      <groupName>标点问题</groupName>
      <ability>L2_Punc_CN</ability>
      <abilityName>标点符号问题</abilityName>
      <candidateList>
        <item/>
      </candidateList>
      <explain>此处空格冗余，建议删除。</explain>
      <paraID>7F97E727</paraID>
      <start>65</start>
      <end>66</end>
      <status>unmodified</status>
      <modifiedWord/>
      <trackRevisions>false</trackRevisions>
    </reviewItem>
    <reviewItem>
      <errorID>afb8e601-df54-4321-9f6d-fefe5c8976e4</errorID>
      <errorWord> </errorWord>
      <group>L1_Punc</group>
      <groupName>标点问题</groupName>
      <ability>L2_Punc_CN</ability>
      <abilityName>标点符号问题</abilityName>
      <candidateList>
        <item/>
      </candidateList>
      <explain>此处空格冗余，建议删除。</explain>
      <paraID>7F97E727</paraID>
      <start>73</start>
      <end>74</end>
      <status>unmodified</status>
      <modifiedWord/>
      <trackRevisions>false</trackRevisions>
    </reviewItem>
    <reviewItem>
      <errorID>aa6404db-db6a-49ca-bf54-8cbf4d94ea3c</errorID>
      <errorWord>、</errorWord>
      <group>L1_Punc</group>
      <groupName>标点问题</groupName>
      <ability>L2_Punc_CN</ability>
      <abilityName>标点符号问题</abilityName>
      <candidateList>
        <item>，</item>
      </candidateList>
      <explain/>
      <paraID>7F97E727</paraID>
      <start>76</start>
      <end>77</end>
      <status>unmodified</status>
      <modifiedWord/>
      <trackRevisions>false</trackRevisions>
    </reviewItem>
    <reviewItem>
      <errorID>05b9fe4e-eaf9-44a6-8ec2-9e909b159bfd</errorID>
      <errorWord> </errorWord>
      <group>L1_Punc</group>
      <groupName>标点问题</groupName>
      <ability>L2_Punc_CN</ability>
      <abilityName>标点符号问题</abilityName>
      <candidateList>
        <item/>
      </candidateList>
      <explain>此处空格冗余，建议删除。</explain>
      <paraID>7F97E727</paraID>
      <start>83</start>
      <end>84</end>
      <status>unmodified</status>
      <modifiedWord/>
      <trackRevisions>false</trackRevisions>
    </reviewItem>
    <reviewItem>
      <errorID>d3cf9be9-9ca0-4b4b-a0c5-c911775b0f21</errorID>
      <errorWord>：</errorWord>
      <group>L1_Punc</group>
      <groupName>标点问题</groupName>
      <ability>L2_Punc_CN</ability>
      <abilityName>标点符号问题</abilityName>
      <candidateList>
        <item/>
      </candidateList>
      <explain/>
      <paraID>7F97E727</paraID>
      <start>110</start>
      <end>111</end>
      <status>unmodified</status>
      <modifiedWord/>
      <trackRevisions>false</trackRevisions>
    </reviewItem>
    <reviewItem>
      <errorID>17b8210f-c661-48f6-b030-97537088ae06</errorID>
      <errorWord>~</errorWord>
      <group>L1_Format</group>
      <groupName>格式问题</groupName>
      <ability>L2_HalfPunc_CN</ability>
      <abilityName>全半角问题</abilityName>
      <candidateList>
        <item>～</item>
      </candidateList>
      <explain>文本全半角错误。</explain>
      <paraID>23BA4246</paraID>
      <start>14</start>
      <end>15</end>
      <status>unmodified</status>
      <modifiedWord/>
      <trackRevisions>false</trackRevisions>
    </reviewItem>
    <reviewItem>
      <errorID>de446dc0-bef9-48c8-aee1-2b69233cb434</errorID>
      <errorWord>、</errorWord>
      <group>L1_Punc</group>
      <groupName>标点问题</groupName>
      <ability>L2_Punc_CN</ability>
      <abilityName>标点符号问题</abilityName>
      <candidateList>
        <item>，</item>
      </candidateList>
      <explain/>
      <paraID>23BA4246</paraID>
      <start>19</start>
      <end>20</end>
      <status>unmodified</status>
      <modifiedWord/>
      <trackRevisions>false</trackRevisions>
    </reviewItem>
    <reviewItem>
      <errorID>c70ef592-9643-47ed-b044-1dd9b56ba59d</errorID>
      <errorWord>~</errorWord>
      <group>L1_Format</group>
      <groupName>格式问题</groupName>
      <ability>L2_HalfPunc_CN</ability>
      <abilityName>全半角问题</abilityName>
      <candidateList>
        <item>～</item>
      </candidateList>
      <explain>文本全半角错误。</explain>
      <paraID>23BA4246</paraID>
      <start>31</start>
      <end>32</end>
      <status>unmodified</status>
      <modifiedWord/>
      <trackRevisions>false</trackRevisions>
    </reviewItem>
    <reviewItem>
      <errorID>080999fa-1fa7-4fb6-89f5-8e286c9c523a</errorID>
      <errorWord>含量±</errorWord>
      <group>L1_Word</group>
      <groupName>字词问题</groupName>
      <ability>L2_Typo</ability>
      <abilityName>字词错误</abilityName>
      <candidateList>
        <item>含量</item>
      </candidateList>
      <explain/>
      <paraID>2828BABA</paraID>
      <start>27</start>
      <end>30</end>
      <status>unmodified</status>
      <modifiedWord/>
      <trackRevisions>false</trackRevisions>
    </reviewItem>
    <reviewItem>
      <errorID>7cbc7e32-c47d-4da9-a310-a8be8efedcd2</errorID>
      <errorWord>；</errorWord>
      <group>L1_Punc</group>
      <groupName>标点问题</groupName>
      <ability>L2_Punc_CN</ability>
      <abilityName>标点符号问题</abilityName>
      <candidateList>
        <item>。</item>
      </candidateList>
      <explain/>
      <paraID>2FE1CEC7</paraID>
      <start>52</start>
      <end>53</end>
      <status>unmodified</status>
      <modifiedWord/>
      <trackRevisions>false</trackRevisions>
    </reviewItem>
    <reviewItem>
      <errorID>eaa3c135-668a-489c-8ee1-6c272e9bc1d0</errorID>
      <errorWord>图型</errorWord>
      <group>L1_Word</group>
      <groupName>字词问题</groupName>
      <ability>L2_Typo</ability>
      <abilityName>字词错误</abilityName>
      <candidateList>
        <item>图形</item>
      </candidateList>
      <explain>存在发音相同字词的误用。</explain>
      <paraID>685B1FD3</paraID>
      <start>33</start>
      <end>35</end>
      <status>ignored</status>
      <modifiedWord/>
      <trackRevisions>false</trackRevisions>
    </reviewItem>
    <reviewItem>
      <errorID>f85fc29b-7ea9-4094-b812-bf644d508849</errorID>
      <errorWord>状</errorWord>
      <group>L1_Word</group>
      <groupName>字词问题</groupName>
      <ability>L2_Typo</ability>
      <abilityName>字词错误</abilityName>
      <candidateList>
        <item>状态</item>
      </candidateList>
      <explain/>
      <paraID>18D5CB27</paraID>
      <start>43</start>
      <end>44</end>
      <status>unmodified</status>
      <modifiedWord/>
      <trackRevisions>false</trackRevisions>
    </reviewItem>
    <reviewItem>
      <errorID>3d6e4891-c46a-4210-97bb-27830104f1b1</errorID>
      <errorWord>追遡；</errorWord>
      <group>L1_Word</group>
      <groupName>字词问题</groupName>
      <ability>L2_Typo</ability>
      <abilityName>字词错误</abilityName>
      <candidateList>
        <item>追溯。</item>
      </candidateList>
      <explain/>
      <paraID>18D5CB27</paraID>
      <start>73</start>
      <end>76</end>
      <status>unmodified</status>
      <modifiedWord/>
      <trackRevisions>false</trackRevisions>
    </reviewItem>
    <reviewItem>
      <errorID>2ed8fc6e-1d61-40e5-9906-2a015c493143</errorID>
      <errorWord>：</errorWord>
      <group>L1_Punc</group>
      <groupName>标点问题</groupName>
      <ability>L2_Punc_CN</ability>
      <abilityName>标点符号问题</abilityName>
      <candidateList>
        <item/>
      </candidateList>
      <explain/>
      <paraID>32523708</paraID>
      <start>27</start>
      <end>28</end>
      <status>unmodified</status>
      <modifiedWord/>
      <trackRevisions>false</trackRevisions>
    </reviewItem>
    <reviewItem>
      <errorID>ab432123-280d-433f-a466-8a6173885b7d</errorID>
      <errorWord>；</errorWord>
      <group>L1_Punc</group>
      <groupName>标点问题</groupName>
      <ability>L2_Punc_CN</ability>
      <abilityName>标点符号问题</abilityName>
      <candidateList>
        <item>。</item>
      </candidateList>
      <explain/>
      <paraID>32523708</paraID>
      <start>38</start>
      <end>39</end>
      <status>unmodified</status>
      <modifiedWord/>
      <trackRevisions>false</trackRevisions>
    </reviewItem>
    <reviewItem>
      <errorID>41a79d9c-ab3a-424a-b1ee-d9cbe8ce66fa</errorID>
      <errorWord>。</errorWord>
      <group>L1_Format</group>
      <groupName>格式问题</groupName>
      <ability>L2_HalfPunc_CN</ability>
      <abilityName>全半角问题</abilityName>
      <candidateList>
        <item>.</item>
      </candidateList>
      <explain>文本全半角错误。</explain>
      <paraID>4E0BE609</paraID>
      <start>6</start>
      <end>7</end>
      <status>unmodified</status>
      <modifiedWord/>
      <trackRevisions>false</trackRevisions>
    </reviewItem>
    <reviewItem>
      <errorID>61911cf2-4bf9-41e7-ad47-9deb33c7b046</errorID>
      <errorWord>带</errorWord>
      <group>L1_Word</group>
      <groupName>字词问题</groupName>
      <ability>L2_Typo</ability>
      <abilityName>字词错误</abilityName>
      <candidateList>
        <item>戴</item>
      </candidateList>
      <explain>存在发音相同字词的误用。</explain>
      <paraID>7174572E</paraID>
      <start>42</start>
      <end>43</end>
      <status>unmodified</status>
      <modifiedWord/>
      <trackRevisions>false</trackRevisions>
    </reviewItem>
    <reviewItem>
      <errorID>b809dc42-6660-4721-8ef0-d9349bc561f8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6E7AD671</paraID>
      <start>0</start>
      <end>2</end>
      <status>unmodified</status>
      <modifiedWord/>
      <trackRevisions>false</trackRevisions>
    </reviewItem>
    <reviewItem>
      <errorID>6342fe07-22b2-411f-9f3c-ae4e520930fd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23AD6342</paraID>
      <start>0</start>
      <end>2</end>
      <status>unmodified</status>
      <modifiedWord/>
      <trackRevisions>false</trackRevisions>
    </reviewItem>
    <reviewItem>
      <errorID>b8437588-14be-4b88-b5db-1a590301dde7</errorID>
      <errorWord>，…，</errorWord>
      <group>L1_Punc</group>
      <groupName>标点问题</groupName>
      <ability>L2_Punc_CN</ability>
      <abilityName>标点符号问题</abilityName>
      <candidateList>
        <item>，</item>
      </candidateList>
      <explain/>
      <paraID>6A88C9CD</paraID>
      <start>14</start>
      <end>17</end>
      <status>unmodified</status>
      <modifiedWord/>
      <trackRevisions>false</trackRevisions>
    </reviewItem>
    <reviewItem>
      <errorID>6843284d-9acd-4aea-9fea-d84a033701b7</errorID>
      <errorWord>，…，</errorWord>
      <group>L1_Punc</group>
      <groupName>标点问题</groupName>
      <ability>L2_Punc_CN</ability>
      <abilityName>标点符号问题</abilityName>
      <candidateList>
        <item>，</item>
      </candidateList>
      <explain/>
      <paraID>3FFEFB13</paraID>
      <start>5</start>
      <end>8</end>
      <status>unmodified</status>
      <modifiedWord/>
      <trackRevisions>false</trackRevisions>
    </reviewItem>
    <reviewItem>
      <errorID>7e28667e-60c0-4b3f-a73b-8d76a5f11a31</errorID>
      <errorWord>第47条</errorWord>
      <group>L1_Knowledge</group>
      <groupName>知识性问题</groupName>
      <ability>L2_Knowledge</ability>
      <abilityName>其他知识</abilityName>
      <candidateList>
        <item>第四十七条</item>
      </candidateList>
      <explain>法律条目书写应使用汉字数字，不使用阿拉伯数字。</explain>
      <paraID>21762F2E</paraID>
      <start>21</start>
      <end>25</end>
      <status>ignored</status>
      <modifiedWord/>
      <trackRevisions>false</trackRevisions>
    </reviewItem>
    <reviewItem>
      <errorID>66a87150-5725-4bf7-b5b5-26fc063f3fb7</errorID>
      <errorWord>投标投标</errorWord>
      <group>L1_Word</group>
      <groupName>字词问题</groupName>
      <ability>L2_Typo</ability>
      <abilityName>字词错误</abilityName>
      <candidateList>
        <item>投标</item>
      </candidateList>
      <explain/>
      <paraID> E28C4A3</paraID>
      <start>17</start>
      <end>19</end>
      <status>modified</status>
      <modifiedWord>投标</modifiedWord>
      <trackRevisions>false</trackRevisions>
    </reviewItem>
    <reviewItem>
      <errorID>bcafb5fe-2ce7-4f2c-9298-65981d887816</errorID>
      <errorWord>,</errorWord>
      <group>L1_Word</group>
      <groupName>字词问题</groupName>
      <ability>L2_Typo</ability>
      <abilityName>字词错误</abilityName>
      <candidateList>
        <item>,在</item>
      </candidateList>
      <explain/>
      <paraID>7F6D54E2</paraID>
      <start>50</start>
      <end>51</end>
      <status>ignored</status>
      <modifiedWord/>
      <trackRevisions>false</trackRevisions>
    </reviewItem>
    <reviewItem>
      <errorID>ad64accf-fe2d-4e1e-b555-bfe23ee532e9</errorID>
      <errorWord>&lt;</errorWord>
      <group>L1_Format</group>
      <groupName>格式问题</groupName>
      <ability>L2_HalfPunc_CN</ability>
      <abilityName>全半角问题</abilityName>
      <candidateList>
        <item>〈</item>
      </candidateList>
      <explain>文本全半角错误。</explain>
      <paraID>13CF00BA</paraID>
      <start>49</start>
      <end>50</end>
      <status>unmodified</status>
      <modifiedWord/>
      <trackRevisions>false</trackRevisions>
    </reviewItem>
    <reviewItem>
      <errorID>827ffbf0-cb63-4b73-a5a1-499522ff8ccc</errorID>
      <errorWord>&lt;</errorWord>
      <group>L1_Format</group>
      <groupName>格式问题</groupName>
      <ability>L2_HalfPunc_CN</ability>
      <abilityName>全半角问题</abilityName>
      <candidateList>
        <item>〈</item>
      </candidateList>
      <explain>文本全半角错误。</explain>
      <paraID>593DD07C</paraID>
      <start>49</start>
      <end>50</end>
      <status>unmodified</status>
      <modifiedWord/>
      <trackRevisions>false</trackRevisions>
    </reviewItem>
    <reviewItem>
      <errorID>2a106195-b990-4b22-877b-00b8005a62c4</errorID>
      <errorWord>&lt;</errorWord>
      <group>L1_Format</group>
      <groupName>格式问题</groupName>
      <ability>L2_HalfPunc_CN</ability>
      <abilityName>全半角问题</abilityName>
      <candidateList>
        <item>〈</item>
      </candidateList>
      <explain>文本全半角错误。</explain>
      <paraID>4DC7A5FC</paraID>
      <start>34</start>
      <end>35</end>
      <status>unmodified</status>
      <modifiedWord/>
      <trackRevisions>false</trackRevisions>
    </reviewItem>
    <reviewItem>
      <errorID>18981c4e-1964-48fe-8bd4-021dc8bda21c</errorID>
      <errorWord>。</errorWord>
      <group>L1_Punc</group>
      <groupName>标点问题</groupName>
      <ability>L2_Punc_CN</ability>
      <abilityName>标点符号问题</abilityName>
      <candidateList/>
      <explain/>
      <paraID>432689D6</paraID>
      <start>63</start>
      <end>64</end>
      <status>unmodified</status>
      <modifiedWord/>
      <trackRevisions>false</trackRevisions>
    </reviewItem>
    <reviewItem>
      <errorID>7626adc8-c714-4d17-9bfa-3f6dcf97a49f</errorID>
      <errorWord>股东大会</errorWord>
      <group>L1_Word</group>
      <groupName>字词问题</groupName>
      <ability>L2_Typo</ability>
      <abilityName>字词错误</abilityName>
      <candidateList>
        <item>股东会</item>
      </candidateList>
      <explain/>
      <paraID>55EB85FC</paraID>
      <start>129</start>
      <end>133</end>
      <status>ignored</status>
      <modifiedWord/>
      <trackRevisions>false</trackRevisions>
    </reviewItem>
    <reviewItem>
      <errorID>8b5ce1ba-1416-4955-aa79-37077150f635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740AA14E</paraID>
      <start>52</start>
      <end>53</end>
      <status>ignored</status>
      <modifiedWord/>
      <trackRevisions>false</trackRevisions>
    </reviewItem>
    <reviewItem>
      <errorID>0fba49e5-8cb5-4f8d-9a7f-e639e318aea9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478137FF</paraID>
      <start>22</start>
      <end>23</end>
      <status>unmodified</status>
      <modifiedWord/>
      <trackRevisions>false</trackRevisions>
    </reviewItem>
    <reviewItem>
      <errorID>7339fc93-2bd8-4455-bd1d-75e0aa1dfb81</errorID>
      <errorWord>牟取</errorWord>
      <group>L1_Word</group>
      <groupName>字词问题</groupName>
      <ability>L2_Typo</ability>
      <abilityName>字词错误</abilityName>
      <candidateList>
        <item>谋取</item>
      </candidateList>
      <explain>存在发音相同字词的误用。</explain>
      <paraID>22A98E32</paraID>
      <start>24</start>
      <end>26</end>
      <status>ignored</status>
      <modifiedWord/>
      <trackRevisions>false</trackRevisions>
    </reviewItem>
    <reviewItem>
      <errorID>c85397a4-69b2-429a-8635-556f3aa6d37e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525896D2</paraID>
      <start>0</start>
      <end>2</end>
      <status>ignored</status>
      <modifiedWord/>
      <trackRevisions>false</trackRevisions>
    </reviewItem>
    <reviewItem>
      <errorID>e4a1951c-bcae-4fd4-ad10-d5afc0fe8d8a</errorID>
      <errorWord>注效</errorWord>
      <group>L1_Word</group>
      <groupName>字词问题</groupName>
      <ability>L2_Typo</ability>
      <abilityName>字词错误</abilityName>
      <candidateList>
        <item>质效</item>
      </candidateList>
      <explain/>
      <paraID>525896D2</paraID>
      <start>59</start>
      <end>61</end>
      <status>ignored</status>
      <modifiedWord/>
      <trackRevisions>false</trackRevisions>
    </reviewItem>
    <reviewItem>
      <errorID>bb6904fb-baf1-41a5-a0de-5caf76af8dd9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61183360</paraID>
      <start>0</start>
      <end>2</end>
      <status>ignored</status>
      <modifiedWord/>
      <trackRevisions>false</trackRevisions>
    </reviewItem>
    <reviewItem>
      <errorID>5327037a-73ec-4697-a45a-0e8c92d4b695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72DC418F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55aca-5060-4891-b178-a780ca4dddb8}">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13343</Words>
  <Characters>14611</Characters>
  <Lines>0</Lines>
  <Paragraphs>0</Paragraphs>
  <TotalTime>20</TotalTime>
  <ScaleCrop>false</ScaleCrop>
  <LinksUpToDate>false</LinksUpToDate>
  <CharactersWithSpaces>14996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2025-10-17T00:55:00Z</dcterms:created>
  <dc:creator>原生SaMa</dc:creator>
  <cp:lastModifiedBy>123</cp:lastModifiedBy>
  <cp:lastPrinted>2026-06-09T14:28:00Z</cp:lastPrinted>
  <dcterms:modified xsi:type="dcterms:W3CDTF">2026-06-17T02:24:24Z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91864A23265D48F397416C57EF90899A_13</vt:lpwstr>
  </property>
  <property fmtid="{D5CDD505-2E9C-101B-9397-08002B2CF9AE}" pid="4" name="KSOTemplateDocerSaveRecord">
    <vt:lpwstr>eyJoZGlkIjoiODgwZGI3YTA0NzQ1YzYwMjk5NGJjYzY4MjliYjRlNmMiLCJ1c2VySWQiOiIzMzA1NzI0MTQifQ==</vt:lpwstr>
  </property>
</Properties>
</file>