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23552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2355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新疆医科大学第一附属医院分析天平、移液枪、旋转摇床、脱色摇床、蛋白及转印系统、自动细胞计数仪采购项目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85.45pt;width:455.9pt;z-index:251661312;mso-width-relative:page;mso-height-relative:page;" filled="f" stroked="f" coordsize="21600,21600" o:gfxdata="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U9bqLcAAAACgEAAA8AAAAAAAAAAQAgAAAAIgAA&#10;AGRycy9kb3ducmV2LnhtbFBLAQIUABQAAAAIAIdO4kDEEyYy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新疆医科大学第一附属医院分析天平、移液枪、旋转摇床、脱色摇床、蛋白及转印系统、自动细胞计数仪采购项目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（项目编号：SJX-2026-354）</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项目编号：SJX-2026-354</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新疆医科大学第一附属医院分析天平、移液枪、旋转摇床、脱色摇床、蛋白及转印系统、自动细胞计数仪采购项目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143500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82800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分析天平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、移液枪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、旋转摇床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、脱色摇床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、蛋白及转印系统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、自动细胞计数仪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新疆医科大学第一附属医院分析天平、移液枪、旋转摇床、脱色摇床、蛋白及转印系统、自动细胞计数仪采购项目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143500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分析天平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、移液枪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、旋转摇床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、脱色摇床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、蛋白及转印系统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、自动细胞计数仪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14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21</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分析天平</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4D7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10F5F67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20B3626E">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移液枪</w:t>
                  </w:r>
                </w:p>
              </w:tc>
              <w:tc>
                <w:tcPr>
                  <w:tcW w:w="2759" w:type="dxa"/>
                  <w:vAlign w:val="center"/>
                </w:tcPr>
                <w:p w14:paraId="0A44497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7959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0DADEB5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5F11576C">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旋转摇床</w:t>
                  </w:r>
                </w:p>
              </w:tc>
              <w:tc>
                <w:tcPr>
                  <w:tcW w:w="2759" w:type="dxa"/>
                  <w:vAlign w:val="center"/>
                </w:tcPr>
                <w:p w14:paraId="000623B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AB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44D799C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439067D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脱色摇床</w:t>
                  </w:r>
                </w:p>
              </w:tc>
              <w:tc>
                <w:tcPr>
                  <w:tcW w:w="2759" w:type="dxa"/>
                  <w:vAlign w:val="center"/>
                </w:tcPr>
                <w:p w14:paraId="43B850B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E7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53980D7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2CA89F1D">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蛋白及转印系统</w:t>
                  </w:r>
                </w:p>
              </w:tc>
              <w:tc>
                <w:tcPr>
                  <w:tcW w:w="2759" w:type="dxa"/>
                  <w:vAlign w:val="center"/>
                </w:tcPr>
                <w:p w14:paraId="0976F03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115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179C3D4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324E896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自动细胞计数仪</w:t>
                  </w:r>
                </w:p>
              </w:tc>
              <w:tc>
                <w:tcPr>
                  <w:tcW w:w="2759" w:type="dxa"/>
                  <w:vAlign w:val="center"/>
                </w:tcPr>
                <w:p w14:paraId="53FEDF9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EA9AB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14.35</w:t>
            </w:r>
            <w:r>
              <w:rPr>
                <w:rFonts w:hint="eastAsia" w:ascii="仿宋" w:hAnsi="仿宋" w:eastAsia="仿宋" w:cs="仿宋"/>
                <w:color w:val="auto"/>
                <w:sz w:val="24"/>
                <w:szCs w:val="24"/>
                <w:highlight w:val="none"/>
                <w:vertAlign w:val="baseline"/>
                <w:lang w:val="en-US" w:eastAsia="zh-CN"/>
              </w:rPr>
              <w:t>万元</w:t>
            </w:r>
          </w:p>
          <w:p w14:paraId="5A406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8.28</w:t>
            </w:r>
            <w:r>
              <w:rPr>
                <w:rFonts w:hint="eastAsia" w:ascii="仿宋" w:hAnsi="仿宋" w:eastAsia="仿宋" w:cs="仿宋"/>
                <w:color w:val="auto"/>
                <w:sz w:val="24"/>
                <w:szCs w:val="24"/>
                <w:highlight w:val="none"/>
                <w:vertAlign w:val="baseline"/>
                <w:lang w:val="en-US" w:eastAsia="zh-CN"/>
              </w:rPr>
              <w:t xml:space="preserve">万元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单价最高限价：分析天平2600元/套、移液枪500元/套、</w:t>
            </w:r>
            <w:bookmarkStart w:id="76" w:name="_GoBack"/>
            <w:r>
              <w:rPr>
                <w:rFonts w:hint="eastAsia" w:ascii="仿宋" w:hAnsi="仿宋" w:eastAsia="仿宋" w:cs="仿宋"/>
                <w:color w:val="auto"/>
                <w:sz w:val="24"/>
                <w:szCs w:val="24"/>
                <w:highlight w:val="none"/>
                <w:vertAlign w:val="baseline"/>
                <w:lang w:val="en-US" w:eastAsia="zh-CN"/>
              </w:rPr>
              <w:t>旋转摇床2450元/套、脱色摇床2100元/套、蛋白及转印系统10000元/套、自动细胞计数仪49500元/套</w:t>
            </w:r>
            <w:bookmarkEnd w:id="76"/>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2800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人民币贰仟捌佰元整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03C403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84ACF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sz w:val="24"/>
                <w:szCs w:val="24"/>
                <w:highlight w:val="green"/>
                <w:vertAlign w:val="baseline"/>
                <w:lang w:val="en-US" w:eastAsia="zh-CN"/>
              </w:rPr>
              <w:t>核心产品</w:t>
            </w:r>
          </w:p>
        </w:tc>
        <w:tc>
          <w:tcPr>
            <w:tcW w:w="8524" w:type="dxa"/>
            <w:tcBorders>
              <w:top w:val="single" w:color="auto" w:sz="4" w:space="0"/>
              <w:tl2br w:val="nil"/>
              <w:tr2bl w:val="nil"/>
            </w:tcBorders>
            <w:vAlign w:val="center"/>
          </w:tcPr>
          <w:p w14:paraId="36B62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□本项目为单一产品采购项目。</w:t>
            </w:r>
          </w:p>
          <w:p w14:paraId="5F0CD5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☑本项目为非单一产品采购项目，核心产品为：自动细胞计数仪</w:t>
            </w:r>
          </w:p>
          <w:p w14:paraId="619CCB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sz w:val="24"/>
                <w:szCs w:val="24"/>
                <w:highlight w:val="green"/>
                <w:vertAlign w:val="baseline"/>
                <w:lang w:val="en-US" w:eastAsia="zh-CN"/>
              </w:rPr>
              <w:t>注：若不单独标明核心产品则所有产品均被视为核心产品</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2640C581">
      <w:pPr>
        <w:spacing w:line="264" w:lineRule="auto"/>
        <w:jc w:val="both"/>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1440" w:right="1080" w:bottom="1440" w:left="1080"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auto"/>
          <w:kern w:val="44"/>
          <w:sz w:val="28"/>
          <w:szCs w:val="28"/>
          <w:highlight w:val="none"/>
          <w:lang w:val="en-US" w:eastAsia="zh-CN" w:bidi="ar-SA"/>
        </w:rPr>
        <w:t>分析天平技术参数要求</w:t>
      </w:r>
    </w:p>
    <w:p w14:paraId="4B8157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8" w:name="OLE_LINK1"/>
      <w:r>
        <w:rPr>
          <w:rFonts w:hint="eastAsia" w:ascii="仿宋" w:hAnsi="仿宋" w:eastAsia="仿宋" w:cs="仿宋"/>
          <w:sz w:val="24"/>
          <w:szCs w:val="24"/>
          <w:highlight w:val="none"/>
        </w:rPr>
        <w:t>称量</w:t>
      </w:r>
      <w:bookmarkEnd w:id="18"/>
      <w:r>
        <w:rPr>
          <w:rFonts w:hint="eastAsia" w:ascii="仿宋" w:hAnsi="仿宋" w:eastAsia="仿宋" w:cs="仿宋"/>
          <w:sz w:val="24"/>
          <w:szCs w:val="24"/>
          <w:highlight w:val="none"/>
        </w:rPr>
        <w:t>范围：≦0-220(g)；最小称量：0.1（mg）.</w:t>
      </w:r>
    </w:p>
    <w:p w14:paraId="40E026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2．稳定时间：≤3s.</w:t>
      </w:r>
    </w:p>
    <w:p w14:paraId="0DCFFD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3．秤盘尺寸：≦80（mm）.</w:t>
      </w:r>
    </w:p>
    <w:p w14:paraId="51A8EA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4．工作空间高度：≥220mm.</w:t>
      </w:r>
    </w:p>
    <w:p w14:paraId="6BE5B1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5．校准方式：外部校准</w:t>
      </w:r>
    </w:p>
    <w:p w14:paraId="704A7A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6．电源：220V/50Hz</w:t>
      </w:r>
    </w:p>
    <w:p w14:paraId="44775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p>
    <w:p w14:paraId="442395F2">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05B9360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组织研磨仪技术参数要求</w:t>
      </w:r>
    </w:p>
    <w:p w14:paraId="2442EB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1．密度调节窗口：根据液体的不同密度自行调节，确保移液精准性；</w:t>
      </w:r>
    </w:p>
    <w:p w14:paraId="0FC611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2．可整支高温高压灭菌和紫外消毒；</w:t>
      </w:r>
    </w:p>
    <w:p w14:paraId="6F35E3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▲3．移液器的量程设定单手可调，操作过程随时可观察到量程的数值；可选10个量程，覆盖0.1μL ~10mL.</w:t>
      </w:r>
    </w:p>
    <w:p w14:paraId="7FC4A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4．体积显示：量程刻度由四位数字放大显示，便于移液时观察；</w:t>
      </w:r>
    </w:p>
    <w:p w14:paraId="69C4AA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5．伸缩式弹性吸嘴设计，确保吸头装配的气密性和移液均一性.</w:t>
      </w:r>
    </w:p>
    <w:p w14:paraId="1D8E7B21">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4541DC55">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旋转摇床技术参数</w:t>
      </w:r>
    </w:p>
    <w:p w14:paraId="60B958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1．转速范围：10-70rpm</w:t>
      </w:r>
    </w:p>
    <w:p w14:paraId="76B179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2．转速和定时显示：LCD</w:t>
      </w:r>
    </w:p>
    <w:p w14:paraId="42999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3．时间调节范围：1-1300min</w:t>
      </w:r>
    </w:p>
    <w:p w14:paraId="4560B7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4．运行模式: 连续/定时</w:t>
      </w:r>
    </w:p>
    <w:p w14:paraId="550DE1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5．外形尺寸(H x W x D)：≤240×500×270mm</w:t>
      </w:r>
    </w:p>
    <w:p w14:paraId="4045A7E1">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5F7FAC1F">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脱色摇床技术参数</w:t>
      </w:r>
    </w:p>
    <w:p w14:paraId="6CAF3B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1．振荡频率：0-80次/分,可调节.</w:t>
      </w:r>
    </w:p>
    <w:p w14:paraId="79971A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2．振荡幅度：10mm.</w:t>
      </w:r>
    </w:p>
    <w:p w14:paraId="2C2526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3．工作面积：≥290×210mm.</w:t>
      </w:r>
    </w:p>
    <w:p w14:paraId="624E5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4．工作时间：连续.</w:t>
      </w:r>
    </w:p>
    <w:p w14:paraId="7483C8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5．工作方式：摇摆.</w:t>
      </w:r>
    </w:p>
    <w:p w14:paraId="041C29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6．整机功率：≤20W.</w:t>
      </w:r>
    </w:p>
    <w:p w14:paraId="20A20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7．电    压：220V ,50HZ.</w:t>
      </w:r>
    </w:p>
    <w:p w14:paraId="601B259E">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7890061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蛋白及转印系统技术参数</w:t>
      </w:r>
    </w:p>
    <w:p w14:paraId="2ADB1C6C">
      <w:pPr>
        <w:spacing w:line="400" w:lineRule="exact"/>
        <w:rPr>
          <w:b/>
          <w:sz w:val="30"/>
          <w:szCs w:val="30"/>
          <w:highlight w:val="none"/>
        </w:rPr>
      </w:pPr>
    </w:p>
    <w:p w14:paraId="4F4E62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迷你垂直电泳槽 一套，可容纳4块手灌胶或预制胶，1小时内完成多达4块小型凝胶电泳.</w:t>
      </w:r>
    </w:p>
    <w:p w14:paraId="78F540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2.封边隔条粘固在长玻璃板上，保证玻璃板精确对齐，避免漏胶.</w:t>
      </w:r>
    </w:p>
    <w:p w14:paraId="203AE5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3.凸轮制胶框确保精确对齐.</w:t>
      </w:r>
    </w:p>
    <w:p w14:paraId="60195E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▲4.标配4个独立制胶底座，可同时灌制4块胶.</w:t>
      </w:r>
    </w:p>
    <w:p w14:paraId="549915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▲5.带边齿的梳子和内置脊使凝胶与空气隔绝，避免抑制凝胶聚合反应.</w:t>
      </w:r>
    </w:p>
    <w:p w14:paraId="67F32D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6.标有厚度及孔数的玻璃板和梳子，便于识别.</w:t>
      </w:r>
    </w:p>
    <w:p w14:paraId="61055B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▲7.配备免染胶预混液一瓶，免除了蛋白电泳脱色染色的繁琐过程.</w:t>
      </w:r>
    </w:p>
    <w:p w14:paraId="08A154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▲8.配备≧90孔各种孔径多用途离心管架1个.</w:t>
      </w:r>
    </w:p>
    <w:p w14:paraId="587380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▲9.配可放置≧14片玻璃的玻璃板支架1个.</w:t>
      </w:r>
    </w:p>
    <w:p w14:paraId="5CE9C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10.具备铂金电极：φ0.25mm.</w:t>
      </w:r>
    </w:p>
    <w:p w14:paraId="51F5A7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迷你垂直转印槽 一套，可快速高质地将蛋白样品转移到硝酸纤维膜、PVDF膜等介质上，可同时放置两个转印夹.</w:t>
      </w:r>
    </w:p>
    <w:p w14:paraId="554179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12.支持高电流快速转印或低电流过夜转印.</w:t>
      </w:r>
    </w:p>
    <w:p w14:paraId="788D21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13.配备内置2个冷冻模块，可快速轮换吸收缓冲液热量.</w:t>
      </w:r>
    </w:p>
    <w:p w14:paraId="50557D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14.具备铂金电极：φ0.25mm.</w:t>
      </w:r>
    </w:p>
    <w:p w14:paraId="35693E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p>
    <w:p w14:paraId="59B22D4B">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自动细胞计数仪技术参数</w:t>
      </w:r>
    </w:p>
    <w:p w14:paraId="7EB187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1．仪器类型：荧光分析计数仪，一体化式设计</w:t>
      </w:r>
    </w:p>
    <w:p w14:paraId="55CBC0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2．物镜放大倍数：≧5倍.</w:t>
      </w:r>
    </w:p>
    <w:p w14:paraId="7F3363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▲3．配备镜头≥1200万像素高清相机；高亮度LED冷光源，寿命&gt;3万小时</w:t>
      </w:r>
    </w:p>
    <w:p w14:paraId="0166EE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4．显示屏：≥8英寸LCD高清多点触控触摸屏，无需外接计算机.</w:t>
      </w:r>
    </w:p>
    <w:p w14:paraId="007852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▲5．细胞计数板自动进样，检测精确度和重复性好，软件操控载物台全自动取样，精确移动控制.</w:t>
      </w:r>
    </w:p>
    <w:p w14:paraId="6D5551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▲6.具备两种：激光480nm、525nm; 检测器滤光片: 535/40nm、600LP.</w:t>
      </w:r>
    </w:p>
    <w:p w14:paraId="4FC09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▲7．具备图像识别人工智能算法（AI算法）.</w:t>
      </w:r>
    </w:p>
    <w:p w14:paraId="5FF34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▲8．具备AO/PI双荧光染色以及明场台盼蓝染色和非台盼蓝染色3种计数功能</w:t>
      </w:r>
    </w:p>
    <w:p w14:paraId="5B1452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9．细胞直径测量范围：1~200μm，最佳直径测量范围：5~60μm</w:t>
      </w:r>
    </w:p>
    <w:p w14:paraId="078481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10．细胞浓度测量范围：1×104~3×107个/mL</w:t>
      </w:r>
    </w:p>
    <w:p w14:paraId="62A085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11．细胞计数板，无需重复清洗，最大通量为6个槽位.</w:t>
      </w:r>
    </w:p>
    <w:p w14:paraId="796CD7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12．上样体积：10μL</w:t>
      </w:r>
    </w:p>
    <w:p w14:paraId="11771F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13．检测时长：单样品计数时间&lt;10s（明场）；&lt;20s（荧光）</w:t>
      </w:r>
    </w:p>
    <w:p w14:paraId="6CEA05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14．测量细胞种类：细胞系、原代细胞、干细胞和全血细胞等</w:t>
      </w:r>
    </w:p>
    <w:p w14:paraId="5824B8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15．电动调焦、自动选取视角、自动曝光、自动拍摄、多视野成像、多视野计数等采样方法.</w:t>
      </w:r>
    </w:p>
    <w:p w14:paraId="0CFB96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16．具备分析：细胞浓度、活率、直径、聚团率等参数</w:t>
      </w:r>
    </w:p>
    <w:p w14:paraId="4DD4AD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17．分析精度：细胞浓度3×105~1×107个/ml，CV值＜5%</w:t>
      </w:r>
    </w:p>
    <w:p w14:paraId="1BDFF8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18．数据格式具有：Excel、PDF、JPG</w:t>
      </w:r>
    </w:p>
    <w:p w14:paraId="4A198A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19．预设多种实验类型：细胞计数，台盼蓝计数、AO/PI双荧光分析等</w:t>
      </w:r>
    </w:p>
    <w:p w14:paraId="5E2603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▲20.数据分析功能：内置稀释计算器和传代计算器，支持数据检索和再分析，可进行细胞增殖曲线以及细胞大小直方图和荧光强度分布图等分析</w:t>
      </w:r>
    </w:p>
    <w:p w14:paraId="324252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▲21．系统实现用户分级权限管理和电子签名；系统自带审计追踪功能，符合GMP/cGMP、FDA 21 CFR PART 11标准。</w:t>
      </w:r>
    </w:p>
    <w:p w14:paraId="390A87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22．输出端口：2*USB3.0接口，支持U盘、硬盘和连接服务器输出</w:t>
      </w:r>
    </w:p>
    <w:p w14:paraId="59BC4D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23.支持连接无线网络和有线网络，支持软件在线升级和连接打印机功能.</w:t>
      </w:r>
    </w:p>
    <w:p w14:paraId="04A394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24．存储：≥8G内存，500G硬盘</w:t>
      </w:r>
    </w:p>
    <w:p w14:paraId="6C26B2A4">
      <w:pPr>
        <w:spacing w:line="440" w:lineRule="exact"/>
        <w:jc w:val="both"/>
        <w:rPr>
          <w:rFonts w:hint="eastAsia" w:ascii="仿宋_GB2312" w:hAnsi="仿宋_GB2312" w:eastAsia="仿宋_GB2312" w:cs="仿宋_GB2312"/>
          <w:b/>
          <w:color w:val="auto"/>
          <w:kern w:val="44"/>
          <w:sz w:val="28"/>
          <w:szCs w:val="28"/>
          <w:highlight w:val="none"/>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9"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9"/>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20" w:name="_Toc27440"/>
      <w:r>
        <w:rPr>
          <w:rFonts w:hint="eastAsia" w:ascii="仿宋" w:hAnsi="仿宋" w:eastAsia="仿宋" w:cs="仿宋"/>
          <w:b/>
          <w:bCs/>
          <w:color w:val="auto"/>
          <w:sz w:val="24"/>
          <w:szCs w:val="24"/>
          <w:highlight w:val="none"/>
          <w:lang w:val="en-US" w:eastAsia="zh-CN"/>
        </w:rPr>
        <w:t>评标方法</w:t>
      </w:r>
      <w:bookmarkEnd w:id="20"/>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12617"/>
      <w:r>
        <w:rPr>
          <w:rFonts w:hint="eastAsia" w:ascii="仿宋" w:hAnsi="仿宋" w:eastAsia="仿宋" w:cs="仿宋"/>
          <w:b/>
          <w:bCs/>
          <w:color w:val="auto"/>
          <w:sz w:val="24"/>
          <w:szCs w:val="24"/>
          <w:highlight w:val="none"/>
          <w:lang w:val="en-US" w:eastAsia="zh-CN"/>
        </w:rPr>
        <w:t>评标原则</w:t>
      </w:r>
      <w:bookmarkEnd w:id="21"/>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6046"/>
      <w:r>
        <w:rPr>
          <w:rFonts w:hint="eastAsia" w:ascii="仿宋" w:hAnsi="仿宋" w:eastAsia="仿宋" w:cs="仿宋"/>
          <w:b/>
          <w:bCs/>
          <w:color w:val="auto"/>
          <w:sz w:val="24"/>
          <w:szCs w:val="24"/>
          <w:highlight w:val="none"/>
          <w:lang w:val="en-US" w:eastAsia="zh-CN"/>
        </w:rPr>
        <w:t>资格审查</w:t>
      </w:r>
      <w:bookmarkEnd w:id="22"/>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4337"/>
      <w:r>
        <w:rPr>
          <w:rFonts w:hint="eastAsia" w:ascii="仿宋" w:hAnsi="仿宋" w:eastAsia="仿宋" w:cs="仿宋"/>
          <w:b/>
          <w:bCs/>
          <w:color w:val="auto"/>
          <w:sz w:val="24"/>
          <w:szCs w:val="24"/>
          <w:highlight w:val="none"/>
          <w:lang w:val="en-US" w:eastAsia="zh-CN"/>
        </w:rPr>
        <w:t>符合性审查</w:t>
      </w:r>
      <w:bookmarkEnd w:id="23"/>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3924"/>
      <w:r>
        <w:rPr>
          <w:rFonts w:hint="eastAsia" w:ascii="仿宋" w:hAnsi="仿宋" w:eastAsia="仿宋" w:cs="仿宋"/>
          <w:b/>
          <w:bCs/>
          <w:color w:val="auto"/>
          <w:sz w:val="24"/>
          <w:szCs w:val="24"/>
          <w:highlight w:val="none"/>
          <w:lang w:val="en-US" w:eastAsia="zh-CN"/>
        </w:rPr>
        <w:t>投标文件有关事项的澄清或者说明</w:t>
      </w:r>
      <w:bookmarkEnd w:id="24"/>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5" w:name="_Toc22049"/>
      <w:r>
        <w:rPr>
          <w:rFonts w:hint="eastAsia" w:ascii="仿宋" w:hAnsi="仿宋" w:eastAsia="仿宋" w:cs="仿宋"/>
          <w:b/>
          <w:bCs/>
          <w:color w:val="auto"/>
          <w:sz w:val="24"/>
          <w:szCs w:val="24"/>
          <w:highlight w:val="none"/>
          <w:lang w:val="en-US" w:eastAsia="zh-CN"/>
        </w:rPr>
        <w:t>详细评审</w:t>
      </w:r>
      <w:bookmarkEnd w:id="25"/>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highlight w:val="none"/>
                <w:lang w:val="en-US" w:eastAsia="zh-CN"/>
              </w:rPr>
            </w:pPr>
          </w:p>
          <w:p w14:paraId="6C79C97D">
            <w:pPr>
              <w:pStyle w:val="50"/>
              <w:snapToGrid w:val="0"/>
              <w:rPr>
                <w:rFonts w:hint="eastAsia" w:ascii="仿宋" w:hAnsi="仿宋" w:eastAsia="仿宋" w:cs="仿宋"/>
                <w:b w:val="0"/>
                <w:color w:val="auto"/>
                <w:sz w:val="21"/>
                <w:szCs w:val="21"/>
                <w:highlight w:val="none"/>
                <w:lang w:val="en-US" w:eastAsia="zh-CN"/>
              </w:rPr>
            </w:pPr>
          </w:p>
          <w:p w14:paraId="1A1680F1">
            <w:pPr>
              <w:pStyle w:val="50"/>
              <w:snapToGrid w:val="0"/>
              <w:rPr>
                <w:rFonts w:hint="eastAsia" w:ascii="仿宋" w:hAnsi="仿宋" w:eastAsia="仿宋" w:cs="仿宋"/>
                <w:b w:val="0"/>
                <w:color w:val="auto"/>
                <w:sz w:val="21"/>
                <w:szCs w:val="21"/>
                <w:highlight w:val="none"/>
                <w:lang w:val="en-US" w:eastAsia="zh-CN"/>
              </w:rPr>
            </w:pPr>
          </w:p>
          <w:p w14:paraId="5481CDA4">
            <w:pPr>
              <w:pStyle w:val="50"/>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highlight w:val="none"/>
              </w:rPr>
            </w:pPr>
          </w:p>
        </w:tc>
        <w:tc>
          <w:tcPr>
            <w:tcW w:w="1133" w:type="dxa"/>
            <w:vMerge w:val="continue"/>
            <w:tcBorders>
              <w:left w:val="single" w:color="000000" w:sz="4" w:space="0"/>
            </w:tcBorders>
            <w:vAlign w:val="center"/>
          </w:tcPr>
          <w:p w14:paraId="4538FB1C">
            <w:pPr>
              <w:pStyle w:val="50"/>
              <w:snapToGrid w:val="0"/>
              <w:jc w:val="left"/>
              <w:rPr>
                <w:sz w:val="21"/>
                <w:szCs w:val="21"/>
                <w:highlight w:val="none"/>
              </w:rPr>
            </w:pPr>
          </w:p>
        </w:tc>
        <w:tc>
          <w:tcPr>
            <w:tcW w:w="704" w:type="dxa"/>
            <w:vMerge w:val="continue"/>
            <w:vAlign w:val="center"/>
          </w:tcPr>
          <w:p w14:paraId="4F802676">
            <w:pPr>
              <w:pStyle w:val="50"/>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40分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1.技术参数完全满足招标文件要求得40分。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2.负偏离扣分标准：▲为重要参数，负偏离每项扣2分；一般参数负偏离每项扣0.5分，扣完为止。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0.5</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6" w:name="_Toc31337"/>
      <w:r>
        <w:rPr>
          <w:rFonts w:hint="eastAsia" w:ascii="仿宋_GB2312" w:hAnsi="仿宋_GB2312" w:eastAsia="仿宋_GB2312" w:cs="仿宋_GB2312"/>
          <w:color w:val="auto"/>
          <w:sz w:val="32"/>
          <w:szCs w:val="32"/>
          <w:highlight w:val="none"/>
          <w:lang w:val="en-US" w:eastAsia="zh-CN"/>
        </w:rPr>
        <w:t>投标文件格式</w:t>
      </w:r>
      <w:bookmarkEnd w:id="26"/>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7"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7"/>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16703"/>
      <w:r>
        <w:rPr>
          <w:rFonts w:hint="eastAsia" w:ascii="仿宋" w:hAnsi="仿宋" w:eastAsia="仿宋" w:cs="仿宋"/>
          <w:color w:val="auto"/>
          <w:kern w:val="0"/>
          <w:sz w:val="24"/>
          <w:highlight w:val="none"/>
          <w:u w:val="none"/>
          <w:lang w:bidi="ar"/>
        </w:rPr>
        <w:t>1、复印件并加盖本单位公章</w:t>
      </w:r>
      <w:bookmarkEnd w:id="28"/>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32425"/>
      <w:r>
        <w:rPr>
          <w:rFonts w:hint="eastAsia" w:ascii="仿宋" w:hAnsi="仿宋" w:eastAsia="仿宋" w:cs="仿宋"/>
          <w:color w:val="auto"/>
          <w:kern w:val="0"/>
          <w:sz w:val="24"/>
          <w:highlight w:val="none"/>
          <w:u w:val="none"/>
          <w:lang w:bidi="ar"/>
        </w:rPr>
        <w:t>3、如果是联合体投标，联合体各方均需提供上述证明。</w:t>
      </w:r>
      <w:bookmarkEnd w:id="29"/>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7512"/>
      <w:r>
        <w:rPr>
          <w:rFonts w:hint="eastAsia" w:ascii="仿宋" w:hAnsi="仿宋" w:eastAsia="仿宋" w:cs="仿宋"/>
          <w:color w:val="auto"/>
          <w:kern w:val="0"/>
          <w:sz w:val="24"/>
          <w:highlight w:val="none"/>
          <w:u w:val="none"/>
          <w:lang w:bidi="ar"/>
        </w:rPr>
        <w:t>1、复印件并加盖本单位公章</w:t>
      </w:r>
      <w:bookmarkEnd w:id="30"/>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1"/>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3006"/>
      <w:r>
        <w:rPr>
          <w:rFonts w:hint="eastAsia" w:ascii="仿宋" w:hAnsi="仿宋" w:eastAsia="仿宋" w:cs="仿宋"/>
          <w:color w:val="auto"/>
          <w:kern w:val="0"/>
          <w:sz w:val="24"/>
          <w:highlight w:val="none"/>
          <w:u w:val="none"/>
          <w:lang w:bidi="ar"/>
        </w:rPr>
        <w:t>1、复印件并加盖本单位公章</w:t>
      </w:r>
      <w:bookmarkEnd w:id="32"/>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3" w:name="_Toc28907"/>
      <w:r>
        <w:rPr>
          <w:rFonts w:hint="eastAsia" w:ascii="仿宋" w:hAnsi="仿宋" w:eastAsia="仿宋" w:cs="仿宋"/>
          <w:color w:val="auto"/>
          <w:kern w:val="0"/>
          <w:sz w:val="24"/>
          <w:highlight w:val="none"/>
          <w:u w:val="none"/>
          <w:lang w:bidi="ar"/>
        </w:rPr>
        <w:t>3、如果是联合体投标，联合体各方均需提供上述证明。</w:t>
      </w:r>
      <w:bookmarkEnd w:id="33"/>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4"/>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5"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5"/>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6"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6"/>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7"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7"/>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8"/>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9"/>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40"/>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1"/>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6076"/>
      <w:r>
        <w:rPr>
          <w:rFonts w:hint="eastAsia" w:ascii="仿宋" w:hAnsi="仿宋" w:eastAsia="仿宋" w:cs="仿宋"/>
          <w:color w:val="auto"/>
          <w:kern w:val="0"/>
          <w:sz w:val="24"/>
          <w:szCs w:val="24"/>
          <w:highlight w:val="none"/>
          <w:lang w:val="en-US" w:eastAsia="zh-CN" w:bidi="ar"/>
        </w:rPr>
        <w:t>6  授权委托书</w:t>
      </w:r>
      <w:bookmarkEnd w:id="42"/>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3"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3"/>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4" w:name="_Toc23107"/>
      <w:r>
        <w:rPr>
          <w:rFonts w:hint="eastAsia" w:ascii="仿宋" w:hAnsi="仿宋" w:eastAsia="仿宋" w:cs="仿宋"/>
          <w:color w:val="auto"/>
          <w:sz w:val="24"/>
          <w:szCs w:val="24"/>
          <w:highlight w:val="none"/>
          <w:lang w:val="en-US" w:eastAsia="zh-CN"/>
        </w:rPr>
        <w:t>7  开标一览表</w:t>
      </w:r>
      <w:bookmarkEnd w:id="44"/>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5" w:name="_Toc7007"/>
      <w:r>
        <w:rPr>
          <w:rFonts w:hint="eastAsia" w:ascii="仿宋" w:hAnsi="仿宋" w:eastAsia="仿宋" w:cs="仿宋"/>
          <w:color w:val="auto"/>
          <w:sz w:val="24"/>
          <w:szCs w:val="24"/>
          <w:highlight w:val="none"/>
          <w:lang w:val="en-US" w:eastAsia="zh-CN"/>
        </w:rPr>
        <w:t>7  投标分项报价表</w:t>
      </w:r>
      <w:bookmarkEnd w:id="45"/>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6" w:name="_Toc6119"/>
      <w:r>
        <w:rPr>
          <w:rFonts w:hint="eastAsia" w:ascii="仿宋" w:hAnsi="仿宋" w:eastAsia="仿宋" w:cs="仿宋"/>
          <w:color w:val="auto"/>
          <w:sz w:val="24"/>
          <w:szCs w:val="24"/>
          <w:highlight w:val="none"/>
          <w:lang w:val="en-US" w:eastAsia="zh-CN"/>
        </w:rPr>
        <w:t>8  合同条款偏离表</w:t>
      </w:r>
      <w:bookmarkEnd w:id="46"/>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7" w:name="_Toc6441"/>
      <w:r>
        <w:rPr>
          <w:rFonts w:hint="eastAsia" w:ascii="仿宋" w:hAnsi="仿宋" w:eastAsia="仿宋" w:cs="仿宋"/>
          <w:color w:val="auto"/>
          <w:sz w:val="24"/>
          <w:szCs w:val="24"/>
          <w:highlight w:val="none"/>
          <w:lang w:val="en-US" w:eastAsia="zh-CN"/>
        </w:rPr>
        <w:t>2. “偏离情况”列应据实填写“正偏离”或“负偏离”。</w:t>
      </w:r>
      <w:bookmarkEnd w:id="47"/>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8" w:name="_Toc7042"/>
      <w:r>
        <w:rPr>
          <w:rFonts w:hint="eastAsia" w:ascii="仿宋" w:hAnsi="仿宋" w:eastAsia="仿宋" w:cs="仿宋"/>
          <w:color w:val="auto"/>
          <w:sz w:val="24"/>
          <w:szCs w:val="24"/>
          <w:highlight w:val="none"/>
          <w:lang w:val="en-US" w:eastAsia="zh-CN"/>
        </w:rPr>
        <w:t xml:space="preserve">9  </w:t>
      </w:r>
      <w:bookmarkEnd w:id="48"/>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9" w:name="_Toc216582819"/>
      <w:bookmarkStart w:id="50" w:name="_Toc480942355"/>
      <w:bookmarkStart w:id="51" w:name="_Toc520356224"/>
      <w:bookmarkStart w:id="52" w:name="_Ref467988543"/>
      <w:bookmarkStart w:id="53" w:name="_Toc17143"/>
      <w:bookmarkStart w:id="54" w:name="_Toc9592"/>
      <w:bookmarkStart w:id="55" w:name="_Toc522"/>
      <w:bookmarkStart w:id="56" w:name="_Toc15963"/>
      <w:bookmarkStart w:id="57" w:name="_Toc4183"/>
      <w:bookmarkStart w:id="58" w:name="_Toc21320"/>
      <w:bookmarkStart w:id="59" w:name="_Toc507399535"/>
      <w:bookmarkStart w:id="60" w:name="_Toc20238"/>
      <w:bookmarkStart w:id="61" w:name="_Toc3420"/>
      <w:bookmarkStart w:id="62" w:name="_Toc8281"/>
      <w:r>
        <w:rPr>
          <w:rFonts w:hint="eastAsia" w:ascii="仿宋" w:hAnsi="仿宋" w:eastAsia="仿宋" w:cs="仿宋"/>
          <w:b/>
          <w:bCs/>
          <w:color w:val="auto"/>
          <w:kern w:val="2"/>
          <w:sz w:val="24"/>
          <w:szCs w:val="32"/>
          <w:highlight w:val="none"/>
          <w:lang w:val="en-US" w:eastAsia="zh-CN" w:bidi="ar-SA"/>
        </w:rPr>
        <w:t xml:space="preserve">11   </w:t>
      </w:r>
      <w:bookmarkEnd w:id="49"/>
      <w:bookmarkEnd w:id="50"/>
      <w:bookmarkEnd w:id="51"/>
      <w:bookmarkEnd w:id="52"/>
      <w:bookmarkStart w:id="63" w:name="_Hlt520274393"/>
      <w:bookmarkEnd w:id="63"/>
      <w:bookmarkStart w:id="64" w:name="_Hlt520274911"/>
      <w:bookmarkEnd w:id="64"/>
      <w:bookmarkStart w:id="65" w:name="_Hlt520343392"/>
      <w:bookmarkEnd w:id="65"/>
      <w:bookmarkStart w:id="66" w:name="_Hlt520343000"/>
      <w:bookmarkEnd w:id="66"/>
      <w:bookmarkStart w:id="67" w:name="_Hlt520350957"/>
      <w:bookmarkEnd w:id="67"/>
      <w:bookmarkStart w:id="68" w:name="_Hlt520273711"/>
      <w:bookmarkEnd w:id="68"/>
      <w:bookmarkStart w:id="69" w:name="_Hlt520274407"/>
      <w:bookmarkEnd w:id="69"/>
      <w:bookmarkStart w:id="70" w:name="_Hlt520274065"/>
      <w:bookmarkEnd w:id="70"/>
      <w:bookmarkStart w:id="71" w:name="_Hlt520273973"/>
      <w:bookmarkEnd w:id="71"/>
      <w:bookmarkStart w:id="72" w:name="_Hlt520271212"/>
      <w:bookmarkEnd w:id="72"/>
      <w:bookmarkStart w:id="73" w:name="_Hlt520350918"/>
      <w:bookmarkEnd w:id="73"/>
      <w:bookmarkStart w:id="74" w:name="_Toc216582821"/>
      <w:bookmarkStart w:id="75" w:name="_Toc216513801"/>
      <w:r>
        <w:rPr>
          <w:rFonts w:hint="eastAsia" w:ascii="仿宋" w:hAnsi="仿宋" w:eastAsia="仿宋" w:cs="仿宋"/>
          <w:b/>
          <w:bCs/>
          <w:color w:val="auto"/>
          <w:kern w:val="2"/>
          <w:sz w:val="24"/>
          <w:szCs w:val="32"/>
          <w:highlight w:val="none"/>
          <w:lang w:val="en-US" w:eastAsia="zh-CN" w:bidi="ar-SA"/>
        </w:rPr>
        <w:t>中标服务费承诺书</w:t>
      </w:r>
      <w:bookmarkEnd w:id="53"/>
      <w:bookmarkEnd w:id="54"/>
      <w:bookmarkEnd w:id="55"/>
      <w:bookmarkEnd w:id="56"/>
      <w:bookmarkEnd w:id="57"/>
      <w:bookmarkEnd w:id="58"/>
      <w:bookmarkEnd w:id="59"/>
      <w:bookmarkEnd w:id="60"/>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4"/>
      <w:bookmarkEnd w:id="75"/>
    </w:p>
    <w:bookmarkEnd w:id="61"/>
    <w:bookmarkEnd w:id="62"/>
    <w:p w14:paraId="0F67DA67">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82D7501-B560-47FF-81FD-EFAD660F501A}"/>
  </w:font>
  <w:font w:name="楷体">
    <w:panose1 w:val="02010609060101010101"/>
    <w:charset w:val="86"/>
    <w:family w:val="modern"/>
    <w:pitch w:val="default"/>
    <w:sig w:usb0="800002BF" w:usb1="38CF7CFA" w:usb2="00000016" w:usb3="00000000" w:csb0="00040001" w:csb1="00000000"/>
    <w:embedRegular r:id="rId2" w:fontKey="{A7C34F60-E1F9-47A9-A22E-D08B0BF164E5}"/>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273A1F6D-FCC8-4C92-BC10-0522E6CA2365}"/>
  </w:font>
  <w:font w:name="微软雅黑">
    <w:panose1 w:val="020B0503020204020204"/>
    <w:charset w:val="86"/>
    <w:family w:val="auto"/>
    <w:pitch w:val="default"/>
    <w:sig w:usb0="80000287" w:usb1="2ACF3C50" w:usb2="00000016" w:usb3="00000000" w:csb0="0004001F" w:csb1="00000000"/>
    <w:embedRegular r:id="rId4" w:fontKey="{64F3A9F0-2259-4AC1-8BCE-492D14A9CA07}"/>
  </w:font>
  <w:font w:name="Microsoft JhengHei UI">
    <w:panose1 w:val="020B0604030504040204"/>
    <w:charset w:val="88"/>
    <w:family w:val="auto"/>
    <w:pitch w:val="default"/>
    <w:sig w:usb0="000002A7" w:usb1="28CF4400" w:usb2="00000016" w:usb3="00000000" w:csb0="00100009" w:csb1="00000000"/>
    <w:embedRegular r:id="rId5" w:fontKey="{3CDD1465-1600-43CF-8CB5-1840A98E0CBC}"/>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BAB4ED9F"/>
    <w:multiLevelType w:val="multilevel"/>
    <w:tmpl w:val="BAB4ED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205D6D8"/>
    <w:multiLevelType w:val="singleLevel"/>
    <w:tmpl w:val="0205D6D8"/>
    <w:lvl w:ilvl="0" w:tentative="0">
      <w:start w:val="1"/>
      <w:numFmt w:val="chineseCounting"/>
      <w:suff w:val="nothing"/>
      <w:lvlText w:val="%1．"/>
      <w:lvlJc w:val="left"/>
      <w:rPr>
        <w:rFonts w:hint="eastAsia"/>
      </w:r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6"/>
  </w:num>
  <w:num w:numId="3">
    <w:abstractNumId w:val="15"/>
  </w:num>
  <w:num w:numId="4">
    <w:abstractNumId w:val="8"/>
  </w:num>
  <w:num w:numId="5">
    <w:abstractNumId w:val="4"/>
  </w:num>
  <w:num w:numId="6">
    <w:abstractNumId w:val="13"/>
  </w:num>
  <w:num w:numId="7">
    <w:abstractNumId w:val="1"/>
  </w:num>
  <w:num w:numId="8">
    <w:abstractNumId w:val="9"/>
  </w:num>
  <w:num w:numId="9">
    <w:abstractNumId w:val="11"/>
  </w:num>
  <w:num w:numId="10">
    <w:abstractNumId w:val="12"/>
  </w:num>
  <w:num w:numId="11">
    <w:abstractNumId w:val="5"/>
  </w:num>
  <w:num w:numId="12">
    <w:abstractNumId w:val="6"/>
  </w:num>
  <w:num w:numId="13">
    <w:abstractNumId w:val="3"/>
  </w:num>
  <w:num w:numId="14">
    <w:abstractNumId w:val="14"/>
  </w:num>
  <w:num w:numId="15">
    <w:abstractNumId w:val="10"/>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6B7AE4"/>
    <w:rsid w:val="00A9647D"/>
    <w:rsid w:val="00E54D24"/>
    <w:rsid w:val="00EF7950"/>
    <w:rsid w:val="017845DD"/>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D30BDE"/>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162CDC"/>
    <w:rsid w:val="21244F9D"/>
    <w:rsid w:val="212B00D9"/>
    <w:rsid w:val="216929AF"/>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0469DC"/>
    <w:rsid w:val="33370B5F"/>
    <w:rsid w:val="33380434"/>
    <w:rsid w:val="33467A14"/>
    <w:rsid w:val="337C0B48"/>
    <w:rsid w:val="339977D1"/>
    <w:rsid w:val="33AD2BD0"/>
    <w:rsid w:val="33B01385"/>
    <w:rsid w:val="33C4512A"/>
    <w:rsid w:val="33D94143"/>
    <w:rsid w:val="33DC34B5"/>
    <w:rsid w:val="341A78AC"/>
    <w:rsid w:val="343926B5"/>
    <w:rsid w:val="347E456C"/>
    <w:rsid w:val="34EA177B"/>
    <w:rsid w:val="352C329C"/>
    <w:rsid w:val="35F5085E"/>
    <w:rsid w:val="361049A6"/>
    <w:rsid w:val="366D4898"/>
    <w:rsid w:val="3671332B"/>
    <w:rsid w:val="36BD5820"/>
    <w:rsid w:val="36CE17DB"/>
    <w:rsid w:val="36E0150E"/>
    <w:rsid w:val="36E26B76"/>
    <w:rsid w:val="36F90814"/>
    <w:rsid w:val="372E4027"/>
    <w:rsid w:val="37A8202C"/>
    <w:rsid w:val="37AB1B1C"/>
    <w:rsid w:val="3882287D"/>
    <w:rsid w:val="38900001"/>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75573AE"/>
    <w:rsid w:val="47AC3C58"/>
    <w:rsid w:val="47AF6ABF"/>
    <w:rsid w:val="48181044"/>
    <w:rsid w:val="48471B78"/>
    <w:rsid w:val="48BB02CE"/>
    <w:rsid w:val="48E52145"/>
    <w:rsid w:val="49282FCC"/>
    <w:rsid w:val="49771967"/>
    <w:rsid w:val="49C5081B"/>
    <w:rsid w:val="4A631F37"/>
    <w:rsid w:val="4A645C77"/>
    <w:rsid w:val="4A6F69D9"/>
    <w:rsid w:val="4A712751"/>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FA4F97"/>
    <w:rsid w:val="501C315F"/>
    <w:rsid w:val="503B2824"/>
    <w:rsid w:val="506A313D"/>
    <w:rsid w:val="50BE16C5"/>
    <w:rsid w:val="50CC5E28"/>
    <w:rsid w:val="50EC48E0"/>
    <w:rsid w:val="50EF43D0"/>
    <w:rsid w:val="5101103A"/>
    <w:rsid w:val="51085492"/>
    <w:rsid w:val="51273ADE"/>
    <w:rsid w:val="517379AA"/>
    <w:rsid w:val="51890380"/>
    <w:rsid w:val="51AE428B"/>
    <w:rsid w:val="51F764B7"/>
    <w:rsid w:val="523429E2"/>
    <w:rsid w:val="5311687F"/>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1C298E"/>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3D3F8A"/>
    <w:rsid w:val="5B4D241F"/>
    <w:rsid w:val="5B9B762E"/>
    <w:rsid w:val="5C3F0303"/>
    <w:rsid w:val="5C5A7F7F"/>
    <w:rsid w:val="5CFB5EAA"/>
    <w:rsid w:val="5D543F38"/>
    <w:rsid w:val="5D5A2308"/>
    <w:rsid w:val="5DA36C6E"/>
    <w:rsid w:val="5DA92163"/>
    <w:rsid w:val="5EC26DAF"/>
    <w:rsid w:val="5EC96CDA"/>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025B8"/>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9E13FE"/>
    <w:rsid w:val="67B65075"/>
    <w:rsid w:val="67BB4BB4"/>
    <w:rsid w:val="67ED07E2"/>
    <w:rsid w:val="680B1697"/>
    <w:rsid w:val="682952B2"/>
    <w:rsid w:val="682C72EB"/>
    <w:rsid w:val="68832A45"/>
    <w:rsid w:val="688F12A0"/>
    <w:rsid w:val="6917406C"/>
    <w:rsid w:val="691B0000"/>
    <w:rsid w:val="695F71E1"/>
    <w:rsid w:val="69FF522C"/>
    <w:rsid w:val="6A07121D"/>
    <w:rsid w:val="6A0B3BD1"/>
    <w:rsid w:val="6A2B311C"/>
    <w:rsid w:val="6A3D1BFD"/>
    <w:rsid w:val="6A5D6751"/>
    <w:rsid w:val="6AA819B9"/>
    <w:rsid w:val="6ACC11BF"/>
    <w:rsid w:val="6AD00976"/>
    <w:rsid w:val="6B490CDC"/>
    <w:rsid w:val="6B760662"/>
    <w:rsid w:val="6B7E03D2"/>
    <w:rsid w:val="6C0F7008"/>
    <w:rsid w:val="6C14700C"/>
    <w:rsid w:val="6C163F72"/>
    <w:rsid w:val="6C21592D"/>
    <w:rsid w:val="6C2A5DBB"/>
    <w:rsid w:val="6C373CF5"/>
    <w:rsid w:val="6C78338F"/>
    <w:rsid w:val="6CAF4C0C"/>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305D9"/>
    <w:rsid w:val="752B5127"/>
    <w:rsid w:val="754206C3"/>
    <w:rsid w:val="755503F6"/>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8FB5758"/>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B8410B"/>
    <w:rsid w:val="7CF229CE"/>
    <w:rsid w:val="7E1D1CCD"/>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41248</Words>
  <Characters>42571</Characters>
  <Lines>0</Lines>
  <Paragraphs>0</Paragraphs>
  <TotalTime>0</TotalTime>
  <ScaleCrop>false</ScaleCrop>
  <LinksUpToDate>false</LinksUpToDate>
  <CharactersWithSpaces>44584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2026-05-06T14:43:00Z</cp:lastPrinted>
  <dcterms:modified xsi:type="dcterms:W3CDTF">2026-05-13T09:28:45Z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