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884AF">
      <w:pPr>
        <w:jc w:val="center"/>
        <w:rPr>
          <w:rFonts w:hint="eastAsia"/>
          <w:color w:val="auto"/>
          <w:highlight w:val="none"/>
        </w:rPr>
      </w:pPr>
      <w:r>
        <w:rPr>
          <w:rFonts w:hint="eastAsia" w:ascii="宋体" w:hAnsi="宋体" w:eastAsia="宋体" w:cs="宋体"/>
          <w:b/>
          <w:bCs/>
          <w:color w:val="auto"/>
          <w:sz w:val="48"/>
          <w:szCs w:val="48"/>
          <w:highlight w:val="none"/>
          <w:lang w:eastAsia="zh-CN"/>
        </w:rPr>
        <w:t>丽江市国有粮食企业深化改革法律咨询服务项目（三次）</w:t>
      </w:r>
    </w:p>
    <w:p w14:paraId="17D57C46">
      <w:pPr>
        <w:jc w:val="center"/>
        <w:rPr>
          <w:rFonts w:hint="eastAsia"/>
          <w:b/>
          <w:bCs/>
          <w:color w:val="auto"/>
          <w:sz w:val="72"/>
          <w:szCs w:val="72"/>
          <w:highlight w:val="none"/>
        </w:rPr>
      </w:pPr>
    </w:p>
    <w:p w14:paraId="00A3FAED">
      <w:pPr>
        <w:jc w:val="center"/>
        <w:rPr>
          <w:rFonts w:hint="eastAsia"/>
          <w:b/>
          <w:bCs/>
          <w:color w:val="auto"/>
          <w:sz w:val="72"/>
          <w:szCs w:val="72"/>
          <w:highlight w:val="none"/>
        </w:rPr>
      </w:pPr>
    </w:p>
    <w:p w14:paraId="43F9494E">
      <w:pPr>
        <w:jc w:val="center"/>
        <w:rPr>
          <w:rFonts w:hint="eastAsia"/>
          <w:b/>
          <w:bCs/>
          <w:color w:val="auto"/>
          <w:sz w:val="72"/>
          <w:szCs w:val="72"/>
          <w:highlight w:val="none"/>
        </w:rPr>
      </w:pPr>
      <w:r>
        <w:rPr>
          <w:rFonts w:hint="eastAsia"/>
          <w:b/>
          <w:bCs/>
          <w:color w:val="auto"/>
          <w:sz w:val="72"/>
          <w:szCs w:val="72"/>
          <w:highlight w:val="none"/>
        </w:rPr>
        <w:t>竞争性磋商文件</w:t>
      </w:r>
    </w:p>
    <w:p w14:paraId="3A357F3A">
      <w:pPr>
        <w:rPr>
          <w:rFonts w:hint="eastAsia"/>
          <w:color w:val="auto"/>
          <w:highlight w:val="none"/>
        </w:rPr>
      </w:pPr>
      <w:r>
        <w:rPr>
          <w:rFonts w:hint="eastAsia"/>
          <w:color w:val="auto"/>
          <w:highlight w:val="none"/>
        </w:rPr>
        <w:tab/>
      </w:r>
    </w:p>
    <w:p w14:paraId="727ABE6A">
      <w:pPr>
        <w:jc w:val="center"/>
        <w:rPr>
          <w:rFonts w:hint="eastAsia" w:eastAsiaTheme="minorEastAsia"/>
          <w:color w:val="auto"/>
          <w:sz w:val="30"/>
          <w:szCs w:val="30"/>
          <w:highlight w:val="none"/>
          <w:lang w:eastAsia="zh-CN"/>
        </w:rPr>
      </w:pPr>
      <w:r>
        <w:rPr>
          <w:rFonts w:hint="eastAsia"/>
          <w:color w:val="auto"/>
          <w:sz w:val="30"/>
          <w:szCs w:val="30"/>
          <w:highlight w:val="none"/>
        </w:rPr>
        <w:t>项目编号：</w:t>
      </w:r>
      <w:r>
        <w:rPr>
          <w:rFonts w:hint="eastAsia"/>
          <w:color w:val="auto"/>
          <w:sz w:val="30"/>
          <w:szCs w:val="30"/>
          <w:highlight w:val="none"/>
          <w:lang w:eastAsia="zh-CN"/>
        </w:rPr>
        <w:t>LJZC2026-C3-00435-YNYD-0005</w:t>
      </w:r>
    </w:p>
    <w:p w14:paraId="78122A1A">
      <w:pPr>
        <w:rPr>
          <w:rFonts w:hint="eastAsia"/>
          <w:color w:val="auto"/>
          <w:highlight w:val="none"/>
        </w:rPr>
      </w:pPr>
    </w:p>
    <w:p w14:paraId="296F1E6F">
      <w:pPr>
        <w:rPr>
          <w:rFonts w:hint="eastAsia"/>
          <w:color w:val="auto"/>
          <w:highlight w:val="none"/>
        </w:rPr>
      </w:pPr>
    </w:p>
    <w:p w14:paraId="04123222">
      <w:pPr>
        <w:rPr>
          <w:rFonts w:hint="eastAsia"/>
          <w:color w:val="auto"/>
          <w:highlight w:val="none"/>
        </w:rPr>
      </w:pPr>
    </w:p>
    <w:p w14:paraId="788026E6">
      <w:pPr>
        <w:rPr>
          <w:rFonts w:hint="eastAsia"/>
          <w:color w:val="auto"/>
          <w:highlight w:val="none"/>
        </w:rPr>
      </w:pPr>
    </w:p>
    <w:p w14:paraId="37708B16">
      <w:pPr>
        <w:rPr>
          <w:rFonts w:hint="eastAsia"/>
          <w:color w:val="auto"/>
          <w:highlight w:val="none"/>
        </w:rPr>
      </w:pPr>
    </w:p>
    <w:p w14:paraId="3B5A6B13">
      <w:pPr>
        <w:rPr>
          <w:rFonts w:hint="eastAsia"/>
          <w:color w:val="auto"/>
          <w:highlight w:val="none"/>
        </w:rPr>
      </w:pPr>
    </w:p>
    <w:p w14:paraId="6827CCAA">
      <w:pPr>
        <w:rPr>
          <w:rFonts w:hint="eastAsia"/>
          <w:color w:val="auto"/>
          <w:sz w:val="28"/>
          <w:szCs w:val="28"/>
          <w:highlight w:val="none"/>
        </w:rPr>
      </w:pPr>
    </w:p>
    <w:p w14:paraId="203E4ECD">
      <w:pPr>
        <w:rPr>
          <w:rFonts w:hint="eastAsia"/>
          <w:color w:val="auto"/>
          <w:sz w:val="28"/>
          <w:szCs w:val="28"/>
          <w:highlight w:val="none"/>
        </w:rPr>
      </w:pPr>
    </w:p>
    <w:p w14:paraId="75BAF963">
      <w:pPr>
        <w:ind w:firstLine="840" w:firstLineChars="300"/>
        <w:rPr>
          <w:rFonts w:hint="eastAsia"/>
          <w:color w:val="auto"/>
          <w:sz w:val="28"/>
          <w:szCs w:val="28"/>
          <w:highlight w:val="none"/>
        </w:rPr>
      </w:pPr>
    </w:p>
    <w:p w14:paraId="5ADCC82B">
      <w:pPr>
        <w:ind w:firstLine="840" w:firstLineChars="300"/>
        <w:rPr>
          <w:rFonts w:hint="eastAsia" w:eastAsiaTheme="minorEastAsia"/>
          <w:color w:val="auto"/>
          <w:sz w:val="28"/>
          <w:szCs w:val="28"/>
          <w:highlight w:val="none"/>
          <w:lang w:eastAsia="zh-CN"/>
        </w:rPr>
      </w:pPr>
      <w:r>
        <w:rPr>
          <w:rFonts w:hint="eastAsia"/>
          <w:color w:val="auto"/>
          <w:sz w:val="28"/>
          <w:szCs w:val="28"/>
          <w:highlight w:val="none"/>
        </w:rPr>
        <w:t>采   购   人：</w:t>
      </w:r>
      <w:r>
        <w:rPr>
          <w:rFonts w:hint="eastAsia"/>
          <w:color w:val="auto"/>
          <w:sz w:val="28"/>
          <w:szCs w:val="28"/>
          <w:highlight w:val="none"/>
          <w:lang w:eastAsia="zh-CN"/>
        </w:rPr>
        <w:t>丽江市粮食和物资储备局</w:t>
      </w:r>
    </w:p>
    <w:p w14:paraId="48182441">
      <w:pPr>
        <w:ind w:firstLine="840" w:firstLineChars="300"/>
        <w:rPr>
          <w:rFonts w:hint="eastAsia"/>
          <w:color w:val="auto"/>
          <w:sz w:val="28"/>
          <w:szCs w:val="28"/>
          <w:highlight w:val="none"/>
        </w:rPr>
      </w:pPr>
      <w:r>
        <w:rPr>
          <w:rFonts w:hint="eastAsia"/>
          <w:color w:val="auto"/>
          <w:sz w:val="28"/>
          <w:szCs w:val="28"/>
          <w:highlight w:val="none"/>
        </w:rPr>
        <w:t>采购代理机构：云南禹滇工程项目咨询有限公司</w:t>
      </w:r>
    </w:p>
    <w:p w14:paraId="574764B2">
      <w:pPr>
        <w:ind w:firstLine="840" w:firstLineChars="300"/>
        <w:jc w:val="center"/>
        <w:rPr>
          <w:rFonts w:hint="eastAsia"/>
          <w:color w:val="auto"/>
          <w:sz w:val="28"/>
          <w:szCs w:val="28"/>
          <w:highlight w:val="none"/>
        </w:rPr>
      </w:pPr>
      <w:r>
        <w:rPr>
          <w:rFonts w:hint="eastAsia"/>
          <w:color w:val="auto"/>
          <w:sz w:val="28"/>
          <w:szCs w:val="28"/>
          <w:highlight w:val="none"/>
        </w:rPr>
        <w:t>202</w:t>
      </w:r>
      <w:r>
        <w:rPr>
          <w:rFonts w:hint="eastAsia"/>
          <w:color w:val="auto"/>
          <w:sz w:val="28"/>
          <w:szCs w:val="28"/>
          <w:highlight w:val="none"/>
          <w:lang w:val="en-US" w:eastAsia="zh-CN"/>
        </w:rPr>
        <w:t>6</w:t>
      </w:r>
      <w:r>
        <w:rPr>
          <w:rFonts w:hint="eastAsia"/>
          <w:color w:val="auto"/>
          <w:sz w:val="28"/>
          <w:szCs w:val="28"/>
          <w:highlight w:val="none"/>
        </w:rPr>
        <w:t>年</w:t>
      </w:r>
      <w:r>
        <w:rPr>
          <w:rFonts w:hint="eastAsia"/>
          <w:color w:val="auto"/>
          <w:sz w:val="28"/>
          <w:szCs w:val="28"/>
          <w:highlight w:val="none"/>
          <w:lang w:val="en-US" w:eastAsia="zh-CN"/>
        </w:rPr>
        <w:t>6</w:t>
      </w:r>
      <w:r>
        <w:rPr>
          <w:rFonts w:hint="eastAsia"/>
          <w:color w:val="auto"/>
          <w:sz w:val="28"/>
          <w:szCs w:val="28"/>
          <w:highlight w:val="none"/>
        </w:rPr>
        <w:t>月</w:t>
      </w:r>
    </w:p>
    <w:p w14:paraId="5547E9E9">
      <w:pPr>
        <w:jc w:val="center"/>
        <w:rPr>
          <w:rFonts w:hint="eastAsia"/>
          <w:color w:val="auto"/>
          <w:sz w:val="28"/>
          <w:szCs w:val="28"/>
          <w:highlight w:val="none"/>
        </w:rPr>
        <w:sectPr>
          <w:pgSz w:w="11906" w:h="16838"/>
          <w:pgMar w:top="1440" w:right="1800" w:bottom="1440" w:left="1800" w:header="851" w:footer="992" w:gutter="0"/>
          <w:pgNumType w:fmt="decimal" w:start="1"/>
          <w:cols w:space="720" w:num="1"/>
          <w:docGrid w:type="lines" w:linePitch="312" w:charSpace="0"/>
        </w:sectPr>
      </w:pPr>
      <w:r>
        <w:rPr>
          <w:rFonts w:hint="eastAsia"/>
          <w:color w:val="auto"/>
          <w:sz w:val="28"/>
          <w:szCs w:val="28"/>
          <w:highlight w:val="none"/>
        </w:rPr>
        <w:br w:type="page"/>
      </w:r>
    </w:p>
    <w:sdt>
      <w:sdtPr>
        <w:rPr>
          <w:rFonts w:ascii="宋体" w:hAnsi="宋体" w:eastAsia="宋体" w:cstheme="minorBidi"/>
          <w:color w:val="auto"/>
          <w:kern w:val="2"/>
          <w:sz w:val="21"/>
          <w:szCs w:val="24"/>
          <w:highlight w:val="none"/>
          <w:lang w:val="en-US" w:eastAsia="zh-CN" w:bidi="ar-SA"/>
        </w:rPr>
        <w:id w:val="147466786"/>
        <w15:color w:val="DBDBDB"/>
        <w:docPartObj>
          <w:docPartGallery w:val="Table of Contents"/>
          <w:docPartUnique/>
        </w:docPartObj>
      </w:sdtPr>
      <w:sdtEndPr>
        <w:rPr>
          <w:rFonts w:hint="eastAsia" w:asciiTheme="minorHAnsi" w:hAnsiTheme="minorHAnsi" w:eastAsiaTheme="minorEastAsia" w:cstheme="minorBidi"/>
          <w:color w:val="auto"/>
          <w:kern w:val="2"/>
          <w:sz w:val="21"/>
          <w:szCs w:val="24"/>
          <w:highlight w:val="none"/>
          <w:lang w:val="en-US" w:eastAsia="zh-CN" w:bidi="ar-SA"/>
        </w:rPr>
      </w:sdtEndPr>
      <w:sdtContent>
        <w:p w14:paraId="16D4B195">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highlight w:val="none"/>
              <w:lang w:val="en-US" w:eastAsia="zh-CN" w:bidi="ar-SA"/>
            </w:rPr>
          </w:pPr>
        </w:p>
        <w:p w14:paraId="20E5BB21">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highlight w:val="none"/>
              <w:lang w:val="en-US" w:eastAsia="zh-CN" w:bidi="ar-SA"/>
            </w:rPr>
          </w:pPr>
        </w:p>
        <w:p w14:paraId="1D5588F5">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highlight w:val="none"/>
              <w:lang w:val="en-US" w:eastAsia="zh-CN" w:bidi="ar-SA"/>
            </w:rPr>
          </w:pPr>
        </w:p>
        <w:p w14:paraId="35E0FAAA">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highlight w:val="none"/>
              <w:lang w:val="en-US" w:eastAsia="zh-CN" w:bidi="ar-SA"/>
            </w:rPr>
          </w:pPr>
        </w:p>
        <w:p w14:paraId="066AB232">
          <w:pPr>
            <w:spacing w:before="0" w:beforeLines="0" w:after="0" w:afterLines="0" w:line="240" w:lineRule="auto"/>
            <w:ind w:left="0" w:leftChars="0" w:right="0" w:rightChars="0" w:firstLine="0" w:firstLineChars="0"/>
            <w:jc w:val="center"/>
            <w:rPr>
              <w:b/>
              <w:bCs/>
              <w:color w:val="auto"/>
              <w:sz w:val="32"/>
              <w:szCs w:val="32"/>
              <w:highlight w:val="none"/>
            </w:rPr>
          </w:pPr>
          <w:r>
            <w:rPr>
              <w:rFonts w:ascii="宋体" w:hAnsi="宋体" w:eastAsia="宋体"/>
              <w:b/>
              <w:bCs/>
              <w:color w:val="auto"/>
              <w:sz w:val="32"/>
              <w:szCs w:val="32"/>
              <w:highlight w:val="none"/>
            </w:rPr>
            <w:t>目录</w:t>
          </w:r>
        </w:p>
        <w:p w14:paraId="0EFE598C">
          <w:pPr>
            <w:pStyle w:val="13"/>
            <w:tabs>
              <w:tab w:val="right" w:leader="dot" w:pos="8306"/>
            </w:tabs>
            <w:spacing w:line="480" w:lineRule="auto"/>
            <w:rPr>
              <w:rFonts w:hint="eastAsia" w:ascii="宋体" w:hAnsi="宋体" w:eastAsia="宋体" w:cs="宋体"/>
              <w:color w:val="auto"/>
              <w:sz w:val="24"/>
              <w:szCs w:val="24"/>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D803F8">
          <w:pPr>
            <w:pStyle w:val="13"/>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_Toc11682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9E35DB">
          <w:pPr>
            <w:pStyle w:val="13"/>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合同书样式及主要条款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AE9DA1">
          <w:pPr>
            <w:pStyle w:val="13"/>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460335">
          <w:pPr>
            <w:pStyle w:val="13"/>
            <w:tabs>
              <w:tab w:val="right" w:leader="dot" w:pos="8306"/>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881D7E">
          <w:pPr>
            <w:pStyle w:val="13"/>
            <w:tabs>
              <w:tab w:val="right" w:leader="dot" w:pos="8306"/>
            </w:tabs>
            <w:spacing w:line="480" w:lineRule="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磋商程序和方法（综合评分法）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008C9B">
          <w:pPr>
            <w:pStyle w:val="23"/>
            <w:ind w:left="0" w:leftChars="0" w:firstLine="0" w:firstLineChars="0"/>
            <w:rPr>
              <w:rFonts w:hint="eastAsia" w:asciiTheme="minorHAnsi" w:hAnsiTheme="minorHAnsi" w:eastAsiaTheme="minorEastAsia" w:cstheme="minorBidi"/>
              <w:color w:val="auto"/>
              <w:kern w:val="2"/>
              <w:sz w:val="21"/>
              <w:szCs w:val="24"/>
              <w:highlight w:val="none"/>
              <w:lang w:val="en-US" w:eastAsia="zh-CN" w:bidi="ar-SA"/>
            </w:rPr>
            <w:sectPr>
              <w:pgSz w:w="11906" w:h="16838"/>
              <w:pgMar w:top="1440" w:right="1800" w:bottom="1440" w:left="1800" w:header="851" w:footer="992" w:gutter="0"/>
              <w:pgNumType w:fmt="decimal" w:start="1"/>
              <w:cols w:space="720" w:num="1"/>
              <w:docGrid w:type="lines" w:linePitch="312" w:charSpace="0"/>
            </w:sectPr>
          </w:pPr>
          <w:r>
            <w:rPr>
              <w:rFonts w:hint="eastAsia"/>
              <w:color w:val="auto"/>
              <w:highlight w:val="none"/>
            </w:rPr>
            <w:fldChar w:fldCharType="end"/>
          </w:r>
        </w:p>
      </w:sdtContent>
    </w:sdt>
    <w:p w14:paraId="4E457F54">
      <w:pPr>
        <w:pStyle w:val="23"/>
        <w:rPr>
          <w:rFonts w:hint="eastAsia" w:asciiTheme="minorHAnsi" w:hAnsiTheme="minorHAnsi" w:eastAsiaTheme="minorEastAsia" w:cstheme="minorBidi"/>
          <w:color w:val="auto"/>
          <w:kern w:val="2"/>
          <w:sz w:val="21"/>
          <w:szCs w:val="24"/>
          <w:highlight w:val="none"/>
          <w:lang w:val="en-US" w:eastAsia="zh-CN" w:bidi="ar-SA"/>
        </w:rPr>
      </w:pPr>
    </w:p>
    <w:p w14:paraId="44122D1A">
      <w:pPr>
        <w:pStyle w:val="2"/>
        <w:jc w:val="center"/>
        <w:rPr>
          <w:rFonts w:hint="eastAsia" w:ascii="宋体" w:hAnsi="宋体" w:eastAsia="宋体"/>
          <w:color w:val="auto"/>
          <w:sz w:val="32"/>
          <w:highlight w:val="none"/>
        </w:rPr>
      </w:pPr>
      <w:bookmarkStart w:id="0" w:name="_Toc4958"/>
      <w:r>
        <w:rPr>
          <w:rFonts w:hint="eastAsia" w:ascii="宋体" w:hAnsi="宋体" w:eastAsia="宋体"/>
          <w:color w:val="auto"/>
          <w:sz w:val="28"/>
          <w:highlight w:val="none"/>
        </w:rPr>
        <w:t>第一章</w:t>
      </w:r>
      <w:r>
        <w:rPr>
          <w:rFonts w:ascii="宋体" w:hAnsi="宋体" w:eastAsia="宋体"/>
          <w:color w:val="auto"/>
          <w:sz w:val="28"/>
          <w:highlight w:val="none"/>
        </w:rPr>
        <w:t xml:space="preserve">  </w:t>
      </w:r>
      <w:r>
        <w:rPr>
          <w:rFonts w:hint="eastAsia" w:ascii="宋体" w:hAnsi="宋体" w:eastAsia="宋体"/>
          <w:color w:val="auto"/>
          <w:sz w:val="28"/>
          <w:highlight w:val="none"/>
        </w:rPr>
        <w:t>竞争性磋商公告</w:t>
      </w:r>
      <w:bookmarkEnd w:id="0"/>
    </w:p>
    <w:p w14:paraId="05E62583">
      <w:pPr>
        <w:pBdr>
          <w:top w:val="single" w:color="auto" w:sz="4" w:space="1"/>
          <w:left w:val="single" w:color="auto" w:sz="4" w:space="4"/>
          <w:bottom w:val="single" w:color="auto" w:sz="4" w:space="1"/>
          <w:right w:val="single" w:color="auto" w:sz="4" w:space="4"/>
        </w:pBdr>
        <w:spacing w:line="360" w:lineRule="auto"/>
        <w:jc w:val="center"/>
        <w:rPr>
          <w:rFonts w:ascii="宋体" w:hAnsi="宋体"/>
          <w:b/>
          <w:bCs/>
          <w:color w:val="auto"/>
          <w:szCs w:val="21"/>
          <w:highlight w:val="none"/>
        </w:rPr>
      </w:pPr>
      <w:r>
        <w:rPr>
          <w:rFonts w:hint="eastAsia" w:ascii="宋体" w:hAnsi="宋体"/>
          <w:b/>
          <w:bCs/>
          <w:color w:val="auto"/>
          <w:szCs w:val="21"/>
          <w:highlight w:val="none"/>
        </w:rPr>
        <w:t>项目概况</w:t>
      </w:r>
    </w:p>
    <w:p w14:paraId="05E7F73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丽江市国有粮食企业深化改革法律咨询服务项目（</w:t>
      </w: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lang w:eastAsia="zh-CN"/>
        </w:rPr>
        <w:t>次）</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“政采云”平台（网址：</w:t>
      </w:r>
      <w:r>
        <w:rPr>
          <w:rFonts w:ascii="宋体" w:hAnsi="宋体"/>
          <w:color w:val="auto"/>
          <w:szCs w:val="21"/>
          <w:highlight w:val="none"/>
          <w:u w:val="single"/>
        </w:rPr>
        <w:fldChar w:fldCharType="begin"/>
      </w:r>
      <w:r>
        <w:rPr>
          <w:rFonts w:ascii="宋体" w:hAnsi="宋体"/>
          <w:color w:val="auto"/>
          <w:szCs w:val="21"/>
          <w:highlight w:val="none"/>
          <w:u w:val="single"/>
        </w:rPr>
        <w:instrText xml:space="preserve"> HYPERLINK "http://</w:instrText>
      </w:r>
      <w:r>
        <w:rPr>
          <w:rFonts w:hint="eastAsia" w:ascii="宋体" w:hAnsi="宋体"/>
          <w:color w:val="auto"/>
          <w:szCs w:val="21"/>
          <w:highlight w:val="none"/>
          <w:u w:val="single"/>
        </w:rPr>
        <w:instrText xml:space="preserve">www.zcygov.cn）获取采购文件，并于202</w:instrText>
      </w:r>
      <w:r>
        <w:rPr>
          <w:rFonts w:ascii="宋体" w:hAnsi="宋体"/>
          <w:color w:val="auto"/>
          <w:szCs w:val="21"/>
          <w:highlight w:val="none"/>
          <w:u w:val="single"/>
        </w:rPr>
        <w:instrText xml:space="preserve">5</w:instrText>
      </w:r>
      <w:r>
        <w:rPr>
          <w:rFonts w:hint="eastAsia" w:ascii="宋体" w:hAnsi="宋体"/>
          <w:color w:val="auto"/>
          <w:szCs w:val="21"/>
          <w:highlight w:val="none"/>
          <w:u w:val="single"/>
        </w:rPr>
        <w:instrText xml:space="preserve">年</w:instrText>
      </w:r>
      <w:r>
        <w:rPr>
          <w:rFonts w:ascii="宋体" w:hAnsi="宋体"/>
          <w:color w:val="auto"/>
          <w:szCs w:val="21"/>
          <w:highlight w:val="none"/>
          <w:u w:val="single"/>
        </w:rPr>
        <w:instrText xml:space="preserve">" </w:instrText>
      </w:r>
      <w:r>
        <w:rPr>
          <w:rFonts w:ascii="宋体" w:hAnsi="宋体"/>
          <w:color w:val="auto"/>
          <w:szCs w:val="21"/>
          <w:highlight w:val="none"/>
          <w:u w:val="single"/>
        </w:rPr>
        <w:fldChar w:fldCharType="separate"/>
      </w:r>
      <w:r>
        <w:rPr>
          <w:rStyle w:val="21"/>
          <w:rFonts w:hint="eastAsia" w:ascii="宋体" w:hAnsi="宋体"/>
          <w:color w:val="auto"/>
          <w:szCs w:val="21"/>
          <w:highlight w:val="none"/>
          <w:u w:val="single"/>
        </w:rPr>
        <w:t>www.zcygov.cn）</w:t>
      </w:r>
      <w:r>
        <w:rPr>
          <w:rStyle w:val="21"/>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年</w:t>
      </w:r>
      <w:r>
        <w:rPr>
          <w:rFonts w:ascii="宋体" w:hAnsi="宋体"/>
          <w:color w:val="auto"/>
          <w:szCs w:val="21"/>
          <w:highlight w:val="none"/>
          <w:u w:val="single"/>
        </w:rPr>
        <w:fldChar w:fldCharType="end"/>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lang w:eastAsia="zh-CN"/>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lang w:eastAsia="zh-CN"/>
        </w:rPr>
        <w:t>分</w:t>
      </w:r>
      <w:r>
        <w:rPr>
          <w:rFonts w:hint="eastAsia" w:ascii="宋体" w:hAnsi="宋体"/>
          <w:color w:val="auto"/>
          <w:szCs w:val="21"/>
          <w:highlight w:val="none"/>
        </w:rPr>
        <w:t>（北京时间）前提交响应文件。</w:t>
      </w:r>
    </w:p>
    <w:p w14:paraId="1818CB52">
      <w:pPr>
        <w:pStyle w:val="3"/>
        <w:jc w:val="both"/>
        <w:rPr>
          <w:rFonts w:ascii="宋体" w:hAnsi="宋体" w:cs="宋体"/>
          <w:b/>
          <w:bCs w:val="0"/>
          <w:color w:val="auto"/>
          <w:sz w:val="21"/>
          <w:szCs w:val="21"/>
          <w:highlight w:val="none"/>
        </w:rPr>
      </w:pPr>
      <w:bookmarkStart w:id="1" w:name="_Toc4021"/>
      <w:bookmarkStart w:id="2" w:name="_Toc54077576"/>
      <w:bookmarkStart w:id="3" w:name="_Toc49156914"/>
      <w:bookmarkStart w:id="4" w:name="_Toc28359012"/>
      <w:bookmarkStart w:id="5" w:name="_Toc35393629"/>
      <w:bookmarkStart w:id="6" w:name="_Toc35393798"/>
      <w:bookmarkStart w:id="7" w:name="_Toc28359089"/>
      <w:r>
        <w:rPr>
          <w:rFonts w:hint="eastAsia" w:ascii="宋体" w:hAnsi="宋体" w:cs="宋体"/>
          <w:b/>
          <w:bCs w:val="0"/>
          <w:color w:val="auto"/>
          <w:sz w:val="21"/>
          <w:szCs w:val="21"/>
          <w:highlight w:val="none"/>
        </w:rPr>
        <w:t>一、项目基本情况</w:t>
      </w:r>
      <w:bookmarkEnd w:id="1"/>
      <w:bookmarkEnd w:id="2"/>
      <w:bookmarkEnd w:id="3"/>
      <w:bookmarkEnd w:id="4"/>
      <w:bookmarkEnd w:id="5"/>
      <w:bookmarkEnd w:id="6"/>
      <w:bookmarkEnd w:id="7"/>
    </w:p>
    <w:p w14:paraId="54FCC673">
      <w:pPr>
        <w:spacing w:line="360" w:lineRule="auto"/>
        <w:ind w:firstLine="42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LJZC2026-C3-00435-YNYD-0005</w:t>
      </w:r>
    </w:p>
    <w:p w14:paraId="611E3C72">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丽江市国有粮食企业深化改革法律咨询服务项目（三次）</w:t>
      </w:r>
    </w:p>
    <w:p w14:paraId="677531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696E67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150.00万元</w:t>
      </w:r>
    </w:p>
    <w:p w14:paraId="709BBB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150.00万元</w:t>
      </w:r>
    </w:p>
    <w:p w14:paraId="7F8EFB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val="en-US" w:eastAsia="zh-CN"/>
        </w:rPr>
        <w:t>对丽江市国有粮食企业深化改革提供法律咨询服务。服务内容包括但不限于：对丽江市现有5户国有粮食企业进行全面摸底调研，出具审计报告、尽职调查报告及整合重组建议方案，配合采购人提交审议《重组方案》，审议通过后协助方案落地实施，对国有资产开展评估工作，出具评估报告上报国资监管部门。</w:t>
      </w:r>
      <w:r>
        <w:rPr>
          <w:rFonts w:hint="eastAsia" w:ascii="宋体" w:hAnsi="宋体"/>
          <w:color w:val="auto"/>
          <w:szCs w:val="21"/>
          <w:highlight w:val="none"/>
        </w:rPr>
        <w:t>本项目共设一个标段。供应商必须对本项目所有内容进行完整报价，不得出现缺项、漏项或无报价的情况，否则响应文件将按无效处理。具体要求等详见本竞争性磋商文件第五章《采购需求》。</w:t>
      </w:r>
    </w:p>
    <w:p w14:paraId="22F122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自合同签订之日起</w:t>
      </w:r>
      <w:r>
        <w:rPr>
          <w:rFonts w:hint="eastAsia" w:ascii="宋体" w:hAnsi="宋体"/>
          <w:color w:val="auto"/>
          <w:szCs w:val="21"/>
          <w:highlight w:val="none"/>
          <w:lang w:val="en-US" w:eastAsia="zh-CN"/>
        </w:rPr>
        <w:t>至合同约定的内容完成为止</w:t>
      </w:r>
      <w:r>
        <w:rPr>
          <w:rFonts w:hint="eastAsia" w:ascii="宋体" w:hAnsi="宋体"/>
          <w:color w:val="auto"/>
          <w:szCs w:val="21"/>
          <w:highlight w:val="none"/>
        </w:rPr>
        <w:t>。</w:t>
      </w:r>
    </w:p>
    <w:p w14:paraId="618CA18C">
      <w:pPr>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val="en-US" w:eastAsia="zh-CN"/>
        </w:rPr>
        <w:t>项目实施地点：</w:t>
      </w:r>
      <w:r>
        <w:rPr>
          <w:rFonts w:hint="eastAsia" w:ascii="宋体" w:hAnsi="宋体"/>
          <w:color w:val="auto"/>
          <w:szCs w:val="21"/>
          <w:highlight w:val="none"/>
          <w:lang w:eastAsia="zh-CN"/>
        </w:rPr>
        <w:t>丽江市粮食和物资储备局</w:t>
      </w:r>
      <w:r>
        <w:rPr>
          <w:rFonts w:hint="eastAsia" w:ascii="宋体" w:hAnsi="宋体"/>
          <w:color w:val="auto"/>
          <w:szCs w:val="21"/>
          <w:highlight w:val="none"/>
          <w:lang w:val="en-US" w:eastAsia="zh-CN"/>
        </w:rPr>
        <w:t>指定地点。</w:t>
      </w:r>
    </w:p>
    <w:p w14:paraId="3CB325F0">
      <w:pPr>
        <w:spacing w:line="360" w:lineRule="auto"/>
        <w:ind w:firstLine="420" w:firstLineChars="200"/>
        <w:rPr>
          <w:rFonts w:ascii="宋体" w:hAnsi="宋体"/>
          <w:b/>
          <w:bCs/>
          <w:color w:val="auto"/>
          <w:szCs w:val="21"/>
          <w:highlight w:val="none"/>
        </w:rPr>
      </w:pPr>
      <w:r>
        <w:rPr>
          <w:rFonts w:hint="eastAsia" w:ascii="宋体" w:hAnsi="宋体"/>
          <w:b/>
          <w:bCs/>
          <w:color w:val="auto"/>
          <w:szCs w:val="21"/>
          <w:highlight w:val="none"/>
        </w:rPr>
        <w:t>本项目接受联合体。</w:t>
      </w:r>
    </w:p>
    <w:p w14:paraId="4EC5D38C">
      <w:pPr>
        <w:pStyle w:val="3"/>
        <w:jc w:val="both"/>
        <w:rPr>
          <w:rFonts w:ascii="宋体" w:hAnsi="宋体" w:cs="宋体"/>
          <w:b/>
          <w:bCs w:val="0"/>
          <w:color w:val="auto"/>
          <w:sz w:val="21"/>
          <w:szCs w:val="21"/>
          <w:highlight w:val="none"/>
        </w:rPr>
      </w:pPr>
      <w:bookmarkStart w:id="8" w:name="_Toc28359090"/>
      <w:bookmarkStart w:id="9" w:name="_Toc35393630"/>
      <w:bookmarkStart w:id="10" w:name="_Toc35393799"/>
      <w:bookmarkStart w:id="11" w:name="_Toc54077577"/>
      <w:bookmarkStart w:id="12" w:name="_Toc28359013"/>
      <w:bookmarkStart w:id="13" w:name="_Toc49156915"/>
      <w:bookmarkStart w:id="14" w:name="_Toc755"/>
      <w:r>
        <w:rPr>
          <w:rFonts w:hint="eastAsia" w:ascii="宋体" w:hAnsi="宋体" w:cs="宋体"/>
          <w:b/>
          <w:bCs w:val="0"/>
          <w:color w:val="auto"/>
          <w:sz w:val="21"/>
          <w:szCs w:val="21"/>
          <w:highlight w:val="none"/>
        </w:rPr>
        <w:t>二、申请人的资格要求</w:t>
      </w:r>
      <w:bookmarkEnd w:id="8"/>
      <w:bookmarkEnd w:id="9"/>
      <w:bookmarkEnd w:id="10"/>
      <w:bookmarkEnd w:id="11"/>
      <w:bookmarkEnd w:id="12"/>
      <w:bookmarkEnd w:id="13"/>
      <w:bookmarkEnd w:id="14"/>
    </w:p>
    <w:p w14:paraId="1FCE71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945B218">
      <w:pPr>
        <w:spacing w:line="360" w:lineRule="auto"/>
        <w:ind w:firstLine="420" w:firstLineChars="200"/>
        <w:rPr>
          <w:rFonts w:hint="eastAsia" w:ascii="宋体" w:hAnsi="宋体"/>
          <w:color w:val="auto"/>
          <w:szCs w:val="21"/>
          <w:highlight w:val="none"/>
        </w:rPr>
      </w:pPr>
      <w:bookmarkStart w:id="15" w:name="_Toc28359014"/>
      <w:bookmarkStart w:id="16" w:name="_Toc28359091"/>
      <w:r>
        <w:rPr>
          <w:rFonts w:hint="eastAsia" w:ascii="宋体" w:hAnsi="宋体"/>
          <w:color w:val="auto"/>
          <w:szCs w:val="21"/>
          <w:highlight w:val="none"/>
        </w:rPr>
        <w:t>1.1具有独立承担民事责任的能力：供应商须是具有独立承担民事责任能力的法人、其他组织或者自然人，提供营业执照或身份证明文件（复印件加盖公章</w:t>
      </w:r>
      <w:r>
        <w:rPr>
          <w:rFonts w:hint="eastAsia" w:ascii="宋体" w:hAnsi="宋体"/>
          <w:color w:val="auto"/>
          <w:szCs w:val="21"/>
          <w:highlight w:val="none"/>
          <w:lang w:eastAsia="zh-CN"/>
        </w:rPr>
        <w:t>，如为联合体</w:t>
      </w:r>
      <w:r>
        <w:rPr>
          <w:rFonts w:hint="eastAsia" w:ascii="宋体" w:hAnsi="宋体"/>
          <w:color w:val="auto"/>
          <w:szCs w:val="21"/>
          <w:highlight w:val="none"/>
          <w:lang w:val="en-US" w:eastAsia="zh-CN"/>
        </w:rPr>
        <w:t>参加磋商</w:t>
      </w:r>
      <w:r>
        <w:rPr>
          <w:rFonts w:hint="eastAsia" w:ascii="宋体" w:hAnsi="宋体"/>
          <w:color w:val="auto"/>
          <w:szCs w:val="21"/>
          <w:highlight w:val="none"/>
          <w:lang w:eastAsia="zh-CN"/>
        </w:rPr>
        <w:t>的，联合体各方均需提供）</w:t>
      </w:r>
      <w:r>
        <w:rPr>
          <w:rFonts w:hint="eastAsia" w:ascii="宋体" w:hAnsi="宋体"/>
          <w:color w:val="auto"/>
          <w:szCs w:val="21"/>
          <w:highlight w:val="none"/>
        </w:rPr>
        <w:t>。</w:t>
      </w:r>
    </w:p>
    <w:p w14:paraId="62EF74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1.2具有良好的商业信誉和健全的财务会计制度：供应商满足下列任一要求：（提供下述①～②项证明材料任意一种即可）</w:t>
      </w:r>
    </w:p>
    <w:p w14:paraId="54624C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lang w:val="en-US" w:eastAsia="zh-CN"/>
        </w:rPr>
        <w:t>供应商</w:t>
      </w:r>
      <w:r>
        <w:rPr>
          <w:rFonts w:hint="eastAsia" w:ascii="宋体" w:hAnsi="宋体"/>
          <w:color w:val="auto"/>
          <w:szCs w:val="21"/>
          <w:highlight w:val="none"/>
        </w:rPr>
        <w:t>须提供2023年度至2025年度任意一年的经第三方审计的财务报表（包括审计报告、资产负债表、利润表、现金流量表）或公司内部财务报表（至少包括资产负债表、利润表、现金流量表），成立不满1年的，提供自成立至今的财务报表（包括资产负债表、利润表、现金流量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w:t>
      </w:r>
      <w:r>
        <w:rPr>
          <w:rFonts w:hint="eastAsia" w:ascii="宋体" w:hAnsi="宋体"/>
          <w:color w:val="auto"/>
          <w:szCs w:val="21"/>
          <w:highlight w:val="none"/>
          <w:lang w:eastAsia="zh-CN"/>
        </w:rPr>
        <w:t>复印件加盖公章，</w:t>
      </w:r>
      <w:r>
        <w:rPr>
          <w:rFonts w:hint="eastAsia" w:ascii="宋体" w:hAnsi="宋体"/>
          <w:color w:val="auto"/>
          <w:szCs w:val="21"/>
          <w:highlight w:val="none"/>
        </w:rPr>
        <w:t>若</w:t>
      </w:r>
      <w:r>
        <w:rPr>
          <w:rFonts w:hint="eastAsia" w:ascii="宋体" w:hAnsi="宋体"/>
          <w:color w:val="auto"/>
          <w:szCs w:val="21"/>
          <w:highlight w:val="none"/>
          <w:lang w:val="en-US" w:eastAsia="zh-CN"/>
        </w:rPr>
        <w:t>供应商</w:t>
      </w:r>
      <w:r>
        <w:rPr>
          <w:rFonts w:hint="eastAsia" w:ascii="宋体" w:hAnsi="宋体"/>
          <w:color w:val="auto"/>
          <w:szCs w:val="21"/>
          <w:highlight w:val="none"/>
        </w:rPr>
        <w:t xml:space="preserve">为自然人的也可提供承诺函，若为非营利性单位或者社会团体或者其他机关事业单位也可提供以符合财务会计制度为准的证明材料或者提供承诺函）；         </w:t>
      </w:r>
    </w:p>
    <w:p w14:paraId="4F509D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②提供在</w:t>
      </w:r>
      <w:r>
        <w:rPr>
          <w:rFonts w:hint="eastAsia" w:ascii="宋体" w:hAnsi="宋体"/>
          <w:color w:val="auto"/>
          <w:szCs w:val="21"/>
          <w:highlight w:val="none"/>
          <w:lang w:val="en-US" w:eastAsia="zh-CN"/>
        </w:rPr>
        <w:t>响应</w:t>
      </w:r>
      <w:r>
        <w:rPr>
          <w:rFonts w:hint="eastAsia" w:ascii="宋体" w:hAnsi="宋体"/>
          <w:color w:val="auto"/>
          <w:szCs w:val="21"/>
          <w:highlight w:val="none"/>
        </w:rPr>
        <w:t>文件</w:t>
      </w:r>
      <w:r>
        <w:rPr>
          <w:rFonts w:hint="eastAsia" w:ascii="宋体" w:hAnsi="宋体"/>
          <w:color w:val="auto"/>
          <w:szCs w:val="21"/>
          <w:highlight w:val="none"/>
          <w:lang w:val="en-US" w:eastAsia="zh-CN"/>
        </w:rPr>
        <w:t>提交</w:t>
      </w:r>
      <w:r>
        <w:rPr>
          <w:rFonts w:hint="eastAsia" w:ascii="宋体" w:hAnsi="宋体"/>
          <w:color w:val="auto"/>
          <w:szCs w:val="21"/>
          <w:highlight w:val="none"/>
        </w:rPr>
        <w:t>截止时间前三个月内银行开具的资信证明或银行存款证明</w:t>
      </w:r>
      <w:r>
        <w:rPr>
          <w:rFonts w:hint="eastAsia" w:ascii="宋体" w:hAnsi="宋体"/>
          <w:color w:val="auto"/>
          <w:szCs w:val="21"/>
          <w:highlight w:val="none"/>
          <w:lang w:eastAsia="zh-CN"/>
        </w:rPr>
        <w:t>（提供复印件加盖公章）</w:t>
      </w:r>
      <w:r>
        <w:rPr>
          <w:rFonts w:hint="eastAsia" w:ascii="宋体" w:hAnsi="宋体"/>
          <w:color w:val="auto"/>
          <w:szCs w:val="21"/>
          <w:highlight w:val="none"/>
        </w:rPr>
        <w:t>。</w:t>
      </w:r>
    </w:p>
    <w:p w14:paraId="2807C0B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szCs w:val="21"/>
          <w:highlight w:val="none"/>
        </w:rPr>
        <w:t>（如为联合体参加磋商的，联合体各方均需提供）</w:t>
      </w:r>
    </w:p>
    <w:p w14:paraId="30E373E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具有履行合同所必需的设备和专业技术能力（提供证明材料或</w:t>
      </w:r>
      <w:r>
        <w:rPr>
          <w:rFonts w:hint="eastAsia" w:ascii="宋体" w:hAnsi="宋体" w:eastAsia="宋体" w:cs="宋体"/>
          <w:bCs/>
          <w:color w:val="auto"/>
          <w:sz w:val="21"/>
          <w:szCs w:val="21"/>
          <w:highlight w:val="none"/>
          <w:lang w:val="en-US" w:eastAsia="zh-CN"/>
        </w:rPr>
        <w:t>书面</w:t>
      </w:r>
      <w:r>
        <w:rPr>
          <w:rFonts w:hint="eastAsia" w:ascii="宋体" w:hAnsi="宋体" w:eastAsia="宋体" w:cs="宋体"/>
          <w:bCs/>
          <w:color w:val="auto"/>
          <w:sz w:val="21"/>
          <w:szCs w:val="21"/>
          <w:highlight w:val="none"/>
        </w:rPr>
        <w:t>承诺</w:t>
      </w:r>
      <w:r>
        <w:rPr>
          <w:rFonts w:hint="eastAsia" w:ascii="宋体" w:hAnsi="宋体" w:eastAsia="宋体" w:cs="宋体"/>
          <w:bCs/>
          <w:color w:val="auto"/>
          <w:sz w:val="21"/>
          <w:szCs w:val="21"/>
          <w:highlight w:val="none"/>
          <w:lang w:eastAsia="zh-CN"/>
        </w:rPr>
        <w:t>，如为联合体参加磋商的，联合体各方均需提供</w:t>
      </w:r>
      <w:r>
        <w:rPr>
          <w:rFonts w:hint="eastAsia" w:ascii="宋体" w:hAnsi="宋体" w:eastAsia="宋体" w:cs="宋体"/>
          <w:bCs/>
          <w:color w:val="auto"/>
          <w:sz w:val="21"/>
          <w:szCs w:val="21"/>
          <w:highlight w:val="none"/>
        </w:rPr>
        <w:t>）。</w:t>
      </w:r>
    </w:p>
    <w:p w14:paraId="16A13332">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rPr>
        <w:t>有依法缴纳税收和社会保障资金的良好记录。</w:t>
      </w:r>
    </w:p>
    <w:p w14:paraId="2C24A7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（1）提供供应商缴税所属时间在202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07</w:t>
      </w:r>
      <w:r>
        <w:rPr>
          <w:rFonts w:hint="eastAsia" w:ascii="宋体" w:hAnsi="宋体"/>
          <w:color w:val="auto"/>
          <w:szCs w:val="21"/>
          <w:highlight w:val="none"/>
        </w:rPr>
        <w:t>月至本项目提交响应文件截止时间前任意1个月的税务局税收通用缴款书或银行电子缴税（费）凭证或税务局出具的纳税情况的相关证明；依法免税的，应提供依法免税的相关证明文件（加盖供应商公章）；至响应文件提交截止时间止成立不足1个月的供应商可提供相关情况说明（加盖供应商公章）；</w:t>
      </w:r>
    </w:p>
    <w:p w14:paraId="79695E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（2）提供供应商缴费所属时间在202</w:t>
      </w:r>
      <w:r>
        <w:rPr>
          <w:rFonts w:hint="eastAsia" w:ascii="宋体" w:hAnsi="宋体"/>
          <w:color w:val="auto"/>
          <w:szCs w:val="21"/>
          <w:highlight w:val="none"/>
          <w:lang w:val="en-US" w:eastAsia="zh-CN"/>
        </w:rPr>
        <w:t>5</w:t>
      </w:r>
      <w:r>
        <w:rPr>
          <w:rFonts w:hint="eastAsia" w:ascii="宋体" w:hAnsi="宋体"/>
          <w:color w:val="auto"/>
          <w:szCs w:val="21"/>
          <w:highlight w:val="none"/>
        </w:rPr>
        <w:t>年0</w:t>
      </w:r>
      <w:r>
        <w:rPr>
          <w:rFonts w:hint="eastAsia" w:ascii="宋体" w:hAnsi="宋体"/>
          <w:color w:val="auto"/>
          <w:szCs w:val="21"/>
          <w:highlight w:val="none"/>
          <w:lang w:val="en-US" w:eastAsia="zh-CN"/>
        </w:rPr>
        <w:t>7</w:t>
      </w:r>
      <w:r>
        <w:rPr>
          <w:rFonts w:hint="eastAsia" w:ascii="宋体" w:hAnsi="宋体"/>
          <w:color w:val="auto"/>
          <w:szCs w:val="21"/>
          <w:highlight w:val="none"/>
        </w:rPr>
        <w:t>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6B4EAC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（如为联合体参加磋商的，联合体各方均需提供）</w:t>
      </w:r>
    </w:p>
    <w:p w14:paraId="5E3CDD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r>
        <w:rPr>
          <w:rFonts w:hint="eastAsia" w:ascii="宋体" w:hAnsi="宋体"/>
          <w:color w:val="auto"/>
          <w:szCs w:val="21"/>
          <w:highlight w:val="none"/>
          <w:lang w:eastAsia="zh-CN"/>
        </w:rPr>
        <w:t>，如为联合体参加磋商的，联合体各方均需提供</w:t>
      </w:r>
      <w:r>
        <w:rPr>
          <w:rFonts w:hint="eastAsia" w:ascii="宋体" w:hAnsi="宋体"/>
          <w:color w:val="auto"/>
          <w:szCs w:val="21"/>
          <w:highlight w:val="none"/>
        </w:rPr>
        <w:t>）。</w:t>
      </w:r>
    </w:p>
    <w:p w14:paraId="7409B0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1.6法律、行政法规规定的其他条件</w:t>
      </w:r>
    </w:p>
    <w:p w14:paraId="735985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应商在本项目响应文件提交截止时间前在信用中国网站（www.creditchina.gov.cn）“信用信息”查询栏中查询下载的信用报告或“信用服务”查询栏中查询的信息记录（包括失信被执行人查询、重大税收违法失信主体查询、政府采购严重违法失信行为记录名单）未出现不良信用信息查询记录（查询时间为本公告发布之日起至提交响应文件截止时间止，查询结果以采购人、采购代理机构查询结果为准，并将查询记录和证据留存）；</w:t>
      </w:r>
    </w:p>
    <w:p w14:paraId="12CB0F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供应商在本项目响应文件提交截止时间前在中国政府采购网（www.ccgp.gov.cn）政府采购严重违法失信行为记录名单内无不良信息记录，被禁止在一定期限内参加政府采购活动但期限届满的除外（查询时间为本公告发布之日起至提交响应文件截止时间止，查询结果以采购人、采购代理机构查询结果为准，并将查询记录和证据留存）；</w:t>
      </w:r>
    </w:p>
    <w:p w14:paraId="24B291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（3）单位负责人为同一人或者存在直接控股、管理关系的不同供应商，不得参加同一合同项下的政府采购活动（提供供应商加盖公章书面声明）；</w:t>
      </w:r>
    </w:p>
    <w:p w14:paraId="7D718D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（4）为采购项目提供整体设计、规范编制或者项目管理、监理、检测等服务的供应商，不得再参加该采购项目的其他采购活动（提供供应商加盖公章的书面声明）。</w:t>
      </w:r>
    </w:p>
    <w:p w14:paraId="372E9D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（如为联合体参加磋商的，联合体各方均需提供）</w:t>
      </w:r>
    </w:p>
    <w:p w14:paraId="53464660">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.落实政府采购政策需满足的资格要求：无，本项目不属于专门面向中小企业采购的项目。</w:t>
      </w:r>
    </w:p>
    <w:p w14:paraId="45AEF5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p>
    <w:p w14:paraId="11B38185">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3.1供应商应同时具备以下资格条件</w:t>
      </w:r>
    </w:p>
    <w:p w14:paraId="74AD1DD2">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供应商具有合法有效的律师事务所执业许可证，若为分所或分支机构参加</w:t>
      </w:r>
      <w:r>
        <w:rPr>
          <w:rFonts w:hint="eastAsia" w:ascii="宋体" w:hAnsi="宋体"/>
          <w:color w:val="auto"/>
          <w:szCs w:val="21"/>
          <w:highlight w:val="none"/>
          <w:lang w:val="en-US" w:eastAsia="zh-CN"/>
        </w:rPr>
        <w:t>竞争性磋商</w:t>
      </w:r>
      <w:r>
        <w:rPr>
          <w:rFonts w:hint="eastAsia" w:ascii="宋体" w:hAnsi="宋体"/>
          <w:color w:val="auto"/>
          <w:szCs w:val="21"/>
          <w:highlight w:val="none"/>
        </w:rPr>
        <w:t>，须获得总所的唯一授权，并提供分所的执业许可证及总所的业务许可证（注：总所可以一次授权或总体授权，同一个事务所的多家分所或分支机构不可同时参与本项目磋商）</w:t>
      </w:r>
      <w:r>
        <w:rPr>
          <w:rFonts w:hint="eastAsia" w:ascii="宋体" w:hAnsi="宋体"/>
          <w:color w:val="auto"/>
          <w:szCs w:val="21"/>
          <w:highlight w:val="none"/>
          <w:lang w:eastAsia="zh-CN"/>
        </w:rPr>
        <w:t>（提供复印件加盖公章）；</w:t>
      </w:r>
    </w:p>
    <w:p w14:paraId="218585BF">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）供应商须具有财政部门颁发的合法有效的《会计师事务所执业证书》，若为分所参加竞争性磋商，须获得总所的唯一授权，</w:t>
      </w:r>
      <w:r>
        <w:rPr>
          <w:rFonts w:hint="eastAsia" w:ascii="宋体" w:hAnsi="宋体"/>
          <w:color w:val="auto"/>
          <w:szCs w:val="21"/>
          <w:highlight w:val="none"/>
          <w:lang w:val="en-US" w:eastAsia="zh-CN"/>
        </w:rPr>
        <w:t>并</w:t>
      </w:r>
      <w:r>
        <w:rPr>
          <w:rFonts w:hint="eastAsia" w:ascii="宋体" w:hAnsi="宋体"/>
          <w:color w:val="auto"/>
          <w:szCs w:val="21"/>
          <w:highlight w:val="none"/>
          <w:lang w:eastAsia="zh-CN"/>
        </w:rPr>
        <w:t>提供分所的《会计师事务所执业证书》（注：总所可以一次授权或总体授权，同一个事务所的多家分所不可同时参与本项目磋商）（提供复印件加盖公章）；</w:t>
      </w:r>
    </w:p>
    <w:p w14:paraId="510FE3C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供应商已根据《财政部关于做好资产评估机构备案管理工作的通知》（财资〔2017〕26号）及《自然资源部办公厅关于土地估价机构备案工作的通知》自然资办发〔2022〕42号的要求完成资产评估机构备案及</w:t>
      </w:r>
      <w:r>
        <w:rPr>
          <w:rFonts w:hint="eastAsia" w:ascii="宋体" w:hAnsi="宋体"/>
          <w:color w:val="auto"/>
          <w:szCs w:val="21"/>
          <w:highlight w:val="none"/>
          <w:lang w:eastAsia="zh-CN"/>
        </w:rPr>
        <w:t>土地估价机构备案，</w:t>
      </w:r>
      <w:r>
        <w:rPr>
          <w:rFonts w:hint="eastAsia" w:ascii="宋体" w:hAnsi="宋体"/>
          <w:color w:val="auto"/>
          <w:szCs w:val="21"/>
          <w:highlight w:val="none"/>
          <w:lang w:val="en-US" w:eastAsia="zh-CN"/>
        </w:rPr>
        <w:t>并提供备案</w:t>
      </w:r>
      <w:r>
        <w:rPr>
          <w:rFonts w:hint="eastAsia" w:ascii="宋体" w:hAnsi="宋体"/>
          <w:color w:val="auto"/>
          <w:szCs w:val="21"/>
          <w:highlight w:val="none"/>
          <w:lang w:eastAsia="zh-CN"/>
        </w:rPr>
        <w:t>证明材料（提供复印件加盖公章）。</w:t>
      </w:r>
    </w:p>
    <w:p w14:paraId="5A4CA662">
      <w:pPr>
        <w:spacing w:line="360" w:lineRule="auto"/>
        <w:ind w:firstLine="42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3.2本项目接受联合体参与，以联合体参与</w:t>
      </w:r>
      <w:r>
        <w:rPr>
          <w:rFonts w:hint="eastAsia" w:ascii="宋体" w:hAnsi="宋体"/>
          <w:color w:val="auto"/>
          <w:szCs w:val="21"/>
          <w:highlight w:val="none"/>
          <w:lang w:val="en-US" w:eastAsia="zh-CN"/>
        </w:rPr>
        <w:t>磋商</w:t>
      </w:r>
      <w:r>
        <w:rPr>
          <w:rFonts w:hint="eastAsia" w:ascii="宋体" w:hAnsi="宋体"/>
          <w:color w:val="auto"/>
          <w:szCs w:val="21"/>
          <w:highlight w:val="none"/>
          <w:lang w:eastAsia="zh-CN"/>
        </w:rPr>
        <w:t>的牵头人及联合体成员总数不得超过</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家；联合体成员应按采购文件提供的格式签订联合体协议，明确联合体牵头单位和各方权利义务，联合体各成员在</w:t>
      </w:r>
      <w:r>
        <w:rPr>
          <w:rFonts w:hint="eastAsia" w:ascii="宋体" w:hAnsi="宋体"/>
          <w:color w:val="auto"/>
          <w:szCs w:val="21"/>
          <w:highlight w:val="none"/>
          <w:lang w:val="en-US" w:eastAsia="zh-CN"/>
        </w:rPr>
        <w:t>磋商</w:t>
      </w:r>
      <w:r>
        <w:rPr>
          <w:rFonts w:hint="eastAsia" w:ascii="宋体" w:hAnsi="宋体"/>
          <w:color w:val="auto"/>
          <w:szCs w:val="21"/>
          <w:highlight w:val="none"/>
          <w:lang w:eastAsia="zh-CN"/>
        </w:rPr>
        <w:t>、签约与履行合同过程中，依法向采购人承担连带责任。以联合体形式参加磋商的，联合体各方不得再单独参加或者与其他供应商另外组成联合体参加同一合同项下磋商。</w:t>
      </w:r>
    </w:p>
    <w:p w14:paraId="1982E340">
      <w:pPr>
        <w:pStyle w:val="3"/>
        <w:jc w:val="both"/>
        <w:rPr>
          <w:rFonts w:ascii="宋体" w:hAnsi="宋体" w:cs="宋体"/>
          <w:b/>
          <w:bCs w:val="0"/>
          <w:color w:val="auto"/>
          <w:sz w:val="21"/>
          <w:szCs w:val="21"/>
          <w:highlight w:val="none"/>
        </w:rPr>
      </w:pPr>
      <w:bookmarkStart w:id="17" w:name="_Toc54077578"/>
      <w:bookmarkStart w:id="18" w:name="_Toc35393800"/>
      <w:bookmarkStart w:id="19" w:name="_Toc7611"/>
      <w:bookmarkStart w:id="20" w:name="_Toc49156916"/>
      <w:bookmarkStart w:id="21" w:name="_Toc35393631"/>
      <w:r>
        <w:rPr>
          <w:rFonts w:hint="eastAsia" w:ascii="宋体" w:hAnsi="宋体" w:cs="宋体"/>
          <w:b/>
          <w:bCs w:val="0"/>
          <w:color w:val="auto"/>
          <w:sz w:val="21"/>
          <w:szCs w:val="21"/>
          <w:highlight w:val="none"/>
        </w:rPr>
        <w:t>三、获取采购文件</w:t>
      </w:r>
      <w:bookmarkEnd w:id="15"/>
      <w:bookmarkEnd w:id="16"/>
      <w:bookmarkEnd w:id="17"/>
      <w:bookmarkEnd w:id="18"/>
      <w:bookmarkEnd w:id="19"/>
      <w:bookmarkEnd w:id="20"/>
      <w:bookmarkEnd w:id="21"/>
    </w:p>
    <w:p w14:paraId="4CF45A5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时间：202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12</w:t>
      </w:r>
      <w:r>
        <w:rPr>
          <w:rFonts w:hint="eastAsia" w:ascii="宋体" w:hAnsi="宋体" w:cs="宋体"/>
          <w:color w:val="auto"/>
          <w:szCs w:val="21"/>
          <w:highlight w:val="none"/>
          <w:u w:val="none"/>
        </w:rPr>
        <w:t>日0</w:t>
      </w:r>
      <w:r>
        <w:rPr>
          <w:rFonts w:ascii="宋体" w:hAnsi="宋体" w:cs="宋体"/>
          <w:color w:val="auto"/>
          <w:szCs w:val="21"/>
          <w:highlight w:val="none"/>
          <w:u w:val="none"/>
        </w:rPr>
        <w:t>6</w:t>
      </w:r>
      <w:r>
        <w:rPr>
          <w:rFonts w:hint="eastAsia" w:ascii="宋体" w:hAnsi="宋体" w:cs="宋体"/>
          <w:color w:val="auto"/>
          <w:szCs w:val="21"/>
          <w:highlight w:val="none"/>
          <w:u w:val="none"/>
        </w:rPr>
        <w:t>:0</w:t>
      </w:r>
      <w:r>
        <w:rPr>
          <w:rFonts w:ascii="宋体" w:hAnsi="宋体" w:cs="宋体"/>
          <w:color w:val="auto"/>
          <w:szCs w:val="21"/>
          <w:highlight w:val="none"/>
          <w:u w:val="none"/>
        </w:rPr>
        <w:t>0</w:t>
      </w:r>
      <w:r>
        <w:rPr>
          <w:rFonts w:hint="eastAsia" w:ascii="宋体" w:hAnsi="宋体" w:cs="宋体"/>
          <w:color w:val="auto"/>
          <w:szCs w:val="21"/>
          <w:highlight w:val="none"/>
          <w:u w:val="none"/>
        </w:rPr>
        <w:t>至202</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22</w:t>
      </w:r>
      <w:r>
        <w:rPr>
          <w:rFonts w:hint="eastAsia" w:ascii="宋体" w:hAnsi="宋体" w:cs="宋体"/>
          <w:color w:val="auto"/>
          <w:szCs w:val="21"/>
          <w:highlight w:val="none"/>
          <w:u w:val="none"/>
        </w:rPr>
        <w:t>日23:59，每天上午0</w:t>
      </w:r>
      <w:r>
        <w:rPr>
          <w:rFonts w:ascii="宋体" w:hAnsi="宋体" w:cs="宋体"/>
          <w:color w:val="auto"/>
          <w:szCs w:val="21"/>
          <w:highlight w:val="none"/>
          <w:u w:val="none"/>
        </w:rPr>
        <w:t>6</w:t>
      </w:r>
      <w:r>
        <w:rPr>
          <w:rFonts w:hint="eastAsia" w:ascii="宋体" w:hAnsi="宋体" w:cs="宋体"/>
          <w:color w:val="auto"/>
          <w:szCs w:val="21"/>
          <w:highlight w:val="none"/>
          <w:u w:val="none"/>
        </w:rPr>
        <w:t>时00分至12时00分，下午12时00分至23时59分（北京时间，</w:t>
      </w:r>
      <w:r>
        <w:rPr>
          <w:rFonts w:ascii="宋体" w:hAnsi="宋体" w:cs="宋体"/>
          <w:color w:val="auto"/>
          <w:szCs w:val="21"/>
          <w:highlight w:val="none"/>
          <w:u w:val="none"/>
        </w:rPr>
        <w:t>法定节假日</w:t>
      </w:r>
      <w:r>
        <w:rPr>
          <w:rFonts w:hint="eastAsia" w:ascii="宋体" w:hAnsi="宋体" w:cs="宋体"/>
          <w:color w:val="auto"/>
          <w:szCs w:val="21"/>
          <w:highlight w:val="none"/>
          <w:u w:val="none"/>
        </w:rPr>
        <w:t>除外）</w:t>
      </w:r>
      <w:r>
        <w:rPr>
          <w:rFonts w:hint="eastAsia" w:ascii="宋体" w:hAnsi="宋体" w:cs="宋体"/>
          <w:color w:val="auto"/>
          <w:szCs w:val="21"/>
          <w:highlight w:val="none"/>
          <w:u w:val="none"/>
          <w:lang w:eastAsia="zh-CN"/>
        </w:rPr>
        <w:t>。</w:t>
      </w:r>
    </w:p>
    <w:p w14:paraId="236D99A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地点：政采云平台（</w:t>
      </w:r>
      <w:r>
        <w:rPr>
          <w:rFonts w:hint="eastAsia" w:ascii="宋体" w:hAnsi="宋体" w:cs="宋体"/>
          <w:color w:val="auto"/>
          <w:szCs w:val="21"/>
          <w:highlight w:val="none"/>
          <w:u w:val="none"/>
        </w:rPr>
        <w:fldChar w:fldCharType="begin"/>
      </w:r>
      <w:r>
        <w:rPr>
          <w:rFonts w:hint="eastAsia" w:ascii="宋体" w:hAnsi="宋体" w:cs="宋体"/>
          <w:color w:val="auto"/>
          <w:szCs w:val="21"/>
          <w:highlight w:val="none"/>
          <w:u w:val="none"/>
        </w:rPr>
        <w:instrText xml:space="preserve"> HYPERLINK "https://www.zcygov.cn" </w:instrText>
      </w:r>
      <w:r>
        <w:rPr>
          <w:rFonts w:hint="eastAsia" w:ascii="宋体" w:hAnsi="宋体" w:cs="宋体"/>
          <w:color w:val="auto"/>
          <w:szCs w:val="21"/>
          <w:highlight w:val="none"/>
          <w:u w:val="none"/>
        </w:rPr>
        <w:fldChar w:fldCharType="separate"/>
      </w:r>
      <w:r>
        <w:rPr>
          <w:rFonts w:hint="eastAsia" w:ascii="宋体" w:hAnsi="宋体" w:cs="宋体"/>
          <w:color w:val="auto"/>
          <w:szCs w:val="21"/>
          <w:highlight w:val="none"/>
          <w:u w:val="none"/>
        </w:rPr>
        <w:t>https://www.zcygov.cn</w:t>
      </w:r>
      <w:r>
        <w:rPr>
          <w:rFonts w:hint="eastAsia" w:ascii="宋体" w:hAnsi="宋体" w:cs="宋体"/>
          <w:color w:val="auto"/>
          <w:szCs w:val="21"/>
          <w:highlight w:val="none"/>
          <w:u w:val="none"/>
        </w:rPr>
        <w:fldChar w:fldCharType="end"/>
      </w:r>
      <w:r>
        <w:rPr>
          <w:rFonts w:hint="eastAsia" w:ascii="宋体" w:hAnsi="宋体" w:cs="宋体"/>
          <w:color w:val="auto"/>
          <w:szCs w:val="21"/>
          <w:highlight w:val="none"/>
          <w:u w:val="none"/>
        </w:rPr>
        <w:t>）</w:t>
      </w:r>
      <w:r>
        <w:rPr>
          <w:rFonts w:hint="eastAsia" w:ascii="宋体" w:hAnsi="宋体" w:cs="宋体"/>
          <w:color w:val="auto"/>
          <w:szCs w:val="21"/>
          <w:highlight w:val="none"/>
          <w:u w:val="none"/>
          <w:lang w:eastAsia="zh-CN"/>
        </w:rPr>
        <w:t>。</w:t>
      </w:r>
    </w:p>
    <w:p w14:paraId="2629B83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u w:val="none"/>
        </w:rPr>
      </w:pPr>
      <w:r>
        <w:rPr>
          <w:rFonts w:hint="eastAsia" w:ascii="宋体" w:hAnsi="宋体" w:cs="宋体"/>
          <w:color w:val="auto"/>
          <w:szCs w:val="21"/>
          <w:highlight w:val="none"/>
          <w:u w:val="none"/>
        </w:rPr>
        <w:t>方式：凡有意参加磋商者，须在政采云平台绑定数字证书（CA）后在网上获取采购文件及其它采购资料，数字证书（CA）办理详见办理流程</w:t>
      </w:r>
      <w:r>
        <w:rPr>
          <w:rFonts w:ascii="宋体" w:hAnsi="宋体" w:cs="宋体"/>
          <w:color w:val="auto"/>
          <w:szCs w:val="21"/>
          <w:highlight w:val="none"/>
          <w:u w:val="none"/>
        </w:rPr>
        <w:t>（</w:t>
      </w:r>
      <w:r>
        <w:rPr>
          <w:rFonts w:hint="eastAsia" w:ascii="宋体" w:hAnsi="宋体" w:cs="宋体"/>
          <w:color w:val="auto"/>
          <w:szCs w:val="21"/>
          <w:highlight w:val="none"/>
          <w:u w:val="none"/>
        </w:rPr>
        <w:t>https://middle.zcygov.cn/ca/apply/list?_app_=zcy.sys</w:t>
      </w:r>
      <w:r>
        <w:rPr>
          <w:rFonts w:ascii="宋体" w:hAnsi="宋体" w:cs="宋体"/>
          <w:color w:val="auto"/>
          <w:szCs w:val="21"/>
          <w:highlight w:val="none"/>
          <w:u w:val="none"/>
        </w:rPr>
        <w:t>）</w:t>
      </w:r>
      <w:r>
        <w:rPr>
          <w:rFonts w:hint="eastAsia" w:ascii="宋体" w:hAnsi="宋体" w:cs="宋体"/>
          <w:color w:val="auto"/>
          <w:szCs w:val="21"/>
          <w:highlight w:val="none"/>
          <w:u w:val="none"/>
        </w:rPr>
        <w:t>。注：云南本地供应商如之前已在云南 CA在线数字证书办理网进行过注册并办理过企业数字证书（CA），直接绑定即可，无需重复办理（2022年</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日前办理的云南 CA 需到云南 CA 办理处进行升级）。外省供应商在政采云平台办理的其他CA可直接使用，无需重复办理。按上述要求获取文件的供应商视为合法获取了本项目采购文件，具备</w:t>
      </w:r>
      <w:r>
        <w:rPr>
          <w:rFonts w:hint="eastAsia" w:ascii="宋体" w:hAnsi="宋体" w:cs="宋体"/>
          <w:color w:val="auto"/>
          <w:szCs w:val="21"/>
          <w:highlight w:val="none"/>
          <w:u w:val="none"/>
          <w:lang w:val="en-US" w:eastAsia="zh-CN"/>
        </w:rPr>
        <w:t>参与</w:t>
      </w:r>
      <w:r>
        <w:rPr>
          <w:rFonts w:hint="eastAsia" w:ascii="宋体" w:hAnsi="宋体" w:cs="宋体"/>
          <w:color w:val="auto"/>
          <w:szCs w:val="21"/>
          <w:highlight w:val="none"/>
          <w:u w:val="none"/>
        </w:rPr>
        <w:t>本项目的资格。</w:t>
      </w:r>
    </w:p>
    <w:p w14:paraId="18E1C29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售价：0元</w:t>
      </w:r>
    </w:p>
    <w:p w14:paraId="37EA5EA5">
      <w:pPr>
        <w:pStyle w:val="3"/>
        <w:jc w:val="both"/>
        <w:rPr>
          <w:rFonts w:hint="eastAsia" w:ascii="宋体" w:hAnsi="宋体" w:cs="宋体"/>
          <w:b/>
          <w:bCs w:val="0"/>
          <w:color w:val="auto"/>
          <w:sz w:val="21"/>
          <w:szCs w:val="21"/>
          <w:highlight w:val="none"/>
        </w:rPr>
      </w:pPr>
      <w:bookmarkStart w:id="22" w:name="_Toc54077579"/>
      <w:bookmarkStart w:id="23" w:name="_Toc28359092"/>
      <w:bookmarkStart w:id="24" w:name="_Toc35393632"/>
      <w:bookmarkStart w:id="25" w:name="_Toc25354"/>
      <w:bookmarkStart w:id="26" w:name="_Toc49156917"/>
      <w:bookmarkStart w:id="27" w:name="_Toc28359015"/>
      <w:bookmarkStart w:id="28" w:name="_Toc35393801"/>
      <w:r>
        <w:rPr>
          <w:rFonts w:hint="eastAsia" w:ascii="宋体" w:hAnsi="宋体" w:cs="宋体"/>
          <w:b/>
          <w:bCs w:val="0"/>
          <w:color w:val="auto"/>
          <w:sz w:val="21"/>
          <w:szCs w:val="21"/>
          <w:highlight w:val="none"/>
        </w:rPr>
        <w:t>四、响应文件提交</w:t>
      </w:r>
      <w:bookmarkEnd w:id="22"/>
      <w:bookmarkEnd w:id="23"/>
      <w:bookmarkEnd w:id="24"/>
      <w:bookmarkEnd w:id="25"/>
      <w:bookmarkEnd w:id="26"/>
      <w:bookmarkEnd w:id="27"/>
      <w:bookmarkEnd w:id="28"/>
      <w:r>
        <w:rPr>
          <w:rFonts w:hint="eastAsia" w:ascii="宋体" w:hAnsi="宋体" w:cs="宋体"/>
          <w:b/>
          <w:bCs w:val="0"/>
          <w:color w:val="auto"/>
          <w:sz w:val="21"/>
          <w:szCs w:val="21"/>
          <w:highlight w:val="none"/>
        </w:rPr>
        <w:t xml:space="preserve"> </w:t>
      </w:r>
    </w:p>
    <w:p w14:paraId="7C9EA7CC">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w:t>
      </w:r>
      <w:r>
        <w:rPr>
          <w:rFonts w:hint="eastAsia" w:ascii="宋体" w:hAnsi="宋体"/>
          <w:color w:val="auto"/>
          <w:szCs w:val="21"/>
          <w:highlight w:val="none"/>
          <w:lang w:val="en-US" w:eastAsia="zh-CN"/>
        </w:rPr>
        <w:t>14</w:t>
      </w:r>
      <w:r>
        <w:rPr>
          <w:rFonts w:hint="eastAsia" w:ascii="宋体" w:hAnsi="宋体"/>
          <w:color w:val="auto"/>
          <w:szCs w:val="21"/>
          <w:highlight w:val="none"/>
        </w:rPr>
        <w:t>时</w:t>
      </w:r>
      <w:r>
        <w:rPr>
          <w:rFonts w:hint="eastAsia" w:ascii="宋体" w:hAnsi="宋体"/>
          <w:color w:val="auto"/>
          <w:szCs w:val="21"/>
          <w:highlight w:val="none"/>
          <w:lang w:val="en-US" w:eastAsia="zh-CN"/>
        </w:rPr>
        <w:t>30</w:t>
      </w:r>
      <w:r>
        <w:rPr>
          <w:rFonts w:hint="eastAsia" w:ascii="宋体" w:hAnsi="宋体"/>
          <w:color w:val="auto"/>
          <w:szCs w:val="21"/>
          <w:highlight w:val="none"/>
        </w:rPr>
        <w:t>分</w:t>
      </w:r>
      <w:r>
        <w:rPr>
          <w:rFonts w:hint="eastAsia" w:ascii="宋体" w:hAnsi="宋体"/>
          <w:bCs/>
          <w:color w:val="auto"/>
          <w:szCs w:val="21"/>
          <w:highlight w:val="none"/>
        </w:rPr>
        <w:t>（北京时间）</w:t>
      </w:r>
    </w:p>
    <w:p w14:paraId="5B4577D4">
      <w:pPr>
        <w:spacing w:line="360" w:lineRule="auto"/>
        <w:ind w:firstLine="420" w:firstLineChars="200"/>
        <w:rPr>
          <w:rFonts w:hint="eastAsia" w:ascii="宋体" w:hAnsi="宋体"/>
          <w:bCs/>
          <w:color w:val="auto"/>
          <w:szCs w:val="21"/>
          <w:highlight w:val="none"/>
          <w:u w:val="none"/>
        </w:rPr>
      </w:pPr>
      <w:r>
        <w:rPr>
          <w:rFonts w:hint="eastAsia" w:ascii="宋体" w:hAnsi="宋体"/>
          <w:color w:val="auto"/>
          <w:szCs w:val="21"/>
          <w:highlight w:val="none"/>
          <w:u w:val="none"/>
        </w:rPr>
        <w:t>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639EF61B">
      <w:pPr>
        <w:pStyle w:val="3"/>
        <w:jc w:val="both"/>
        <w:rPr>
          <w:rFonts w:ascii="宋体" w:hAnsi="宋体" w:cs="宋体"/>
          <w:b/>
          <w:bCs w:val="0"/>
          <w:color w:val="auto"/>
          <w:sz w:val="21"/>
          <w:szCs w:val="21"/>
          <w:highlight w:val="none"/>
        </w:rPr>
      </w:pPr>
      <w:bookmarkStart w:id="29" w:name="_Toc14490"/>
      <w:bookmarkStart w:id="30" w:name="_Toc54077580"/>
      <w:bookmarkStart w:id="31" w:name="_Toc35393633"/>
      <w:bookmarkStart w:id="32" w:name="_Toc35393802"/>
      <w:bookmarkStart w:id="33" w:name="_Toc49156918"/>
      <w:bookmarkStart w:id="34" w:name="_Toc28359093"/>
      <w:bookmarkStart w:id="35" w:name="_Toc28359016"/>
      <w:r>
        <w:rPr>
          <w:rFonts w:hint="eastAsia" w:ascii="宋体" w:hAnsi="宋体" w:cs="宋体"/>
          <w:b/>
          <w:bCs w:val="0"/>
          <w:color w:val="auto"/>
          <w:sz w:val="21"/>
          <w:szCs w:val="21"/>
          <w:highlight w:val="none"/>
        </w:rPr>
        <w:t>五、开启</w:t>
      </w:r>
      <w:bookmarkEnd w:id="29"/>
      <w:bookmarkEnd w:id="30"/>
      <w:bookmarkEnd w:id="31"/>
      <w:bookmarkEnd w:id="32"/>
      <w:bookmarkEnd w:id="33"/>
      <w:bookmarkEnd w:id="34"/>
      <w:bookmarkEnd w:id="35"/>
    </w:p>
    <w:p w14:paraId="79A35B5B">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bookmarkStart w:id="36" w:name="_Toc28359094"/>
      <w:bookmarkStart w:id="37" w:name="_Toc28359017"/>
      <w:bookmarkStart w:id="38" w:name="_Toc35393634"/>
      <w:bookmarkStart w:id="39" w:name="_Toc35393803"/>
      <w:r>
        <w:rPr>
          <w:rFonts w:hint="eastAsia"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24</w:t>
      </w:r>
      <w:bookmarkStart w:id="392" w:name="_GoBack"/>
      <w:bookmarkEnd w:id="392"/>
      <w:r>
        <w:rPr>
          <w:rFonts w:hint="eastAsia" w:ascii="宋体" w:hAnsi="宋体"/>
          <w:color w:val="auto"/>
          <w:szCs w:val="21"/>
          <w:highlight w:val="none"/>
        </w:rPr>
        <w:t>日</w:t>
      </w:r>
      <w:r>
        <w:rPr>
          <w:rFonts w:hint="eastAsia" w:ascii="宋体" w:hAnsi="宋体"/>
          <w:color w:val="auto"/>
          <w:szCs w:val="21"/>
          <w:highlight w:val="none"/>
          <w:lang w:val="en-US" w:eastAsia="zh-CN"/>
        </w:rPr>
        <w:t>14</w:t>
      </w:r>
      <w:r>
        <w:rPr>
          <w:rFonts w:hint="eastAsia" w:ascii="宋体" w:hAnsi="宋体"/>
          <w:color w:val="auto"/>
          <w:szCs w:val="21"/>
          <w:highlight w:val="none"/>
        </w:rPr>
        <w:t>时</w:t>
      </w:r>
      <w:r>
        <w:rPr>
          <w:rFonts w:hint="eastAsia" w:ascii="宋体" w:hAnsi="宋体"/>
          <w:color w:val="auto"/>
          <w:szCs w:val="21"/>
          <w:highlight w:val="none"/>
          <w:lang w:val="en-US" w:eastAsia="zh-CN"/>
        </w:rPr>
        <w:t>30</w:t>
      </w:r>
      <w:r>
        <w:rPr>
          <w:rFonts w:hint="eastAsia" w:ascii="宋体" w:hAnsi="宋体"/>
          <w:color w:val="auto"/>
          <w:szCs w:val="21"/>
          <w:highlight w:val="none"/>
        </w:rPr>
        <w:t>分</w:t>
      </w:r>
      <w:r>
        <w:rPr>
          <w:rFonts w:hint="eastAsia" w:ascii="宋体" w:hAnsi="宋体"/>
          <w:bCs/>
          <w:color w:val="auto"/>
          <w:szCs w:val="21"/>
          <w:highlight w:val="none"/>
        </w:rPr>
        <w:t>（北京时间）</w:t>
      </w:r>
    </w:p>
    <w:p w14:paraId="474F1FD7">
      <w:pPr>
        <w:spacing w:line="360" w:lineRule="auto"/>
        <w:ind w:firstLine="420" w:firstLineChars="200"/>
        <w:rPr>
          <w:rFonts w:hint="eastAsia" w:ascii="宋体" w:hAnsi="宋体"/>
          <w:b w:val="0"/>
          <w:bCs w:val="0"/>
          <w:color w:val="auto"/>
          <w:szCs w:val="21"/>
          <w:highlight w:val="none"/>
          <w:u w:val="single"/>
        </w:rPr>
      </w:pPr>
      <w:r>
        <w:rPr>
          <w:rFonts w:hint="eastAsia" w:ascii="宋体" w:hAnsi="宋体"/>
          <w:b w:val="0"/>
          <w:bCs w:val="0"/>
          <w:color w:val="auto"/>
          <w:szCs w:val="21"/>
          <w:highlight w:val="none"/>
        </w:rPr>
        <w:t>地点：</w:t>
      </w:r>
      <w:r>
        <w:rPr>
          <w:rFonts w:hint="eastAsia" w:ascii="宋体" w:hAnsi="宋体"/>
          <w:b w:val="0"/>
          <w:bCs w:val="0"/>
          <w:color w:val="auto"/>
          <w:szCs w:val="21"/>
          <w:highlight w:val="none"/>
          <w:u w:val="none"/>
        </w:rPr>
        <w:t>“政采云”平台（</w:t>
      </w:r>
      <w:r>
        <w:rPr>
          <w:rFonts w:hint="eastAsia" w:ascii="宋体" w:hAnsi="宋体"/>
          <w:b w:val="0"/>
          <w:bCs w:val="0"/>
          <w:color w:val="auto"/>
          <w:szCs w:val="21"/>
          <w:highlight w:val="none"/>
          <w:u w:val="none"/>
        </w:rPr>
        <w:fldChar w:fldCharType="begin"/>
      </w:r>
      <w:r>
        <w:rPr>
          <w:rFonts w:hint="eastAsia" w:ascii="宋体" w:hAnsi="宋体"/>
          <w:b w:val="0"/>
          <w:bCs w:val="0"/>
          <w:color w:val="auto"/>
          <w:szCs w:val="21"/>
          <w:highlight w:val="none"/>
          <w:u w:val="none"/>
        </w:rPr>
        <w:instrText xml:space="preserve"> HYPERLINK "https://www.zcygov.cn/%E4%B8%8D%E8%A7%81%E9%9D%A2%E5%BC%80%E6%A0%87%E5%A4%A7%E5%8E%85%EF%BC%89" </w:instrText>
      </w:r>
      <w:r>
        <w:rPr>
          <w:rFonts w:hint="eastAsia" w:ascii="宋体" w:hAnsi="宋体"/>
          <w:b w:val="0"/>
          <w:bCs w:val="0"/>
          <w:color w:val="auto"/>
          <w:szCs w:val="21"/>
          <w:highlight w:val="none"/>
          <w:u w:val="none"/>
        </w:rPr>
        <w:fldChar w:fldCharType="separate"/>
      </w:r>
      <w:r>
        <w:rPr>
          <w:rFonts w:hint="eastAsia" w:ascii="宋体" w:hAnsi="宋体"/>
          <w:b w:val="0"/>
          <w:bCs w:val="0"/>
          <w:color w:val="auto"/>
          <w:szCs w:val="21"/>
          <w:highlight w:val="none"/>
          <w:u w:val="none"/>
        </w:rPr>
        <w:t>https://www.zcygov.cn/）</w:t>
      </w:r>
      <w:r>
        <w:rPr>
          <w:rFonts w:hint="eastAsia" w:ascii="宋体" w:hAnsi="宋体"/>
          <w:b w:val="0"/>
          <w:bCs w:val="0"/>
          <w:color w:val="auto"/>
          <w:szCs w:val="21"/>
          <w:highlight w:val="none"/>
          <w:u w:val="none"/>
        </w:rPr>
        <w:fldChar w:fldCharType="end"/>
      </w:r>
      <w:r>
        <w:rPr>
          <w:rFonts w:hint="eastAsia" w:ascii="宋体" w:hAnsi="宋体"/>
          <w:b w:val="0"/>
          <w:bCs w:val="0"/>
          <w:color w:val="auto"/>
          <w:szCs w:val="21"/>
          <w:highlight w:val="none"/>
          <w:u w:val="none"/>
        </w:rPr>
        <w:t>网上开标厅。</w:t>
      </w:r>
    </w:p>
    <w:p w14:paraId="72AB5AE3">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六、公告期限</w:t>
      </w:r>
      <w:bookmarkEnd w:id="36"/>
      <w:bookmarkEnd w:id="37"/>
      <w:bookmarkEnd w:id="38"/>
      <w:bookmarkEnd w:id="39"/>
    </w:p>
    <w:p w14:paraId="62DA4A6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40C149F3">
      <w:pPr>
        <w:pStyle w:val="3"/>
        <w:jc w:val="both"/>
        <w:rPr>
          <w:rFonts w:ascii="宋体" w:hAnsi="宋体" w:cs="宋体"/>
          <w:b/>
          <w:bCs w:val="0"/>
          <w:color w:val="auto"/>
          <w:sz w:val="21"/>
          <w:szCs w:val="21"/>
          <w:highlight w:val="none"/>
        </w:rPr>
      </w:pPr>
      <w:bookmarkStart w:id="40" w:name="_Toc21543"/>
      <w:bookmarkStart w:id="41" w:name="_Toc35393635"/>
      <w:bookmarkStart w:id="42" w:name="_Toc49156919"/>
      <w:bookmarkStart w:id="43" w:name="_Toc35393804"/>
      <w:bookmarkStart w:id="44" w:name="_Toc54077581"/>
      <w:r>
        <w:rPr>
          <w:rFonts w:hint="eastAsia" w:ascii="宋体" w:hAnsi="宋体" w:cs="宋体"/>
          <w:b/>
          <w:bCs w:val="0"/>
          <w:color w:val="auto"/>
          <w:sz w:val="21"/>
          <w:szCs w:val="21"/>
          <w:highlight w:val="none"/>
        </w:rPr>
        <w:t>七、其他补充事宜</w:t>
      </w:r>
      <w:bookmarkEnd w:id="40"/>
      <w:bookmarkEnd w:id="41"/>
      <w:bookmarkEnd w:id="42"/>
      <w:bookmarkEnd w:id="43"/>
      <w:bookmarkEnd w:id="44"/>
    </w:p>
    <w:p w14:paraId="7679C393">
      <w:pPr>
        <w:spacing w:line="360" w:lineRule="auto"/>
        <w:ind w:left="478" w:leftChars="228"/>
        <w:rPr>
          <w:rFonts w:hint="eastAsia" w:ascii="宋体" w:hAnsi="宋体"/>
          <w:color w:val="auto"/>
          <w:szCs w:val="21"/>
          <w:highlight w:val="none"/>
        </w:rPr>
      </w:pPr>
      <w:r>
        <w:rPr>
          <w:rFonts w:hint="eastAsia" w:ascii="宋体" w:hAnsi="宋体"/>
          <w:color w:val="auto"/>
          <w:szCs w:val="21"/>
          <w:highlight w:val="none"/>
        </w:rPr>
        <w:t>开标方式：网上开标</w:t>
      </w:r>
    </w:p>
    <w:p w14:paraId="00C0560D">
      <w:pPr>
        <w:spacing w:line="360" w:lineRule="auto"/>
        <w:ind w:left="478" w:leftChars="228"/>
        <w:rPr>
          <w:rFonts w:hint="eastAsia" w:ascii="宋体" w:hAnsi="宋体"/>
          <w:color w:val="auto"/>
          <w:szCs w:val="21"/>
          <w:highlight w:val="none"/>
        </w:rPr>
      </w:pPr>
      <w:r>
        <w:rPr>
          <w:rFonts w:hint="eastAsia" w:ascii="宋体" w:hAnsi="宋体"/>
          <w:color w:val="auto"/>
          <w:szCs w:val="21"/>
          <w:highlight w:val="none"/>
        </w:rPr>
        <w:t>是否需要缴纳磋商保证金：是</w:t>
      </w:r>
    </w:p>
    <w:p w14:paraId="70EB0CBC">
      <w:pPr>
        <w:spacing w:line="360" w:lineRule="auto"/>
        <w:ind w:left="478" w:leftChars="228"/>
        <w:rPr>
          <w:rFonts w:hint="eastAsia" w:ascii="宋体" w:hAnsi="宋体"/>
          <w:color w:val="auto"/>
          <w:szCs w:val="21"/>
          <w:highlight w:val="none"/>
        </w:rPr>
      </w:pPr>
      <w:r>
        <w:rPr>
          <w:rFonts w:hint="eastAsia" w:ascii="宋体" w:hAnsi="宋体"/>
          <w:color w:val="auto"/>
          <w:szCs w:val="21"/>
          <w:highlight w:val="none"/>
        </w:rPr>
        <w:t>保证金金额：</w:t>
      </w:r>
      <w:r>
        <w:rPr>
          <w:rFonts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000（元）</w:t>
      </w:r>
    </w:p>
    <w:p w14:paraId="42164890">
      <w:pPr>
        <w:spacing w:line="360" w:lineRule="auto"/>
        <w:ind w:left="478" w:leftChars="228"/>
        <w:rPr>
          <w:rFonts w:hint="eastAsia" w:ascii="宋体" w:hAnsi="宋体"/>
          <w:color w:val="auto"/>
          <w:szCs w:val="21"/>
          <w:highlight w:val="none"/>
        </w:rPr>
      </w:pPr>
      <w:r>
        <w:rPr>
          <w:rFonts w:hint="eastAsia" w:ascii="宋体" w:hAnsi="宋体"/>
          <w:color w:val="auto"/>
          <w:szCs w:val="21"/>
          <w:highlight w:val="none"/>
        </w:rPr>
        <w:t>保证金缴纳方式：支票、汇票、本票、保函、保证保险、网银、电汇等非现金形式缴纳</w:t>
      </w:r>
    </w:p>
    <w:p w14:paraId="281AF937">
      <w:pPr>
        <w:spacing w:line="360" w:lineRule="auto"/>
        <w:ind w:left="478" w:leftChars="228"/>
        <w:rPr>
          <w:rFonts w:hint="default" w:ascii="宋体" w:hAnsi="宋体" w:eastAsia="宋体"/>
          <w:color w:val="auto"/>
          <w:szCs w:val="21"/>
          <w:highlight w:val="none"/>
          <w:lang w:val="en-US" w:eastAsia="zh-CN"/>
        </w:rPr>
      </w:pPr>
      <w:r>
        <w:rPr>
          <w:rFonts w:hint="eastAsia" w:ascii="宋体" w:hAnsi="宋体"/>
          <w:color w:val="auto"/>
          <w:szCs w:val="21"/>
          <w:highlight w:val="none"/>
        </w:rPr>
        <w:t>保证金缴纳截止时间：</w:t>
      </w:r>
      <w:r>
        <w:rPr>
          <w:rFonts w:hint="eastAsia" w:ascii="宋体" w:hAnsi="宋体"/>
          <w:color w:val="auto"/>
          <w:szCs w:val="21"/>
          <w:highlight w:val="none"/>
          <w:lang w:val="en-US" w:eastAsia="zh-CN"/>
        </w:rPr>
        <w:t>同响应文件提交截止时间</w:t>
      </w:r>
    </w:p>
    <w:p w14:paraId="5F6F13BA">
      <w:pPr>
        <w:spacing w:line="360" w:lineRule="auto"/>
        <w:ind w:left="478" w:leftChars="228"/>
        <w:rPr>
          <w:rFonts w:hint="eastAsia" w:ascii="宋体" w:hAnsi="宋体"/>
          <w:color w:val="auto"/>
          <w:szCs w:val="21"/>
          <w:highlight w:val="none"/>
        </w:rPr>
      </w:pPr>
      <w:r>
        <w:rPr>
          <w:rFonts w:hint="eastAsia" w:ascii="宋体" w:hAnsi="宋体"/>
          <w:color w:val="auto"/>
          <w:szCs w:val="21"/>
          <w:highlight w:val="none"/>
        </w:rPr>
        <w:t>其他：</w:t>
      </w:r>
    </w:p>
    <w:p w14:paraId="76C3B4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1.开标方式：本项目为不见面开标，供应商无需到达现场。</w:t>
      </w:r>
    </w:p>
    <w:p w14:paraId="0C3D5DC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2.本项目实行网上投标，采用电子响应文件；</w:t>
      </w:r>
    </w:p>
    <w:p w14:paraId="0E9264A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3.各供应商应在开标前应确保成为政采云平台供应商，并完成CA数字证书申领。因未注册入库、未办理CA数字证书等原因造成无法</w:t>
      </w:r>
      <w:r>
        <w:rPr>
          <w:rFonts w:hint="eastAsia" w:ascii="宋体" w:hAnsi="宋体"/>
          <w:color w:val="auto"/>
          <w:szCs w:val="21"/>
          <w:highlight w:val="none"/>
          <w:lang w:val="en-US" w:eastAsia="zh-CN"/>
        </w:rPr>
        <w:t>参与项目</w:t>
      </w:r>
      <w:r>
        <w:rPr>
          <w:rFonts w:hint="eastAsia" w:ascii="宋体" w:hAnsi="宋体"/>
          <w:color w:val="auto"/>
          <w:szCs w:val="21"/>
          <w:highlight w:val="none"/>
        </w:rPr>
        <w:t>或</w:t>
      </w:r>
      <w:r>
        <w:rPr>
          <w:rFonts w:hint="eastAsia" w:ascii="宋体" w:hAnsi="宋体"/>
          <w:color w:val="auto"/>
          <w:szCs w:val="21"/>
          <w:highlight w:val="none"/>
          <w:lang w:val="en-US" w:eastAsia="zh-CN"/>
        </w:rPr>
        <w:t>磋商</w:t>
      </w:r>
      <w:r>
        <w:rPr>
          <w:rFonts w:hint="eastAsia" w:ascii="宋体" w:hAnsi="宋体"/>
          <w:color w:val="auto"/>
          <w:szCs w:val="21"/>
          <w:highlight w:val="none"/>
        </w:rPr>
        <w:t>失败等后果由供应商自行承担。凡有意参加</w:t>
      </w:r>
      <w:r>
        <w:rPr>
          <w:rFonts w:hint="eastAsia" w:ascii="宋体" w:hAnsi="宋体"/>
          <w:color w:val="auto"/>
          <w:szCs w:val="21"/>
          <w:highlight w:val="none"/>
          <w:lang w:val="en-US" w:eastAsia="zh-CN"/>
        </w:rPr>
        <w:t>本项目</w:t>
      </w:r>
      <w:r>
        <w:rPr>
          <w:rFonts w:hint="eastAsia" w:ascii="宋体" w:hAnsi="宋体"/>
          <w:color w:val="auto"/>
          <w:szCs w:val="21"/>
          <w:highlight w:val="none"/>
        </w:rPr>
        <w:t>的供应商须在政采云平台办理数字证书（CA）。CA申领链接：https://middle.zcygov.cn/ca/apply/list?_app_=zcy.sys，并通过政采云绑定数字证书（CA）后在网上获取采购文件及其它采购资料，数字证书（CA）详见其办理流程（注：供应商如之前已在云南CA在线数字证书办理网进行过注册并办理过企业数字证书（CA）的，直接绑定即可，无需重复办理（2022年1月1日前在云南省公共资源交易平台办理过云南CA证书的需到原办理点进行升级后方可使用）。外省供应商在政采云平台办理的其他CA可直接使用，无需重复办理）。</w:t>
      </w:r>
    </w:p>
    <w:p w14:paraId="22DA0FD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 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采购中心/代理机构不予异常处理，视为供应商自动弃标。</w:t>
      </w:r>
    </w:p>
    <w:p w14:paraId="30E468A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5.本次竞争性磋商公告在《云南省政府采购网》上发布，采购人和采购代理机构对其他网站或媒体转载的公告及公告内容不承担任何责任。</w:t>
      </w:r>
    </w:p>
    <w:p w14:paraId="3F5BC3C0">
      <w:pPr>
        <w:pStyle w:val="3"/>
        <w:jc w:val="both"/>
        <w:rPr>
          <w:rFonts w:ascii="宋体" w:hAnsi="宋体" w:cs="宋体"/>
          <w:b w:val="0"/>
          <w:color w:val="auto"/>
          <w:sz w:val="21"/>
          <w:szCs w:val="21"/>
          <w:highlight w:val="none"/>
        </w:rPr>
      </w:pPr>
      <w:bookmarkStart w:id="45" w:name="_Toc28359095"/>
      <w:bookmarkStart w:id="46" w:name="_Toc18102"/>
      <w:bookmarkStart w:id="47" w:name="_Toc49156920"/>
      <w:bookmarkStart w:id="48" w:name="_Toc35393636"/>
      <w:bookmarkStart w:id="49" w:name="_Toc28359018"/>
      <w:bookmarkStart w:id="50" w:name="_Toc35393805"/>
      <w:bookmarkStart w:id="51" w:name="_Toc54077582"/>
      <w:r>
        <w:rPr>
          <w:rFonts w:hint="eastAsia" w:ascii="宋体" w:hAnsi="宋体" w:cs="宋体"/>
          <w:b w:val="0"/>
          <w:color w:val="auto"/>
          <w:sz w:val="21"/>
          <w:szCs w:val="21"/>
          <w:highlight w:val="none"/>
        </w:rPr>
        <w:t>八、凡对本次采购提出询问，请按</w:t>
      </w:r>
      <w:r>
        <w:rPr>
          <w:rFonts w:ascii="宋体" w:hAnsi="宋体" w:cs="宋体"/>
          <w:b w:val="0"/>
          <w:color w:val="auto"/>
          <w:sz w:val="21"/>
          <w:szCs w:val="21"/>
          <w:highlight w:val="none"/>
        </w:rPr>
        <w:t>以下方式</w:t>
      </w:r>
      <w:r>
        <w:rPr>
          <w:rFonts w:hint="eastAsia" w:ascii="宋体" w:hAnsi="宋体" w:cs="宋体"/>
          <w:b w:val="0"/>
          <w:color w:val="auto"/>
          <w:sz w:val="21"/>
          <w:szCs w:val="21"/>
          <w:highlight w:val="none"/>
        </w:rPr>
        <w:t>联系。</w:t>
      </w:r>
      <w:bookmarkEnd w:id="45"/>
      <w:bookmarkEnd w:id="46"/>
      <w:bookmarkEnd w:id="47"/>
      <w:bookmarkEnd w:id="48"/>
      <w:bookmarkEnd w:id="49"/>
      <w:bookmarkEnd w:id="50"/>
      <w:bookmarkEnd w:id="51"/>
    </w:p>
    <w:p w14:paraId="561C7B51">
      <w:pPr>
        <w:pStyle w:val="3"/>
        <w:ind w:firstLine="630" w:firstLineChars="300"/>
        <w:jc w:val="both"/>
        <w:rPr>
          <w:rFonts w:hint="eastAsia" w:ascii="宋体" w:hAnsi="宋体" w:cs="宋体"/>
          <w:b w:val="0"/>
          <w:color w:val="auto"/>
          <w:sz w:val="21"/>
          <w:szCs w:val="21"/>
          <w:highlight w:val="none"/>
        </w:rPr>
      </w:pPr>
      <w:bookmarkStart w:id="52" w:name="_Toc4502"/>
      <w:bookmarkStart w:id="53" w:name="_Toc35393806"/>
      <w:bookmarkStart w:id="54" w:name="_Toc54077583"/>
      <w:bookmarkStart w:id="55" w:name="_Toc49156921"/>
      <w:bookmarkStart w:id="56" w:name="_Toc35393637"/>
      <w:bookmarkStart w:id="57" w:name="_Toc28359019"/>
      <w:bookmarkStart w:id="58" w:name="_Toc1080"/>
      <w:bookmarkStart w:id="59" w:name="_Toc28359096"/>
      <w:r>
        <w:rPr>
          <w:rFonts w:hint="eastAsia" w:ascii="宋体" w:hAnsi="宋体" w:cs="宋体"/>
          <w:b w:val="0"/>
          <w:color w:val="auto"/>
          <w:sz w:val="21"/>
          <w:szCs w:val="21"/>
          <w:highlight w:val="none"/>
        </w:rPr>
        <w:t>1.采购人信息</w:t>
      </w:r>
      <w:bookmarkEnd w:id="52"/>
      <w:bookmarkEnd w:id="53"/>
      <w:bookmarkEnd w:id="54"/>
      <w:bookmarkEnd w:id="55"/>
      <w:bookmarkEnd w:id="56"/>
      <w:bookmarkEnd w:id="57"/>
      <w:bookmarkEnd w:id="58"/>
      <w:bookmarkEnd w:id="59"/>
    </w:p>
    <w:p w14:paraId="4508E181">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名</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称：</w:t>
      </w:r>
      <w:r>
        <w:rPr>
          <w:rFonts w:hint="eastAsia" w:ascii="宋体" w:hAnsi="宋体"/>
          <w:color w:val="auto"/>
          <w:szCs w:val="21"/>
          <w:highlight w:val="none"/>
          <w:lang w:eastAsia="zh-CN"/>
        </w:rPr>
        <w:t>丽江市粮食和物资储备局</w:t>
      </w:r>
    </w:p>
    <w:p w14:paraId="05F49271">
      <w:pPr>
        <w:spacing w:line="360" w:lineRule="auto"/>
        <w:ind w:firstLine="630" w:firstLineChars="300"/>
        <w:rPr>
          <w:rFonts w:hint="eastAsia" w:ascii="宋体" w:hAnsi="宋体" w:eastAsia="宋体"/>
          <w:color w:val="auto"/>
          <w:szCs w:val="21"/>
          <w:highlight w:val="none"/>
          <w:lang w:eastAsia="zh-CN"/>
        </w:rPr>
      </w:pPr>
      <w:bookmarkStart w:id="60" w:name="_Toc35393807"/>
      <w:bookmarkStart w:id="61" w:name="_Toc28359020"/>
      <w:bookmarkStart w:id="62" w:name="_Toc30375"/>
      <w:bookmarkStart w:id="63" w:name="_Toc12995"/>
      <w:bookmarkStart w:id="64" w:name="_Toc54077584"/>
      <w:bookmarkStart w:id="65" w:name="_Toc49156922"/>
      <w:bookmarkStart w:id="66" w:name="_Toc35393638"/>
      <w:bookmarkStart w:id="67" w:name="_Toc28359097"/>
      <w:r>
        <w:rPr>
          <w:rFonts w:hint="eastAsia" w:ascii="宋体" w:hAnsi="宋体"/>
          <w:color w:val="auto"/>
          <w:szCs w:val="21"/>
          <w:highlight w:val="none"/>
        </w:rPr>
        <w:t xml:space="preserve">地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址：丽江市古城区玉福路11号四楼‌</w:t>
      </w:r>
    </w:p>
    <w:p w14:paraId="35D8C5D6">
      <w:pPr>
        <w:spacing w:line="360" w:lineRule="auto"/>
        <w:ind w:firstLine="630" w:firstLineChars="300"/>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联系方式：卢启芳139 8886 8026</w:t>
      </w:r>
    </w:p>
    <w:p w14:paraId="6F469B1D">
      <w:pPr>
        <w:pStyle w:val="3"/>
        <w:ind w:firstLine="630" w:firstLineChars="300"/>
        <w:jc w:val="both"/>
        <w:rPr>
          <w:rFonts w:ascii="宋体" w:hAnsi="宋体" w:cs="宋体"/>
          <w:b w:val="0"/>
          <w:color w:val="auto"/>
          <w:sz w:val="21"/>
          <w:szCs w:val="21"/>
          <w:highlight w:val="none"/>
        </w:rPr>
      </w:pPr>
      <w:r>
        <w:rPr>
          <w:rFonts w:hint="eastAsia" w:ascii="宋体" w:hAnsi="宋体" w:cs="宋体"/>
          <w:b w:val="0"/>
          <w:color w:val="auto"/>
          <w:sz w:val="21"/>
          <w:szCs w:val="21"/>
          <w:highlight w:val="none"/>
        </w:rPr>
        <w:t>2.采购代理机构信息</w:t>
      </w:r>
      <w:bookmarkEnd w:id="60"/>
      <w:bookmarkEnd w:id="61"/>
      <w:bookmarkEnd w:id="62"/>
      <w:bookmarkEnd w:id="63"/>
      <w:bookmarkEnd w:id="64"/>
      <w:bookmarkEnd w:id="65"/>
      <w:bookmarkEnd w:id="66"/>
      <w:bookmarkEnd w:id="67"/>
    </w:p>
    <w:p w14:paraId="506C9B7C">
      <w:pPr>
        <w:spacing w:line="360" w:lineRule="auto"/>
        <w:ind w:firstLine="630" w:firstLineChars="300"/>
        <w:rPr>
          <w:rFonts w:hint="eastAsia" w:ascii="宋体" w:hAnsi="宋体" w:eastAsia="宋体"/>
          <w:color w:val="auto"/>
          <w:szCs w:val="21"/>
          <w:highlight w:val="none"/>
          <w:lang w:eastAsia="zh-CN"/>
        </w:rPr>
      </w:pPr>
      <w:bookmarkStart w:id="68" w:name="OLE_LINK5"/>
      <w:r>
        <w:rPr>
          <w:rFonts w:hint="eastAsia" w:ascii="宋体" w:hAnsi="宋体"/>
          <w:color w:val="auto"/>
          <w:szCs w:val="21"/>
          <w:highlight w:val="none"/>
        </w:rPr>
        <w:t>名    称：</w:t>
      </w:r>
      <w:r>
        <w:rPr>
          <w:rFonts w:hint="eastAsia" w:ascii="宋体" w:hAnsi="宋体"/>
          <w:color w:val="auto"/>
          <w:szCs w:val="21"/>
          <w:highlight w:val="none"/>
          <w:lang w:eastAsia="zh-CN"/>
        </w:rPr>
        <w:t>云南禹滇工程项目咨询有限公司</w:t>
      </w:r>
    </w:p>
    <w:p w14:paraId="7F228FA5">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云南省丽江市古城区香格里大道999号瑞鑫写字楼203号</w:t>
      </w:r>
    </w:p>
    <w:p w14:paraId="3521C5AE">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13618888653</w:t>
      </w:r>
    </w:p>
    <w:p w14:paraId="191287B8">
      <w:pPr>
        <w:pStyle w:val="3"/>
        <w:ind w:firstLine="630" w:firstLineChars="300"/>
        <w:jc w:val="both"/>
        <w:rPr>
          <w:rFonts w:ascii="宋体" w:hAnsi="宋体" w:cs="宋体"/>
          <w:b w:val="0"/>
          <w:color w:val="auto"/>
          <w:sz w:val="21"/>
          <w:szCs w:val="21"/>
          <w:highlight w:val="none"/>
        </w:rPr>
      </w:pPr>
      <w:bookmarkStart w:id="69" w:name="_Toc7460"/>
      <w:bookmarkStart w:id="70" w:name="_Toc24591"/>
      <w:bookmarkStart w:id="71" w:name="_Toc54077585"/>
      <w:bookmarkStart w:id="72" w:name="_Toc35393808"/>
      <w:bookmarkStart w:id="73" w:name="_Toc35393639"/>
      <w:bookmarkStart w:id="74" w:name="_Toc19843"/>
      <w:bookmarkStart w:id="75" w:name="_Toc28359021"/>
      <w:bookmarkStart w:id="76" w:name="_Toc28359098"/>
      <w:bookmarkStart w:id="77" w:name="_Toc49156923"/>
      <w:r>
        <w:rPr>
          <w:rFonts w:hint="eastAsia" w:ascii="宋体" w:hAnsi="宋体" w:cs="宋体"/>
          <w:b w:val="0"/>
          <w:color w:val="auto"/>
          <w:sz w:val="21"/>
          <w:szCs w:val="21"/>
          <w:highlight w:val="none"/>
        </w:rPr>
        <w:t>3.项目联系</w:t>
      </w:r>
      <w:r>
        <w:rPr>
          <w:rFonts w:ascii="宋体" w:hAnsi="宋体" w:cs="宋体"/>
          <w:b w:val="0"/>
          <w:color w:val="auto"/>
          <w:sz w:val="21"/>
          <w:szCs w:val="21"/>
          <w:highlight w:val="none"/>
        </w:rPr>
        <w:t>方式</w:t>
      </w:r>
      <w:bookmarkEnd w:id="69"/>
      <w:bookmarkEnd w:id="70"/>
      <w:bookmarkEnd w:id="71"/>
      <w:bookmarkEnd w:id="72"/>
      <w:bookmarkEnd w:id="73"/>
      <w:bookmarkEnd w:id="74"/>
      <w:bookmarkEnd w:id="75"/>
      <w:bookmarkEnd w:id="76"/>
      <w:bookmarkEnd w:id="77"/>
    </w:p>
    <w:p w14:paraId="21EE5F9B">
      <w:pPr>
        <w:pStyle w:val="9"/>
        <w:spacing w:line="360" w:lineRule="auto"/>
        <w:ind w:firstLine="630" w:firstLineChars="300"/>
        <w:rPr>
          <w:rFonts w:hint="eastAsia" w:hAnsi="宋体" w:eastAsia="宋体"/>
          <w:color w:val="auto"/>
          <w:highlight w:val="none"/>
          <w:lang w:eastAsia="zh-CN"/>
        </w:rPr>
      </w:pPr>
      <w:r>
        <w:rPr>
          <w:rFonts w:hint="eastAsia" w:hAnsi="宋体"/>
          <w:color w:val="auto"/>
          <w:highlight w:val="none"/>
        </w:rPr>
        <w:t>项目联系人：</w:t>
      </w:r>
      <w:r>
        <w:rPr>
          <w:rFonts w:hint="eastAsia" w:hAnsi="宋体"/>
          <w:color w:val="auto"/>
          <w:highlight w:val="none"/>
          <w:lang w:eastAsia="zh-CN"/>
        </w:rPr>
        <w:t>李格</w:t>
      </w:r>
    </w:p>
    <w:p w14:paraId="3FFE15CB">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电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话：</w:t>
      </w:r>
      <w:bookmarkEnd w:id="68"/>
      <w:r>
        <w:rPr>
          <w:rFonts w:hint="eastAsia" w:ascii="宋体" w:hAnsi="宋体"/>
          <w:color w:val="auto"/>
          <w:szCs w:val="21"/>
          <w:highlight w:val="none"/>
          <w:lang w:eastAsia="zh-CN"/>
        </w:rPr>
        <w:t>13618888653</w:t>
      </w:r>
    </w:p>
    <w:p w14:paraId="61C0267C">
      <w:pPr>
        <w:pStyle w:val="2"/>
        <w:jc w:val="center"/>
        <w:rPr>
          <w:rFonts w:ascii="宋体" w:hAnsi="宋体" w:eastAsia="宋体"/>
          <w:color w:val="auto"/>
          <w:sz w:val="32"/>
          <w:highlight w:val="none"/>
        </w:rPr>
      </w:pPr>
      <w:r>
        <w:rPr>
          <w:rFonts w:hint="eastAsia" w:ascii="宋体" w:hAnsi="宋体" w:eastAsia="宋体"/>
          <w:color w:val="auto"/>
          <w:sz w:val="32"/>
          <w:highlight w:val="none"/>
        </w:rPr>
        <w:br w:type="page"/>
      </w:r>
      <w:bookmarkStart w:id="78" w:name="_Toc11682"/>
      <w:bookmarkStart w:id="79" w:name="_Toc14170"/>
      <w:r>
        <w:rPr>
          <w:rFonts w:hint="eastAsia" w:ascii="宋体" w:hAnsi="宋体" w:eastAsia="宋体"/>
          <w:color w:val="auto"/>
          <w:sz w:val="28"/>
          <w:highlight w:val="none"/>
        </w:rPr>
        <w:t>第二章</w:t>
      </w:r>
      <w:r>
        <w:rPr>
          <w:rFonts w:ascii="宋体" w:hAnsi="宋体" w:eastAsia="宋体"/>
          <w:color w:val="auto"/>
          <w:sz w:val="28"/>
          <w:highlight w:val="none"/>
        </w:rPr>
        <w:t xml:space="preserve">  </w:t>
      </w:r>
      <w:r>
        <w:rPr>
          <w:rFonts w:hint="eastAsia" w:ascii="宋体" w:hAnsi="宋体" w:eastAsia="宋体"/>
          <w:color w:val="auto"/>
          <w:sz w:val="28"/>
          <w:highlight w:val="none"/>
        </w:rPr>
        <w:t>供应商须知</w:t>
      </w:r>
      <w:bookmarkEnd w:id="78"/>
      <w:bookmarkEnd w:id="79"/>
    </w:p>
    <w:p w14:paraId="6D1A8AF3">
      <w:pPr>
        <w:pStyle w:val="3"/>
        <w:spacing w:before="0"/>
        <w:rPr>
          <w:rFonts w:ascii="宋体" w:hAnsi="宋体"/>
          <w:color w:val="auto"/>
          <w:sz w:val="28"/>
          <w:szCs w:val="28"/>
          <w:highlight w:val="none"/>
        </w:rPr>
      </w:pPr>
      <w:bookmarkStart w:id="80" w:name="_Toc27840"/>
      <w:bookmarkStart w:id="81" w:name="_Toc20826"/>
      <w:bookmarkStart w:id="82" w:name="_Toc86124039"/>
      <w:r>
        <w:rPr>
          <w:rFonts w:hint="eastAsia" w:ascii="宋体" w:hAnsi="宋体"/>
          <w:color w:val="auto"/>
          <w:sz w:val="28"/>
          <w:szCs w:val="28"/>
          <w:highlight w:val="none"/>
        </w:rPr>
        <w:t>供应商须知前附表</w:t>
      </w:r>
      <w:bookmarkEnd w:id="80"/>
      <w:bookmarkEnd w:id="81"/>
      <w:bookmarkEnd w:id="82"/>
    </w:p>
    <w:tbl>
      <w:tblPr>
        <w:tblStyle w:val="17"/>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496"/>
        <w:gridCol w:w="6013"/>
      </w:tblGrid>
      <w:tr w14:paraId="11EF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260" w:type="dxa"/>
            <w:noWrap w:val="0"/>
            <w:vAlign w:val="center"/>
          </w:tcPr>
          <w:p w14:paraId="0755750E">
            <w:pPr>
              <w:pStyle w:val="9"/>
              <w:jc w:val="center"/>
              <w:rPr>
                <w:rFonts w:hint="eastAsia" w:hAnsi="宋体" w:cs="宋体"/>
                <w:b/>
                <w:color w:val="auto"/>
                <w:kern w:val="0"/>
                <w:highlight w:val="none"/>
              </w:rPr>
            </w:pPr>
            <w:r>
              <w:rPr>
                <w:rFonts w:hint="eastAsia" w:hAnsi="宋体" w:cs="宋体"/>
                <w:b/>
                <w:color w:val="auto"/>
                <w:kern w:val="0"/>
                <w:highlight w:val="none"/>
              </w:rPr>
              <w:t>条款号</w:t>
            </w:r>
          </w:p>
        </w:tc>
        <w:tc>
          <w:tcPr>
            <w:tcW w:w="2496" w:type="dxa"/>
            <w:noWrap w:val="0"/>
            <w:vAlign w:val="center"/>
          </w:tcPr>
          <w:p w14:paraId="5B8C1044">
            <w:pPr>
              <w:pStyle w:val="9"/>
              <w:jc w:val="center"/>
              <w:rPr>
                <w:rFonts w:hint="eastAsia" w:hAnsi="宋体" w:cs="宋体"/>
                <w:b/>
                <w:color w:val="auto"/>
                <w:kern w:val="0"/>
                <w:highlight w:val="none"/>
              </w:rPr>
            </w:pPr>
            <w:r>
              <w:rPr>
                <w:rFonts w:hint="eastAsia" w:hAnsi="宋体" w:cs="宋体"/>
                <w:b/>
                <w:color w:val="auto"/>
                <w:kern w:val="0"/>
                <w:highlight w:val="none"/>
              </w:rPr>
              <w:t>条 款 名 称</w:t>
            </w:r>
          </w:p>
        </w:tc>
        <w:tc>
          <w:tcPr>
            <w:tcW w:w="6013" w:type="dxa"/>
            <w:noWrap w:val="0"/>
            <w:vAlign w:val="center"/>
          </w:tcPr>
          <w:p w14:paraId="201D22F8">
            <w:pPr>
              <w:pStyle w:val="9"/>
              <w:jc w:val="center"/>
              <w:rPr>
                <w:rFonts w:hint="eastAsia" w:hAnsi="宋体" w:cs="宋体"/>
                <w:b/>
                <w:color w:val="auto"/>
                <w:kern w:val="0"/>
                <w:highlight w:val="none"/>
              </w:rPr>
            </w:pPr>
            <w:r>
              <w:rPr>
                <w:rFonts w:hint="eastAsia" w:hAnsi="宋体" w:cs="宋体"/>
                <w:b/>
                <w:color w:val="auto"/>
                <w:kern w:val="0"/>
                <w:highlight w:val="none"/>
              </w:rPr>
              <w:t>编 列 内 容</w:t>
            </w:r>
          </w:p>
        </w:tc>
      </w:tr>
      <w:tr w14:paraId="015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382C18BF">
            <w:pPr>
              <w:pStyle w:val="9"/>
              <w:jc w:val="center"/>
              <w:rPr>
                <w:rFonts w:hint="eastAsia" w:hAnsi="宋体" w:cs="宋体"/>
                <w:color w:val="auto"/>
                <w:kern w:val="0"/>
                <w:highlight w:val="none"/>
              </w:rPr>
            </w:pPr>
            <w:r>
              <w:rPr>
                <w:rFonts w:hint="eastAsia" w:hAnsi="宋体" w:cs="宋体"/>
                <w:color w:val="auto"/>
                <w:kern w:val="0"/>
                <w:highlight w:val="none"/>
              </w:rPr>
              <w:t>1.2</w:t>
            </w:r>
          </w:p>
        </w:tc>
        <w:tc>
          <w:tcPr>
            <w:tcW w:w="2496" w:type="dxa"/>
            <w:noWrap w:val="0"/>
            <w:vAlign w:val="center"/>
          </w:tcPr>
          <w:p w14:paraId="11FC0BDA">
            <w:pPr>
              <w:pStyle w:val="9"/>
              <w:rPr>
                <w:rFonts w:hint="default" w:ascii="宋体" w:hAnsi="宋体" w:cs="宋体"/>
                <w:color w:val="auto"/>
                <w:kern w:val="0"/>
                <w:sz w:val="21"/>
                <w:szCs w:val="21"/>
                <w:highlight w:val="none"/>
                <w:u w:val="single"/>
                <w:lang w:val="en-US" w:eastAsia="zh-CN" w:bidi="ar-SA"/>
              </w:rPr>
            </w:pPr>
            <w:r>
              <w:rPr>
                <w:rFonts w:hint="eastAsia" w:hAnsi="宋体" w:cs="宋体"/>
                <w:bCs/>
                <w:color w:val="auto"/>
                <w:kern w:val="0"/>
                <w:highlight w:val="none"/>
              </w:rPr>
              <w:t>采购人</w:t>
            </w:r>
          </w:p>
        </w:tc>
        <w:tc>
          <w:tcPr>
            <w:tcW w:w="6013" w:type="dxa"/>
            <w:noWrap w:val="0"/>
            <w:vAlign w:val="center"/>
          </w:tcPr>
          <w:p w14:paraId="1EFC8ED6">
            <w:pPr>
              <w:pStyle w:val="9"/>
              <w:rPr>
                <w:rFonts w:hint="eastAsia" w:ascii="宋体" w:hAnsi="宋体" w:cs="宋体"/>
                <w:color w:val="auto"/>
                <w:kern w:val="0"/>
                <w:sz w:val="21"/>
                <w:szCs w:val="21"/>
                <w:highlight w:val="none"/>
                <w:lang w:val="en-US" w:eastAsia="zh-CN" w:bidi="ar-SA"/>
              </w:rPr>
            </w:pPr>
            <w:r>
              <w:rPr>
                <w:rFonts w:hint="eastAsia" w:hAnsi="宋体" w:cs="宋体"/>
                <w:color w:val="auto"/>
                <w:kern w:val="0"/>
                <w:highlight w:val="none"/>
                <w:lang w:eastAsia="zh-CN"/>
              </w:rPr>
              <w:t>丽江市粮食和物资储备局</w:t>
            </w:r>
          </w:p>
        </w:tc>
      </w:tr>
      <w:tr w14:paraId="6058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3371EFE5">
            <w:pPr>
              <w:pStyle w:val="9"/>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1.3</w:t>
            </w:r>
          </w:p>
        </w:tc>
        <w:tc>
          <w:tcPr>
            <w:tcW w:w="2496" w:type="dxa"/>
            <w:noWrap w:val="0"/>
            <w:vAlign w:val="center"/>
          </w:tcPr>
          <w:p w14:paraId="5F91D7BC">
            <w:pPr>
              <w:pStyle w:val="9"/>
              <w:rPr>
                <w:rFonts w:hint="eastAsia" w:ascii="宋体" w:hAnsi="宋体" w:cs="宋体"/>
                <w:bCs/>
                <w:color w:val="auto"/>
                <w:kern w:val="0"/>
                <w:sz w:val="21"/>
                <w:szCs w:val="21"/>
                <w:highlight w:val="none"/>
                <w:lang w:val="en-US" w:eastAsia="zh-CN" w:bidi="ar-SA"/>
              </w:rPr>
            </w:pPr>
            <w:r>
              <w:rPr>
                <w:rFonts w:hint="eastAsia" w:hAnsi="宋体" w:cs="宋体"/>
                <w:bCs/>
                <w:color w:val="auto"/>
                <w:kern w:val="0"/>
                <w:highlight w:val="none"/>
              </w:rPr>
              <w:t>采购代理机构</w:t>
            </w:r>
          </w:p>
        </w:tc>
        <w:tc>
          <w:tcPr>
            <w:tcW w:w="6013" w:type="dxa"/>
            <w:noWrap w:val="0"/>
            <w:vAlign w:val="center"/>
          </w:tcPr>
          <w:p w14:paraId="276E848C">
            <w:pPr>
              <w:pStyle w:val="9"/>
              <w:rPr>
                <w:rFonts w:hint="eastAsia" w:ascii="宋体" w:hAnsi="宋体" w:cs="宋体"/>
                <w:color w:val="auto"/>
                <w:kern w:val="0"/>
                <w:sz w:val="21"/>
                <w:szCs w:val="21"/>
                <w:highlight w:val="none"/>
                <w:lang w:val="en-US" w:eastAsia="zh-CN" w:bidi="ar-SA"/>
              </w:rPr>
            </w:pPr>
            <w:r>
              <w:rPr>
                <w:rFonts w:hint="eastAsia" w:hAnsi="宋体" w:cs="宋体"/>
                <w:color w:val="auto"/>
                <w:kern w:val="0"/>
                <w:highlight w:val="none"/>
                <w:lang w:eastAsia="zh-CN"/>
              </w:rPr>
              <w:t>云南禹滇工程项目咨询有限公司</w:t>
            </w:r>
          </w:p>
        </w:tc>
      </w:tr>
      <w:tr w14:paraId="1B40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60" w:type="dxa"/>
            <w:noWrap w:val="0"/>
            <w:vAlign w:val="center"/>
          </w:tcPr>
          <w:p w14:paraId="678B1FC4">
            <w:pPr>
              <w:pStyle w:val="9"/>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1.4</w:t>
            </w:r>
          </w:p>
        </w:tc>
        <w:tc>
          <w:tcPr>
            <w:tcW w:w="2496" w:type="dxa"/>
            <w:noWrap w:val="0"/>
            <w:vAlign w:val="center"/>
          </w:tcPr>
          <w:p w14:paraId="09532AF3">
            <w:pPr>
              <w:pStyle w:val="9"/>
              <w:rPr>
                <w:rFonts w:hint="default" w:ascii="宋体" w:hAnsi="宋体" w:eastAsia="宋体" w:cs="宋体"/>
                <w:color w:val="auto"/>
                <w:kern w:val="0"/>
                <w:sz w:val="21"/>
                <w:szCs w:val="21"/>
                <w:highlight w:val="none"/>
                <w:lang w:val="en-US" w:eastAsia="zh-CN" w:bidi="ar-SA"/>
              </w:rPr>
            </w:pPr>
            <w:r>
              <w:rPr>
                <w:rFonts w:hint="eastAsia" w:hAnsi="宋体" w:cs="宋体"/>
                <w:color w:val="auto"/>
                <w:kern w:val="0"/>
                <w:highlight w:val="none"/>
              </w:rPr>
              <w:t>项目名称</w:t>
            </w:r>
            <w:r>
              <w:rPr>
                <w:rFonts w:hint="eastAsia" w:hAnsi="宋体" w:cs="宋体"/>
                <w:color w:val="auto"/>
                <w:kern w:val="0"/>
                <w:highlight w:val="none"/>
                <w:lang w:val="en-US" w:eastAsia="zh-CN"/>
              </w:rPr>
              <w:t>及项目编号</w:t>
            </w:r>
          </w:p>
        </w:tc>
        <w:tc>
          <w:tcPr>
            <w:tcW w:w="6013" w:type="dxa"/>
            <w:noWrap w:val="0"/>
            <w:vAlign w:val="center"/>
          </w:tcPr>
          <w:p w14:paraId="61699EB3">
            <w:pPr>
              <w:pStyle w:val="9"/>
              <w:rPr>
                <w:rFonts w:hint="eastAsia" w:hAnsi="宋体" w:cs="宋体"/>
                <w:bCs/>
                <w:color w:val="auto"/>
                <w:kern w:val="0"/>
                <w:highlight w:val="none"/>
                <w:lang w:eastAsia="zh-CN"/>
              </w:rPr>
            </w:pPr>
            <w:r>
              <w:rPr>
                <w:rFonts w:hint="eastAsia" w:hAnsi="宋体" w:cs="宋体"/>
                <w:bCs/>
                <w:color w:val="auto"/>
                <w:kern w:val="0"/>
                <w:highlight w:val="none"/>
                <w:lang w:val="en-US" w:eastAsia="zh-CN"/>
              </w:rPr>
              <w:t>项目名称：丽江</w:t>
            </w:r>
            <w:r>
              <w:rPr>
                <w:rFonts w:hint="eastAsia" w:hAnsi="宋体" w:cs="宋体"/>
                <w:bCs/>
                <w:color w:val="auto"/>
                <w:kern w:val="0"/>
                <w:highlight w:val="none"/>
                <w:lang w:eastAsia="zh-CN"/>
              </w:rPr>
              <w:t>市国有粮食企业深化改革法律咨询服务项目（三次）</w:t>
            </w:r>
          </w:p>
          <w:p w14:paraId="5A2276D6">
            <w:pPr>
              <w:pStyle w:val="9"/>
              <w:rPr>
                <w:rFonts w:hint="eastAsia" w:ascii="宋体" w:hAnsi="宋体" w:cs="宋体"/>
                <w:color w:val="auto"/>
                <w:kern w:val="0"/>
                <w:sz w:val="21"/>
                <w:szCs w:val="21"/>
                <w:highlight w:val="none"/>
                <w:lang w:val="en-US" w:eastAsia="zh-CN" w:bidi="ar-SA"/>
              </w:rPr>
            </w:pPr>
            <w:r>
              <w:rPr>
                <w:rFonts w:hint="eastAsia" w:hAnsi="宋体" w:cs="宋体"/>
                <w:bCs/>
                <w:color w:val="auto"/>
                <w:kern w:val="0"/>
                <w:highlight w:val="none"/>
                <w:lang w:val="en-US" w:eastAsia="zh-CN"/>
              </w:rPr>
              <w:t>项目编号：LJZC2026-C3-00435-YNYD-0005</w:t>
            </w:r>
          </w:p>
        </w:tc>
      </w:tr>
      <w:tr w14:paraId="4E18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7922FD67">
            <w:pPr>
              <w:pStyle w:val="9"/>
              <w:jc w:val="center"/>
              <w:rPr>
                <w:rFonts w:hint="eastAsia" w:ascii="宋体" w:hAnsi="宋体" w:cs="宋体"/>
                <w:color w:val="auto"/>
                <w:kern w:val="0"/>
                <w:sz w:val="21"/>
                <w:szCs w:val="21"/>
                <w:highlight w:val="none"/>
                <w:lang w:val="en-US" w:eastAsia="zh-CN" w:bidi="ar-SA"/>
              </w:rPr>
            </w:pPr>
            <w:r>
              <w:rPr>
                <w:rFonts w:hint="eastAsia" w:hAnsi="宋体" w:cs="宋体"/>
                <w:color w:val="auto"/>
                <w:kern w:val="0"/>
                <w:highlight w:val="none"/>
              </w:rPr>
              <w:t>3.1</w:t>
            </w:r>
          </w:p>
        </w:tc>
        <w:tc>
          <w:tcPr>
            <w:tcW w:w="2496" w:type="dxa"/>
            <w:noWrap w:val="0"/>
            <w:vAlign w:val="center"/>
          </w:tcPr>
          <w:p w14:paraId="7614E91A">
            <w:pPr>
              <w:pStyle w:val="9"/>
              <w:rPr>
                <w:rFonts w:hint="eastAsia" w:ascii="宋体" w:hAnsi="宋体" w:eastAsia="宋体" w:cs="宋体"/>
                <w:color w:val="auto"/>
                <w:kern w:val="0"/>
                <w:sz w:val="21"/>
                <w:szCs w:val="21"/>
                <w:highlight w:val="none"/>
                <w:lang w:val="en-US" w:eastAsia="zh-CN" w:bidi="ar-SA"/>
              </w:rPr>
            </w:pPr>
            <w:r>
              <w:rPr>
                <w:rFonts w:hint="eastAsia" w:hAnsi="宋体" w:cs="宋体"/>
                <w:color w:val="auto"/>
                <w:highlight w:val="none"/>
                <w:lang w:val="en-US" w:eastAsia="zh-CN"/>
              </w:rPr>
              <w:t>采购需求</w:t>
            </w:r>
          </w:p>
        </w:tc>
        <w:tc>
          <w:tcPr>
            <w:tcW w:w="6013" w:type="dxa"/>
            <w:noWrap w:val="0"/>
            <w:vAlign w:val="center"/>
          </w:tcPr>
          <w:p w14:paraId="42CDCE05">
            <w:pPr>
              <w:pStyle w:val="9"/>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0"/>
                <w:highlight w:val="none"/>
              </w:rPr>
              <w:t>详见竞争性磋商文件第一章《竞争性磋商公告》</w:t>
            </w:r>
            <w:r>
              <w:rPr>
                <w:rFonts w:hint="eastAsia" w:hAnsi="宋体" w:cs="宋体"/>
                <w:color w:val="auto"/>
                <w:kern w:val="0"/>
                <w:highlight w:val="none"/>
                <w:lang w:eastAsia="zh-CN"/>
              </w:rPr>
              <w:t>“一、项目基本情况”</w:t>
            </w:r>
          </w:p>
        </w:tc>
      </w:tr>
      <w:tr w14:paraId="1684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12F3FFE1">
            <w:pPr>
              <w:pStyle w:val="9"/>
              <w:jc w:val="center"/>
              <w:rPr>
                <w:rFonts w:hint="eastAsia" w:hAnsi="宋体" w:cs="宋体"/>
                <w:color w:val="auto"/>
                <w:kern w:val="0"/>
                <w:sz w:val="21"/>
                <w:szCs w:val="21"/>
                <w:highlight w:val="none"/>
              </w:rPr>
            </w:pPr>
            <w:r>
              <w:rPr>
                <w:rFonts w:hint="eastAsia" w:hAnsi="宋体" w:cs="宋体"/>
                <w:color w:val="auto"/>
                <w:kern w:val="0"/>
                <w:sz w:val="21"/>
                <w:szCs w:val="21"/>
                <w:highlight w:val="none"/>
              </w:rPr>
              <w:t>3.1</w:t>
            </w:r>
          </w:p>
        </w:tc>
        <w:tc>
          <w:tcPr>
            <w:tcW w:w="2496" w:type="dxa"/>
            <w:noWrap w:val="0"/>
            <w:vAlign w:val="center"/>
          </w:tcPr>
          <w:p w14:paraId="402117D2">
            <w:pPr>
              <w:pStyle w:val="9"/>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合同履行</w:t>
            </w:r>
            <w:r>
              <w:rPr>
                <w:rFonts w:hint="eastAsia" w:ascii="宋体" w:hAnsi="宋体" w:cs="宋体"/>
                <w:color w:val="auto"/>
                <w:sz w:val="21"/>
                <w:szCs w:val="21"/>
                <w:highlight w:val="none"/>
                <w:lang w:val="en-US" w:eastAsia="zh-CN"/>
              </w:rPr>
              <w:t>期限及</w:t>
            </w:r>
            <w:r>
              <w:rPr>
                <w:rFonts w:hint="eastAsia" w:hAnsi="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实施地点</w:t>
            </w:r>
          </w:p>
        </w:tc>
        <w:tc>
          <w:tcPr>
            <w:tcW w:w="6013" w:type="dxa"/>
            <w:noWrap w:val="0"/>
            <w:vAlign w:val="center"/>
          </w:tcPr>
          <w:p w14:paraId="6DCC283B">
            <w:pPr>
              <w:pStyle w:val="9"/>
              <w:rPr>
                <w:rFonts w:hint="eastAsia" w:hAnsi="宋体" w:cs="宋体"/>
                <w:color w:val="auto"/>
                <w:kern w:val="0"/>
                <w:highlight w:val="none"/>
              </w:rPr>
            </w:pPr>
            <w:r>
              <w:rPr>
                <w:rFonts w:hint="eastAsia" w:hAnsi="宋体" w:cs="宋体"/>
                <w:color w:val="auto"/>
                <w:kern w:val="0"/>
                <w:highlight w:val="none"/>
              </w:rPr>
              <w:t>详见竞争性磋商文件第一章《竞争性磋商公告》</w:t>
            </w:r>
            <w:r>
              <w:rPr>
                <w:rFonts w:hint="eastAsia" w:hAnsi="宋体" w:cs="宋体"/>
                <w:color w:val="auto"/>
                <w:kern w:val="0"/>
                <w:highlight w:val="none"/>
                <w:lang w:eastAsia="zh-CN"/>
              </w:rPr>
              <w:t>“一、项目基本情况”</w:t>
            </w:r>
          </w:p>
        </w:tc>
      </w:tr>
      <w:tr w14:paraId="5FB6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60" w:type="dxa"/>
            <w:noWrap w:val="0"/>
            <w:vAlign w:val="center"/>
          </w:tcPr>
          <w:p w14:paraId="188205C3">
            <w:pPr>
              <w:pStyle w:val="9"/>
              <w:jc w:val="center"/>
              <w:rPr>
                <w:rFonts w:hint="eastAsia" w:hAnsi="宋体" w:eastAsia="宋体" w:cs="宋体"/>
                <w:color w:val="auto"/>
                <w:kern w:val="0"/>
                <w:highlight w:val="none"/>
                <w:lang w:eastAsia="zh-CN"/>
              </w:rPr>
            </w:pPr>
            <w:r>
              <w:rPr>
                <w:rFonts w:hint="eastAsia" w:hAnsi="宋体" w:cs="宋体"/>
                <w:color w:val="auto"/>
                <w:kern w:val="0"/>
                <w:highlight w:val="none"/>
              </w:rPr>
              <w:t>3.</w:t>
            </w:r>
            <w:r>
              <w:rPr>
                <w:rFonts w:hint="eastAsia" w:hAnsi="宋体" w:cs="宋体"/>
                <w:color w:val="auto"/>
                <w:kern w:val="0"/>
                <w:highlight w:val="none"/>
                <w:lang w:val="en-US" w:eastAsia="zh-CN"/>
              </w:rPr>
              <w:t>3</w:t>
            </w:r>
          </w:p>
        </w:tc>
        <w:tc>
          <w:tcPr>
            <w:tcW w:w="2496" w:type="dxa"/>
            <w:noWrap w:val="0"/>
            <w:vAlign w:val="center"/>
          </w:tcPr>
          <w:p w14:paraId="4D307900">
            <w:pPr>
              <w:pStyle w:val="9"/>
              <w:rPr>
                <w:rFonts w:hint="eastAsia" w:hAnsi="宋体" w:cs="宋体"/>
                <w:color w:val="auto"/>
                <w:kern w:val="0"/>
                <w:highlight w:val="none"/>
              </w:rPr>
            </w:pPr>
            <w:r>
              <w:rPr>
                <w:rFonts w:hint="eastAsia" w:hAnsi="宋体" w:cs="宋体"/>
                <w:color w:val="auto"/>
                <w:highlight w:val="none"/>
              </w:rPr>
              <w:t>质量要求</w:t>
            </w:r>
          </w:p>
        </w:tc>
        <w:tc>
          <w:tcPr>
            <w:tcW w:w="6013" w:type="dxa"/>
            <w:noWrap w:val="0"/>
            <w:vAlign w:val="center"/>
          </w:tcPr>
          <w:p w14:paraId="5DBD98E6">
            <w:pPr>
              <w:pStyle w:val="9"/>
              <w:spacing w:line="300" w:lineRule="exact"/>
              <w:ind w:right="-119" w:rightChars="-57"/>
              <w:rPr>
                <w:rFonts w:hint="eastAsia" w:hAnsi="宋体" w:cs="宋体"/>
                <w:color w:val="auto"/>
                <w:highlight w:val="none"/>
              </w:rPr>
            </w:pPr>
            <w:r>
              <w:rPr>
                <w:rFonts w:hint="eastAsia" w:hAnsi="宋体" w:cs="宋体"/>
                <w:color w:val="auto"/>
                <w:highlight w:val="none"/>
              </w:rPr>
              <w:t>严格执行国家法律法规、国有资产管理相关规定及企业内部制度，规范操作流程，强化风险防控，坚决杜绝违规操作，确保资产划转、人员管理、债权债务处理等环节合法合规，切实维护国有资产安全与企业稳定。</w:t>
            </w:r>
          </w:p>
        </w:tc>
      </w:tr>
      <w:tr w14:paraId="153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60" w:type="dxa"/>
            <w:noWrap w:val="0"/>
            <w:vAlign w:val="center"/>
          </w:tcPr>
          <w:p w14:paraId="600B2A69">
            <w:pPr>
              <w:pStyle w:val="9"/>
              <w:jc w:val="center"/>
              <w:rPr>
                <w:rFonts w:hAnsi="宋体" w:cs="宋体"/>
                <w:color w:val="auto"/>
                <w:kern w:val="0"/>
                <w:highlight w:val="none"/>
              </w:rPr>
            </w:pPr>
            <w:r>
              <w:rPr>
                <w:rFonts w:hint="eastAsia" w:hAnsi="宋体" w:cs="宋体"/>
                <w:color w:val="auto"/>
                <w:kern w:val="0"/>
                <w:highlight w:val="none"/>
              </w:rPr>
              <w:t>★4.1</w:t>
            </w:r>
          </w:p>
        </w:tc>
        <w:tc>
          <w:tcPr>
            <w:tcW w:w="2496" w:type="dxa"/>
            <w:noWrap w:val="0"/>
            <w:vAlign w:val="center"/>
          </w:tcPr>
          <w:p w14:paraId="6BA353C7">
            <w:pPr>
              <w:pStyle w:val="9"/>
              <w:rPr>
                <w:rFonts w:hAnsi="宋体" w:cs="宋体"/>
                <w:color w:val="auto"/>
                <w:highlight w:val="none"/>
              </w:rPr>
            </w:pPr>
            <w:r>
              <w:rPr>
                <w:rFonts w:hint="eastAsia" w:hAnsi="宋体" w:cs="宋体"/>
                <w:color w:val="auto"/>
                <w:highlight w:val="none"/>
              </w:rPr>
              <w:t>具备《中华人民共和国政府采购法》第二十二条规定的条件</w:t>
            </w:r>
          </w:p>
        </w:tc>
        <w:tc>
          <w:tcPr>
            <w:tcW w:w="6013" w:type="dxa"/>
            <w:noWrap w:val="0"/>
            <w:vAlign w:val="center"/>
          </w:tcPr>
          <w:p w14:paraId="25314296">
            <w:pPr>
              <w:rPr>
                <w:rFonts w:ascii="宋体" w:hAnsi="宋体"/>
                <w:color w:val="auto"/>
                <w:szCs w:val="21"/>
                <w:highlight w:val="none"/>
              </w:rPr>
            </w:pPr>
            <w:r>
              <w:rPr>
                <w:rFonts w:hint="eastAsia" w:hAnsi="宋体" w:cs="宋体"/>
                <w:color w:val="auto"/>
                <w:kern w:val="0"/>
                <w:highlight w:val="none"/>
              </w:rPr>
              <w:t>详见竞争性磋商文件第一章《竞争性磋商公告》</w:t>
            </w:r>
            <w:r>
              <w:rPr>
                <w:rFonts w:hint="eastAsia" w:hAnsi="宋体" w:cs="宋体"/>
                <w:color w:val="auto"/>
                <w:kern w:val="0"/>
                <w:highlight w:val="none"/>
                <w:lang w:eastAsia="zh-CN"/>
              </w:rPr>
              <w:t>“二、申请人的资格要求”</w:t>
            </w:r>
          </w:p>
        </w:tc>
      </w:tr>
      <w:tr w14:paraId="74BC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6DDB9914">
            <w:pPr>
              <w:pStyle w:val="9"/>
              <w:jc w:val="center"/>
              <w:rPr>
                <w:rFonts w:hint="eastAsia" w:hAnsi="宋体" w:cs="宋体"/>
                <w:color w:val="auto"/>
                <w:kern w:val="0"/>
                <w:highlight w:val="none"/>
              </w:rPr>
            </w:pPr>
            <w:r>
              <w:rPr>
                <w:rFonts w:hint="eastAsia" w:hAnsi="宋体" w:cs="宋体"/>
                <w:color w:val="auto"/>
                <w:kern w:val="0"/>
                <w:highlight w:val="none"/>
              </w:rPr>
              <w:t>★4.2</w:t>
            </w:r>
          </w:p>
        </w:tc>
        <w:tc>
          <w:tcPr>
            <w:tcW w:w="2496" w:type="dxa"/>
            <w:noWrap w:val="0"/>
            <w:vAlign w:val="center"/>
          </w:tcPr>
          <w:p w14:paraId="5F4DE4FD">
            <w:pPr>
              <w:pStyle w:val="9"/>
              <w:rPr>
                <w:rFonts w:hint="eastAsia" w:hAnsi="宋体" w:cs="宋体"/>
                <w:color w:val="auto"/>
                <w:kern w:val="0"/>
                <w:highlight w:val="none"/>
              </w:rPr>
            </w:pPr>
            <w:r>
              <w:rPr>
                <w:rFonts w:hint="eastAsia" w:hAnsi="宋体" w:cs="宋体"/>
                <w:color w:val="auto"/>
                <w:highlight w:val="none"/>
              </w:rPr>
              <w:t>落实政府采购政策需满足的资格要求</w:t>
            </w:r>
          </w:p>
        </w:tc>
        <w:tc>
          <w:tcPr>
            <w:tcW w:w="6013" w:type="dxa"/>
            <w:noWrap w:val="0"/>
            <w:vAlign w:val="center"/>
          </w:tcPr>
          <w:p w14:paraId="11239BB2">
            <w:pPr>
              <w:rPr>
                <w:rFonts w:hint="eastAsia" w:ascii="宋体" w:hAnsi="宋体" w:cs="宋体"/>
                <w:color w:val="auto"/>
                <w:szCs w:val="21"/>
                <w:highlight w:val="none"/>
              </w:rPr>
            </w:pPr>
            <w:r>
              <w:rPr>
                <w:rFonts w:hint="eastAsia" w:hAnsi="宋体" w:cs="宋体"/>
                <w:color w:val="auto"/>
                <w:kern w:val="0"/>
                <w:highlight w:val="none"/>
              </w:rPr>
              <w:t>详见竞争性磋商文件第一章《竞争性磋商公告》</w:t>
            </w:r>
            <w:r>
              <w:rPr>
                <w:rFonts w:hint="eastAsia" w:hAnsi="宋体" w:cs="宋体"/>
                <w:color w:val="auto"/>
                <w:kern w:val="0"/>
                <w:highlight w:val="none"/>
                <w:lang w:eastAsia="zh-CN"/>
              </w:rPr>
              <w:t>“二、申请人的资格要求”</w:t>
            </w:r>
            <w:r>
              <w:rPr>
                <w:rFonts w:hint="eastAsia" w:ascii="宋体" w:hAnsi="宋体" w:cs="宋体"/>
                <w:color w:val="auto"/>
                <w:szCs w:val="21"/>
                <w:highlight w:val="none"/>
              </w:rPr>
              <w:t>见第一章“竞争性磋商公告”。</w:t>
            </w:r>
          </w:p>
        </w:tc>
      </w:tr>
      <w:tr w14:paraId="7176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4B8FDCCC">
            <w:pPr>
              <w:pStyle w:val="9"/>
              <w:jc w:val="center"/>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4</w:t>
            </w:r>
            <w:r>
              <w:rPr>
                <w:rFonts w:hint="eastAsia" w:hAnsi="宋体" w:cs="宋体"/>
                <w:color w:val="auto"/>
                <w:kern w:val="0"/>
                <w:highlight w:val="none"/>
              </w:rPr>
              <w:t>.</w:t>
            </w:r>
            <w:r>
              <w:rPr>
                <w:rFonts w:hAnsi="宋体" w:cs="宋体"/>
                <w:color w:val="auto"/>
                <w:kern w:val="0"/>
                <w:highlight w:val="none"/>
              </w:rPr>
              <w:t>3</w:t>
            </w:r>
          </w:p>
        </w:tc>
        <w:tc>
          <w:tcPr>
            <w:tcW w:w="2496" w:type="dxa"/>
            <w:noWrap w:val="0"/>
            <w:vAlign w:val="center"/>
          </w:tcPr>
          <w:p w14:paraId="2A0039EA">
            <w:pPr>
              <w:pStyle w:val="9"/>
              <w:rPr>
                <w:rFonts w:hAnsi="宋体" w:cs="宋体"/>
                <w:color w:val="auto"/>
                <w:highlight w:val="none"/>
              </w:rPr>
            </w:pPr>
            <w:r>
              <w:rPr>
                <w:rFonts w:hint="eastAsia" w:hAnsi="宋体" w:cs="宋体"/>
                <w:color w:val="auto"/>
                <w:highlight w:val="none"/>
              </w:rPr>
              <w:t>供应商应符合采购人根据采购项目的特殊要求规定的特定条件</w:t>
            </w:r>
          </w:p>
        </w:tc>
        <w:tc>
          <w:tcPr>
            <w:tcW w:w="6013" w:type="dxa"/>
            <w:noWrap w:val="0"/>
            <w:vAlign w:val="center"/>
          </w:tcPr>
          <w:p w14:paraId="6B64EA17">
            <w:pPr>
              <w:rPr>
                <w:rFonts w:ascii="宋体" w:hAnsi="宋体"/>
                <w:color w:val="auto"/>
                <w:szCs w:val="21"/>
                <w:highlight w:val="none"/>
              </w:rPr>
            </w:pPr>
            <w:r>
              <w:rPr>
                <w:rFonts w:hint="eastAsia" w:hAnsi="宋体" w:cs="宋体"/>
                <w:color w:val="auto"/>
                <w:kern w:val="0"/>
                <w:highlight w:val="none"/>
              </w:rPr>
              <w:t>详见竞争性磋商文件第一章《竞争性磋商公告》</w:t>
            </w:r>
            <w:r>
              <w:rPr>
                <w:rFonts w:hint="eastAsia" w:hAnsi="宋体" w:cs="宋体"/>
                <w:color w:val="auto"/>
                <w:kern w:val="0"/>
                <w:highlight w:val="none"/>
                <w:lang w:eastAsia="zh-CN"/>
              </w:rPr>
              <w:t>“二、申请人的资格要求”</w:t>
            </w:r>
          </w:p>
        </w:tc>
      </w:tr>
      <w:tr w14:paraId="7304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6051EFC2">
            <w:pPr>
              <w:pStyle w:val="9"/>
              <w:jc w:val="center"/>
              <w:rPr>
                <w:rFonts w:hint="eastAsia" w:hAnsi="宋体" w:cs="宋体"/>
                <w:color w:val="auto"/>
                <w:kern w:val="0"/>
                <w:highlight w:val="none"/>
              </w:rPr>
            </w:pPr>
            <w:r>
              <w:rPr>
                <w:rFonts w:hint="eastAsia" w:hAnsi="宋体" w:cs="宋体"/>
                <w:color w:val="auto"/>
                <w:kern w:val="0"/>
                <w:highlight w:val="none"/>
              </w:rPr>
              <w:t>7.1</w:t>
            </w:r>
          </w:p>
        </w:tc>
        <w:tc>
          <w:tcPr>
            <w:tcW w:w="2496" w:type="dxa"/>
            <w:noWrap w:val="0"/>
            <w:vAlign w:val="center"/>
          </w:tcPr>
          <w:p w14:paraId="5F537A88">
            <w:pPr>
              <w:autoSpaceDE w:val="0"/>
              <w:autoSpaceDN w:val="0"/>
              <w:snapToGrid w:val="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磋商文件澄清</w:t>
            </w:r>
            <w:r>
              <w:rPr>
                <w:rFonts w:hint="eastAsia" w:ascii="宋体" w:hAnsi="宋体" w:cs="宋体"/>
                <w:color w:val="auto"/>
                <w:szCs w:val="21"/>
                <w:highlight w:val="none"/>
              </w:rPr>
              <w:t>截止时间</w:t>
            </w:r>
          </w:p>
        </w:tc>
        <w:tc>
          <w:tcPr>
            <w:tcW w:w="6013" w:type="dxa"/>
            <w:noWrap w:val="0"/>
            <w:vAlign w:val="center"/>
          </w:tcPr>
          <w:p w14:paraId="439EAE8F">
            <w:pPr>
              <w:autoSpaceDE w:val="0"/>
              <w:autoSpaceDN w:val="0"/>
              <w:snapToGrid w:val="0"/>
              <w:textAlignment w:val="bottom"/>
              <w:rPr>
                <w:rFonts w:hint="eastAsia" w:ascii="宋体" w:hAnsi="宋体" w:cs="宋体"/>
                <w:color w:val="auto"/>
                <w:kern w:val="0"/>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u w:val="single"/>
              </w:rPr>
              <w:t>5</w:t>
            </w:r>
            <w:r>
              <w:rPr>
                <w:rFonts w:hint="eastAsia" w:ascii="宋体" w:hAnsi="宋体" w:cs="宋体"/>
                <w:color w:val="auto"/>
                <w:szCs w:val="21"/>
                <w:highlight w:val="none"/>
              </w:rPr>
              <w:t>日前。</w:t>
            </w:r>
          </w:p>
        </w:tc>
      </w:tr>
      <w:tr w14:paraId="5399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260" w:type="dxa"/>
            <w:noWrap w:val="0"/>
            <w:vAlign w:val="center"/>
          </w:tcPr>
          <w:p w14:paraId="31ECB5E3">
            <w:pPr>
              <w:pStyle w:val="9"/>
              <w:jc w:val="center"/>
              <w:rPr>
                <w:rFonts w:hint="eastAsia" w:hAnsi="宋体" w:cs="宋体"/>
                <w:color w:val="auto"/>
                <w:kern w:val="0"/>
                <w:highlight w:val="none"/>
              </w:rPr>
            </w:pPr>
            <w:r>
              <w:rPr>
                <w:rFonts w:hint="eastAsia" w:hAnsi="宋体" w:cs="宋体"/>
                <w:color w:val="auto"/>
                <w:kern w:val="0"/>
                <w:highlight w:val="none"/>
              </w:rPr>
              <w:t>7.5</w:t>
            </w:r>
          </w:p>
        </w:tc>
        <w:tc>
          <w:tcPr>
            <w:tcW w:w="2496" w:type="dxa"/>
            <w:noWrap w:val="0"/>
            <w:vAlign w:val="center"/>
          </w:tcPr>
          <w:p w14:paraId="2BCF7BD0">
            <w:pPr>
              <w:autoSpaceDE w:val="0"/>
              <w:autoSpaceDN w:val="0"/>
              <w:snapToGrid w:val="0"/>
              <w:textAlignment w:val="bottom"/>
              <w:rPr>
                <w:rFonts w:hint="eastAsia" w:ascii="宋体" w:hAnsi="宋体" w:cs="宋体"/>
                <w:color w:val="auto"/>
                <w:kern w:val="0"/>
                <w:szCs w:val="21"/>
                <w:highlight w:val="none"/>
              </w:rPr>
            </w:pPr>
            <w:r>
              <w:rPr>
                <w:rFonts w:hint="eastAsia" w:ascii="宋体" w:hAnsi="宋体" w:cs="宋体"/>
                <w:color w:val="auto"/>
                <w:szCs w:val="21"/>
                <w:highlight w:val="none"/>
              </w:rPr>
              <w:t>本项目磋商小组根据与供应商磋商情况可能变动的内容</w:t>
            </w:r>
          </w:p>
        </w:tc>
        <w:tc>
          <w:tcPr>
            <w:tcW w:w="6013" w:type="dxa"/>
            <w:noWrap w:val="0"/>
            <w:vAlign w:val="center"/>
          </w:tcPr>
          <w:p w14:paraId="706D72B6">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tc>
      </w:tr>
      <w:tr w14:paraId="387D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260" w:type="dxa"/>
            <w:noWrap w:val="0"/>
            <w:vAlign w:val="center"/>
          </w:tcPr>
          <w:p w14:paraId="5CB300FF">
            <w:pPr>
              <w:pStyle w:val="9"/>
              <w:jc w:val="center"/>
              <w:rPr>
                <w:rFonts w:hint="eastAsia" w:hAnsi="宋体" w:cs="宋体"/>
                <w:color w:val="auto"/>
                <w:kern w:val="0"/>
                <w:highlight w:val="none"/>
              </w:rPr>
            </w:pPr>
            <w:r>
              <w:rPr>
                <w:rFonts w:hint="eastAsia" w:hAnsi="宋体" w:cs="宋体"/>
                <w:color w:val="auto"/>
                <w:kern w:val="0"/>
                <w:highlight w:val="none"/>
              </w:rPr>
              <w:t xml:space="preserve">9.2 </w:t>
            </w:r>
          </w:p>
        </w:tc>
        <w:tc>
          <w:tcPr>
            <w:tcW w:w="2496" w:type="dxa"/>
            <w:noWrap w:val="0"/>
            <w:vAlign w:val="center"/>
          </w:tcPr>
          <w:p w14:paraId="0594F8D5">
            <w:pPr>
              <w:autoSpaceDE w:val="0"/>
              <w:autoSpaceDN w:val="0"/>
              <w:snapToGrid w:val="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构成响应文件的其他资料</w:t>
            </w:r>
          </w:p>
        </w:tc>
        <w:tc>
          <w:tcPr>
            <w:tcW w:w="6013" w:type="dxa"/>
            <w:noWrap w:val="0"/>
            <w:vAlign w:val="center"/>
          </w:tcPr>
          <w:p w14:paraId="0956CE11">
            <w:pPr>
              <w:autoSpaceDE w:val="0"/>
              <w:autoSpaceDN w:val="0"/>
              <w:snapToGrid w:val="0"/>
              <w:textAlignment w:val="bottom"/>
              <w:rPr>
                <w:rFonts w:ascii="宋体" w:hAnsi="宋体" w:cs="宋体"/>
                <w:color w:val="auto"/>
                <w:szCs w:val="21"/>
                <w:highlight w:val="none"/>
              </w:rPr>
            </w:pPr>
            <w:r>
              <w:rPr>
                <w:rFonts w:hint="eastAsia" w:ascii="宋体" w:hAnsi="宋体" w:cs="宋体"/>
                <w:color w:val="auto"/>
                <w:szCs w:val="21"/>
                <w:highlight w:val="none"/>
              </w:rPr>
              <w:t>1、售后服务承诺及售后服务机构技术力量说明；</w:t>
            </w:r>
          </w:p>
          <w:p w14:paraId="4DB78EE6">
            <w:pPr>
              <w:autoSpaceDE w:val="0"/>
              <w:autoSpaceDN w:val="0"/>
              <w:snapToGrid w:val="0"/>
              <w:textAlignment w:val="bottom"/>
              <w:rPr>
                <w:rFonts w:hint="eastAsia" w:ascii="宋体" w:hAnsi="宋体" w:cs="宋体"/>
                <w:color w:val="auto"/>
                <w:szCs w:val="21"/>
                <w:highlight w:val="none"/>
              </w:rPr>
            </w:pPr>
            <w:r>
              <w:rPr>
                <w:rFonts w:hint="eastAsia" w:ascii="宋体" w:hAnsi="宋体" w:cs="宋体"/>
                <w:color w:val="auto"/>
                <w:szCs w:val="21"/>
                <w:highlight w:val="none"/>
              </w:rPr>
              <w:t>2、第五章“</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”中要求提供的其他资料；</w:t>
            </w:r>
          </w:p>
          <w:p w14:paraId="5FD1FECC">
            <w:pPr>
              <w:pStyle w:val="9"/>
              <w:rPr>
                <w:rFonts w:hint="eastAsia" w:hAnsi="宋体" w:cs="宋体"/>
                <w:color w:val="auto"/>
                <w:highlight w:val="none"/>
              </w:rPr>
            </w:pPr>
            <w:r>
              <w:rPr>
                <w:rFonts w:hint="eastAsia" w:hAnsi="宋体" w:cs="宋体"/>
                <w:color w:val="auto"/>
                <w:highlight w:val="none"/>
              </w:rPr>
              <w:t>3、磋商文件中所涉及到的相关资料及证明文件或供应商认为必须提供的其他相关资料。</w:t>
            </w:r>
          </w:p>
        </w:tc>
      </w:tr>
      <w:tr w14:paraId="3D5C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3557AA28">
            <w:pPr>
              <w:pStyle w:val="9"/>
              <w:jc w:val="center"/>
              <w:rPr>
                <w:rFonts w:hint="eastAsia" w:hAnsi="宋体" w:cs="宋体"/>
                <w:color w:val="auto"/>
                <w:kern w:val="0"/>
                <w:highlight w:val="none"/>
              </w:rPr>
            </w:pPr>
            <w:r>
              <w:rPr>
                <w:rFonts w:hint="eastAsia" w:hAnsi="宋体" w:cs="宋体"/>
                <w:color w:val="auto"/>
                <w:highlight w:val="none"/>
              </w:rPr>
              <w:t>★</w:t>
            </w:r>
            <w:r>
              <w:rPr>
                <w:rFonts w:hint="eastAsia" w:hAnsi="宋体" w:cs="宋体"/>
                <w:color w:val="auto"/>
                <w:kern w:val="0"/>
                <w:highlight w:val="none"/>
              </w:rPr>
              <w:t>10.1</w:t>
            </w:r>
          </w:p>
        </w:tc>
        <w:tc>
          <w:tcPr>
            <w:tcW w:w="2496" w:type="dxa"/>
            <w:noWrap w:val="0"/>
            <w:vAlign w:val="center"/>
          </w:tcPr>
          <w:p w14:paraId="5C7B82A7">
            <w:pPr>
              <w:autoSpaceDE w:val="0"/>
              <w:autoSpaceDN w:val="0"/>
              <w:snapToGrid w:val="0"/>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采购预算及最高限价</w:t>
            </w:r>
          </w:p>
        </w:tc>
        <w:tc>
          <w:tcPr>
            <w:tcW w:w="6013" w:type="dxa"/>
            <w:noWrap w:val="0"/>
            <w:vAlign w:val="center"/>
          </w:tcPr>
          <w:p w14:paraId="41D31B05">
            <w:pPr>
              <w:autoSpaceDE w:val="0"/>
              <w:autoSpaceDN w:val="0"/>
              <w:snapToGrid w:val="0"/>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详见第一章“竞争性磋商公告”。</w:t>
            </w:r>
          </w:p>
        </w:tc>
      </w:tr>
      <w:tr w14:paraId="1B8F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07A1CE03">
            <w:pPr>
              <w:pStyle w:val="9"/>
              <w:jc w:val="center"/>
              <w:rPr>
                <w:rFonts w:hint="eastAsia" w:hAnsi="宋体" w:cs="宋体"/>
                <w:color w:val="auto"/>
                <w:kern w:val="0"/>
                <w:highlight w:val="none"/>
              </w:rPr>
            </w:pPr>
            <w:r>
              <w:rPr>
                <w:rFonts w:hint="eastAsia" w:hAnsi="宋体" w:cs="宋体"/>
                <w:color w:val="auto"/>
                <w:kern w:val="0"/>
                <w:highlight w:val="none"/>
              </w:rPr>
              <w:t>11.1</w:t>
            </w:r>
          </w:p>
        </w:tc>
        <w:tc>
          <w:tcPr>
            <w:tcW w:w="2496" w:type="dxa"/>
            <w:noWrap w:val="0"/>
            <w:vAlign w:val="center"/>
          </w:tcPr>
          <w:p w14:paraId="2FF80B1C">
            <w:pPr>
              <w:pStyle w:val="9"/>
              <w:rPr>
                <w:rFonts w:hint="eastAsia" w:hAnsi="宋体" w:cs="宋体"/>
                <w:color w:val="auto"/>
                <w:kern w:val="0"/>
                <w:highlight w:val="none"/>
              </w:rPr>
            </w:pPr>
            <w:r>
              <w:rPr>
                <w:rFonts w:hint="eastAsia" w:hAnsi="宋体" w:cs="宋体"/>
                <w:color w:val="auto"/>
                <w:kern w:val="0"/>
                <w:highlight w:val="none"/>
              </w:rPr>
              <w:t>有效期</w:t>
            </w:r>
          </w:p>
        </w:tc>
        <w:tc>
          <w:tcPr>
            <w:tcW w:w="6013" w:type="dxa"/>
            <w:noWrap w:val="0"/>
            <w:vAlign w:val="center"/>
          </w:tcPr>
          <w:p w14:paraId="70C6561A">
            <w:pPr>
              <w:pStyle w:val="9"/>
              <w:rPr>
                <w:rFonts w:hint="eastAsia" w:hAnsi="宋体" w:cs="宋体"/>
                <w:color w:val="auto"/>
                <w:kern w:val="0"/>
                <w:highlight w:val="none"/>
              </w:rPr>
            </w:pPr>
            <w:r>
              <w:rPr>
                <w:rFonts w:hint="eastAsia" w:hAnsi="宋体" w:cs="宋体"/>
                <w:color w:val="auto"/>
                <w:kern w:val="0"/>
                <w:highlight w:val="none"/>
              </w:rPr>
              <w:t>递交响应文件的截止日期后</w:t>
            </w:r>
            <w:r>
              <w:rPr>
                <w:rFonts w:hint="eastAsia" w:hAnsi="宋体" w:cs="宋体"/>
                <w:color w:val="auto"/>
                <w:kern w:val="0"/>
                <w:highlight w:val="none"/>
                <w:u w:val="single"/>
              </w:rPr>
              <w:t>90</w:t>
            </w:r>
            <w:r>
              <w:rPr>
                <w:rFonts w:hint="eastAsia" w:hAnsi="宋体" w:cs="宋体"/>
                <w:color w:val="auto"/>
                <w:kern w:val="0"/>
                <w:highlight w:val="none"/>
              </w:rPr>
              <w:t>天。</w:t>
            </w:r>
          </w:p>
        </w:tc>
      </w:tr>
      <w:tr w14:paraId="6358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71E0CADC">
            <w:pPr>
              <w:pStyle w:val="9"/>
              <w:jc w:val="center"/>
              <w:rPr>
                <w:rFonts w:hint="eastAsia" w:hAnsi="宋体" w:cs="宋体"/>
                <w:color w:val="auto"/>
                <w:kern w:val="0"/>
                <w:highlight w:val="none"/>
              </w:rPr>
            </w:pPr>
            <w:r>
              <w:rPr>
                <w:rFonts w:hint="eastAsia" w:hAnsi="宋体" w:cs="宋体"/>
                <w:color w:val="auto"/>
                <w:kern w:val="0"/>
                <w:highlight w:val="none"/>
              </w:rPr>
              <w:t>12.4</w:t>
            </w:r>
          </w:p>
        </w:tc>
        <w:tc>
          <w:tcPr>
            <w:tcW w:w="2496" w:type="dxa"/>
            <w:noWrap w:val="0"/>
            <w:vAlign w:val="center"/>
          </w:tcPr>
          <w:p w14:paraId="5EDDF2ED">
            <w:pPr>
              <w:pStyle w:val="9"/>
              <w:rPr>
                <w:rFonts w:hint="eastAsia" w:hAnsi="宋体" w:cs="宋体"/>
                <w:color w:val="auto"/>
                <w:kern w:val="0"/>
                <w:highlight w:val="none"/>
              </w:rPr>
            </w:pPr>
            <w:r>
              <w:rPr>
                <w:rFonts w:hint="eastAsia" w:hAnsi="宋体" w:cs="宋体"/>
                <w:color w:val="auto"/>
                <w:kern w:val="0"/>
                <w:highlight w:val="none"/>
              </w:rPr>
              <w:t>响应文件份数</w:t>
            </w:r>
          </w:p>
        </w:tc>
        <w:tc>
          <w:tcPr>
            <w:tcW w:w="6013" w:type="dxa"/>
            <w:noWrap w:val="0"/>
            <w:vAlign w:val="center"/>
          </w:tcPr>
          <w:p w14:paraId="0E73D81E">
            <w:pPr>
              <w:pStyle w:val="9"/>
              <w:rPr>
                <w:rFonts w:hAnsi="宋体" w:cs="宋体"/>
                <w:color w:val="auto"/>
                <w:kern w:val="0"/>
                <w:highlight w:val="none"/>
              </w:rPr>
            </w:pPr>
            <w:r>
              <w:rPr>
                <w:rFonts w:hint="eastAsia" w:hAnsi="宋体" w:cs="宋体"/>
                <w:b/>
                <w:bCs/>
                <w:color w:val="auto"/>
                <w:kern w:val="0"/>
                <w:highlight w:val="none"/>
              </w:rPr>
              <w:t>供应商无需提交纸质文件、无需到达磋商现场，仅需按磋商文件要求上传1份电子响应文件即可。</w:t>
            </w:r>
          </w:p>
        </w:tc>
      </w:tr>
      <w:tr w14:paraId="5604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5D08041D">
            <w:pPr>
              <w:pStyle w:val="9"/>
              <w:jc w:val="center"/>
              <w:rPr>
                <w:rFonts w:hint="eastAsia" w:hAnsi="宋体" w:cs="宋体"/>
                <w:color w:val="auto"/>
                <w:kern w:val="0"/>
                <w:highlight w:val="none"/>
              </w:rPr>
            </w:pPr>
            <w:r>
              <w:rPr>
                <w:rFonts w:hint="eastAsia" w:hAnsi="宋体" w:cs="宋体"/>
                <w:color w:val="auto"/>
                <w:kern w:val="0"/>
                <w:highlight w:val="none"/>
              </w:rPr>
              <w:t>13.2</w:t>
            </w:r>
          </w:p>
        </w:tc>
        <w:tc>
          <w:tcPr>
            <w:tcW w:w="2496" w:type="dxa"/>
            <w:noWrap w:val="0"/>
            <w:vAlign w:val="center"/>
          </w:tcPr>
          <w:p w14:paraId="3DB9A750">
            <w:pPr>
              <w:pStyle w:val="9"/>
              <w:rPr>
                <w:rFonts w:hint="eastAsia" w:hAnsi="宋体" w:cs="宋体"/>
                <w:color w:val="auto"/>
                <w:kern w:val="0"/>
                <w:highlight w:val="none"/>
              </w:rPr>
            </w:pPr>
            <w:r>
              <w:rPr>
                <w:rFonts w:hint="eastAsia" w:hAnsi="宋体" w:cs="宋体"/>
                <w:color w:val="auto"/>
                <w:kern w:val="0"/>
                <w:highlight w:val="none"/>
              </w:rPr>
              <w:t>磋商保证金</w:t>
            </w:r>
          </w:p>
        </w:tc>
        <w:tc>
          <w:tcPr>
            <w:tcW w:w="6013" w:type="dxa"/>
            <w:noWrap w:val="0"/>
            <w:vAlign w:val="center"/>
          </w:tcPr>
          <w:p w14:paraId="4A556B47">
            <w:pPr>
              <w:rPr>
                <w:rFonts w:ascii="宋体" w:hAnsi="宋体" w:cs="宋体"/>
                <w:color w:val="auto"/>
                <w:szCs w:val="21"/>
                <w:highlight w:val="none"/>
              </w:rPr>
            </w:pPr>
            <w:r>
              <w:rPr>
                <w:rFonts w:hint="eastAsia" w:ascii="宋体" w:hAnsi="宋体" w:cs="宋体"/>
                <w:color w:val="auto"/>
                <w:szCs w:val="21"/>
                <w:highlight w:val="none"/>
              </w:rPr>
              <w:t>缴纳方式：支票、汇票、本票、保函、保证保险、网银、电汇等非现金形式缴纳</w:t>
            </w:r>
          </w:p>
          <w:p w14:paraId="1BF472E7">
            <w:pPr>
              <w:rPr>
                <w:rFonts w:hint="eastAsia" w:ascii="宋体" w:hAnsi="宋体" w:cs="宋体"/>
                <w:color w:val="auto"/>
                <w:szCs w:val="21"/>
                <w:highlight w:val="none"/>
              </w:rPr>
            </w:pPr>
            <w:r>
              <w:rPr>
                <w:rFonts w:hint="eastAsia" w:ascii="宋体" w:hAnsi="宋体" w:cs="宋体"/>
                <w:color w:val="auto"/>
                <w:szCs w:val="21"/>
                <w:highlight w:val="none"/>
              </w:rPr>
              <w:t>保证金金额：¥</w:t>
            </w:r>
            <w:r>
              <w:rPr>
                <w:rFonts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000.00元（</w:t>
            </w:r>
            <w:r>
              <w:rPr>
                <w:rFonts w:hint="eastAsia" w:ascii="宋体" w:hAnsi="宋体" w:cs="宋体"/>
                <w:color w:val="auto"/>
                <w:szCs w:val="21"/>
                <w:highlight w:val="none"/>
                <w:lang w:val="en-US" w:eastAsia="zh-CN"/>
              </w:rPr>
              <w:t>大写：壹万伍仟元整</w:t>
            </w:r>
            <w:r>
              <w:rPr>
                <w:rFonts w:hint="eastAsia" w:ascii="宋体" w:hAnsi="宋体" w:cs="宋体"/>
                <w:color w:val="auto"/>
                <w:szCs w:val="21"/>
                <w:highlight w:val="none"/>
              </w:rPr>
              <w:t>）</w:t>
            </w:r>
          </w:p>
          <w:p w14:paraId="10229CC4">
            <w:pPr>
              <w:rPr>
                <w:rFonts w:hint="eastAsia" w:ascii="宋体" w:hAnsi="宋体" w:cs="宋体"/>
                <w:color w:val="auto"/>
                <w:szCs w:val="21"/>
                <w:highlight w:val="none"/>
              </w:rPr>
            </w:pPr>
            <w:r>
              <w:rPr>
                <w:rFonts w:hint="eastAsia" w:ascii="宋体" w:hAnsi="宋体" w:cs="宋体"/>
                <w:color w:val="auto"/>
                <w:szCs w:val="21"/>
                <w:highlight w:val="none"/>
              </w:rPr>
              <w:t>缴纳时间：到账截止时间为响应文件（响应文件）递交截止时间，到账时间以项目专项账户实际到账时间为准，未按时到账的保证金视为未提交。</w:t>
            </w:r>
          </w:p>
          <w:p w14:paraId="520EFA9A">
            <w:pPr>
              <w:rPr>
                <w:rFonts w:hint="eastAsia" w:ascii="宋体" w:hAnsi="宋体" w:cs="宋体"/>
                <w:color w:val="auto"/>
                <w:szCs w:val="21"/>
                <w:highlight w:val="none"/>
                <w:lang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云南禹滇工程项目咨询有限公司</w:t>
            </w:r>
          </w:p>
          <w:p w14:paraId="1ED58A77">
            <w:pPr>
              <w:rPr>
                <w:rFonts w:hint="eastAsia" w:ascii="宋体" w:hAnsi="宋体" w:cs="宋体"/>
                <w:color w:val="auto"/>
                <w:szCs w:val="21"/>
                <w:highlight w:val="none"/>
              </w:rPr>
            </w:pPr>
            <w:r>
              <w:rPr>
                <w:rFonts w:hint="eastAsia" w:ascii="宋体" w:hAnsi="宋体" w:cs="宋体"/>
                <w:color w:val="auto"/>
                <w:szCs w:val="21"/>
                <w:highlight w:val="none"/>
              </w:rPr>
              <w:t>开户银行：中国建设银行股份有限公司昆明海源中路支行；</w:t>
            </w:r>
          </w:p>
          <w:p w14:paraId="5551E9F3">
            <w:pPr>
              <w:rPr>
                <w:rFonts w:hint="eastAsia" w:ascii="宋体" w:hAnsi="宋体" w:cs="宋体"/>
                <w:color w:val="auto"/>
                <w:szCs w:val="21"/>
                <w:highlight w:val="none"/>
              </w:rPr>
            </w:pPr>
            <w:r>
              <w:rPr>
                <w:rFonts w:hint="eastAsia" w:ascii="宋体" w:hAnsi="宋体" w:cs="宋体"/>
                <w:color w:val="auto"/>
                <w:szCs w:val="21"/>
                <w:highlight w:val="none"/>
              </w:rPr>
              <w:t>开户账号：53050161554800000372；</w:t>
            </w:r>
          </w:p>
          <w:p w14:paraId="4596576A">
            <w:pPr>
              <w:rPr>
                <w:rFonts w:hint="eastAsia" w:ascii="宋体" w:hAnsi="宋体" w:cs="宋体"/>
                <w:color w:val="auto"/>
                <w:szCs w:val="21"/>
                <w:highlight w:val="none"/>
              </w:rPr>
            </w:pPr>
            <w:r>
              <w:rPr>
                <w:rFonts w:hint="eastAsia" w:ascii="宋体" w:hAnsi="宋体" w:cs="宋体"/>
                <w:b/>
                <w:bCs/>
                <w:color w:val="auto"/>
                <w:szCs w:val="21"/>
                <w:highlight w:val="none"/>
              </w:rPr>
              <w:t>保证金收取：</w:t>
            </w:r>
          </w:p>
          <w:p w14:paraId="4EBCBB9F">
            <w:pPr>
              <w:rPr>
                <w:rFonts w:hint="eastAsia" w:ascii="宋体" w:hAnsi="宋体" w:cs="宋体"/>
                <w:color w:val="auto"/>
                <w:szCs w:val="21"/>
                <w:highlight w:val="none"/>
              </w:rPr>
            </w:pPr>
            <w:r>
              <w:rPr>
                <w:rFonts w:hint="eastAsia" w:ascii="宋体" w:hAnsi="宋体" w:cs="宋体"/>
                <w:color w:val="auto"/>
                <w:szCs w:val="21"/>
                <w:highlight w:val="none"/>
              </w:rPr>
              <w:t>1.以支票方式提交的，出票人必须是供应商，支票收款人必须是采购人，支票必须正确填写收款人信息，用途须注明用于本项目（项目名称）的磋商保证金。供应商必须保证支票有效，否则一切后果自负；</w:t>
            </w:r>
          </w:p>
          <w:p w14:paraId="25CF924B">
            <w:pPr>
              <w:rPr>
                <w:rFonts w:hint="eastAsia" w:ascii="宋体" w:hAnsi="宋体" w:cs="宋体"/>
                <w:color w:val="auto"/>
                <w:szCs w:val="21"/>
                <w:highlight w:val="none"/>
              </w:rPr>
            </w:pPr>
            <w:r>
              <w:rPr>
                <w:rFonts w:hint="eastAsia" w:ascii="宋体" w:hAnsi="宋体" w:cs="宋体"/>
                <w:color w:val="auto"/>
                <w:szCs w:val="21"/>
                <w:highlight w:val="none"/>
              </w:rPr>
              <w:t>2.以汇票方式提交的，出票人必须是供应商，收款人必须是采购人。备注内必须注明用于本项目（项目名称）的磋商保证金，供应商必须保证汇票有效，否则一切后果自负；</w:t>
            </w:r>
          </w:p>
          <w:p w14:paraId="78D1C614">
            <w:pPr>
              <w:rPr>
                <w:rFonts w:hint="eastAsia" w:ascii="宋体" w:hAnsi="宋体" w:cs="宋体"/>
                <w:color w:val="auto"/>
                <w:szCs w:val="21"/>
                <w:highlight w:val="none"/>
              </w:rPr>
            </w:pPr>
            <w:r>
              <w:rPr>
                <w:rFonts w:hint="eastAsia" w:ascii="宋体" w:hAnsi="宋体" w:cs="宋体"/>
                <w:color w:val="auto"/>
                <w:szCs w:val="21"/>
                <w:highlight w:val="none"/>
              </w:rPr>
              <w:t>3.以本票提交的，出票人必须是供应商，收款人必须是采购人。备注内必须注明用于本项目（项目名称）的磋商保证金，供应商必须保证本票有效，否则一切后果自负；</w:t>
            </w:r>
          </w:p>
          <w:p w14:paraId="23D4ED1D">
            <w:pPr>
              <w:rPr>
                <w:rFonts w:hint="eastAsia" w:ascii="宋体" w:hAnsi="宋体" w:cs="宋体"/>
                <w:color w:val="auto"/>
                <w:szCs w:val="21"/>
                <w:highlight w:val="none"/>
              </w:rPr>
            </w:pPr>
            <w:r>
              <w:rPr>
                <w:rFonts w:hint="eastAsia" w:ascii="宋体" w:hAnsi="宋体" w:cs="宋体"/>
                <w:color w:val="auto"/>
                <w:szCs w:val="21"/>
                <w:highlight w:val="none"/>
              </w:rPr>
              <w:t>4.以保函方式提交的，保函申请人必须是供应商，受益人必须是采购人；银行保函必须正确填写受益人和申请人的全称，并与磋商文件规定的名称相一致。银行保函的有效期应当不小于投标有效期，以免造成投标无效。</w:t>
            </w:r>
          </w:p>
          <w:p w14:paraId="03E185E4">
            <w:pPr>
              <w:rPr>
                <w:rFonts w:hint="eastAsia" w:ascii="宋体" w:hAnsi="宋体" w:cs="宋体"/>
                <w:color w:val="auto"/>
                <w:szCs w:val="21"/>
                <w:highlight w:val="none"/>
              </w:rPr>
            </w:pPr>
            <w:r>
              <w:rPr>
                <w:rFonts w:hint="eastAsia" w:ascii="宋体" w:hAnsi="宋体" w:cs="宋体"/>
                <w:color w:val="auto"/>
                <w:szCs w:val="21"/>
                <w:highlight w:val="none"/>
              </w:rPr>
              <w:t>5.以保证保险方式提交的，保险申请人必须是供应商，受益人必须是采购人；保险必须正确填写受益人和申请人的全称，并与招标文件规定的名称相一致。保险的有效期应当不小于投标有效期，以免造成投标无效。</w:t>
            </w:r>
          </w:p>
          <w:p w14:paraId="292ACA20">
            <w:pPr>
              <w:rPr>
                <w:rFonts w:hint="eastAsia" w:ascii="宋体" w:hAnsi="宋体" w:cs="宋体"/>
                <w:color w:val="auto"/>
                <w:szCs w:val="21"/>
                <w:highlight w:val="none"/>
              </w:rPr>
            </w:pPr>
            <w:r>
              <w:rPr>
                <w:rFonts w:hint="eastAsia" w:ascii="宋体" w:hAnsi="宋体" w:cs="宋体"/>
                <w:b/>
                <w:bCs/>
                <w:color w:val="auto"/>
                <w:szCs w:val="21"/>
                <w:highlight w:val="none"/>
              </w:rPr>
              <w:t>保证金退还：</w:t>
            </w:r>
          </w:p>
          <w:p w14:paraId="36BBD405">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以电汇、网银、银行转账方式缴纳的保证金，以网银对公转账的方式退还到供应商打款账户；</w:t>
            </w:r>
          </w:p>
          <w:p w14:paraId="3550BDF9">
            <w:pP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以支票、汇票及本票等票据方式缴纳的保证金，经财务查账确认后以对公转账的方式退还到供应商开户账户；</w:t>
            </w:r>
          </w:p>
          <w:p w14:paraId="3B6EB8E6">
            <w:pPr>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以银行保函或者保证保险方式缴纳的保证金由供应商自行联系出函机构。</w:t>
            </w:r>
          </w:p>
        </w:tc>
      </w:tr>
      <w:tr w14:paraId="608B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28282670">
            <w:pPr>
              <w:pStyle w:val="9"/>
              <w:jc w:val="center"/>
              <w:rPr>
                <w:rFonts w:hAnsi="宋体" w:cs="宋体"/>
                <w:color w:val="auto"/>
                <w:kern w:val="0"/>
                <w:highlight w:val="none"/>
              </w:rPr>
            </w:pPr>
            <w:r>
              <w:rPr>
                <w:rFonts w:hint="eastAsia" w:hAnsi="宋体" w:cs="宋体"/>
                <w:color w:val="auto"/>
                <w:kern w:val="0"/>
                <w:highlight w:val="none"/>
              </w:rPr>
              <w:t>14.1</w:t>
            </w:r>
          </w:p>
        </w:tc>
        <w:tc>
          <w:tcPr>
            <w:tcW w:w="2496" w:type="dxa"/>
            <w:noWrap w:val="0"/>
            <w:vAlign w:val="center"/>
          </w:tcPr>
          <w:p w14:paraId="7EF2958D">
            <w:pPr>
              <w:pStyle w:val="9"/>
              <w:rPr>
                <w:rFonts w:hint="eastAsia" w:hAnsi="宋体" w:cs="宋体"/>
                <w:color w:val="auto"/>
                <w:kern w:val="0"/>
                <w:highlight w:val="none"/>
              </w:rPr>
            </w:pPr>
            <w:r>
              <w:rPr>
                <w:rFonts w:hint="eastAsia" w:hAnsi="宋体" w:cs="宋体"/>
                <w:color w:val="auto"/>
                <w:kern w:val="0"/>
                <w:highlight w:val="none"/>
              </w:rPr>
              <w:t>响应文件的密封与标记</w:t>
            </w:r>
          </w:p>
        </w:tc>
        <w:tc>
          <w:tcPr>
            <w:tcW w:w="6013" w:type="dxa"/>
            <w:noWrap w:val="0"/>
            <w:vAlign w:val="center"/>
          </w:tcPr>
          <w:p w14:paraId="064E95E0">
            <w:pPr>
              <w:rPr>
                <w:rFonts w:hint="eastAsia" w:ascii="宋体" w:hAnsi="宋体" w:cs="宋体"/>
                <w:color w:val="auto"/>
                <w:szCs w:val="21"/>
                <w:highlight w:val="none"/>
              </w:rPr>
            </w:pPr>
            <w:r>
              <w:rPr>
                <w:rFonts w:hint="eastAsia" w:ascii="宋体" w:hAnsi="宋体" w:cs="宋体"/>
                <w:color w:val="auto"/>
                <w:szCs w:val="21"/>
                <w:highlight w:val="none"/>
              </w:rPr>
              <w:t>1、本项目为电子化采购项目，响应文件的提交、开启、详细磋商等程序均通过政府采购云平台进行，供应商无需提交纸质文件、无需到达磋商现场。</w:t>
            </w:r>
          </w:p>
          <w:p w14:paraId="15C6E1B3">
            <w:pPr>
              <w:rPr>
                <w:rFonts w:hint="eastAsia" w:ascii="宋体" w:hAnsi="宋体" w:cs="宋体"/>
                <w:color w:val="auto"/>
                <w:szCs w:val="21"/>
                <w:highlight w:val="none"/>
              </w:rPr>
            </w:pPr>
            <w:r>
              <w:rPr>
                <w:rFonts w:hint="eastAsia" w:ascii="宋体" w:hAnsi="宋体" w:cs="宋体"/>
                <w:color w:val="auto"/>
                <w:szCs w:val="21"/>
                <w:highlight w:val="none"/>
              </w:rPr>
              <w:t>2、政府采购云平台电子交易客户端下载、安装完成后（建议使用WIN7（64位）及以上操作系统），供应商可通过账号密码或CA登录客户端进行响应文件的制作。供应商按照采购文件和政府采购云平台的要求编制响应文件，并在响应文件递交截止时间前将加密的响应文件上传至政府采购云平台。在响应文件递交截止时间前未完成响应文件上传的，视为撤回响应文件。供应商在政府采购云平台提交响应文件时，请同时填写参加远程采购活动经办人联系方式。</w:t>
            </w:r>
          </w:p>
          <w:p w14:paraId="6A2D259D">
            <w:pPr>
              <w:rPr>
                <w:rFonts w:hint="eastAsia" w:ascii="宋体" w:hAnsi="宋体" w:cs="宋体"/>
                <w:color w:val="auto"/>
                <w:szCs w:val="21"/>
                <w:highlight w:val="none"/>
              </w:rPr>
            </w:pPr>
            <w:r>
              <w:rPr>
                <w:rFonts w:hint="eastAsia" w:ascii="宋体" w:hAnsi="宋体" w:cs="宋体"/>
                <w:color w:val="auto"/>
                <w:szCs w:val="21"/>
                <w:highlight w:val="none"/>
              </w:rPr>
              <w:t>3、使用政府采购云平台投标客户端时，如有问题可拨打政府采购云平台客户服务热线400-881-7190进行咨询。对云南CA操作问题请致电云南CA，4006727666；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视为供应商自动弃标。</w:t>
            </w:r>
          </w:p>
        </w:tc>
      </w:tr>
      <w:tr w14:paraId="623D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35FBCD46">
            <w:pPr>
              <w:pStyle w:val="15"/>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15.1</w:t>
            </w:r>
          </w:p>
        </w:tc>
        <w:tc>
          <w:tcPr>
            <w:tcW w:w="2496" w:type="dxa"/>
            <w:noWrap w:val="0"/>
            <w:vAlign w:val="center"/>
          </w:tcPr>
          <w:p w14:paraId="76C703A2">
            <w:pPr>
              <w:pStyle w:val="9"/>
              <w:rPr>
                <w:rFonts w:hint="eastAsia" w:hAnsi="宋体" w:cs="宋体"/>
                <w:color w:val="auto"/>
                <w:kern w:val="0"/>
                <w:highlight w:val="none"/>
              </w:rPr>
            </w:pPr>
            <w:r>
              <w:rPr>
                <w:rFonts w:hint="eastAsia" w:hAnsi="宋体" w:cs="宋体"/>
                <w:color w:val="auto"/>
                <w:kern w:val="0"/>
                <w:highlight w:val="none"/>
              </w:rPr>
              <w:t>递交响应文件的截止时间</w:t>
            </w:r>
          </w:p>
        </w:tc>
        <w:tc>
          <w:tcPr>
            <w:tcW w:w="6013" w:type="dxa"/>
            <w:noWrap w:val="0"/>
            <w:vAlign w:val="center"/>
          </w:tcPr>
          <w:p w14:paraId="27CF0396">
            <w:pPr>
              <w:pStyle w:val="9"/>
              <w:rPr>
                <w:rFonts w:hint="eastAsia" w:hAnsi="宋体" w:cs="宋体"/>
                <w:color w:val="auto"/>
                <w:kern w:val="0"/>
                <w:highlight w:val="none"/>
              </w:rPr>
            </w:pPr>
            <w:r>
              <w:rPr>
                <w:rFonts w:hint="eastAsia" w:hAnsi="宋体" w:cs="宋体"/>
                <w:color w:val="auto"/>
                <w:kern w:val="0"/>
                <w:highlight w:val="none"/>
              </w:rPr>
              <w:t>见第一章“竞争性磋商公告”。</w:t>
            </w:r>
          </w:p>
        </w:tc>
      </w:tr>
      <w:tr w14:paraId="7A54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08D4AEAF">
            <w:pPr>
              <w:pStyle w:val="15"/>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15.2</w:t>
            </w:r>
          </w:p>
        </w:tc>
        <w:tc>
          <w:tcPr>
            <w:tcW w:w="2496" w:type="dxa"/>
            <w:noWrap w:val="0"/>
            <w:vAlign w:val="center"/>
          </w:tcPr>
          <w:p w14:paraId="79893848">
            <w:pPr>
              <w:pStyle w:val="9"/>
              <w:rPr>
                <w:rFonts w:hint="eastAsia" w:hAnsi="宋体" w:cs="宋体"/>
                <w:color w:val="auto"/>
                <w:kern w:val="0"/>
                <w:highlight w:val="none"/>
              </w:rPr>
            </w:pPr>
            <w:r>
              <w:rPr>
                <w:rFonts w:hint="eastAsia" w:hAnsi="宋体" w:cs="宋体"/>
                <w:color w:val="auto"/>
                <w:kern w:val="0"/>
                <w:highlight w:val="none"/>
              </w:rPr>
              <w:t>递交响应文件地点</w:t>
            </w:r>
          </w:p>
        </w:tc>
        <w:tc>
          <w:tcPr>
            <w:tcW w:w="6013" w:type="dxa"/>
            <w:noWrap w:val="0"/>
            <w:vAlign w:val="center"/>
          </w:tcPr>
          <w:p w14:paraId="045785F1">
            <w:pPr>
              <w:pStyle w:val="9"/>
              <w:ind w:left="29" w:hanging="29" w:hangingChars="14"/>
              <w:jc w:val="both"/>
              <w:rPr>
                <w:rFonts w:hint="eastAsia" w:hAnsi="宋体" w:cs="宋体"/>
                <w:color w:val="auto"/>
                <w:kern w:val="0"/>
                <w:highlight w:val="none"/>
              </w:rPr>
            </w:pPr>
            <w:r>
              <w:rPr>
                <w:rFonts w:hint="eastAsia" w:hAnsi="宋体" w:cs="宋体"/>
                <w:color w:val="auto"/>
                <w:kern w:val="0"/>
                <w:highlight w:val="none"/>
              </w:rPr>
              <w:t>见第一章“竞争性磋商公告”。</w:t>
            </w:r>
          </w:p>
        </w:tc>
      </w:tr>
      <w:tr w14:paraId="4BFD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60" w:type="dxa"/>
            <w:noWrap w:val="0"/>
            <w:vAlign w:val="center"/>
          </w:tcPr>
          <w:p w14:paraId="4D0D79E5">
            <w:pPr>
              <w:pStyle w:val="15"/>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15.3</w:t>
            </w:r>
          </w:p>
        </w:tc>
        <w:tc>
          <w:tcPr>
            <w:tcW w:w="2496" w:type="dxa"/>
            <w:noWrap w:val="0"/>
            <w:vAlign w:val="center"/>
          </w:tcPr>
          <w:p w14:paraId="5900F74F">
            <w:pPr>
              <w:pStyle w:val="9"/>
              <w:rPr>
                <w:rFonts w:hint="eastAsia" w:hAnsi="宋体" w:cs="宋体"/>
                <w:color w:val="auto"/>
                <w:kern w:val="0"/>
                <w:highlight w:val="none"/>
              </w:rPr>
            </w:pPr>
            <w:r>
              <w:rPr>
                <w:rFonts w:hint="eastAsia" w:hAnsi="宋体" w:cs="宋体"/>
                <w:color w:val="auto"/>
                <w:kern w:val="0"/>
                <w:highlight w:val="none"/>
              </w:rPr>
              <w:t>是否退还响应文件</w:t>
            </w:r>
          </w:p>
        </w:tc>
        <w:tc>
          <w:tcPr>
            <w:tcW w:w="6013" w:type="dxa"/>
            <w:noWrap w:val="0"/>
            <w:vAlign w:val="center"/>
          </w:tcPr>
          <w:p w14:paraId="693B916F">
            <w:pPr>
              <w:pStyle w:val="9"/>
              <w:rPr>
                <w:rFonts w:hint="eastAsia" w:hAnsi="宋体" w:cs="宋体"/>
                <w:color w:val="auto"/>
                <w:kern w:val="0"/>
                <w:highlight w:val="none"/>
              </w:rPr>
            </w:pPr>
            <w:r>
              <w:rPr>
                <w:rFonts w:hint="eastAsia" w:hAnsi="宋体" w:cs="宋体"/>
                <w:color w:val="auto"/>
                <w:kern w:val="0"/>
                <w:highlight w:val="none"/>
              </w:rPr>
              <w:t>否</w:t>
            </w:r>
          </w:p>
        </w:tc>
      </w:tr>
      <w:tr w14:paraId="222B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4FA14875">
            <w:pPr>
              <w:pStyle w:val="9"/>
              <w:jc w:val="center"/>
              <w:rPr>
                <w:rFonts w:hint="eastAsia" w:hAnsi="宋体" w:cs="宋体"/>
                <w:color w:val="auto"/>
                <w:kern w:val="0"/>
                <w:highlight w:val="none"/>
              </w:rPr>
            </w:pPr>
            <w:r>
              <w:rPr>
                <w:rFonts w:hint="eastAsia" w:hAnsi="宋体" w:cs="宋体"/>
                <w:color w:val="auto"/>
                <w:kern w:val="0"/>
                <w:highlight w:val="none"/>
              </w:rPr>
              <w:t>16.1</w:t>
            </w:r>
          </w:p>
        </w:tc>
        <w:tc>
          <w:tcPr>
            <w:tcW w:w="2496" w:type="dxa"/>
            <w:noWrap w:val="0"/>
            <w:vAlign w:val="center"/>
          </w:tcPr>
          <w:p w14:paraId="35CF5C7D">
            <w:pPr>
              <w:pStyle w:val="9"/>
              <w:rPr>
                <w:rFonts w:hint="eastAsia" w:hAnsi="宋体" w:cs="宋体"/>
                <w:color w:val="auto"/>
                <w:kern w:val="0"/>
                <w:highlight w:val="none"/>
              </w:rPr>
            </w:pPr>
            <w:r>
              <w:rPr>
                <w:rFonts w:hint="eastAsia" w:hAnsi="宋体" w:cs="宋体"/>
                <w:color w:val="auto"/>
                <w:kern w:val="0"/>
                <w:highlight w:val="none"/>
              </w:rPr>
              <w:t>磋商时间和地点</w:t>
            </w:r>
          </w:p>
        </w:tc>
        <w:tc>
          <w:tcPr>
            <w:tcW w:w="6013" w:type="dxa"/>
            <w:noWrap w:val="0"/>
            <w:vAlign w:val="center"/>
          </w:tcPr>
          <w:p w14:paraId="58F3EDA6">
            <w:pPr>
              <w:pStyle w:val="9"/>
              <w:rPr>
                <w:rFonts w:hint="eastAsia" w:hAnsi="宋体" w:cs="宋体"/>
                <w:color w:val="auto"/>
                <w:kern w:val="0"/>
                <w:highlight w:val="none"/>
              </w:rPr>
            </w:pPr>
            <w:r>
              <w:rPr>
                <w:rFonts w:hint="eastAsia" w:hAnsi="宋体" w:cs="宋体"/>
                <w:color w:val="auto"/>
                <w:kern w:val="0"/>
                <w:highlight w:val="none"/>
              </w:rPr>
              <w:t>见第一章“竞争性磋商公告”。</w:t>
            </w:r>
          </w:p>
        </w:tc>
      </w:tr>
      <w:tr w14:paraId="743A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42DB0D69">
            <w:pPr>
              <w:pStyle w:val="9"/>
              <w:jc w:val="center"/>
              <w:rPr>
                <w:rFonts w:hint="eastAsia" w:hAnsi="宋体" w:cs="宋体"/>
                <w:color w:val="auto"/>
                <w:kern w:val="0"/>
                <w:highlight w:val="none"/>
              </w:rPr>
            </w:pPr>
            <w:r>
              <w:rPr>
                <w:rFonts w:hint="eastAsia" w:hAnsi="宋体" w:cs="宋体"/>
                <w:color w:val="auto"/>
                <w:kern w:val="0"/>
                <w:highlight w:val="none"/>
              </w:rPr>
              <w:t>16.4</w:t>
            </w:r>
          </w:p>
        </w:tc>
        <w:tc>
          <w:tcPr>
            <w:tcW w:w="2496" w:type="dxa"/>
            <w:noWrap w:val="0"/>
            <w:vAlign w:val="center"/>
          </w:tcPr>
          <w:p w14:paraId="79954754">
            <w:pPr>
              <w:pStyle w:val="9"/>
              <w:rPr>
                <w:rFonts w:hint="eastAsia" w:hAnsi="宋体" w:cs="宋体"/>
                <w:color w:val="auto"/>
                <w:kern w:val="0"/>
                <w:highlight w:val="none"/>
              </w:rPr>
            </w:pPr>
            <w:r>
              <w:rPr>
                <w:rFonts w:hint="eastAsia" w:hAnsi="宋体" w:cs="宋体"/>
                <w:color w:val="auto"/>
                <w:kern w:val="0"/>
                <w:highlight w:val="none"/>
              </w:rPr>
              <w:t>磋商程序和方法</w:t>
            </w:r>
          </w:p>
        </w:tc>
        <w:tc>
          <w:tcPr>
            <w:tcW w:w="6013" w:type="dxa"/>
            <w:noWrap w:val="0"/>
            <w:vAlign w:val="center"/>
          </w:tcPr>
          <w:p w14:paraId="274E1EEC">
            <w:pPr>
              <w:pStyle w:val="9"/>
              <w:rPr>
                <w:rFonts w:hint="eastAsia" w:hAnsi="宋体" w:cs="宋体"/>
                <w:color w:val="auto"/>
                <w:kern w:val="0"/>
                <w:highlight w:val="none"/>
              </w:rPr>
            </w:pPr>
            <w:r>
              <w:rPr>
                <w:rFonts w:hint="eastAsia" w:hAnsi="宋体" w:cs="宋体"/>
                <w:color w:val="auto"/>
                <w:kern w:val="0"/>
                <w:highlight w:val="none"/>
              </w:rPr>
              <w:t>综合评分法</w:t>
            </w:r>
          </w:p>
        </w:tc>
      </w:tr>
      <w:tr w14:paraId="17B8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44889E24">
            <w:pPr>
              <w:pStyle w:val="9"/>
              <w:jc w:val="center"/>
              <w:rPr>
                <w:rFonts w:hint="eastAsia" w:hAnsi="宋体" w:cs="宋体"/>
                <w:color w:val="auto"/>
                <w:kern w:val="0"/>
                <w:highlight w:val="none"/>
              </w:rPr>
            </w:pPr>
            <w:r>
              <w:rPr>
                <w:rFonts w:hint="eastAsia" w:hAnsi="宋体" w:cs="宋体"/>
                <w:color w:val="auto"/>
                <w:kern w:val="0"/>
                <w:highlight w:val="none"/>
              </w:rPr>
              <w:t>21.3</w:t>
            </w:r>
          </w:p>
        </w:tc>
        <w:tc>
          <w:tcPr>
            <w:tcW w:w="2496" w:type="dxa"/>
            <w:noWrap w:val="0"/>
            <w:vAlign w:val="center"/>
          </w:tcPr>
          <w:p w14:paraId="07CF610E">
            <w:pPr>
              <w:pStyle w:val="9"/>
              <w:rPr>
                <w:rFonts w:hint="eastAsia" w:hAnsi="宋体" w:cs="宋体"/>
                <w:color w:val="auto"/>
                <w:kern w:val="0"/>
                <w:highlight w:val="none"/>
              </w:rPr>
            </w:pPr>
            <w:r>
              <w:rPr>
                <w:rFonts w:hint="eastAsia" w:hAnsi="宋体" w:cs="宋体"/>
                <w:color w:val="auto"/>
                <w:kern w:val="0"/>
                <w:highlight w:val="none"/>
              </w:rPr>
              <w:t>履约保证金金额</w:t>
            </w:r>
          </w:p>
        </w:tc>
        <w:tc>
          <w:tcPr>
            <w:tcW w:w="6013" w:type="dxa"/>
            <w:noWrap w:val="0"/>
            <w:vAlign w:val="center"/>
          </w:tcPr>
          <w:p w14:paraId="0D9B54CA">
            <w:pPr>
              <w:pStyle w:val="9"/>
              <w:keepNext w:val="0"/>
              <w:keepLines w:val="0"/>
              <w:pageBreakBefore w:val="0"/>
              <w:kinsoku/>
              <w:wordWrap/>
              <w:overflowPunct/>
              <w:topLinePunct w:val="0"/>
              <w:bidi w:val="0"/>
              <w:adjustRightInd/>
              <w:snapToGrid/>
              <w:spacing w:line="360" w:lineRule="auto"/>
              <w:textAlignment w:val="auto"/>
              <w:rPr>
                <w:rFonts w:hAnsi="宋体"/>
                <w:color w:val="auto"/>
                <w:sz w:val="21"/>
                <w:szCs w:val="21"/>
                <w:highlight w:val="none"/>
              </w:rPr>
            </w:pPr>
            <w:r>
              <w:rPr>
                <w:rFonts w:hint="eastAsia" w:hAnsi="宋体"/>
                <w:color w:val="auto"/>
                <w:sz w:val="21"/>
                <w:szCs w:val="21"/>
                <w:highlight w:val="none"/>
              </w:rPr>
              <w:t>■本项目要求提交履</w:t>
            </w:r>
            <w:r>
              <w:rPr>
                <w:rFonts w:hint="eastAsia" w:hAnsi="宋体" w:cs="微软雅黑"/>
                <w:color w:val="auto"/>
                <w:sz w:val="21"/>
                <w:szCs w:val="21"/>
                <w:highlight w:val="none"/>
              </w:rPr>
              <w:t>约</w:t>
            </w:r>
            <w:r>
              <w:rPr>
                <w:rFonts w:hint="eastAsia" w:hAnsi="宋体" w:cs="Malgun Gothic"/>
                <w:color w:val="auto"/>
                <w:sz w:val="21"/>
                <w:szCs w:val="21"/>
                <w:highlight w:val="none"/>
              </w:rPr>
              <w:t>保</w:t>
            </w:r>
            <w:r>
              <w:rPr>
                <w:rFonts w:hint="eastAsia" w:hAnsi="宋体" w:cs="微软雅黑"/>
                <w:color w:val="auto"/>
                <w:sz w:val="21"/>
                <w:szCs w:val="21"/>
                <w:highlight w:val="none"/>
              </w:rPr>
              <w:t>证</w:t>
            </w:r>
            <w:r>
              <w:rPr>
                <w:rFonts w:hint="eastAsia" w:hAnsi="宋体" w:cs="Malgun Gothic"/>
                <w:color w:val="auto"/>
                <w:sz w:val="21"/>
                <w:szCs w:val="21"/>
                <w:highlight w:val="none"/>
              </w:rPr>
              <w:t>金，金</w:t>
            </w:r>
            <w:r>
              <w:rPr>
                <w:rFonts w:hint="eastAsia" w:hAnsi="宋体" w:cs="微软雅黑"/>
                <w:color w:val="auto"/>
                <w:sz w:val="21"/>
                <w:szCs w:val="21"/>
                <w:highlight w:val="none"/>
              </w:rPr>
              <w:t>额为</w:t>
            </w:r>
            <w:r>
              <w:rPr>
                <w:rFonts w:hint="eastAsia" w:hAnsi="宋体" w:cs="Malgun Gothic"/>
                <w:color w:val="auto"/>
                <w:sz w:val="21"/>
                <w:szCs w:val="21"/>
                <w:highlight w:val="none"/>
              </w:rPr>
              <w:t>合同金</w:t>
            </w:r>
            <w:r>
              <w:rPr>
                <w:rFonts w:hint="eastAsia" w:hAnsi="宋体" w:cs="微软雅黑"/>
                <w:color w:val="auto"/>
                <w:sz w:val="21"/>
                <w:szCs w:val="21"/>
                <w:highlight w:val="none"/>
              </w:rPr>
              <w:t>额</w:t>
            </w:r>
            <w:r>
              <w:rPr>
                <w:rFonts w:hint="eastAsia" w:hAnsi="宋体" w:cs="Malgun Gothic"/>
                <w:color w:val="auto"/>
                <w:sz w:val="21"/>
                <w:szCs w:val="21"/>
                <w:highlight w:val="none"/>
              </w:rPr>
              <w:t>的</w:t>
            </w:r>
            <w:r>
              <w:rPr>
                <w:rFonts w:hAnsi="宋体" w:cs="Malgun Gothic"/>
                <w:color w:val="auto"/>
                <w:sz w:val="21"/>
                <w:szCs w:val="21"/>
                <w:highlight w:val="none"/>
                <w:u w:val="single"/>
              </w:rPr>
              <w:t>5</w:t>
            </w:r>
            <w:r>
              <w:rPr>
                <w:rFonts w:hint="eastAsia" w:hAnsi="宋体"/>
                <w:color w:val="auto"/>
                <w:sz w:val="21"/>
                <w:szCs w:val="21"/>
                <w:highlight w:val="none"/>
              </w:rPr>
              <w:t>%；履约保证金形式为：</w:t>
            </w:r>
            <w:r>
              <w:rPr>
                <w:rFonts w:hAnsi="宋体"/>
                <w:color w:val="auto"/>
                <w:sz w:val="21"/>
                <w:szCs w:val="21"/>
                <w:highlight w:val="none"/>
                <w:u w:val="single"/>
              </w:rPr>
              <w:t>（</w:t>
            </w:r>
            <w:r>
              <w:rPr>
                <w:rFonts w:hint="eastAsia" w:hAnsi="宋体"/>
                <w:color w:val="auto"/>
                <w:sz w:val="21"/>
                <w:szCs w:val="21"/>
                <w:highlight w:val="none"/>
                <w:u w:val="single"/>
              </w:rPr>
              <w:t>支票、汇票、本票或者金融机构、担保机构出具的保函等非现金形式提交</w:t>
            </w:r>
            <w:r>
              <w:rPr>
                <w:rFonts w:hAnsi="宋体"/>
                <w:color w:val="auto"/>
                <w:sz w:val="21"/>
                <w:szCs w:val="21"/>
                <w:highlight w:val="none"/>
                <w:u w:val="single"/>
              </w:rPr>
              <w:t>）</w:t>
            </w:r>
          </w:p>
          <w:p w14:paraId="7D3C3800">
            <w:pPr>
              <w:pStyle w:val="9"/>
              <w:rPr>
                <w:rFonts w:hint="eastAsia" w:hAnsi="宋体" w:eastAsia="宋体" w:cs="宋体"/>
                <w:color w:val="auto"/>
                <w:kern w:val="0"/>
                <w:highlight w:val="none"/>
                <w:lang w:eastAsia="zh-CN"/>
              </w:rPr>
            </w:pPr>
            <w:r>
              <w:rPr>
                <w:rFonts w:hint="eastAsia" w:hAnsi="宋体"/>
                <w:color w:val="auto"/>
                <w:sz w:val="21"/>
                <w:szCs w:val="21"/>
                <w:highlight w:val="none"/>
                <w:lang w:eastAsia="zh-CN"/>
              </w:rPr>
              <w:t>□</w:t>
            </w:r>
            <w:r>
              <w:rPr>
                <w:rFonts w:hint="eastAsia" w:hAnsi="宋体"/>
                <w:color w:val="auto"/>
                <w:sz w:val="21"/>
                <w:szCs w:val="21"/>
                <w:highlight w:val="none"/>
              </w:rPr>
              <w:t>本项目不要求提交履</w:t>
            </w:r>
            <w:r>
              <w:rPr>
                <w:rFonts w:hint="eastAsia" w:hAnsi="宋体" w:cs="微软雅黑"/>
                <w:color w:val="auto"/>
                <w:sz w:val="21"/>
                <w:szCs w:val="21"/>
                <w:highlight w:val="none"/>
              </w:rPr>
              <w:t>约</w:t>
            </w:r>
            <w:r>
              <w:rPr>
                <w:rFonts w:hint="eastAsia" w:hAnsi="宋体" w:cs="Malgun Gothic"/>
                <w:color w:val="auto"/>
                <w:sz w:val="21"/>
                <w:szCs w:val="21"/>
                <w:highlight w:val="none"/>
              </w:rPr>
              <w:t>保</w:t>
            </w:r>
            <w:r>
              <w:rPr>
                <w:rFonts w:hint="eastAsia" w:hAnsi="宋体" w:cs="微软雅黑"/>
                <w:color w:val="auto"/>
                <w:sz w:val="21"/>
                <w:szCs w:val="21"/>
                <w:highlight w:val="none"/>
              </w:rPr>
              <w:t>证</w:t>
            </w:r>
            <w:r>
              <w:rPr>
                <w:rFonts w:hint="eastAsia" w:hAnsi="宋体" w:cs="Malgun Gothic"/>
                <w:color w:val="auto"/>
                <w:sz w:val="21"/>
                <w:szCs w:val="21"/>
                <w:highlight w:val="none"/>
              </w:rPr>
              <w:t>金。</w:t>
            </w:r>
          </w:p>
        </w:tc>
      </w:tr>
      <w:tr w14:paraId="6925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19538906">
            <w:pPr>
              <w:pStyle w:val="9"/>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23.1</w:t>
            </w:r>
          </w:p>
        </w:tc>
        <w:tc>
          <w:tcPr>
            <w:tcW w:w="2496" w:type="dxa"/>
            <w:noWrap w:val="0"/>
            <w:vAlign w:val="center"/>
          </w:tcPr>
          <w:p w14:paraId="47839410">
            <w:pPr>
              <w:pStyle w:val="9"/>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代理服务费</w:t>
            </w:r>
          </w:p>
        </w:tc>
        <w:tc>
          <w:tcPr>
            <w:tcW w:w="6013" w:type="dxa"/>
            <w:noWrap w:val="0"/>
            <w:vAlign w:val="center"/>
          </w:tcPr>
          <w:p w14:paraId="33326F22">
            <w:pPr>
              <w:pStyle w:val="9"/>
              <w:rPr>
                <w:rFonts w:hAnsi="宋体" w:cs="宋体"/>
                <w:color w:val="auto"/>
                <w:kern w:val="0"/>
                <w:highlight w:val="none"/>
              </w:rPr>
            </w:pPr>
            <w:r>
              <w:rPr>
                <w:rFonts w:hint="eastAsia" w:hAnsi="宋体" w:cs="宋体"/>
                <w:color w:val="auto"/>
                <w:kern w:val="0"/>
                <w:highlight w:val="none"/>
              </w:rPr>
              <w:t>由</w:t>
            </w:r>
            <w:r>
              <w:rPr>
                <w:rFonts w:hint="eastAsia" w:hAnsi="宋体" w:cs="宋体"/>
                <w:color w:val="auto"/>
                <w:kern w:val="0"/>
                <w:highlight w:val="none"/>
                <w:lang w:val="en-US" w:eastAsia="zh-CN"/>
              </w:rPr>
              <w:t>成交供应商</w:t>
            </w:r>
            <w:r>
              <w:rPr>
                <w:rFonts w:hint="eastAsia" w:hAnsi="宋体" w:cs="宋体"/>
                <w:color w:val="auto"/>
                <w:kern w:val="0"/>
                <w:highlight w:val="none"/>
              </w:rPr>
              <w:t>承担本项目代理服务费，代理</w:t>
            </w:r>
            <w:r>
              <w:rPr>
                <w:rFonts w:hint="eastAsia" w:hAnsi="宋体" w:cs="宋体"/>
                <w:color w:val="auto"/>
                <w:kern w:val="0"/>
                <w:highlight w:val="none"/>
                <w:lang w:val="en-US" w:eastAsia="zh-CN"/>
              </w:rPr>
              <w:t>服务</w:t>
            </w:r>
            <w:r>
              <w:rPr>
                <w:rFonts w:hint="eastAsia" w:hAnsi="宋体" w:cs="宋体"/>
                <w:color w:val="auto"/>
                <w:kern w:val="0"/>
                <w:highlight w:val="none"/>
              </w:rPr>
              <w:t>费收费标准参照《云南省建设工程招标代理服务收费参考意见》的通知（云建招协〔2024〕58号）</w:t>
            </w:r>
            <w:r>
              <w:rPr>
                <w:rFonts w:hint="eastAsia" w:hAnsi="宋体" w:cs="宋体"/>
                <w:color w:val="auto"/>
                <w:kern w:val="0"/>
                <w:highlight w:val="none"/>
                <w:lang w:val="en-US" w:eastAsia="zh-CN"/>
              </w:rPr>
              <w:t>下浮10%</w:t>
            </w:r>
            <w:r>
              <w:rPr>
                <w:rFonts w:hint="eastAsia" w:hAnsi="宋体" w:cs="宋体"/>
                <w:color w:val="auto"/>
                <w:kern w:val="0"/>
                <w:highlight w:val="none"/>
              </w:rPr>
              <w:t>收取，</w:t>
            </w:r>
            <w:r>
              <w:rPr>
                <w:rFonts w:hint="eastAsia" w:hAnsi="宋体" w:cs="宋体"/>
                <w:color w:val="auto"/>
                <w:kern w:val="0"/>
                <w:highlight w:val="none"/>
                <w:lang w:val="en-US" w:eastAsia="zh-CN"/>
              </w:rPr>
              <w:t>成交供应商</w:t>
            </w:r>
            <w:r>
              <w:rPr>
                <w:rFonts w:hint="eastAsia" w:hAnsi="宋体" w:cs="宋体"/>
                <w:color w:val="auto"/>
                <w:kern w:val="0"/>
                <w:highlight w:val="none"/>
              </w:rPr>
              <w:t>在领取</w:t>
            </w:r>
            <w:r>
              <w:rPr>
                <w:rFonts w:hint="eastAsia" w:hAnsi="宋体" w:cs="宋体"/>
                <w:color w:val="auto"/>
                <w:kern w:val="0"/>
                <w:highlight w:val="none"/>
                <w:lang w:val="en-US" w:eastAsia="zh-CN"/>
              </w:rPr>
              <w:t>成交</w:t>
            </w:r>
            <w:r>
              <w:rPr>
                <w:rFonts w:hint="eastAsia" w:hAnsi="宋体" w:cs="宋体"/>
                <w:color w:val="auto"/>
                <w:kern w:val="0"/>
                <w:highlight w:val="none"/>
              </w:rPr>
              <w:t>通知书前一次性支付。</w:t>
            </w:r>
          </w:p>
        </w:tc>
      </w:tr>
      <w:tr w14:paraId="549A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07DC3039">
            <w:pPr>
              <w:pStyle w:val="9"/>
              <w:jc w:val="center"/>
              <w:rPr>
                <w:rFonts w:hint="eastAsia" w:hAnsi="宋体" w:cs="宋体"/>
                <w:color w:val="auto"/>
                <w:kern w:val="0"/>
                <w:highlight w:val="none"/>
              </w:rPr>
            </w:pPr>
            <w:r>
              <w:rPr>
                <w:rFonts w:hint="eastAsia" w:hAnsi="宋体" w:cs="宋体"/>
                <w:color w:val="auto"/>
                <w:kern w:val="0"/>
                <w:highlight w:val="none"/>
              </w:rPr>
              <w:t>25.1</w:t>
            </w:r>
          </w:p>
        </w:tc>
        <w:tc>
          <w:tcPr>
            <w:tcW w:w="8509" w:type="dxa"/>
            <w:gridSpan w:val="2"/>
            <w:noWrap w:val="0"/>
            <w:vAlign w:val="center"/>
          </w:tcPr>
          <w:p w14:paraId="08DAE67F">
            <w:pPr>
              <w:pStyle w:val="9"/>
              <w:rPr>
                <w:rFonts w:hint="eastAsia" w:hAnsi="宋体" w:cs="宋体"/>
                <w:color w:val="auto"/>
                <w:kern w:val="0"/>
                <w:highlight w:val="none"/>
              </w:rPr>
            </w:pPr>
            <w:r>
              <w:rPr>
                <w:rFonts w:hint="eastAsia" w:hAnsi="宋体" w:cs="宋体"/>
                <w:color w:val="auto"/>
                <w:kern w:val="0"/>
                <w:highlight w:val="none"/>
              </w:rPr>
              <w:t>需要补充的其他内容</w:t>
            </w:r>
          </w:p>
        </w:tc>
      </w:tr>
      <w:tr w14:paraId="1B87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3B5D9E39">
            <w:pPr>
              <w:pStyle w:val="9"/>
              <w:spacing w:line="300" w:lineRule="exact"/>
              <w:jc w:val="center"/>
              <w:rPr>
                <w:rFonts w:hint="eastAsia" w:hAnsi="宋体" w:cs="宋体"/>
                <w:color w:val="auto"/>
                <w:highlight w:val="none"/>
              </w:rPr>
            </w:pPr>
            <w:r>
              <w:rPr>
                <w:rFonts w:hint="eastAsia" w:hAnsi="宋体" w:cs="宋体"/>
                <w:color w:val="auto"/>
                <w:highlight w:val="none"/>
              </w:rPr>
              <w:t>1）</w:t>
            </w:r>
          </w:p>
        </w:tc>
        <w:tc>
          <w:tcPr>
            <w:tcW w:w="8509" w:type="dxa"/>
            <w:gridSpan w:val="2"/>
            <w:noWrap w:val="0"/>
            <w:vAlign w:val="center"/>
          </w:tcPr>
          <w:p w14:paraId="200F4AF3">
            <w:pPr>
              <w:rPr>
                <w:rFonts w:hint="eastAsia" w:ascii="宋体" w:hAnsi="宋体" w:cs="宋体"/>
                <w:color w:val="auto"/>
                <w:szCs w:val="21"/>
                <w:highlight w:val="none"/>
              </w:rPr>
            </w:pPr>
            <w:r>
              <w:rPr>
                <w:rFonts w:hint="eastAsia" w:ascii="宋体" w:hAnsi="宋体" w:cs="宋体"/>
                <w:color w:val="auto"/>
                <w:szCs w:val="21"/>
                <w:highlight w:val="none"/>
              </w:rPr>
              <w:t>成交人在《云南省政府采购网》查询到结果公示后，需办理以下事宜：</w:t>
            </w:r>
          </w:p>
          <w:p w14:paraId="1AEB25CA">
            <w:pPr>
              <w:rPr>
                <w:rFonts w:hint="eastAsia" w:ascii="宋体" w:hAnsi="宋体" w:cs="宋体"/>
                <w:color w:val="auto"/>
                <w:szCs w:val="21"/>
                <w:highlight w:val="none"/>
              </w:rPr>
            </w:pPr>
            <w:r>
              <w:rPr>
                <w:rFonts w:hint="eastAsia" w:ascii="宋体" w:hAnsi="宋体" w:cs="宋体"/>
                <w:color w:val="auto"/>
                <w:szCs w:val="21"/>
                <w:highlight w:val="none"/>
              </w:rPr>
              <w:t>1、缴纳代理服务费。</w:t>
            </w:r>
          </w:p>
          <w:p w14:paraId="6D6C9284">
            <w:pPr>
              <w:spacing w:line="300" w:lineRule="exact"/>
              <w:rPr>
                <w:rFonts w:hint="eastAsia" w:ascii="宋体" w:hAnsi="宋体" w:cs="宋体"/>
                <w:b/>
                <w:color w:val="auto"/>
                <w:szCs w:val="21"/>
                <w:highlight w:val="none"/>
              </w:rPr>
            </w:pPr>
            <w:r>
              <w:rPr>
                <w:rFonts w:hint="eastAsia" w:ascii="宋体" w:hAnsi="宋体" w:cs="宋体"/>
                <w:color w:val="auto"/>
                <w:szCs w:val="21"/>
                <w:highlight w:val="none"/>
              </w:rPr>
              <w:t>2、领取成交通知书，并与采购人联系、洽谈采购合同。</w:t>
            </w:r>
          </w:p>
        </w:tc>
      </w:tr>
      <w:tr w14:paraId="439C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7CC6FC25">
            <w:pPr>
              <w:pStyle w:val="9"/>
              <w:spacing w:line="300" w:lineRule="exact"/>
              <w:jc w:val="center"/>
              <w:rPr>
                <w:rFonts w:hint="eastAsia" w:hAnsi="宋体" w:cs="宋体"/>
                <w:color w:val="auto"/>
                <w:highlight w:val="none"/>
              </w:rPr>
            </w:pPr>
            <w:bookmarkStart w:id="83" w:name="_Toc86124040"/>
            <w:r>
              <w:rPr>
                <w:rFonts w:hint="eastAsia" w:hAnsi="宋体" w:cs="宋体"/>
                <w:color w:val="auto"/>
                <w:highlight w:val="none"/>
              </w:rPr>
              <w:t>2）</w:t>
            </w:r>
          </w:p>
        </w:tc>
        <w:tc>
          <w:tcPr>
            <w:tcW w:w="8509" w:type="dxa"/>
            <w:gridSpan w:val="2"/>
            <w:noWrap w:val="0"/>
            <w:vAlign w:val="center"/>
          </w:tcPr>
          <w:p w14:paraId="6BEC1440">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递交响应文件截止时间之后，采购代理机构将依托电子交易平台发起开始解密指令，供应商的法定代表人或其委托代理人须携带加密时所用的CA锁按平台提示和磋商文件的规定登录到“政采云”平台电子开标大厅签到，并在发起解密指令之时起60分钟内完成对电子响应文件在线解密。响应文件未按时解密的，视为响应文件无效。</w:t>
            </w:r>
          </w:p>
        </w:tc>
      </w:tr>
      <w:tr w14:paraId="1A95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35EC747D">
            <w:pPr>
              <w:pStyle w:val="9"/>
              <w:spacing w:line="300" w:lineRule="exact"/>
              <w:jc w:val="center"/>
              <w:rPr>
                <w:rFonts w:hAnsi="宋体" w:cs="宋体"/>
                <w:color w:val="auto"/>
                <w:highlight w:val="none"/>
              </w:rPr>
            </w:pPr>
            <w:r>
              <w:rPr>
                <w:rFonts w:hint="eastAsia" w:hAnsi="宋体" w:cs="宋体"/>
                <w:color w:val="auto"/>
                <w:highlight w:val="none"/>
              </w:rPr>
              <w:t>3）</w:t>
            </w:r>
          </w:p>
        </w:tc>
        <w:tc>
          <w:tcPr>
            <w:tcW w:w="8509" w:type="dxa"/>
            <w:gridSpan w:val="2"/>
            <w:noWrap w:val="0"/>
            <w:vAlign w:val="center"/>
          </w:tcPr>
          <w:p w14:paraId="6F7AA37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专用章、业务专用章及银行的转账章、现金收讫章、现金付讫章等其他形式印章均不能代替公章。</w:t>
            </w:r>
          </w:p>
          <w:p w14:paraId="553751DC">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2.本磋商文件中描述供应商的“签字或签章”是指供应商的法定代表人或者委托代理人在文件规定签署处签名或签章（含电子签名）的行为。</w:t>
            </w:r>
          </w:p>
        </w:tc>
      </w:tr>
      <w:tr w14:paraId="15BC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47DD73D9">
            <w:pPr>
              <w:pStyle w:val="9"/>
              <w:spacing w:line="300" w:lineRule="exact"/>
              <w:jc w:val="center"/>
              <w:rPr>
                <w:rFonts w:hAnsi="宋体" w:cs="宋体"/>
                <w:color w:val="auto"/>
                <w:highlight w:val="none"/>
              </w:rPr>
            </w:pPr>
            <w:r>
              <w:rPr>
                <w:rFonts w:hint="eastAsia" w:hAnsi="宋体" w:cs="宋体"/>
                <w:color w:val="auto"/>
                <w:highlight w:val="none"/>
              </w:rPr>
              <w:t>4）</w:t>
            </w:r>
          </w:p>
        </w:tc>
        <w:tc>
          <w:tcPr>
            <w:tcW w:w="8509" w:type="dxa"/>
            <w:gridSpan w:val="2"/>
            <w:noWrap w:val="0"/>
            <w:vAlign w:val="center"/>
          </w:tcPr>
          <w:p w14:paraId="024A5E18">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构成本磋商文件各个组成部分的文件，未经采购人书面同意，供应商不得擅自用于非本项目所需的其他目的。采购人全部或者部分使用未成交供应商响应文件中的技术成果或技术方案时，需征得其书面同意，并不得擅自提供给第三人。</w:t>
            </w:r>
          </w:p>
        </w:tc>
      </w:tr>
      <w:tr w14:paraId="204D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60" w:type="dxa"/>
            <w:noWrap w:val="0"/>
            <w:vAlign w:val="center"/>
          </w:tcPr>
          <w:p w14:paraId="33E10A9A">
            <w:pPr>
              <w:pStyle w:val="9"/>
              <w:spacing w:line="300" w:lineRule="exact"/>
              <w:jc w:val="center"/>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w:t>
            </w:r>
          </w:p>
        </w:tc>
        <w:tc>
          <w:tcPr>
            <w:tcW w:w="8509" w:type="dxa"/>
            <w:gridSpan w:val="2"/>
            <w:noWrap w:val="0"/>
            <w:vAlign w:val="center"/>
          </w:tcPr>
          <w:p w14:paraId="0933A7BC">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磋商的顺序：按“政采云”系统的编号顺序。</w:t>
            </w:r>
          </w:p>
        </w:tc>
      </w:tr>
      <w:tr w14:paraId="69E8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260" w:type="dxa"/>
            <w:noWrap w:val="0"/>
            <w:vAlign w:val="center"/>
          </w:tcPr>
          <w:p w14:paraId="65881F26">
            <w:pPr>
              <w:pStyle w:val="9"/>
              <w:spacing w:line="300" w:lineRule="exact"/>
              <w:jc w:val="center"/>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p>
        </w:tc>
        <w:tc>
          <w:tcPr>
            <w:tcW w:w="8509" w:type="dxa"/>
            <w:gridSpan w:val="2"/>
            <w:noWrap w:val="0"/>
            <w:vAlign w:val="center"/>
          </w:tcPr>
          <w:p w14:paraId="0864C5D7">
            <w:pPr>
              <w:pStyle w:val="9"/>
              <w:spacing w:line="360" w:lineRule="auto"/>
              <w:ind w:right="1470"/>
              <w:rPr>
                <w:rFonts w:hint="eastAsia" w:hAnsi="宋体" w:cs="宋体"/>
                <w:color w:val="auto"/>
                <w:highlight w:val="none"/>
              </w:rPr>
            </w:pPr>
            <w:r>
              <w:rPr>
                <w:rFonts w:hint="eastAsia" w:hAnsi="宋体" w:cs="宋体"/>
                <w:color w:val="auto"/>
                <w:highlight w:val="none"/>
              </w:rPr>
              <w:t>分包：</w:t>
            </w:r>
          </w:p>
          <w:p w14:paraId="25409286">
            <w:pPr>
              <w:pStyle w:val="9"/>
              <w:spacing w:line="360" w:lineRule="auto"/>
              <w:ind w:right="1470"/>
              <w:rPr>
                <w:rFonts w:hint="eastAsia" w:hAnsi="宋体" w:cs="宋体"/>
                <w:color w:val="auto"/>
                <w:highlight w:val="none"/>
              </w:rPr>
            </w:pPr>
            <w:r>
              <w:rPr>
                <w:rFonts w:ascii="Segoe UI Symbol" w:hAnsi="Segoe UI Symbol" w:cs="Segoe UI Symbol"/>
                <w:color w:val="auto"/>
                <w:highlight w:val="none"/>
              </w:rPr>
              <w:t>☑</w:t>
            </w:r>
            <w:r>
              <w:rPr>
                <w:rFonts w:hint="eastAsia" w:hAnsi="宋体" w:cs="宋体"/>
                <w:color w:val="auto"/>
                <w:highlight w:val="none"/>
              </w:rPr>
              <w:t>本项目不得分包。</w:t>
            </w:r>
          </w:p>
          <w:p w14:paraId="40860BD3">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□本项目允许专业工程分包。</w:t>
            </w:r>
          </w:p>
        </w:tc>
      </w:tr>
      <w:tr w14:paraId="7DB6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60" w:type="dxa"/>
            <w:noWrap w:val="0"/>
            <w:vAlign w:val="center"/>
          </w:tcPr>
          <w:p w14:paraId="2E0E7B6B">
            <w:pPr>
              <w:pStyle w:val="9"/>
              <w:spacing w:line="300" w:lineRule="exact"/>
              <w:jc w:val="center"/>
              <w:rPr>
                <w:rFonts w:hAnsi="宋体" w:cs="宋体"/>
                <w:color w:val="auto"/>
                <w:highlight w:val="none"/>
              </w:rPr>
            </w:pPr>
            <w:r>
              <w:rPr>
                <w:rFonts w:hint="eastAsia" w:hAnsi="宋体" w:cs="宋体"/>
                <w:color w:val="auto"/>
                <w:highlight w:val="none"/>
                <w:lang w:val="en-US" w:eastAsia="zh-CN"/>
              </w:rPr>
              <w:t>7</w:t>
            </w:r>
            <w:r>
              <w:rPr>
                <w:rFonts w:hint="eastAsia" w:hAnsi="宋体" w:cs="宋体"/>
                <w:color w:val="auto"/>
                <w:highlight w:val="none"/>
              </w:rPr>
              <w:t>）</w:t>
            </w:r>
          </w:p>
        </w:tc>
        <w:tc>
          <w:tcPr>
            <w:tcW w:w="8509" w:type="dxa"/>
            <w:gridSpan w:val="2"/>
            <w:noWrap w:val="0"/>
            <w:vAlign w:val="center"/>
          </w:tcPr>
          <w:p w14:paraId="3ECCEE29">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现场踏勘：</w:t>
            </w:r>
          </w:p>
          <w:p w14:paraId="7CC7A5A6">
            <w:pPr>
              <w:spacing w:line="300" w:lineRule="exact"/>
              <w:rPr>
                <w:rFonts w:ascii="宋体" w:hAnsi="宋体"/>
                <w:color w:val="auto"/>
                <w:szCs w:val="21"/>
                <w:highlight w:val="none"/>
              </w:rPr>
            </w:pPr>
            <w:r>
              <w:rPr>
                <w:rFonts w:ascii="宋体" w:hAnsi="宋体" w:cs="宋体"/>
                <w:color w:val="auto"/>
                <w:szCs w:val="21"/>
                <w:highlight w:val="none"/>
              </w:rPr>
              <w:t>本项目不组织集中踏勘</w:t>
            </w:r>
            <w:r>
              <w:rPr>
                <w:rFonts w:hint="eastAsia" w:ascii="宋体" w:hAnsi="宋体" w:cs="宋体"/>
                <w:color w:val="auto"/>
                <w:szCs w:val="21"/>
                <w:highlight w:val="none"/>
              </w:rPr>
              <w:t>。</w:t>
            </w:r>
          </w:p>
        </w:tc>
      </w:tr>
    </w:tbl>
    <w:p w14:paraId="365269E8">
      <w:pPr>
        <w:spacing w:line="360" w:lineRule="auto"/>
        <w:rPr>
          <w:rFonts w:ascii="宋体" w:hAnsi="宋体"/>
          <w:color w:val="auto"/>
          <w:highlight w:val="none"/>
        </w:rPr>
      </w:pPr>
    </w:p>
    <w:p w14:paraId="4C053FD9">
      <w:pPr>
        <w:pStyle w:val="3"/>
        <w:keepNext w:val="0"/>
        <w:keepLines w:val="0"/>
        <w:pageBreakBefore w:val="0"/>
        <w:widowControl w:val="0"/>
        <w:kinsoku/>
        <w:wordWrap/>
        <w:overflowPunct/>
        <w:topLinePunct w:val="0"/>
        <w:bidi w:val="0"/>
        <w:snapToGrid/>
        <w:spacing w:before="0"/>
        <w:textAlignment w:val="auto"/>
        <w:rPr>
          <w:rFonts w:ascii="宋体" w:hAnsi="宋体"/>
          <w:color w:val="auto"/>
          <w:sz w:val="21"/>
          <w:szCs w:val="21"/>
          <w:highlight w:val="none"/>
        </w:rPr>
      </w:pPr>
      <w:r>
        <w:rPr>
          <w:rFonts w:hint="eastAsia" w:ascii="宋体" w:hAnsi="宋体"/>
          <w:color w:val="auto"/>
          <w:szCs w:val="28"/>
          <w:highlight w:val="none"/>
        </w:rPr>
        <w:br w:type="page"/>
      </w:r>
      <w:bookmarkStart w:id="84" w:name="_Toc20539"/>
      <w:r>
        <w:rPr>
          <w:rFonts w:hint="eastAsia" w:ascii="宋体" w:hAnsi="宋体"/>
          <w:color w:val="auto"/>
          <w:sz w:val="24"/>
          <w:szCs w:val="24"/>
          <w:highlight w:val="none"/>
        </w:rPr>
        <w:t>一、总</w:t>
      </w:r>
      <w:r>
        <w:rPr>
          <w:rFonts w:ascii="宋体" w:hAnsi="宋体"/>
          <w:color w:val="auto"/>
          <w:sz w:val="24"/>
          <w:szCs w:val="24"/>
          <w:highlight w:val="none"/>
        </w:rPr>
        <w:t xml:space="preserve">  </w:t>
      </w:r>
      <w:r>
        <w:rPr>
          <w:rFonts w:hint="eastAsia" w:ascii="宋体" w:hAnsi="宋体"/>
          <w:color w:val="auto"/>
          <w:sz w:val="24"/>
          <w:szCs w:val="24"/>
          <w:highlight w:val="none"/>
        </w:rPr>
        <w:t>则</w:t>
      </w:r>
      <w:bookmarkEnd w:id="83"/>
      <w:bookmarkEnd w:id="84"/>
    </w:p>
    <w:p w14:paraId="29510CB0">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85" w:name="_Toc15604"/>
      <w:bookmarkStart w:id="86" w:name="_Toc17784"/>
      <w:bookmarkStart w:id="87" w:name="_Toc329810186"/>
      <w:bookmarkStart w:id="88" w:name="_Toc383175052"/>
      <w:bookmarkStart w:id="89" w:name="_Toc432194826"/>
      <w:bookmarkStart w:id="90" w:name="_Toc383175276"/>
      <w:bookmarkStart w:id="91" w:name="_Toc383175474"/>
      <w:bookmarkStart w:id="92" w:name="_Toc432106475"/>
      <w:r>
        <w:rPr>
          <w:rFonts w:hint="eastAsia" w:hAnsi="宋体" w:cs="宋体"/>
          <w:color w:val="auto"/>
          <w:sz w:val="21"/>
          <w:szCs w:val="21"/>
          <w:highlight w:val="none"/>
        </w:rPr>
        <w:t>项目概况</w:t>
      </w:r>
      <w:bookmarkEnd w:id="85"/>
      <w:bookmarkEnd w:id="86"/>
      <w:bookmarkEnd w:id="87"/>
      <w:bookmarkEnd w:id="88"/>
      <w:bookmarkEnd w:id="89"/>
      <w:bookmarkEnd w:id="90"/>
      <w:bookmarkEnd w:id="91"/>
      <w:bookmarkEnd w:id="92"/>
    </w:p>
    <w:p w14:paraId="1EBE5656">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 根据《中华人民共和国政府采购法》等有关法律、法规和规章的规定，本项目已获主管部门批准，现对本</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进行竞争性磋商采购。</w:t>
      </w:r>
    </w:p>
    <w:p w14:paraId="537A1B7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 本项目采购人：见“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48B282DB">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采购代理机构：见“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276C095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项目名称及项目编号：见“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57D6BEE3">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93" w:name="_Toc265142411"/>
      <w:bookmarkStart w:id="94" w:name="_Toc329810187"/>
      <w:bookmarkStart w:id="95" w:name="_Toc432194827"/>
      <w:bookmarkStart w:id="96" w:name="_Toc383175475"/>
      <w:bookmarkStart w:id="97" w:name="_Toc383175053"/>
      <w:bookmarkStart w:id="98" w:name="_Toc18083"/>
      <w:bookmarkStart w:id="99" w:name="_Toc24964"/>
      <w:bookmarkStart w:id="100" w:name="_Toc383175277"/>
      <w:bookmarkStart w:id="101" w:name="_Toc432106476"/>
      <w:r>
        <w:rPr>
          <w:rFonts w:hint="eastAsia" w:hAnsi="宋体" w:cs="宋体"/>
          <w:color w:val="auto"/>
          <w:sz w:val="21"/>
          <w:szCs w:val="21"/>
          <w:highlight w:val="none"/>
        </w:rPr>
        <w:t>资金来源</w:t>
      </w:r>
      <w:bookmarkEnd w:id="93"/>
      <w:bookmarkEnd w:id="94"/>
      <w:bookmarkEnd w:id="95"/>
      <w:bookmarkEnd w:id="96"/>
      <w:bookmarkEnd w:id="97"/>
      <w:bookmarkEnd w:id="98"/>
      <w:bookmarkEnd w:id="99"/>
      <w:bookmarkEnd w:id="100"/>
      <w:bookmarkEnd w:id="101"/>
    </w:p>
    <w:p w14:paraId="7C68180A">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w:t>
      </w:r>
      <w:r>
        <w:rPr>
          <w:rFonts w:hint="eastAsia" w:ascii="宋体" w:hAnsi="宋体" w:cs="宋体"/>
          <w:color w:val="auto"/>
          <w:sz w:val="21"/>
          <w:szCs w:val="21"/>
          <w:highlight w:val="none"/>
          <w:lang w:val="en-US" w:eastAsia="zh-CN"/>
        </w:rPr>
        <w:t>资金来源：</w:t>
      </w:r>
      <w:r>
        <w:rPr>
          <w:rFonts w:hint="eastAsia" w:ascii="宋体" w:hAnsi="宋体" w:cs="宋体"/>
          <w:color w:val="auto"/>
          <w:sz w:val="21"/>
          <w:szCs w:val="21"/>
          <w:highlight w:val="none"/>
        </w:rPr>
        <w:t>财政资金。</w:t>
      </w:r>
    </w:p>
    <w:p w14:paraId="7EB2E03A">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02" w:name="_Toc432194828"/>
      <w:bookmarkStart w:id="103" w:name="_Toc32576"/>
      <w:bookmarkStart w:id="104" w:name="_Toc8365"/>
      <w:bookmarkStart w:id="105" w:name="_Toc432106477"/>
      <w:r>
        <w:rPr>
          <w:rFonts w:hint="eastAsia" w:hAnsi="宋体" w:cs="宋体"/>
          <w:color w:val="auto"/>
          <w:sz w:val="21"/>
          <w:szCs w:val="21"/>
          <w:highlight w:val="none"/>
        </w:rPr>
        <w:t>项目范围</w:t>
      </w:r>
      <w:bookmarkEnd w:id="102"/>
      <w:bookmarkEnd w:id="103"/>
      <w:bookmarkEnd w:id="104"/>
      <w:bookmarkEnd w:id="105"/>
    </w:p>
    <w:p w14:paraId="49F14773">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3.1 本项目项目范围：见“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4BDDB52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3.2 本项目</w:t>
      </w:r>
      <w:r>
        <w:rPr>
          <w:rFonts w:hint="eastAsia" w:ascii="宋体" w:hAnsi="宋体" w:cs="宋体"/>
          <w:color w:val="auto"/>
          <w:sz w:val="21"/>
          <w:szCs w:val="21"/>
          <w:highlight w:val="none"/>
          <w:lang w:val="en-US" w:eastAsia="zh-CN"/>
        </w:rPr>
        <w:t>合同履行期限及项目实施地点：</w:t>
      </w:r>
      <w:r>
        <w:rPr>
          <w:rFonts w:hint="eastAsia" w:ascii="宋体" w:hAnsi="宋体" w:cs="宋体"/>
          <w:color w:val="auto"/>
          <w:sz w:val="21"/>
          <w:szCs w:val="21"/>
          <w:highlight w:val="none"/>
        </w:rPr>
        <w:t>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14ABA30C">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3.3</w:t>
      </w:r>
      <w:r>
        <w:rPr>
          <w:rFonts w:hint="eastAsia" w:ascii="宋体" w:hAnsi="宋体" w:cs="宋体"/>
          <w:color w:val="auto"/>
          <w:sz w:val="21"/>
          <w:szCs w:val="21"/>
          <w:highlight w:val="none"/>
        </w:rPr>
        <w:t>本项目质量要求：见“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31F65B12">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06" w:name="_Toc383175279"/>
      <w:bookmarkStart w:id="107" w:name="_Toc383175477"/>
      <w:bookmarkStart w:id="108" w:name="_Toc432106478"/>
      <w:bookmarkStart w:id="109" w:name="_Toc329810189"/>
      <w:bookmarkStart w:id="110" w:name="_Toc14690"/>
      <w:bookmarkStart w:id="111" w:name="_Toc13941"/>
      <w:bookmarkStart w:id="112" w:name="_Toc383175055"/>
      <w:bookmarkStart w:id="113" w:name="_Toc432194829"/>
      <w:r>
        <w:rPr>
          <w:rFonts w:hint="eastAsia" w:hAnsi="宋体" w:cs="宋体"/>
          <w:color w:val="auto"/>
          <w:sz w:val="21"/>
          <w:szCs w:val="21"/>
          <w:highlight w:val="none"/>
        </w:rPr>
        <w:t>★合格的供应商（以下简称供应商）</w:t>
      </w:r>
      <w:bookmarkEnd w:id="106"/>
      <w:bookmarkEnd w:id="107"/>
      <w:bookmarkEnd w:id="108"/>
      <w:bookmarkEnd w:id="109"/>
      <w:bookmarkEnd w:id="110"/>
      <w:bookmarkEnd w:id="111"/>
      <w:bookmarkEnd w:id="112"/>
      <w:bookmarkEnd w:id="113"/>
    </w:p>
    <w:p w14:paraId="4AED015A">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4.1供应商应具备《中华人民共和国政府采购法》第二十二条规定的条件，并提供相关证明材料：见“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18FCF124">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color w:val="auto"/>
          <w:sz w:val="21"/>
          <w:szCs w:val="21"/>
          <w:highlight w:val="none"/>
        </w:rPr>
      </w:pPr>
      <w:bookmarkStart w:id="114" w:name="_Toc383175280"/>
      <w:bookmarkStart w:id="115" w:name="_Toc383175478"/>
      <w:bookmarkStart w:id="116" w:name="_Toc329810190"/>
      <w:bookmarkStart w:id="117" w:name="_Toc383175056"/>
      <w:r>
        <w:rPr>
          <w:rFonts w:hint="eastAsia" w:ascii="宋体" w:hAnsi="宋体" w:cs="宋体"/>
          <w:color w:val="auto"/>
          <w:sz w:val="21"/>
          <w:szCs w:val="21"/>
          <w:highlight w:val="none"/>
        </w:rPr>
        <w:t>4.2落实政府采购政策需满足的资格要求：见“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0917FF50">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4.3供应商应符合采购人根据采购项目的特殊要求规定的特定条件：见</w:t>
      </w:r>
      <w:r>
        <w:rPr>
          <w:rFonts w:hint="eastAsia" w:ascii="宋体" w:hAnsi="宋体" w:cs="宋体"/>
          <w:b/>
          <w:color w:val="auto"/>
          <w:sz w:val="21"/>
          <w:szCs w:val="21"/>
          <w:highlight w:val="none"/>
        </w:rPr>
        <w:t>“供应商须知前附表”</w:t>
      </w:r>
      <w:bookmarkStart w:id="118" w:name="_Hlt200176664"/>
      <w:bookmarkEnd w:id="118"/>
      <w:r>
        <w:rPr>
          <w:rFonts w:hint="eastAsia" w:ascii="宋体" w:hAnsi="宋体" w:cs="宋体"/>
          <w:b/>
          <w:color w:val="auto"/>
          <w:sz w:val="21"/>
          <w:szCs w:val="21"/>
          <w:highlight w:val="none"/>
        </w:rPr>
        <w:t>。</w:t>
      </w:r>
    </w:p>
    <w:p w14:paraId="687B53C0">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4.4采购代理机构将于递交响应文件截止时间前在“信用中国”网站（www.creditchina.gov.cn）失信被执行人、重大税收违法失信主体及“中国政府采购网”（www.ccgp.gov.cn）政府采购严重违法失信行为信息记录对供应商进行信用信息查询。查询记录为上述网站信用信息查询结果的网页截图或网页打印稿。供应商存在不良信用记录的，不得参与政府采购活动。</w:t>
      </w:r>
    </w:p>
    <w:p w14:paraId="4A4D2258">
      <w:pPr>
        <w:keepNext w:val="0"/>
        <w:keepLines w:val="0"/>
        <w:pageBreakBefore w:val="0"/>
        <w:widowControl w:val="0"/>
        <w:kinsoku/>
        <w:wordWrap/>
        <w:overflowPunct/>
        <w:topLinePunct w:val="0"/>
        <w:bidi w:val="0"/>
        <w:snapToGrid/>
        <w:spacing w:line="360" w:lineRule="auto"/>
        <w:ind w:firstLine="472" w:firstLineChars="22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4.5单位负责人为同一人或者存在直接控股、管理关系的不同供应商，不得参加同一招标项目包的政府采购活动。</w:t>
      </w:r>
    </w:p>
    <w:p w14:paraId="40ED37A1">
      <w:pPr>
        <w:keepNext w:val="0"/>
        <w:keepLines w:val="0"/>
        <w:pageBreakBefore w:val="0"/>
        <w:widowControl w:val="0"/>
        <w:kinsoku/>
        <w:wordWrap/>
        <w:overflowPunct/>
        <w:topLinePunct w:val="0"/>
        <w:bidi w:val="0"/>
        <w:snapToGrid/>
        <w:spacing w:line="360" w:lineRule="auto"/>
        <w:ind w:firstLine="472" w:firstLineChars="22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4.6 符合上述条件的供应商应承担投标及履约中应承担的全部责任与义务。</w:t>
      </w:r>
    </w:p>
    <w:p w14:paraId="42BFA54F">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19" w:name="_Toc432194830"/>
      <w:bookmarkStart w:id="120" w:name="_Toc432106479"/>
      <w:bookmarkStart w:id="121" w:name="_Toc31860"/>
      <w:bookmarkStart w:id="122" w:name="_Toc1931"/>
      <w:r>
        <w:rPr>
          <w:rFonts w:hint="eastAsia" w:hAnsi="宋体" w:cs="宋体"/>
          <w:color w:val="auto"/>
          <w:sz w:val="21"/>
          <w:szCs w:val="21"/>
          <w:highlight w:val="none"/>
        </w:rPr>
        <w:t>磋商费用</w:t>
      </w:r>
      <w:bookmarkEnd w:id="114"/>
      <w:bookmarkEnd w:id="115"/>
      <w:bookmarkEnd w:id="116"/>
      <w:bookmarkEnd w:id="117"/>
      <w:bookmarkEnd w:id="119"/>
      <w:bookmarkEnd w:id="120"/>
      <w:bookmarkEnd w:id="121"/>
      <w:bookmarkEnd w:id="122"/>
    </w:p>
    <w:p w14:paraId="457455F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无论是否成交，供应商自行承担所有与参加磋商有关的全部费用。</w:t>
      </w:r>
    </w:p>
    <w:p w14:paraId="3C9204C8">
      <w:pPr>
        <w:pStyle w:val="3"/>
        <w:keepNext w:val="0"/>
        <w:keepLines w:val="0"/>
        <w:pageBreakBefore w:val="0"/>
        <w:widowControl w:val="0"/>
        <w:kinsoku/>
        <w:wordWrap/>
        <w:overflowPunct/>
        <w:topLinePunct w:val="0"/>
        <w:bidi w:val="0"/>
        <w:snapToGrid/>
        <w:spacing w:before="0"/>
        <w:textAlignment w:val="auto"/>
        <w:rPr>
          <w:rFonts w:hint="eastAsia" w:ascii="宋体" w:hAnsi="宋体" w:eastAsia="宋体" w:cs="Times New Roman"/>
          <w:b/>
          <w:bCs/>
          <w:color w:val="auto"/>
          <w:sz w:val="24"/>
          <w:szCs w:val="24"/>
          <w:highlight w:val="none"/>
        </w:rPr>
      </w:pPr>
      <w:bookmarkStart w:id="123" w:name="_Toc86124047"/>
      <w:bookmarkStart w:id="124" w:name="_Toc18072"/>
      <w:r>
        <w:rPr>
          <w:rFonts w:hint="eastAsia" w:ascii="宋体" w:hAnsi="宋体" w:eastAsia="宋体" w:cs="Times New Roman"/>
          <w:b/>
          <w:bCs/>
          <w:color w:val="auto"/>
          <w:sz w:val="24"/>
          <w:szCs w:val="24"/>
          <w:highlight w:val="none"/>
        </w:rPr>
        <w:t>二、磋商文件</w:t>
      </w:r>
      <w:bookmarkEnd w:id="123"/>
      <w:bookmarkEnd w:id="124"/>
    </w:p>
    <w:p w14:paraId="73B0A37D">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25" w:name="_Toc383175480"/>
      <w:bookmarkStart w:id="126" w:name="_Toc383175058"/>
      <w:bookmarkStart w:id="127" w:name="_Toc15695"/>
      <w:bookmarkStart w:id="128" w:name="_Toc24865"/>
      <w:bookmarkStart w:id="129" w:name="_Toc329810192"/>
      <w:bookmarkStart w:id="130" w:name="_Toc383175282"/>
      <w:bookmarkStart w:id="131" w:name="_Toc432106481"/>
      <w:bookmarkStart w:id="132" w:name="_Toc432194832"/>
      <w:r>
        <w:rPr>
          <w:rFonts w:hint="eastAsia" w:hAnsi="宋体" w:cs="宋体"/>
          <w:color w:val="auto"/>
          <w:sz w:val="21"/>
          <w:szCs w:val="21"/>
          <w:highlight w:val="none"/>
        </w:rPr>
        <w:t>磋商文件的组成</w:t>
      </w:r>
      <w:bookmarkEnd w:id="125"/>
      <w:bookmarkEnd w:id="126"/>
      <w:bookmarkEnd w:id="127"/>
      <w:bookmarkEnd w:id="128"/>
      <w:bookmarkEnd w:id="129"/>
      <w:bookmarkEnd w:id="130"/>
      <w:bookmarkEnd w:id="131"/>
      <w:bookmarkEnd w:id="132"/>
    </w:p>
    <w:p w14:paraId="2C4223E4">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磋商文件共六章，各章的内容如下：</w:t>
      </w:r>
    </w:p>
    <w:p w14:paraId="1BE04FCA">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第一章  竞争性磋商公告</w:t>
      </w:r>
    </w:p>
    <w:p w14:paraId="4221E211">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第二章  供应商须知</w:t>
      </w:r>
    </w:p>
    <w:p w14:paraId="7F45B50F">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合同书样式及主要条款</w:t>
      </w:r>
    </w:p>
    <w:p w14:paraId="3D91BC00">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第四章  响应文件格式</w:t>
      </w:r>
    </w:p>
    <w:p w14:paraId="18853B9B">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第五章  </w:t>
      </w:r>
      <w:r>
        <w:rPr>
          <w:rFonts w:hint="eastAsia" w:ascii="宋体" w:hAnsi="宋体" w:cs="宋体"/>
          <w:color w:val="auto"/>
          <w:sz w:val="21"/>
          <w:szCs w:val="21"/>
          <w:highlight w:val="none"/>
          <w:lang w:eastAsia="zh-CN"/>
        </w:rPr>
        <w:t>采购需求</w:t>
      </w:r>
    </w:p>
    <w:p w14:paraId="3E06AE33">
      <w:pPr>
        <w:keepNext w:val="0"/>
        <w:keepLines w:val="0"/>
        <w:pageBreakBefore w:val="0"/>
        <w:widowControl w:val="0"/>
        <w:kinsoku/>
        <w:wordWrap/>
        <w:overflowPunct/>
        <w:topLinePunct w:val="0"/>
        <w:bidi w:val="0"/>
        <w:snapToGrid/>
        <w:spacing w:line="360" w:lineRule="auto"/>
        <w:ind w:left="5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第六章  磋商程序及方法</w:t>
      </w:r>
    </w:p>
    <w:p w14:paraId="0FDF88CC">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33" w:name="_Toc86124049"/>
      <w:bookmarkStart w:id="134" w:name="_Toc27702"/>
      <w:bookmarkStart w:id="135" w:name="_Toc32475"/>
      <w:bookmarkStart w:id="136" w:name="_Toc432106482"/>
      <w:bookmarkStart w:id="137" w:name="_Toc383175481"/>
      <w:bookmarkStart w:id="138" w:name="_Toc432194833"/>
      <w:bookmarkStart w:id="139" w:name="_Toc329810193"/>
      <w:bookmarkStart w:id="140" w:name="_Toc383175059"/>
      <w:bookmarkStart w:id="141" w:name="_Toc383175283"/>
      <w:r>
        <w:rPr>
          <w:rFonts w:hint="eastAsia" w:hAnsi="宋体" w:cs="宋体"/>
          <w:color w:val="auto"/>
          <w:sz w:val="21"/>
          <w:szCs w:val="21"/>
          <w:highlight w:val="none"/>
        </w:rPr>
        <w:t>磋商文件的澄清</w:t>
      </w:r>
      <w:bookmarkEnd w:id="133"/>
      <w:r>
        <w:rPr>
          <w:rFonts w:hint="eastAsia" w:hAnsi="宋体" w:cs="宋体"/>
          <w:color w:val="auto"/>
          <w:sz w:val="21"/>
          <w:szCs w:val="21"/>
          <w:highlight w:val="none"/>
        </w:rPr>
        <w:t>、修改</w:t>
      </w:r>
      <w:bookmarkEnd w:id="134"/>
      <w:bookmarkEnd w:id="135"/>
      <w:bookmarkEnd w:id="136"/>
      <w:bookmarkEnd w:id="137"/>
      <w:bookmarkEnd w:id="138"/>
      <w:bookmarkEnd w:id="139"/>
      <w:bookmarkEnd w:id="140"/>
      <w:bookmarkEnd w:id="141"/>
    </w:p>
    <w:p w14:paraId="2D008E58">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7.1 参加供应商应认真审核磋商文件，如有疑问的，供应商可以在 “供应商须知前附表”规定截止时间前以在线不署名形式要求采购代理机构澄清，截止时间后送达的澄清要求概不接受。所有获取了采购文件的潜在供应商凭企业数字证书（CA）登录“政采云”平台，通过在线方式进行不署名提问，采购代理机构将在收到询问后3个工作日内作出答复。</w:t>
      </w:r>
    </w:p>
    <w:p w14:paraId="6FB2A426">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7.2 采购代理机构将在政采云平台答复所有获取竞争性磋商文件的供应商（答复中不包含问题的来源）要求澄清的问题，其他澄清方式为无效。</w:t>
      </w:r>
    </w:p>
    <w:p w14:paraId="051F0198">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7.3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书面形式通知所有接收磋商文件的供应商，不足5日的，将顺延提交首次响应文件截止之日。</w:t>
      </w:r>
    </w:p>
    <w:p w14:paraId="4B67D876">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7.4采购代理机构和采购人可以视采购具体情况，推迟递交响应文件截止时间，并将变更时间书面通知所有获取磋商文件的供应商。</w:t>
      </w:r>
    </w:p>
    <w:p w14:paraId="750D5F10">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本项目磋商小组根据与供应商磋商情况可能实质性变动的内容见供应商须知前附表。</w:t>
      </w:r>
    </w:p>
    <w:p w14:paraId="0AF549A1">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p>
    <w:p w14:paraId="576965EF">
      <w:pPr>
        <w:pStyle w:val="3"/>
        <w:keepNext w:val="0"/>
        <w:keepLines w:val="0"/>
        <w:pageBreakBefore w:val="0"/>
        <w:widowControl w:val="0"/>
        <w:kinsoku/>
        <w:wordWrap/>
        <w:overflowPunct/>
        <w:topLinePunct w:val="0"/>
        <w:bidi w:val="0"/>
        <w:snapToGrid/>
        <w:spacing w:before="0"/>
        <w:textAlignment w:val="auto"/>
        <w:rPr>
          <w:rFonts w:hint="eastAsia" w:ascii="宋体" w:hAnsi="宋体" w:eastAsia="宋体" w:cs="Times New Roman"/>
          <w:b/>
          <w:bCs/>
          <w:color w:val="auto"/>
          <w:sz w:val="24"/>
          <w:szCs w:val="24"/>
          <w:highlight w:val="none"/>
        </w:rPr>
      </w:pPr>
      <w:bookmarkStart w:id="142" w:name="_Toc86124051"/>
      <w:bookmarkStart w:id="143" w:name="_Toc12050"/>
      <w:r>
        <w:rPr>
          <w:rFonts w:hint="eastAsia" w:ascii="宋体" w:hAnsi="宋体" w:eastAsia="宋体" w:cs="Times New Roman"/>
          <w:b/>
          <w:bCs/>
          <w:color w:val="auto"/>
          <w:sz w:val="24"/>
          <w:szCs w:val="24"/>
          <w:highlight w:val="none"/>
        </w:rPr>
        <w:t>三、响应文件</w:t>
      </w:r>
      <w:bookmarkEnd w:id="142"/>
      <w:bookmarkEnd w:id="143"/>
    </w:p>
    <w:p w14:paraId="262407D5">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44" w:name="_Toc31286"/>
      <w:bookmarkStart w:id="145" w:name="_Toc86124052"/>
      <w:bookmarkStart w:id="146" w:name="_Toc383175483"/>
      <w:bookmarkStart w:id="147" w:name="_Toc329810195"/>
      <w:bookmarkStart w:id="148" w:name="_Toc432194835"/>
      <w:bookmarkStart w:id="149" w:name="_Toc383175285"/>
      <w:bookmarkStart w:id="150" w:name="_Toc432106484"/>
      <w:bookmarkStart w:id="151" w:name="_Toc383175061"/>
      <w:bookmarkStart w:id="152" w:name="_Toc614"/>
      <w:r>
        <w:rPr>
          <w:rFonts w:hint="eastAsia" w:hAnsi="宋体" w:cs="宋体"/>
          <w:color w:val="auto"/>
          <w:sz w:val="21"/>
          <w:szCs w:val="21"/>
          <w:highlight w:val="none"/>
        </w:rPr>
        <w:t>响应文件编写注意事项</w:t>
      </w:r>
      <w:bookmarkEnd w:id="144"/>
      <w:bookmarkEnd w:id="145"/>
      <w:bookmarkEnd w:id="146"/>
      <w:bookmarkEnd w:id="147"/>
      <w:bookmarkEnd w:id="148"/>
      <w:bookmarkEnd w:id="149"/>
      <w:bookmarkEnd w:id="150"/>
      <w:bookmarkEnd w:id="151"/>
      <w:bookmarkEnd w:id="152"/>
    </w:p>
    <w:p w14:paraId="569D0650">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8.1 供应商应仔细阅读磋商文件，在完全了解采购的内容、技术性能要求（见第五章“</w:t>
      </w:r>
      <w:r>
        <w:rPr>
          <w:rFonts w:hint="eastAsia" w:ascii="宋体" w:hAnsi="宋体" w:cs="宋体"/>
          <w:color w:val="auto"/>
          <w:sz w:val="21"/>
          <w:szCs w:val="21"/>
          <w:highlight w:val="none"/>
          <w:lang w:eastAsia="zh-CN"/>
        </w:rPr>
        <w:t>采购需求</w:t>
      </w:r>
      <w:r>
        <w:rPr>
          <w:rFonts w:hint="eastAsia" w:ascii="宋体" w:hAnsi="宋体" w:cs="宋体"/>
          <w:color w:val="auto"/>
          <w:sz w:val="21"/>
          <w:szCs w:val="21"/>
          <w:highlight w:val="none"/>
        </w:rPr>
        <w:t>”）和商务条件后，编写响应文件。</w:t>
      </w:r>
    </w:p>
    <w:p w14:paraId="5363F649">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8.2 对磋商文件提出的实质性要求和条件作出响应是指供应商必须对磋商文件中规定的成交实质性要求和条件作出满足或者优于原要求和条件的承诺，并提供相应的证明材料。</w:t>
      </w:r>
    </w:p>
    <w:p w14:paraId="6D4451DE">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53" w:name="_Toc383175286"/>
      <w:bookmarkStart w:id="154" w:name="_Toc16592"/>
      <w:bookmarkStart w:id="155" w:name="_Toc383175062"/>
      <w:bookmarkStart w:id="156" w:name="_Toc25265"/>
      <w:bookmarkStart w:id="157" w:name="_Toc329810196"/>
      <w:bookmarkStart w:id="158" w:name="_Toc86124054"/>
      <w:bookmarkStart w:id="159" w:name="_Toc383175484"/>
      <w:bookmarkStart w:id="160" w:name="_Toc432106485"/>
      <w:bookmarkStart w:id="161" w:name="_Toc432194836"/>
      <w:r>
        <w:rPr>
          <w:rFonts w:hint="eastAsia" w:hAnsi="宋体" w:cs="宋体"/>
          <w:color w:val="auto"/>
          <w:sz w:val="21"/>
          <w:szCs w:val="21"/>
          <w:highlight w:val="none"/>
        </w:rPr>
        <w:t>响应文件构成</w:t>
      </w:r>
      <w:bookmarkEnd w:id="153"/>
      <w:bookmarkEnd w:id="154"/>
      <w:bookmarkEnd w:id="155"/>
      <w:bookmarkEnd w:id="156"/>
      <w:bookmarkEnd w:id="157"/>
      <w:bookmarkEnd w:id="158"/>
      <w:bookmarkEnd w:id="159"/>
      <w:bookmarkEnd w:id="160"/>
      <w:bookmarkEnd w:id="161"/>
    </w:p>
    <w:p w14:paraId="1690E57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9.1供应商编写的响应文件应按第四章“响应文件格式”要求填写。有关文件的提交如未特别注明需提供原件的，可提供扫描件。</w:t>
      </w:r>
    </w:p>
    <w:p w14:paraId="116860E4">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9.2构成响应文件的其他资料：见“</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w:t>
      </w:r>
    </w:p>
    <w:p w14:paraId="7D10E237">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162" w:name="_Toc86124056"/>
      <w:bookmarkStart w:id="163" w:name="_Toc383175485"/>
      <w:bookmarkStart w:id="164" w:name="_Toc6286"/>
      <w:bookmarkStart w:id="165" w:name="_Toc432194837"/>
      <w:bookmarkStart w:id="166" w:name="_Toc329810197"/>
      <w:bookmarkStart w:id="167" w:name="_Toc383175063"/>
      <w:bookmarkStart w:id="168" w:name="_Toc383175287"/>
      <w:bookmarkStart w:id="169" w:name="_Toc432106486"/>
      <w:bookmarkStart w:id="170" w:name="_Toc24668"/>
      <w:r>
        <w:rPr>
          <w:rFonts w:hint="eastAsia" w:hAnsi="宋体" w:cs="宋体"/>
          <w:color w:val="auto"/>
          <w:sz w:val="21"/>
          <w:szCs w:val="21"/>
          <w:highlight w:val="none"/>
        </w:rPr>
        <w:t>报价</w:t>
      </w:r>
      <w:bookmarkEnd w:id="162"/>
      <w:r>
        <w:rPr>
          <w:rFonts w:hint="eastAsia" w:hAnsi="宋体" w:cs="宋体"/>
          <w:color w:val="auto"/>
          <w:sz w:val="21"/>
          <w:szCs w:val="21"/>
          <w:highlight w:val="none"/>
        </w:rPr>
        <w:t>和报价货币</w:t>
      </w:r>
      <w:bookmarkEnd w:id="163"/>
      <w:bookmarkEnd w:id="164"/>
      <w:bookmarkEnd w:id="165"/>
      <w:bookmarkEnd w:id="166"/>
      <w:bookmarkEnd w:id="167"/>
      <w:bookmarkEnd w:id="168"/>
      <w:bookmarkEnd w:id="169"/>
      <w:bookmarkEnd w:id="170"/>
    </w:p>
    <w:p w14:paraId="68154997">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10.1本项目采购预算及最高限价详见“</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”，最终报价超过最高限价的供应商将按响应无效处理。</w:t>
      </w:r>
    </w:p>
    <w:p w14:paraId="397F3997">
      <w:pPr>
        <w:pStyle w:val="9"/>
        <w:keepNext w:val="0"/>
        <w:keepLines w:val="0"/>
        <w:pageBreakBefore w:val="0"/>
        <w:widowControl w:val="0"/>
        <w:kinsoku/>
        <w:wordWrap/>
        <w:overflowPunct/>
        <w:topLinePunct w:val="0"/>
        <w:bidi w:val="0"/>
        <w:snapToGrid/>
        <w:spacing w:line="360" w:lineRule="auto"/>
        <w:ind w:firstLine="424" w:firstLineChars="202"/>
        <w:textAlignment w:val="auto"/>
        <w:rPr>
          <w:rFonts w:hint="eastAsia" w:hAnsi="宋体" w:cs="宋体"/>
          <w:color w:val="auto"/>
          <w:sz w:val="21"/>
          <w:szCs w:val="21"/>
          <w:highlight w:val="none"/>
        </w:rPr>
      </w:pPr>
      <w:r>
        <w:rPr>
          <w:rFonts w:hint="eastAsia" w:hAnsi="宋体" w:cs="宋体"/>
          <w:color w:val="auto"/>
          <w:sz w:val="21"/>
          <w:szCs w:val="21"/>
          <w:highlight w:val="none"/>
        </w:rPr>
        <w:t>10.2 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w:t>
      </w:r>
      <w:r>
        <w:rPr>
          <w:rFonts w:hint="eastAsia" w:hAnsi="宋体" w:cs="宋体"/>
          <w:color w:val="auto"/>
          <w:sz w:val="21"/>
          <w:szCs w:val="21"/>
          <w:highlight w:val="none"/>
          <w:lang w:val="en-US" w:eastAsia="zh-CN"/>
        </w:rPr>
        <w:t>合同价格</w:t>
      </w:r>
      <w:r>
        <w:rPr>
          <w:rFonts w:hint="eastAsia" w:hAnsi="宋体" w:cs="宋体"/>
          <w:color w:val="auto"/>
          <w:sz w:val="21"/>
          <w:szCs w:val="21"/>
          <w:highlight w:val="none"/>
        </w:rPr>
        <w:t>在合同实施期间将不因市场价格等的变化而调整。供应商的最后报价，应是完成采购需求、合同条款、项目实施期限等各项内容的全部，包含但不仅限于本合同项下所有的</w:t>
      </w:r>
      <w:r>
        <w:rPr>
          <w:rFonts w:hint="eastAsia" w:hAnsi="宋体" w:cs="宋体"/>
          <w:color w:val="auto"/>
          <w:sz w:val="21"/>
          <w:szCs w:val="21"/>
          <w:highlight w:val="none"/>
          <w:lang w:val="en-US" w:eastAsia="zh-CN"/>
        </w:rPr>
        <w:t>人员工资</w:t>
      </w:r>
      <w:r>
        <w:rPr>
          <w:rFonts w:hint="eastAsia" w:hAnsi="宋体" w:cs="宋体"/>
          <w:color w:val="auto"/>
          <w:sz w:val="21"/>
          <w:szCs w:val="21"/>
          <w:highlight w:val="none"/>
        </w:rPr>
        <w:t>、企业管理费、保险费、驻场费、食宿费、差旅费</w:t>
      </w:r>
      <w:r>
        <w:rPr>
          <w:rFonts w:hint="eastAsia" w:hAnsi="宋体" w:cs="宋体"/>
          <w:color w:val="auto"/>
          <w:sz w:val="21"/>
          <w:szCs w:val="21"/>
          <w:highlight w:val="none"/>
          <w:lang w:eastAsia="zh-CN"/>
        </w:rPr>
        <w:t>、</w:t>
      </w:r>
      <w:r>
        <w:rPr>
          <w:rFonts w:hint="eastAsia" w:hAnsi="宋体" w:cs="宋体"/>
          <w:color w:val="auto"/>
          <w:sz w:val="21"/>
          <w:szCs w:val="21"/>
          <w:highlight w:val="none"/>
        </w:rPr>
        <w:t>交通费、相关文本</w:t>
      </w:r>
      <w:r>
        <w:rPr>
          <w:rFonts w:hint="eastAsia" w:hAnsi="宋体" w:cs="宋体"/>
          <w:color w:val="auto"/>
          <w:sz w:val="21"/>
          <w:szCs w:val="21"/>
          <w:highlight w:val="none"/>
          <w:lang w:val="en-US" w:eastAsia="zh-CN"/>
        </w:rPr>
        <w:t>制作</w:t>
      </w:r>
      <w:r>
        <w:rPr>
          <w:rFonts w:hint="eastAsia" w:hAnsi="宋体" w:cs="宋体"/>
          <w:color w:val="auto"/>
          <w:sz w:val="21"/>
          <w:szCs w:val="21"/>
          <w:highlight w:val="none"/>
        </w:rPr>
        <w:t>费、政策性文件规费、利润</w:t>
      </w:r>
      <w:r>
        <w:rPr>
          <w:rFonts w:hint="eastAsia" w:hAnsi="宋体" w:cs="宋体"/>
          <w:color w:val="auto"/>
          <w:sz w:val="21"/>
          <w:szCs w:val="21"/>
          <w:highlight w:val="none"/>
          <w:lang w:eastAsia="zh-CN"/>
        </w:rPr>
        <w:t>、</w:t>
      </w:r>
      <w:r>
        <w:rPr>
          <w:rFonts w:hint="eastAsia" w:hAnsi="宋体" w:cs="宋体"/>
          <w:color w:val="auto"/>
          <w:sz w:val="21"/>
          <w:szCs w:val="21"/>
          <w:highlight w:val="none"/>
        </w:rPr>
        <w:t>税金等所有明示及暗示风险的一切费用，并能保证供应商完成履行合同所需的一切工作。不论这些价格是否包括在最后报价中，采购人视供应商在计算报价时已包括在内。即应是完成本竞争性磋商文件采购需求及合同条款上所列项目范围及项目实施期限的全部，不得以任何理由予以重复。在合同实施期间不因市场变化因素而变动，供应商在计算报价时应考虑物价上涨、政策性调整等诸多因素及由此引起的费用变动。本项目设定</w:t>
      </w:r>
      <w:r>
        <w:rPr>
          <w:rFonts w:hint="eastAsia" w:hAnsi="宋体" w:cs="宋体"/>
          <w:color w:val="auto"/>
          <w:sz w:val="21"/>
          <w:szCs w:val="21"/>
          <w:highlight w:val="none"/>
          <w:lang w:val="en-US" w:eastAsia="zh-CN"/>
        </w:rPr>
        <w:t>最高限价</w:t>
      </w:r>
      <w:r>
        <w:rPr>
          <w:rFonts w:hint="eastAsia" w:hAnsi="宋体" w:cs="宋体"/>
          <w:color w:val="auto"/>
          <w:sz w:val="21"/>
          <w:szCs w:val="21"/>
          <w:highlight w:val="none"/>
        </w:rPr>
        <w:t>，供应商</w:t>
      </w:r>
      <w:r>
        <w:rPr>
          <w:rFonts w:hint="eastAsia" w:hAnsi="宋体" w:cs="宋体"/>
          <w:color w:val="auto"/>
          <w:sz w:val="21"/>
          <w:szCs w:val="21"/>
          <w:highlight w:val="none"/>
          <w:lang w:val="en-US" w:eastAsia="zh-CN"/>
        </w:rPr>
        <w:t>一次报价及</w:t>
      </w:r>
      <w:r>
        <w:rPr>
          <w:rFonts w:hint="eastAsia" w:hAnsi="宋体" w:cs="宋体"/>
          <w:color w:val="auto"/>
          <w:sz w:val="21"/>
          <w:szCs w:val="21"/>
          <w:highlight w:val="none"/>
        </w:rPr>
        <w:t>最后报价超过</w:t>
      </w:r>
      <w:r>
        <w:rPr>
          <w:rFonts w:hint="eastAsia" w:hAnsi="宋体" w:cs="宋体"/>
          <w:color w:val="auto"/>
          <w:sz w:val="21"/>
          <w:szCs w:val="21"/>
          <w:highlight w:val="none"/>
          <w:lang w:val="en-US" w:eastAsia="zh-CN"/>
        </w:rPr>
        <w:t>最高限价</w:t>
      </w:r>
      <w:r>
        <w:rPr>
          <w:rFonts w:hint="eastAsia" w:hAnsi="宋体" w:cs="宋体"/>
          <w:color w:val="auto"/>
          <w:sz w:val="21"/>
          <w:szCs w:val="21"/>
          <w:highlight w:val="none"/>
        </w:rPr>
        <w:t>的响应文件将按无效响应处理。</w:t>
      </w:r>
    </w:p>
    <w:p w14:paraId="2D6414FC">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10.</w:t>
      </w: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通过实质性要求审查的供应商才能进入磋商程序并进行第二轮报价，第二轮报价为最终报价。</w:t>
      </w:r>
    </w:p>
    <w:p w14:paraId="216A6DFA">
      <w:pPr>
        <w:keepNext w:val="0"/>
        <w:keepLines w:val="0"/>
        <w:pageBreakBefore w:val="0"/>
        <w:widowControl w:val="0"/>
        <w:kinsoku/>
        <w:wordWrap/>
        <w:overflowPunct/>
        <w:topLinePunct w:val="0"/>
        <w:bidi w:val="0"/>
        <w:snapToGrid/>
        <w:spacing w:line="360" w:lineRule="auto"/>
        <w:ind w:firstLine="424" w:firstLineChars="202"/>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10.</w:t>
      </w: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最终报价文件应由供应商在规定的时间内通过政采云平台系统递交，未在规定时间递交的视为退出磋商。若已递交的最终报价文件若出现含义不明确、同类问题表述不一致或者签署不完整、有明显文字和计算错误的，可以进行澄清和补充，但不得改变最终报价文件中报价等实质性内容（算术性错误修正的除外）。</w:t>
      </w:r>
    </w:p>
    <w:p w14:paraId="46DB42E2">
      <w:pPr>
        <w:keepNext w:val="0"/>
        <w:keepLines w:val="0"/>
        <w:pageBreakBefore w:val="0"/>
        <w:widowControl w:val="0"/>
        <w:kinsoku/>
        <w:wordWrap/>
        <w:overflowPunct/>
        <w:topLinePunct w:val="0"/>
        <w:autoSpaceDE/>
        <w:autoSpaceDN/>
        <w:bidi w:val="0"/>
        <w:adjustRightInd w:val="0"/>
        <w:snapToGrid/>
        <w:spacing w:line="360" w:lineRule="auto"/>
        <w:ind w:firstLine="424" w:firstLineChars="20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不得哄抬报价，也不应低于成本价（或进价）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14:paraId="4E6ABC66">
      <w:pPr>
        <w:keepNext w:val="0"/>
        <w:keepLines w:val="0"/>
        <w:pageBreakBefore w:val="0"/>
        <w:widowControl w:val="0"/>
        <w:kinsoku/>
        <w:wordWrap/>
        <w:overflowPunct/>
        <w:topLinePunct w:val="0"/>
        <w:autoSpaceDE/>
        <w:autoSpaceDN/>
        <w:bidi w:val="0"/>
        <w:snapToGrid/>
        <w:spacing w:line="360" w:lineRule="auto"/>
        <w:ind w:firstLine="424" w:firstLineChars="202"/>
        <w:jc w:val="left"/>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10.</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报价货币为人民币</w:t>
      </w:r>
      <w:r>
        <w:rPr>
          <w:rFonts w:hint="eastAsia" w:ascii="宋体" w:hAnsi="宋体" w:cs="宋体"/>
          <w:b/>
          <w:color w:val="auto"/>
          <w:sz w:val="21"/>
          <w:szCs w:val="21"/>
          <w:highlight w:val="none"/>
        </w:rPr>
        <w:t>。</w:t>
      </w:r>
    </w:p>
    <w:p w14:paraId="6147B349">
      <w:pPr>
        <w:pStyle w:val="4"/>
        <w:keepNext w:val="0"/>
        <w:keepLines w:val="0"/>
        <w:pageBreakBefore w:val="0"/>
        <w:widowControl w:val="0"/>
        <w:numPr>
          <w:ilvl w:val="0"/>
          <w:numId w:val="1"/>
        </w:numPr>
        <w:tabs>
          <w:tab w:val="left" w:pos="900"/>
        </w:tabs>
        <w:kinsoku/>
        <w:wordWrap/>
        <w:overflowPunct/>
        <w:topLinePunct w:val="0"/>
        <w:autoSpaceDE/>
        <w:autoSpaceDN/>
        <w:bidi w:val="0"/>
        <w:snapToGrid/>
        <w:spacing w:before="0" w:after="0"/>
        <w:ind w:firstLineChars="0"/>
        <w:jc w:val="left"/>
        <w:textAlignment w:val="auto"/>
        <w:rPr>
          <w:rFonts w:hint="eastAsia" w:hAnsi="宋体" w:cs="宋体"/>
          <w:color w:val="auto"/>
          <w:sz w:val="21"/>
          <w:szCs w:val="21"/>
          <w:highlight w:val="none"/>
        </w:rPr>
      </w:pPr>
      <w:bookmarkStart w:id="171" w:name="_Toc4003"/>
      <w:bookmarkStart w:id="172" w:name="_Toc6569"/>
      <w:bookmarkStart w:id="173" w:name="_Toc86124058"/>
      <w:bookmarkStart w:id="174" w:name="_Toc432106487"/>
      <w:bookmarkStart w:id="175" w:name="_Toc383175486"/>
      <w:bookmarkStart w:id="176" w:name="_Toc383175288"/>
      <w:bookmarkStart w:id="177" w:name="_Toc383175064"/>
      <w:bookmarkStart w:id="178" w:name="_Toc329810198"/>
      <w:bookmarkStart w:id="179" w:name="_Toc432194838"/>
      <w:r>
        <w:rPr>
          <w:rFonts w:hint="eastAsia" w:hAnsi="宋体" w:cs="宋体"/>
          <w:color w:val="auto"/>
          <w:sz w:val="21"/>
          <w:szCs w:val="21"/>
          <w:highlight w:val="none"/>
        </w:rPr>
        <w:t>磋商有效期</w:t>
      </w:r>
      <w:bookmarkEnd w:id="171"/>
      <w:bookmarkEnd w:id="172"/>
      <w:bookmarkEnd w:id="173"/>
      <w:bookmarkEnd w:id="174"/>
      <w:bookmarkEnd w:id="175"/>
      <w:bookmarkEnd w:id="176"/>
      <w:bookmarkEnd w:id="177"/>
      <w:bookmarkEnd w:id="178"/>
      <w:bookmarkEnd w:id="179"/>
    </w:p>
    <w:p w14:paraId="1A3EE472">
      <w:pPr>
        <w:keepNext w:val="0"/>
        <w:keepLines w:val="0"/>
        <w:pageBreakBefore w:val="0"/>
        <w:widowControl w:val="0"/>
        <w:kinsoku/>
        <w:wordWrap/>
        <w:overflowPunct/>
        <w:topLinePunct w:val="0"/>
        <w:autoSpaceDE/>
        <w:autoSpaceDN/>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11.1 在“</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”规定的有效期内，供应商不得要求撤销或修改其响应文件。</w:t>
      </w:r>
    </w:p>
    <w:p w14:paraId="76352F04">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11.2 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14:paraId="62A477F5">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180" w:name="_Toc86124059"/>
      <w:bookmarkStart w:id="181" w:name="_Toc329810199"/>
      <w:bookmarkStart w:id="182" w:name="_Toc383175065"/>
      <w:bookmarkStart w:id="183" w:name="_Toc27908"/>
      <w:bookmarkStart w:id="184" w:name="_Toc27817"/>
      <w:bookmarkStart w:id="185" w:name="_Toc432194839"/>
      <w:bookmarkStart w:id="186" w:name="_Toc383175289"/>
      <w:bookmarkStart w:id="187" w:name="_Toc432106488"/>
      <w:bookmarkStart w:id="188" w:name="_Toc383175487"/>
      <w:r>
        <w:rPr>
          <w:rFonts w:hint="eastAsia" w:hAnsi="宋体" w:cs="宋体"/>
          <w:color w:val="auto"/>
          <w:sz w:val="21"/>
          <w:szCs w:val="21"/>
          <w:highlight w:val="none"/>
        </w:rPr>
        <w:t>响应文件的</w:t>
      </w:r>
      <w:bookmarkEnd w:id="180"/>
      <w:bookmarkEnd w:id="181"/>
      <w:r>
        <w:rPr>
          <w:rFonts w:hint="eastAsia" w:hAnsi="宋体" w:cs="宋体"/>
          <w:color w:val="auto"/>
          <w:sz w:val="21"/>
          <w:szCs w:val="21"/>
          <w:highlight w:val="none"/>
        </w:rPr>
        <w:t>编制</w:t>
      </w:r>
      <w:bookmarkEnd w:id="182"/>
      <w:bookmarkEnd w:id="183"/>
      <w:bookmarkEnd w:id="184"/>
      <w:bookmarkEnd w:id="185"/>
      <w:bookmarkEnd w:id="186"/>
      <w:bookmarkEnd w:id="187"/>
      <w:bookmarkEnd w:id="188"/>
    </w:p>
    <w:p w14:paraId="1BD5959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12.1供应商应按照采购文件和政府采购云平台的要求编制响应文件并进行加密处理。</w:t>
      </w:r>
    </w:p>
    <w:p w14:paraId="5E9F8BB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12.2响应文件中涉及盖章签署的地方，建议使用电子签章进行签署。</w:t>
      </w:r>
    </w:p>
    <w:p w14:paraId="58D2552F">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12.3可靠的电子签名/电子公章，与手写签名或者盖章具有同等的法律效力。</w:t>
      </w:r>
    </w:p>
    <w:p w14:paraId="052F6DC6">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12.4响应文件份数：详见供应商须知前附表。</w:t>
      </w:r>
    </w:p>
    <w:p w14:paraId="796B2FA5">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189" w:name="_Toc29343"/>
      <w:bookmarkStart w:id="190" w:name="_Toc432106489"/>
      <w:bookmarkStart w:id="191" w:name="_Toc5937"/>
      <w:bookmarkStart w:id="192" w:name="_Toc432194840"/>
      <w:r>
        <w:rPr>
          <w:rFonts w:hint="eastAsia" w:hAnsi="宋体" w:cs="宋体"/>
          <w:color w:val="auto"/>
          <w:sz w:val="21"/>
          <w:szCs w:val="21"/>
          <w:highlight w:val="none"/>
        </w:rPr>
        <w:t>磋商保证金</w:t>
      </w:r>
      <w:bookmarkEnd w:id="189"/>
      <w:bookmarkEnd w:id="190"/>
      <w:bookmarkEnd w:id="191"/>
      <w:bookmarkEnd w:id="192"/>
    </w:p>
    <w:p w14:paraId="413CDB8D">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13.1磋商保证金为人民币。</w:t>
      </w:r>
    </w:p>
    <w:p w14:paraId="292E6C1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13.2供应商应在递交响应文件截止时间以前按“</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”规定的方式及金额交至采购代理机构，并在磋商有效期内保持有效，磋商保证金形式：磋商保证金应按“</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”规定的形式提交。</w:t>
      </w:r>
    </w:p>
    <w:p w14:paraId="44B3E35F">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13.3 办理保证金手续时，请务必在银行进账单或电汇单的用途栏或空白栏上注明采购项目名称及项目编号。</w:t>
      </w:r>
    </w:p>
    <w:p w14:paraId="7B40127F">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13.4未成交的供应商可在成交公告发出后5个工作日到采购代理机构办理退保证金手续；成交人在签订合同后5个工作日内到采购代理机构办理退还磋商保证金手续，保证金的退还方式详见“</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w:t>
      </w:r>
    </w:p>
    <w:p w14:paraId="5F7EF659">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13.5 下列情况发生时，磋商保证金将不予退还：</w:t>
      </w:r>
    </w:p>
    <w:p w14:paraId="6A4D3278">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（一）供应商在提交响应文件截止时间后撤回响应文件的；</w:t>
      </w:r>
    </w:p>
    <w:p w14:paraId="57F5283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（二）供应商在响应文件中提供虚假材料的；</w:t>
      </w:r>
    </w:p>
    <w:p w14:paraId="5A4CA70D">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（三）除因不可抗力或磋商文件、磋商通知书认可的情形以外，成交供应商不与采购人签订合同的；</w:t>
      </w:r>
    </w:p>
    <w:p w14:paraId="7812A4A6">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（四）供应商与采购人、其他供应商或者采购代理机构恶意串通的；</w:t>
      </w:r>
    </w:p>
    <w:p w14:paraId="5DEC7FF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（五）磋商文件规定的其他情形。</w:t>
      </w:r>
    </w:p>
    <w:p w14:paraId="1BF12C32">
      <w:pPr>
        <w:pStyle w:val="3"/>
        <w:keepNext w:val="0"/>
        <w:keepLines w:val="0"/>
        <w:pageBreakBefore w:val="0"/>
        <w:widowControl w:val="0"/>
        <w:kinsoku/>
        <w:wordWrap/>
        <w:overflowPunct/>
        <w:topLinePunct w:val="0"/>
        <w:bidi w:val="0"/>
        <w:snapToGrid/>
        <w:spacing w:before="0"/>
        <w:textAlignment w:val="auto"/>
        <w:rPr>
          <w:rFonts w:hint="eastAsia" w:ascii="宋体" w:hAnsi="宋体" w:eastAsia="宋体" w:cs="Times New Roman"/>
          <w:b/>
          <w:bCs/>
          <w:color w:val="auto"/>
          <w:sz w:val="24"/>
          <w:szCs w:val="24"/>
          <w:highlight w:val="none"/>
        </w:rPr>
      </w:pPr>
      <w:bookmarkStart w:id="193" w:name="_Toc86124061"/>
      <w:bookmarkStart w:id="194" w:name="_Toc31099"/>
      <w:r>
        <w:rPr>
          <w:rFonts w:hint="eastAsia" w:ascii="宋体" w:hAnsi="宋体" w:eastAsia="宋体" w:cs="Times New Roman"/>
          <w:b/>
          <w:bCs/>
          <w:color w:val="auto"/>
          <w:sz w:val="24"/>
          <w:szCs w:val="24"/>
          <w:highlight w:val="none"/>
        </w:rPr>
        <w:t>四、响应文件的提交</w:t>
      </w:r>
      <w:bookmarkEnd w:id="193"/>
      <w:bookmarkEnd w:id="194"/>
    </w:p>
    <w:p w14:paraId="1AA0FF5B">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195" w:name="_Toc329810202"/>
      <w:bookmarkStart w:id="196" w:name="_Toc383175292"/>
      <w:bookmarkStart w:id="197" w:name="_Toc383175490"/>
      <w:bookmarkStart w:id="198" w:name="_Toc30952"/>
      <w:bookmarkStart w:id="199" w:name="_Toc4595"/>
      <w:bookmarkStart w:id="200" w:name="_Toc432194842"/>
      <w:bookmarkStart w:id="201" w:name="_Toc432106491"/>
      <w:bookmarkStart w:id="202" w:name="_Toc383175068"/>
      <w:bookmarkStart w:id="203" w:name="_Toc86124062"/>
      <w:r>
        <w:rPr>
          <w:rFonts w:hint="eastAsia" w:hAnsi="宋体" w:cs="宋体"/>
          <w:color w:val="auto"/>
          <w:sz w:val="21"/>
          <w:szCs w:val="21"/>
          <w:highlight w:val="none"/>
        </w:rPr>
        <w:t>响应文件的密封与标记</w:t>
      </w:r>
      <w:bookmarkEnd w:id="195"/>
      <w:bookmarkEnd w:id="196"/>
      <w:bookmarkEnd w:id="197"/>
      <w:bookmarkEnd w:id="198"/>
      <w:bookmarkEnd w:id="199"/>
      <w:bookmarkEnd w:id="200"/>
      <w:bookmarkEnd w:id="201"/>
      <w:bookmarkEnd w:id="202"/>
      <w:bookmarkEnd w:id="203"/>
    </w:p>
    <w:p w14:paraId="470F355E">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14.1 响应文件应按“</w:t>
      </w:r>
      <w:r>
        <w:rPr>
          <w:rFonts w:hint="eastAsia" w:ascii="宋体" w:hAnsi="宋体" w:cs="宋体"/>
          <w:b/>
          <w:bCs/>
          <w:color w:val="auto"/>
          <w:sz w:val="21"/>
          <w:szCs w:val="21"/>
          <w:highlight w:val="none"/>
        </w:rPr>
        <w:t>供应商须知前附表</w:t>
      </w:r>
      <w:r>
        <w:rPr>
          <w:rFonts w:hint="eastAsia" w:ascii="宋体" w:hAnsi="宋体" w:cs="宋体"/>
          <w:color w:val="auto"/>
          <w:sz w:val="21"/>
          <w:szCs w:val="21"/>
          <w:highlight w:val="none"/>
        </w:rPr>
        <w:t>”的规定进行提交。</w:t>
      </w:r>
    </w:p>
    <w:p w14:paraId="0CB8F8F3">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04" w:name="_Toc383175069"/>
      <w:bookmarkStart w:id="205" w:name="_Toc13226"/>
      <w:bookmarkStart w:id="206" w:name="_Toc383175491"/>
      <w:bookmarkStart w:id="207" w:name="_Toc329810203"/>
      <w:bookmarkStart w:id="208" w:name="_Toc86124063"/>
      <w:bookmarkStart w:id="209" w:name="_Toc432106492"/>
      <w:bookmarkStart w:id="210" w:name="_Toc383175293"/>
      <w:bookmarkStart w:id="211" w:name="_Toc432194843"/>
      <w:bookmarkStart w:id="212" w:name="_Toc25590"/>
      <w:r>
        <w:rPr>
          <w:rFonts w:hint="eastAsia" w:hAnsi="宋体" w:cs="宋体"/>
          <w:color w:val="auto"/>
          <w:sz w:val="21"/>
          <w:szCs w:val="21"/>
          <w:highlight w:val="none"/>
        </w:rPr>
        <w:t>递交响应文件的截止时间和地点</w:t>
      </w:r>
      <w:bookmarkEnd w:id="204"/>
      <w:bookmarkEnd w:id="205"/>
      <w:bookmarkEnd w:id="206"/>
      <w:bookmarkEnd w:id="207"/>
      <w:bookmarkEnd w:id="208"/>
      <w:bookmarkEnd w:id="209"/>
      <w:bookmarkEnd w:id="210"/>
      <w:bookmarkEnd w:id="211"/>
      <w:bookmarkEnd w:id="212"/>
    </w:p>
    <w:p w14:paraId="06DA7AAC">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15.1 响应文件的递交不得迟于“</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”规定的递交响应文件截止时间。</w:t>
      </w:r>
      <w:r>
        <w:rPr>
          <w:rFonts w:hint="eastAsia" w:ascii="宋体" w:hAnsi="宋体" w:cs="宋体"/>
          <w:b/>
          <w:color w:val="auto"/>
          <w:sz w:val="21"/>
          <w:szCs w:val="21"/>
          <w:highlight w:val="none"/>
        </w:rPr>
        <w:t>逾期送达的响应文件，采购人不予接收。</w:t>
      </w:r>
    </w:p>
    <w:p w14:paraId="0B33507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15.2 供应商必须在规定时间内将响应文件递交到“</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”规定的地点。</w:t>
      </w:r>
    </w:p>
    <w:p w14:paraId="609C411B">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15.3除“</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”另有规定外，供应商所递交的响应文件不予退还。</w:t>
      </w:r>
    </w:p>
    <w:p w14:paraId="4B73F588">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p>
    <w:p w14:paraId="23C3E6B4">
      <w:pPr>
        <w:pStyle w:val="3"/>
        <w:keepNext w:val="0"/>
        <w:keepLines w:val="0"/>
        <w:pageBreakBefore w:val="0"/>
        <w:widowControl w:val="0"/>
        <w:kinsoku/>
        <w:wordWrap/>
        <w:overflowPunct/>
        <w:topLinePunct w:val="0"/>
        <w:bidi w:val="0"/>
        <w:snapToGrid/>
        <w:spacing w:before="0"/>
        <w:textAlignment w:val="auto"/>
        <w:rPr>
          <w:rFonts w:hint="eastAsia" w:ascii="宋体" w:hAnsi="宋体" w:eastAsia="宋体" w:cs="Times New Roman"/>
          <w:b/>
          <w:bCs/>
          <w:color w:val="auto"/>
          <w:sz w:val="24"/>
          <w:szCs w:val="24"/>
          <w:highlight w:val="none"/>
        </w:rPr>
      </w:pPr>
      <w:bookmarkStart w:id="213" w:name="_Toc86124064"/>
      <w:bookmarkStart w:id="214" w:name="_Toc4671"/>
      <w:r>
        <w:rPr>
          <w:rFonts w:hint="eastAsia" w:ascii="宋体" w:hAnsi="宋体" w:eastAsia="宋体" w:cs="Times New Roman"/>
          <w:b/>
          <w:bCs/>
          <w:color w:val="auto"/>
          <w:sz w:val="24"/>
          <w:szCs w:val="24"/>
          <w:highlight w:val="none"/>
        </w:rPr>
        <w:t>五、磋商</w:t>
      </w:r>
      <w:bookmarkEnd w:id="213"/>
      <w:bookmarkEnd w:id="214"/>
    </w:p>
    <w:p w14:paraId="371FE400">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15" w:name="_Toc432106494"/>
      <w:bookmarkStart w:id="216" w:name="_Toc432194845"/>
      <w:bookmarkStart w:id="217" w:name="_Toc30392"/>
      <w:bookmarkStart w:id="218" w:name="_Toc25941"/>
      <w:r>
        <w:rPr>
          <w:rFonts w:hint="eastAsia" w:hAnsi="宋体" w:cs="宋体"/>
          <w:color w:val="auto"/>
          <w:sz w:val="21"/>
          <w:szCs w:val="21"/>
          <w:highlight w:val="none"/>
        </w:rPr>
        <w:t>磋商</w:t>
      </w:r>
      <w:bookmarkEnd w:id="215"/>
      <w:bookmarkEnd w:id="216"/>
      <w:bookmarkEnd w:id="217"/>
      <w:bookmarkEnd w:id="218"/>
    </w:p>
    <w:p w14:paraId="68C1DD9F">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16.1采购代理机构将在“</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”规定的时间和地点进行磋商，供应商的法定代表人或其委托代理人应按时参加。</w:t>
      </w:r>
    </w:p>
    <w:p w14:paraId="49229D31">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16.2 磋商由磋商小组负责。磋商小组由采购人的代表和有关技术、经济等方面的专家组成，成员人数应当为3人以上单数。其中，技术、经济等方面的专家不得少于成员总数的三分之二。磋商小组应当推选组长，但采购人代表不得担任组长。</w:t>
      </w:r>
    </w:p>
    <w:p w14:paraId="5C78C0F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采购人委派代表参加磋商会议的，要向采购代理机构出具授权函。除授权代表外，采购人可以委派纪检监察等相关人员进入磋商现场，对磋商工作实施监督，但不得超过２人。</w:t>
      </w:r>
    </w:p>
    <w:p w14:paraId="7239286B">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16.3 磋商原则</w:t>
      </w:r>
    </w:p>
    <w:p w14:paraId="221EA7FA">
      <w:pPr>
        <w:keepNext w:val="0"/>
        <w:keepLines w:val="0"/>
        <w:pageBreakBefore w:val="0"/>
        <w:widowControl w:val="0"/>
        <w:tabs>
          <w:tab w:val="left" w:pos="7980"/>
        </w:tabs>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磋商小组对各供应商的响应文件进行详细评审。磋商小组按照得分的高低推荐成交候选人，推荐成交候选人不少于3人，并标明排列顺序。</w:t>
      </w:r>
    </w:p>
    <w:p w14:paraId="27D4ED1C">
      <w:pPr>
        <w:keepNext w:val="0"/>
        <w:keepLines w:val="0"/>
        <w:pageBreakBefore w:val="0"/>
        <w:widowControl w:val="0"/>
        <w:tabs>
          <w:tab w:val="left" w:pos="7980"/>
        </w:tabs>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16.4 磋商程序和方法</w:t>
      </w:r>
    </w:p>
    <w:p w14:paraId="7AC08981">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磋商小组按照第六章“磋商程序和方法”规定的方法、因素、标准和程序进行磋商。</w:t>
      </w:r>
    </w:p>
    <w:p w14:paraId="22A20A1E">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16.5磋商文件</w:t>
      </w:r>
      <w:r>
        <w:rPr>
          <w:rFonts w:hint="eastAsia" w:ascii="宋体" w:hAnsi="宋体" w:cs="宋体"/>
          <w:b/>
          <w:color w:val="auto"/>
          <w:sz w:val="21"/>
          <w:szCs w:val="21"/>
          <w:highlight w:val="none"/>
          <w:u w:val="single"/>
        </w:rPr>
        <w:t>第六章“磋商程序和方法”前附表第2.1款实质性评审标准为磋商文件的实质性内容，未实质性响应磋商文件的供应商的响应文件将按无效处理，该供应商不得再继续参加磋商</w:t>
      </w:r>
      <w:r>
        <w:rPr>
          <w:rFonts w:hint="eastAsia" w:ascii="宋体" w:hAnsi="宋体" w:cs="宋体"/>
          <w:color w:val="auto"/>
          <w:sz w:val="21"/>
          <w:szCs w:val="21"/>
          <w:highlight w:val="none"/>
        </w:rPr>
        <w:t>。</w:t>
      </w:r>
    </w:p>
    <w:p w14:paraId="70E67627">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66E269">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6F4B486">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19" w:name="_Toc432194846"/>
      <w:bookmarkStart w:id="220" w:name="_Toc383175494"/>
      <w:bookmarkStart w:id="221" w:name="_Toc383175072"/>
      <w:bookmarkStart w:id="222" w:name="_Toc432106495"/>
      <w:bookmarkStart w:id="223" w:name="_Toc329810207"/>
      <w:bookmarkStart w:id="224" w:name="_Toc10006"/>
      <w:bookmarkStart w:id="225" w:name="_Toc575"/>
      <w:bookmarkStart w:id="226" w:name="_Toc86124067"/>
      <w:bookmarkStart w:id="227" w:name="_Toc383175296"/>
      <w:r>
        <w:rPr>
          <w:rFonts w:hint="eastAsia" w:hAnsi="宋体" w:cs="宋体"/>
          <w:color w:val="auto"/>
          <w:sz w:val="21"/>
          <w:szCs w:val="21"/>
          <w:highlight w:val="none"/>
        </w:rPr>
        <w:t>磋商过程的保密</w:t>
      </w:r>
      <w:bookmarkEnd w:id="219"/>
      <w:bookmarkEnd w:id="220"/>
      <w:bookmarkEnd w:id="221"/>
      <w:bookmarkEnd w:id="222"/>
      <w:bookmarkEnd w:id="223"/>
      <w:bookmarkEnd w:id="224"/>
      <w:bookmarkEnd w:id="225"/>
      <w:bookmarkEnd w:id="226"/>
      <w:bookmarkEnd w:id="227"/>
    </w:p>
    <w:p w14:paraId="0563E8AE">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53D23B9E">
      <w:pPr>
        <w:pStyle w:val="4"/>
        <w:keepNext w:val="0"/>
        <w:keepLines w:val="0"/>
        <w:pageBreakBefore w:val="0"/>
        <w:widowControl w:val="0"/>
        <w:numPr>
          <w:ilvl w:val="0"/>
          <w:numId w:val="1"/>
        </w:numPr>
        <w:tabs>
          <w:tab w:val="left" w:pos="360"/>
        </w:tabs>
        <w:kinsoku/>
        <w:wordWrap/>
        <w:overflowPunct/>
        <w:topLinePunct w:val="0"/>
        <w:bidi w:val="0"/>
        <w:snapToGrid/>
        <w:spacing w:before="0" w:after="0"/>
        <w:ind w:left="0" w:firstLine="426" w:firstLineChars="0"/>
        <w:jc w:val="left"/>
        <w:textAlignment w:val="auto"/>
        <w:rPr>
          <w:rFonts w:hint="eastAsia" w:hAnsi="宋体" w:cs="宋体"/>
          <w:color w:val="auto"/>
          <w:sz w:val="21"/>
          <w:szCs w:val="21"/>
          <w:highlight w:val="none"/>
        </w:rPr>
      </w:pPr>
      <w:bookmarkStart w:id="228" w:name="_Toc23090"/>
      <w:bookmarkStart w:id="229" w:name="_Toc432106496"/>
      <w:bookmarkStart w:id="230" w:name="_Toc383175495"/>
      <w:bookmarkStart w:id="231" w:name="_Toc86124068"/>
      <w:bookmarkStart w:id="232" w:name="_Toc378499713"/>
      <w:bookmarkStart w:id="233" w:name="_Toc383175073"/>
      <w:bookmarkStart w:id="234" w:name="_Toc24582"/>
      <w:bookmarkStart w:id="235" w:name="_Toc432194847"/>
      <w:bookmarkStart w:id="236" w:name="_Toc383175297"/>
      <w:bookmarkStart w:id="237" w:name="_Toc329810208"/>
      <w:r>
        <w:rPr>
          <w:rFonts w:hint="eastAsia" w:hAnsi="宋体" w:cs="宋体"/>
          <w:color w:val="auto"/>
          <w:sz w:val="21"/>
          <w:szCs w:val="21"/>
          <w:highlight w:val="none"/>
        </w:rPr>
        <w:t>出现下列情形之一的，将终止竞争性磋商采购活动，并发布项目终止公告并说明原因，重新开展采购活动：</w:t>
      </w:r>
      <w:bookmarkEnd w:id="228"/>
      <w:bookmarkEnd w:id="229"/>
      <w:bookmarkEnd w:id="230"/>
      <w:bookmarkEnd w:id="231"/>
      <w:bookmarkEnd w:id="232"/>
      <w:bookmarkEnd w:id="233"/>
      <w:bookmarkEnd w:id="234"/>
      <w:bookmarkEnd w:id="235"/>
      <w:bookmarkEnd w:id="236"/>
      <w:bookmarkEnd w:id="237"/>
    </w:p>
    <w:p w14:paraId="684AD8C1">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2041A94A">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5A55229A">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（3）在采购过程中符合竞争要求的供应商或者</w:t>
      </w:r>
      <w:r>
        <w:rPr>
          <w:rFonts w:hint="eastAsia" w:ascii="宋体" w:hAnsi="宋体" w:cs="宋体"/>
          <w:b/>
          <w:color w:val="auto"/>
          <w:sz w:val="21"/>
          <w:szCs w:val="21"/>
          <w:highlight w:val="none"/>
        </w:rPr>
        <w:t>报价未超过采购预算的供应商不足3家</w:t>
      </w:r>
      <w:r>
        <w:rPr>
          <w:rFonts w:hint="eastAsia" w:ascii="宋体" w:hAnsi="宋体" w:cs="宋体"/>
          <w:color w:val="auto"/>
          <w:sz w:val="21"/>
          <w:szCs w:val="21"/>
          <w:highlight w:val="none"/>
        </w:rPr>
        <w:t>的。</w:t>
      </w:r>
    </w:p>
    <w:p w14:paraId="282968D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p>
    <w:p w14:paraId="334433B8">
      <w:pPr>
        <w:pStyle w:val="3"/>
        <w:keepNext w:val="0"/>
        <w:keepLines w:val="0"/>
        <w:pageBreakBefore w:val="0"/>
        <w:widowControl w:val="0"/>
        <w:kinsoku/>
        <w:wordWrap/>
        <w:overflowPunct/>
        <w:topLinePunct w:val="0"/>
        <w:bidi w:val="0"/>
        <w:snapToGrid/>
        <w:spacing w:before="0"/>
        <w:textAlignment w:val="auto"/>
        <w:rPr>
          <w:rFonts w:hint="eastAsia" w:ascii="宋体" w:hAnsi="宋体" w:eastAsia="宋体" w:cs="Times New Roman"/>
          <w:b/>
          <w:bCs/>
          <w:color w:val="auto"/>
          <w:sz w:val="24"/>
          <w:szCs w:val="24"/>
          <w:highlight w:val="none"/>
        </w:rPr>
      </w:pPr>
      <w:bookmarkStart w:id="238" w:name="_Toc1035"/>
      <w:bookmarkStart w:id="239" w:name="_Toc86124069"/>
      <w:r>
        <w:rPr>
          <w:rFonts w:hint="eastAsia" w:ascii="宋体" w:hAnsi="宋体" w:eastAsia="宋体" w:cs="Times New Roman"/>
          <w:b/>
          <w:bCs/>
          <w:color w:val="auto"/>
          <w:sz w:val="24"/>
          <w:szCs w:val="24"/>
          <w:highlight w:val="none"/>
        </w:rPr>
        <w:t>六、成交结果</w:t>
      </w:r>
      <w:bookmarkEnd w:id="238"/>
      <w:bookmarkEnd w:id="239"/>
    </w:p>
    <w:p w14:paraId="4F12510B">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40" w:name="_Toc383175299"/>
      <w:bookmarkStart w:id="241" w:name="_Toc432106498"/>
      <w:bookmarkStart w:id="242" w:name="_Toc86124070"/>
      <w:bookmarkStart w:id="243" w:name="_Toc25760"/>
      <w:bookmarkStart w:id="244" w:name="_Toc16090"/>
      <w:bookmarkStart w:id="245" w:name="_Toc383175075"/>
      <w:bookmarkStart w:id="246" w:name="_Toc383175497"/>
      <w:bookmarkStart w:id="247" w:name="_Toc329810210"/>
      <w:bookmarkStart w:id="248" w:name="_Toc432194849"/>
      <w:r>
        <w:rPr>
          <w:rFonts w:hint="eastAsia" w:hAnsi="宋体" w:cs="宋体"/>
          <w:color w:val="auto"/>
          <w:sz w:val="21"/>
          <w:szCs w:val="21"/>
          <w:highlight w:val="none"/>
        </w:rPr>
        <w:t>成交人的确定</w:t>
      </w:r>
      <w:bookmarkEnd w:id="240"/>
      <w:bookmarkEnd w:id="241"/>
      <w:bookmarkEnd w:id="242"/>
      <w:bookmarkEnd w:id="243"/>
      <w:bookmarkEnd w:id="244"/>
      <w:bookmarkEnd w:id="245"/>
      <w:bookmarkEnd w:id="246"/>
      <w:bookmarkEnd w:id="247"/>
      <w:bookmarkEnd w:id="248"/>
    </w:p>
    <w:p w14:paraId="11C38EDC">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bookmarkStart w:id="249" w:name="_Toc329810211"/>
      <w:r>
        <w:rPr>
          <w:rFonts w:hint="eastAsia" w:ascii="宋体" w:hAnsi="宋体" w:cs="宋体"/>
          <w:color w:val="auto"/>
          <w:sz w:val="21"/>
          <w:szCs w:val="21"/>
          <w:highlight w:val="none"/>
        </w:rPr>
        <w:t>19.1采购代理机构在评审结束后2个工作日内将评审报告送采购人确认。</w:t>
      </w:r>
    </w:p>
    <w:p w14:paraId="068B430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19.2采购人应当在收到评审报告后5个工作日内，从评审报告提出的成交候选人中，按照综合得分由高到低的的原则确定成交供应商。</w:t>
      </w:r>
    </w:p>
    <w:p w14:paraId="5112B1D3">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50" w:name="_Toc383175498"/>
      <w:bookmarkStart w:id="251" w:name="_Toc24271"/>
      <w:bookmarkStart w:id="252" w:name="_Toc383175300"/>
      <w:bookmarkStart w:id="253" w:name="_Toc3814"/>
      <w:bookmarkStart w:id="254" w:name="_Toc432106499"/>
      <w:bookmarkStart w:id="255" w:name="_Toc432194850"/>
      <w:bookmarkStart w:id="256" w:name="_Toc383175076"/>
      <w:r>
        <w:rPr>
          <w:rFonts w:hint="eastAsia" w:hAnsi="宋体" w:cs="宋体"/>
          <w:color w:val="auto"/>
          <w:sz w:val="21"/>
          <w:szCs w:val="21"/>
          <w:highlight w:val="none"/>
        </w:rPr>
        <w:t>成交通知书</w:t>
      </w:r>
      <w:bookmarkEnd w:id="249"/>
      <w:bookmarkEnd w:id="250"/>
      <w:bookmarkEnd w:id="251"/>
      <w:bookmarkEnd w:id="252"/>
      <w:bookmarkEnd w:id="253"/>
      <w:bookmarkEnd w:id="254"/>
      <w:bookmarkEnd w:id="255"/>
      <w:bookmarkEnd w:id="256"/>
    </w:p>
    <w:p w14:paraId="4EDED5A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bookmarkStart w:id="257" w:name="_Toc86124072"/>
      <w:bookmarkStart w:id="258" w:name="_Toc329810212"/>
      <w:r>
        <w:rPr>
          <w:rFonts w:hint="eastAsia" w:ascii="宋体" w:hAnsi="宋体" w:cs="宋体"/>
          <w:color w:val="auto"/>
          <w:sz w:val="21"/>
          <w:szCs w:val="21"/>
          <w:highlight w:val="none"/>
        </w:rPr>
        <w:t>20.1采购代理机构将在成交供应商确定后2个工作日内，在云南省政府采购网上公告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同时向成交供应商发出成交通知书。</w:t>
      </w:r>
    </w:p>
    <w:p w14:paraId="0F4B2E6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20.2 成交通知书是合同的一个组成部分。</w:t>
      </w:r>
    </w:p>
    <w:p w14:paraId="79CD178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20.3除不可抗力等因素外，成交通知书发出后，采购人改变成交结果，或者成交供应商拒绝签订政府采购合同的，应当承担相应的法律责任。</w:t>
      </w:r>
    </w:p>
    <w:p w14:paraId="27A64ED2">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20.4采购代理机构无义务向未成交供应商解释未成交原因和退回响应文件。</w:t>
      </w:r>
    </w:p>
    <w:p w14:paraId="708175CD">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59" w:name="_Toc432194851"/>
      <w:bookmarkStart w:id="260" w:name="_Toc383175077"/>
      <w:bookmarkStart w:id="261" w:name="_Toc383175301"/>
      <w:bookmarkStart w:id="262" w:name="_Toc432106500"/>
      <w:bookmarkStart w:id="263" w:name="_Toc24949"/>
      <w:bookmarkStart w:id="264" w:name="_Toc22068"/>
      <w:bookmarkStart w:id="265" w:name="_Toc383175499"/>
      <w:r>
        <w:rPr>
          <w:rFonts w:hint="eastAsia" w:hAnsi="宋体" w:cs="宋体"/>
          <w:color w:val="auto"/>
          <w:sz w:val="21"/>
          <w:szCs w:val="21"/>
          <w:highlight w:val="none"/>
        </w:rPr>
        <w:t>签订合同</w:t>
      </w:r>
      <w:bookmarkEnd w:id="257"/>
      <w:bookmarkEnd w:id="258"/>
      <w:bookmarkEnd w:id="259"/>
      <w:bookmarkEnd w:id="260"/>
      <w:bookmarkEnd w:id="261"/>
      <w:bookmarkEnd w:id="262"/>
      <w:bookmarkEnd w:id="263"/>
      <w:bookmarkEnd w:id="264"/>
      <w:bookmarkEnd w:id="265"/>
    </w:p>
    <w:p w14:paraId="3BE9E8F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bookmarkStart w:id="266" w:name="_Toc329810213"/>
      <w:bookmarkStart w:id="267" w:name="_Toc86124073"/>
      <w:r>
        <w:rPr>
          <w:rFonts w:hint="eastAsia" w:ascii="宋体" w:hAnsi="宋体" w:cs="宋体"/>
          <w:color w:val="auto"/>
          <w:sz w:val="21"/>
          <w:szCs w:val="21"/>
          <w:highlight w:val="none"/>
        </w:rPr>
        <w:t>21.1采购人与成交供应商应当在成交通知书发出之日起30日内，按照磋商文件确定的合同文本以及采购标的、规格型号、采购金额、采购数量、技术和服务要求等事项签订政府采购合同。</w:t>
      </w:r>
    </w:p>
    <w:p w14:paraId="71F7B8BA">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21.2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171327D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21.3签订合同后，如成交人不按双方签订合同约定履约，则没收其全部履约保证金，履约保证金不足以赔偿损失的，按实际损失赔偿，履约保证金于合同届满期后一次性无息退回，履约保证金金额详见“</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w:t>
      </w:r>
    </w:p>
    <w:bookmarkEnd w:id="266"/>
    <w:bookmarkEnd w:id="267"/>
    <w:p w14:paraId="6C1CECE3">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p>
    <w:p w14:paraId="7392FDEF">
      <w:pPr>
        <w:pStyle w:val="3"/>
        <w:keepNext w:val="0"/>
        <w:keepLines w:val="0"/>
        <w:pageBreakBefore w:val="0"/>
        <w:widowControl w:val="0"/>
        <w:kinsoku/>
        <w:wordWrap/>
        <w:overflowPunct/>
        <w:topLinePunct w:val="0"/>
        <w:bidi w:val="0"/>
        <w:snapToGrid/>
        <w:spacing w:before="0"/>
        <w:textAlignment w:val="auto"/>
        <w:rPr>
          <w:rFonts w:hint="eastAsia" w:ascii="宋体" w:hAnsi="宋体" w:eastAsia="宋体" w:cs="Times New Roman"/>
          <w:b/>
          <w:bCs/>
          <w:color w:val="auto"/>
          <w:sz w:val="24"/>
          <w:szCs w:val="24"/>
          <w:highlight w:val="none"/>
        </w:rPr>
      </w:pPr>
      <w:bookmarkStart w:id="268" w:name="_Toc86124074"/>
      <w:bookmarkStart w:id="269" w:name="_Toc28501"/>
      <w:r>
        <w:rPr>
          <w:rFonts w:hint="eastAsia" w:ascii="宋体" w:hAnsi="宋体" w:eastAsia="宋体" w:cs="Times New Roman"/>
          <w:b/>
          <w:bCs/>
          <w:color w:val="auto"/>
          <w:sz w:val="24"/>
          <w:szCs w:val="24"/>
          <w:highlight w:val="none"/>
        </w:rPr>
        <w:t>七、其他事项</w:t>
      </w:r>
      <w:bookmarkEnd w:id="268"/>
      <w:bookmarkEnd w:id="269"/>
    </w:p>
    <w:p w14:paraId="25539E81">
      <w:pPr>
        <w:pStyle w:val="4"/>
        <w:keepNext w:val="0"/>
        <w:keepLines w:val="0"/>
        <w:pageBreakBefore w:val="0"/>
        <w:widowControl w:val="0"/>
        <w:numPr>
          <w:ilvl w:val="0"/>
          <w:numId w:val="1"/>
        </w:numPr>
        <w:kinsoku/>
        <w:wordWrap/>
        <w:overflowPunct/>
        <w:topLinePunct w:val="0"/>
        <w:bidi w:val="0"/>
        <w:snapToGrid/>
        <w:spacing w:before="0" w:after="0"/>
        <w:ind w:firstLineChars="0"/>
        <w:jc w:val="both"/>
        <w:textAlignment w:val="auto"/>
        <w:rPr>
          <w:rFonts w:hint="eastAsia" w:hAnsi="宋体" w:cs="宋体"/>
          <w:color w:val="auto"/>
          <w:sz w:val="21"/>
          <w:szCs w:val="21"/>
          <w:highlight w:val="none"/>
        </w:rPr>
      </w:pPr>
      <w:bookmarkStart w:id="270" w:name="_Toc383175502"/>
      <w:bookmarkStart w:id="271" w:name="_Toc329810215"/>
      <w:bookmarkStart w:id="272" w:name="_Toc432194853"/>
      <w:bookmarkStart w:id="273" w:name="_Toc21121"/>
      <w:bookmarkStart w:id="274" w:name="_Toc17339"/>
      <w:bookmarkStart w:id="275" w:name="_Toc432106502"/>
      <w:bookmarkStart w:id="276" w:name="_Toc383175304"/>
      <w:bookmarkStart w:id="277" w:name="_Toc383175080"/>
      <w:r>
        <w:rPr>
          <w:rFonts w:hint="eastAsia" w:hAnsi="宋体" w:cs="宋体"/>
          <w:color w:val="auto"/>
          <w:sz w:val="21"/>
          <w:szCs w:val="21"/>
          <w:highlight w:val="none"/>
        </w:rPr>
        <w:t>质疑和投诉</w:t>
      </w:r>
      <w:bookmarkEnd w:id="270"/>
      <w:bookmarkEnd w:id="271"/>
      <w:bookmarkEnd w:id="272"/>
      <w:bookmarkEnd w:id="273"/>
      <w:bookmarkEnd w:id="274"/>
      <w:bookmarkEnd w:id="275"/>
      <w:bookmarkEnd w:id="276"/>
      <w:bookmarkEnd w:id="277"/>
    </w:p>
    <w:p w14:paraId="28CCDF7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22.1供应商认为磋商文件、招标过程和中标结果使自己的权益受到损害的，应当在知道或者应知其权益受到损害之日起7个工作日内，以书面形式向采购代理机构一次性提出针对同一采购程序环节的质疑。质疑内容不得含有虚假、恶意成分。当事人对自己提出的主张，有责任提供证据，提出质疑时应同时提交相关证据材料和注明事实的确切来源。</w:t>
      </w:r>
    </w:p>
    <w:p w14:paraId="2FCCF6E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22.2供应商应知其权益受到损害之日，是指：</w:t>
      </w:r>
    </w:p>
    <w:p w14:paraId="5B6B273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（1）对可以质疑的磋商文件提出质疑的，为供应商从采购代理机构处获取磋商文件之日；</w:t>
      </w:r>
    </w:p>
    <w:p w14:paraId="5CE43C1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（2）对采购过程提出质疑的，为各采购程序环节结束之日；</w:t>
      </w:r>
    </w:p>
    <w:p w14:paraId="6634F7B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（3）对中标结果提出质疑的，为中标结果公告期限届满之日。</w:t>
      </w:r>
    </w:p>
    <w:p w14:paraId="52A28DD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22.3供应商提出质疑应符合中华人民共和国财政部第94号令《政府采购质疑和投诉办法》的规定。提出质疑应当提交质疑函和必要的证明材料。质疑函应当包括下列内容：</w:t>
      </w:r>
    </w:p>
    <w:p w14:paraId="4524694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（一）供应商名称、地址、邮编、联系人及联系电话；</w:t>
      </w:r>
    </w:p>
    <w:p w14:paraId="08774F8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（二）质疑项目的名称、编号；</w:t>
      </w:r>
    </w:p>
    <w:p w14:paraId="5C3516D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（三）具体、明确的质疑事项和与质疑事项相关的请求；</w:t>
      </w:r>
    </w:p>
    <w:p w14:paraId="0D1C090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（四）事实依据；</w:t>
      </w:r>
    </w:p>
    <w:p w14:paraId="37F2196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（五）必要的法律依据；</w:t>
      </w:r>
    </w:p>
    <w:p w14:paraId="5364298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（六）提出质疑的日期。</w:t>
      </w:r>
    </w:p>
    <w:p w14:paraId="4C4C9B8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22.4质疑函应当由供应商的法定代表人、主要负责人，或者其授权代表签字或者盖章，并加盖公章。委托代理人进行质疑的，应当提交供应商的授权委托书。授权委托书应当载明代理人的姓名或者名称、代理事项、具体权限、期限和相关事项。授权委托书应当由法定代表人、主要负责人签字或者盖章，并加盖公章。</w:t>
      </w:r>
    </w:p>
    <w:p w14:paraId="128A04B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接收质疑函的方式：以书面形式递交由法定代表人、主要负责人签字或者盖章，并加盖公章的质疑函原件和必要的证明材料；邮寄送达的以邮件交邮日期为准。</w:t>
      </w:r>
    </w:p>
    <w:p w14:paraId="662B477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接收质疑的部门：云南禹滇工程项目咨询有限公司</w:t>
      </w:r>
    </w:p>
    <w:p w14:paraId="3013B74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通讯地址：</w:t>
      </w:r>
      <w:r>
        <w:rPr>
          <w:rFonts w:hint="eastAsia" w:ascii="宋体" w:hAnsi="宋体" w:cs="宋体"/>
          <w:color w:val="auto"/>
          <w:sz w:val="21"/>
          <w:szCs w:val="21"/>
          <w:highlight w:val="none"/>
          <w:lang w:eastAsia="zh-CN"/>
        </w:rPr>
        <w:t>云南省丽江市古城区香格里大道999号瑞鑫写字楼203号</w:t>
      </w:r>
    </w:p>
    <w:p w14:paraId="1FA4838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联系人：李格</w:t>
      </w:r>
    </w:p>
    <w:p w14:paraId="2C679B15">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联系方式：13618888653</w:t>
      </w:r>
    </w:p>
    <w:p w14:paraId="190C994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22.5采购代理机构将在收到供应商的质疑函后7个工作日内作出答复，并以书面形式通知质疑供应商和其他有关供应商。</w:t>
      </w:r>
    </w:p>
    <w:p w14:paraId="1701295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22.6投诉必须首先经过质疑程序。质疑人对采购代理机构的答复不满意，或者采购代理机构未在规定时间内作出答复的，可以在答复期满后15个工作日向本级财政部门提起投诉。</w:t>
      </w:r>
    </w:p>
    <w:p w14:paraId="6E6FB38F">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78" w:name="_Toc329810216"/>
      <w:bookmarkStart w:id="279" w:name="_Toc27457"/>
      <w:bookmarkStart w:id="280" w:name="_Toc27203"/>
      <w:bookmarkStart w:id="281" w:name="_Toc383175503"/>
      <w:bookmarkStart w:id="282" w:name="_Toc432106503"/>
      <w:bookmarkStart w:id="283" w:name="_Toc86124075"/>
      <w:bookmarkStart w:id="284" w:name="_Toc383175081"/>
      <w:bookmarkStart w:id="285" w:name="_Toc383175305"/>
      <w:bookmarkStart w:id="286" w:name="_Toc432194854"/>
      <w:r>
        <w:rPr>
          <w:rFonts w:hint="eastAsia" w:hAnsi="宋体" w:cs="宋体"/>
          <w:color w:val="auto"/>
          <w:sz w:val="21"/>
          <w:szCs w:val="21"/>
          <w:highlight w:val="none"/>
        </w:rPr>
        <w:t>采购代理服务费</w:t>
      </w:r>
      <w:bookmarkEnd w:id="278"/>
      <w:bookmarkEnd w:id="279"/>
      <w:bookmarkEnd w:id="280"/>
      <w:bookmarkEnd w:id="281"/>
      <w:bookmarkEnd w:id="282"/>
      <w:bookmarkEnd w:id="283"/>
      <w:bookmarkEnd w:id="284"/>
      <w:bookmarkEnd w:id="285"/>
      <w:bookmarkEnd w:id="286"/>
    </w:p>
    <w:p w14:paraId="1F82DCE9">
      <w:pPr>
        <w:pStyle w:val="9"/>
        <w:keepNext w:val="0"/>
        <w:keepLines w:val="0"/>
        <w:pageBreakBefore w:val="0"/>
        <w:widowControl w:val="0"/>
        <w:kinsoku/>
        <w:wordWrap/>
        <w:overflowPunct/>
        <w:topLinePunct w:val="0"/>
        <w:bidi w:val="0"/>
        <w:snapToGrid/>
        <w:spacing w:line="360" w:lineRule="auto"/>
        <w:ind w:firstLine="424" w:firstLineChars="202"/>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23.1代理服务费：见“</w:t>
      </w:r>
      <w:r>
        <w:rPr>
          <w:rFonts w:hint="eastAsia" w:hAnsi="宋体" w:cs="宋体"/>
          <w:color w:val="auto"/>
          <w:sz w:val="21"/>
          <w:szCs w:val="21"/>
          <w:highlight w:val="none"/>
          <w:lang w:val="en-US" w:eastAsia="zh-CN"/>
        </w:rPr>
        <w:t>供应商</w:t>
      </w:r>
      <w:r>
        <w:rPr>
          <w:rFonts w:hint="eastAsia" w:hAnsi="宋体" w:cs="宋体"/>
          <w:color w:val="auto"/>
          <w:sz w:val="21"/>
          <w:szCs w:val="21"/>
          <w:highlight w:val="none"/>
        </w:rPr>
        <w:t>须知前附表”</w:t>
      </w:r>
      <w:r>
        <w:rPr>
          <w:rFonts w:hint="eastAsia" w:hAnsi="宋体" w:cs="宋体"/>
          <w:color w:val="auto"/>
          <w:sz w:val="21"/>
          <w:szCs w:val="21"/>
          <w:highlight w:val="none"/>
          <w:lang w:eastAsia="zh-CN"/>
        </w:rPr>
        <w:t>。</w:t>
      </w:r>
    </w:p>
    <w:p w14:paraId="5BC9773A">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23.2成交人应在接受“成交通知书”前向采购代理机构一次付清代理服务费。</w:t>
      </w:r>
    </w:p>
    <w:p w14:paraId="75C960F7">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87" w:name="_Toc432194855"/>
      <w:bookmarkStart w:id="288" w:name="_Toc432106504"/>
      <w:bookmarkStart w:id="289" w:name="_Toc329810217"/>
      <w:bookmarkStart w:id="290" w:name="_Toc383175082"/>
      <w:bookmarkStart w:id="291" w:name="_Toc383175504"/>
      <w:bookmarkStart w:id="292" w:name="_Toc14431"/>
      <w:bookmarkStart w:id="293" w:name="_Toc27163"/>
      <w:bookmarkStart w:id="294" w:name="_Toc383175306"/>
      <w:r>
        <w:rPr>
          <w:rFonts w:hint="eastAsia" w:hAnsi="宋体" w:cs="宋体"/>
          <w:color w:val="auto"/>
          <w:sz w:val="21"/>
          <w:szCs w:val="21"/>
          <w:highlight w:val="none"/>
        </w:rPr>
        <w:t>磋商文件编制依据</w:t>
      </w:r>
      <w:bookmarkEnd w:id="287"/>
      <w:bookmarkEnd w:id="288"/>
      <w:bookmarkEnd w:id="289"/>
      <w:bookmarkEnd w:id="290"/>
      <w:bookmarkEnd w:id="291"/>
      <w:bookmarkEnd w:id="292"/>
      <w:bookmarkEnd w:id="293"/>
      <w:bookmarkEnd w:id="294"/>
    </w:p>
    <w:p w14:paraId="47B94F84">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本磋商文件是根据《中华人民共和国政府采购法》、财政部关于印发《政府采购竞争性磋商采购方式管理暂行办法》的通知（财库〔2014〕214号）及相关法律法规编制。</w:t>
      </w:r>
    </w:p>
    <w:p w14:paraId="0A1F9AD8">
      <w:pPr>
        <w:pStyle w:val="4"/>
        <w:keepNext w:val="0"/>
        <w:keepLines w:val="0"/>
        <w:pageBreakBefore w:val="0"/>
        <w:widowControl w:val="0"/>
        <w:numPr>
          <w:ilvl w:val="0"/>
          <w:numId w:val="1"/>
        </w:numPr>
        <w:tabs>
          <w:tab w:val="left" w:pos="360"/>
        </w:tabs>
        <w:kinsoku/>
        <w:wordWrap/>
        <w:overflowPunct/>
        <w:topLinePunct w:val="0"/>
        <w:bidi w:val="0"/>
        <w:snapToGrid/>
        <w:spacing w:before="0" w:after="0"/>
        <w:ind w:firstLineChars="0"/>
        <w:jc w:val="left"/>
        <w:textAlignment w:val="auto"/>
        <w:rPr>
          <w:rFonts w:hint="eastAsia" w:hAnsi="宋体" w:cs="宋体"/>
          <w:color w:val="auto"/>
          <w:sz w:val="21"/>
          <w:szCs w:val="21"/>
          <w:highlight w:val="none"/>
        </w:rPr>
      </w:pPr>
      <w:bookmarkStart w:id="295" w:name="_Toc383175307"/>
      <w:bookmarkStart w:id="296" w:name="_Toc383175505"/>
      <w:bookmarkStart w:id="297" w:name="_Toc383175083"/>
      <w:bookmarkStart w:id="298" w:name="_Toc432106505"/>
      <w:bookmarkStart w:id="299" w:name="_Toc432194856"/>
      <w:bookmarkStart w:id="300" w:name="_Toc86124077"/>
      <w:bookmarkStart w:id="301" w:name="_Toc30394"/>
      <w:bookmarkStart w:id="302" w:name="_Toc16978"/>
      <w:bookmarkStart w:id="303" w:name="_Toc329810218"/>
      <w:r>
        <w:rPr>
          <w:rFonts w:hint="eastAsia" w:hAnsi="宋体" w:cs="宋体"/>
          <w:color w:val="auto"/>
          <w:sz w:val="21"/>
          <w:szCs w:val="21"/>
          <w:highlight w:val="none"/>
        </w:rPr>
        <w:t>需要补充的其他内容</w:t>
      </w:r>
      <w:bookmarkEnd w:id="295"/>
      <w:bookmarkEnd w:id="296"/>
      <w:bookmarkEnd w:id="297"/>
      <w:bookmarkEnd w:id="298"/>
      <w:bookmarkEnd w:id="299"/>
      <w:bookmarkEnd w:id="300"/>
      <w:bookmarkEnd w:id="301"/>
      <w:bookmarkEnd w:id="302"/>
      <w:bookmarkEnd w:id="303"/>
    </w:p>
    <w:p w14:paraId="540C5F6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ascii="宋体" w:hAnsi="宋体"/>
          <w:color w:val="auto"/>
          <w:sz w:val="21"/>
          <w:szCs w:val="21"/>
          <w:highlight w:val="none"/>
        </w:rPr>
      </w:pPr>
      <w:r>
        <w:rPr>
          <w:rFonts w:hint="eastAsia" w:ascii="宋体" w:hAnsi="宋体" w:cs="宋体"/>
          <w:color w:val="auto"/>
          <w:sz w:val="21"/>
          <w:szCs w:val="21"/>
          <w:highlight w:val="none"/>
        </w:rPr>
        <w:t>25.1需要补充的其他内容：见“</w:t>
      </w:r>
      <w:r>
        <w:rPr>
          <w:rFonts w:hint="eastAsia" w:ascii="宋体" w:hAnsi="宋体" w:cs="宋体"/>
          <w:b/>
          <w:color w:val="auto"/>
          <w:sz w:val="21"/>
          <w:szCs w:val="21"/>
          <w:highlight w:val="none"/>
        </w:rPr>
        <w:t>供应商须知前附表</w:t>
      </w:r>
      <w:r>
        <w:rPr>
          <w:rFonts w:hint="eastAsia" w:ascii="宋体" w:hAnsi="宋体" w:cs="宋体"/>
          <w:color w:val="auto"/>
          <w:sz w:val="21"/>
          <w:szCs w:val="21"/>
          <w:highlight w:val="none"/>
        </w:rPr>
        <w:t>”。</w:t>
      </w:r>
    </w:p>
    <w:p w14:paraId="7C45B65C">
      <w:pPr>
        <w:pStyle w:val="2"/>
        <w:jc w:val="center"/>
        <w:rPr>
          <w:rFonts w:hint="eastAsia" w:ascii="宋体" w:hAnsi="宋体" w:eastAsia="宋体"/>
          <w:color w:val="auto"/>
          <w:sz w:val="32"/>
          <w:highlight w:val="none"/>
        </w:rPr>
      </w:pPr>
      <w:bookmarkStart w:id="304" w:name="_Toc86124078"/>
      <w:r>
        <w:rPr>
          <w:rFonts w:ascii="宋体" w:hAnsi="宋体" w:eastAsia="宋体"/>
          <w:color w:val="auto"/>
          <w:sz w:val="32"/>
          <w:szCs w:val="32"/>
          <w:highlight w:val="none"/>
        </w:rPr>
        <w:br w:type="page"/>
      </w:r>
      <w:bookmarkStart w:id="305" w:name="_Toc27215"/>
      <w:bookmarkStart w:id="306" w:name="_Toc59"/>
      <w:r>
        <w:rPr>
          <w:rFonts w:hint="eastAsia" w:ascii="宋体" w:hAnsi="宋体" w:eastAsia="宋体"/>
          <w:color w:val="auto"/>
          <w:sz w:val="28"/>
          <w:highlight w:val="none"/>
        </w:rPr>
        <w:t>第三章</w:t>
      </w:r>
      <w:r>
        <w:rPr>
          <w:rFonts w:ascii="宋体" w:hAnsi="宋体" w:eastAsia="宋体"/>
          <w:color w:val="auto"/>
          <w:sz w:val="28"/>
          <w:highlight w:val="none"/>
        </w:rPr>
        <w:t xml:space="preserve">  </w:t>
      </w:r>
      <w:r>
        <w:rPr>
          <w:rFonts w:hint="eastAsia" w:ascii="宋体" w:hAnsi="宋体" w:eastAsia="宋体"/>
          <w:color w:val="auto"/>
          <w:sz w:val="28"/>
          <w:highlight w:val="none"/>
        </w:rPr>
        <w:t>合同书样式及主要条款</w:t>
      </w:r>
      <w:bookmarkEnd w:id="304"/>
      <w:bookmarkEnd w:id="305"/>
      <w:bookmarkEnd w:id="306"/>
    </w:p>
    <w:p w14:paraId="31B8FFB4">
      <w:pPr>
        <w:pStyle w:val="3"/>
        <w:spacing w:before="0"/>
        <w:rPr>
          <w:rFonts w:ascii="宋体" w:hAnsi="宋体"/>
          <w:color w:val="auto"/>
          <w:sz w:val="28"/>
          <w:szCs w:val="28"/>
          <w:highlight w:val="none"/>
        </w:rPr>
      </w:pPr>
      <w:bookmarkStart w:id="307" w:name="_Toc384279681"/>
      <w:bookmarkStart w:id="308" w:name="_Toc86124079"/>
      <w:bookmarkStart w:id="309" w:name="_Toc30920"/>
      <w:r>
        <w:rPr>
          <w:rFonts w:ascii="宋体" w:hAnsi="宋体"/>
          <w:color w:val="auto"/>
          <w:sz w:val="28"/>
          <w:szCs w:val="28"/>
          <w:highlight w:val="none"/>
        </w:rPr>
        <w:t>合同条款前附表</w:t>
      </w:r>
      <w:bookmarkEnd w:id="307"/>
      <w:bookmarkEnd w:id="308"/>
      <w:bookmarkEnd w:id="309"/>
    </w:p>
    <w:tbl>
      <w:tblPr>
        <w:tblStyle w:val="1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2862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noWrap w:val="0"/>
            <w:vAlign w:val="center"/>
          </w:tcPr>
          <w:p w14:paraId="4124780F">
            <w:pPr>
              <w:pStyle w:val="9"/>
              <w:jc w:val="center"/>
              <w:rPr>
                <w:rFonts w:hint="eastAsia" w:hAnsi="宋体" w:cs="宋体"/>
                <w:bCs/>
                <w:color w:val="auto"/>
                <w:sz w:val="24"/>
                <w:szCs w:val="24"/>
                <w:highlight w:val="none"/>
              </w:rPr>
            </w:pPr>
            <w:r>
              <w:rPr>
                <w:rFonts w:hint="eastAsia" w:hAnsi="宋体" w:cs="宋体"/>
                <w:bCs/>
                <w:color w:val="auto"/>
                <w:sz w:val="24"/>
                <w:szCs w:val="24"/>
                <w:highlight w:val="none"/>
              </w:rPr>
              <w:t>序号</w:t>
            </w:r>
          </w:p>
        </w:tc>
        <w:tc>
          <w:tcPr>
            <w:tcW w:w="7819" w:type="dxa"/>
            <w:noWrap w:val="0"/>
            <w:vAlign w:val="center"/>
          </w:tcPr>
          <w:p w14:paraId="5C1D1DAE">
            <w:pPr>
              <w:pStyle w:val="9"/>
              <w:ind w:firstLine="2" w:firstLineChars="1"/>
              <w:jc w:val="center"/>
              <w:rPr>
                <w:rFonts w:hint="eastAsia" w:hAnsi="宋体" w:cs="宋体"/>
                <w:bCs/>
                <w:color w:val="auto"/>
                <w:sz w:val="24"/>
                <w:szCs w:val="24"/>
                <w:highlight w:val="none"/>
              </w:rPr>
            </w:pPr>
            <w:r>
              <w:rPr>
                <w:rFonts w:hint="eastAsia" w:hAnsi="宋体" w:cs="宋体"/>
                <w:bCs/>
                <w:color w:val="auto"/>
                <w:sz w:val="24"/>
                <w:szCs w:val="24"/>
                <w:highlight w:val="none"/>
              </w:rPr>
              <w:t>内      容</w:t>
            </w:r>
          </w:p>
        </w:tc>
      </w:tr>
      <w:tr w14:paraId="08AE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22" w:type="dxa"/>
            <w:noWrap w:val="0"/>
            <w:vAlign w:val="center"/>
          </w:tcPr>
          <w:p w14:paraId="3C330FCB">
            <w:pPr>
              <w:pStyle w:val="9"/>
              <w:keepNext w:val="0"/>
              <w:keepLines w:val="0"/>
              <w:pageBreakBefore w:val="0"/>
              <w:widowControl w:val="0"/>
              <w:kinsoku/>
              <w:wordWrap/>
              <w:overflowPunct/>
              <w:topLinePunct w:val="0"/>
              <w:bidi w:val="0"/>
              <w:snapToGrid/>
              <w:spacing w:line="360" w:lineRule="auto"/>
              <w:jc w:val="center"/>
              <w:textAlignment w:val="auto"/>
              <w:rPr>
                <w:rFonts w:hint="eastAsia" w:hAnsi="宋体" w:cs="宋体"/>
                <w:bCs/>
                <w:color w:val="auto"/>
                <w:sz w:val="21"/>
                <w:szCs w:val="21"/>
                <w:highlight w:val="none"/>
              </w:rPr>
            </w:pPr>
            <w:r>
              <w:rPr>
                <w:rFonts w:hint="eastAsia" w:hAnsi="宋体" w:cs="宋体"/>
                <w:bCs/>
                <w:color w:val="auto"/>
                <w:sz w:val="21"/>
                <w:szCs w:val="21"/>
                <w:highlight w:val="none"/>
              </w:rPr>
              <w:t>1</w:t>
            </w:r>
          </w:p>
        </w:tc>
        <w:tc>
          <w:tcPr>
            <w:tcW w:w="7819" w:type="dxa"/>
            <w:noWrap w:val="0"/>
            <w:vAlign w:val="center"/>
          </w:tcPr>
          <w:p w14:paraId="02B4F725">
            <w:pPr>
              <w:pStyle w:val="9"/>
              <w:keepNext w:val="0"/>
              <w:keepLines w:val="0"/>
              <w:pageBreakBefore w:val="0"/>
              <w:widowControl w:val="0"/>
              <w:kinsoku/>
              <w:wordWrap/>
              <w:overflowPunct/>
              <w:topLinePunct w:val="0"/>
              <w:bidi w:val="0"/>
              <w:snapToGrid/>
              <w:spacing w:line="360" w:lineRule="auto"/>
              <w:textAlignment w:val="auto"/>
              <w:rPr>
                <w:rFonts w:hint="default" w:hAnsi="宋体" w:eastAsia="宋体" w:cs="宋体"/>
                <w:color w:val="auto"/>
                <w:sz w:val="21"/>
                <w:szCs w:val="21"/>
                <w:highlight w:val="none"/>
                <w:lang w:val="en-US" w:eastAsia="zh-CN"/>
              </w:rPr>
            </w:pPr>
            <w:r>
              <w:rPr>
                <w:rFonts w:hint="default" w:hAnsi="宋体" w:eastAsia="宋体" w:cs="宋体"/>
                <w:color w:val="auto"/>
                <w:sz w:val="21"/>
                <w:szCs w:val="21"/>
                <w:highlight w:val="none"/>
                <w:lang w:val="en-US" w:eastAsia="zh-CN"/>
              </w:rPr>
              <w:t>合同履行期限：自合同签订之日起至合同约定的内容完成为止。</w:t>
            </w:r>
          </w:p>
          <w:p w14:paraId="1CB13E77">
            <w:pPr>
              <w:pStyle w:val="9"/>
              <w:keepNext w:val="0"/>
              <w:keepLines w:val="0"/>
              <w:pageBreakBefore w:val="0"/>
              <w:widowControl w:val="0"/>
              <w:kinsoku/>
              <w:wordWrap/>
              <w:overflowPunct/>
              <w:topLinePunct w:val="0"/>
              <w:bidi w:val="0"/>
              <w:snapToGrid/>
              <w:spacing w:line="360" w:lineRule="auto"/>
              <w:textAlignment w:val="auto"/>
              <w:rPr>
                <w:rFonts w:hint="default" w:hAnsi="宋体" w:eastAsia="宋体" w:cs="宋体"/>
                <w:color w:val="auto"/>
                <w:sz w:val="21"/>
                <w:szCs w:val="21"/>
                <w:highlight w:val="none"/>
                <w:lang w:val="en-US" w:eastAsia="zh-CN"/>
              </w:rPr>
            </w:pPr>
            <w:r>
              <w:rPr>
                <w:rFonts w:hint="default" w:hAnsi="宋体" w:eastAsia="宋体" w:cs="宋体"/>
                <w:color w:val="auto"/>
                <w:sz w:val="21"/>
                <w:szCs w:val="21"/>
                <w:highlight w:val="none"/>
                <w:lang w:val="en-US" w:eastAsia="zh-CN"/>
              </w:rPr>
              <w:t>项目实施地点：丽江市粮食和物资储备局指定地点。</w:t>
            </w:r>
          </w:p>
        </w:tc>
      </w:tr>
      <w:tr w14:paraId="77B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122" w:type="dxa"/>
            <w:noWrap w:val="0"/>
            <w:vAlign w:val="center"/>
          </w:tcPr>
          <w:p w14:paraId="68185753">
            <w:pPr>
              <w:pStyle w:val="9"/>
              <w:keepNext w:val="0"/>
              <w:keepLines w:val="0"/>
              <w:pageBreakBefore w:val="0"/>
              <w:widowControl w:val="0"/>
              <w:kinsoku/>
              <w:wordWrap/>
              <w:overflowPunct/>
              <w:topLinePunct w:val="0"/>
              <w:bidi w:val="0"/>
              <w:snapToGrid/>
              <w:spacing w:line="360" w:lineRule="auto"/>
              <w:ind w:firstLine="315" w:firstLineChars="150"/>
              <w:textAlignment w:val="auto"/>
              <w:rPr>
                <w:rFonts w:hint="eastAsia" w:hAnsi="宋体" w:cs="宋体"/>
                <w:color w:val="auto"/>
                <w:sz w:val="21"/>
                <w:szCs w:val="21"/>
                <w:highlight w:val="none"/>
              </w:rPr>
            </w:pPr>
            <w:r>
              <w:rPr>
                <w:rFonts w:hint="eastAsia" w:hAnsi="宋体" w:cs="宋体"/>
                <w:color w:val="auto"/>
                <w:sz w:val="21"/>
                <w:szCs w:val="21"/>
                <w:highlight w:val="none"/>
              </w:rPr>
              <w:t>2</w:t>
            </w:r>
          </w:p>
        </w:tc>
        <w:tc>
          <w:tcPr>
            <w:tcW w:w="7819" w:type="dxa"/>
            <w:noWrap w:val="0"/>
            <w:vAlign w:val="center"/>
          </w:tcPr>
          <w:p w14:paraId="0BAAA7D1">
            <w:pPr>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结算方式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见合同条款</w:t>
            </w:r>
          </w:p>
        </w:tc>
      </w:tr>
    </w:tbl>
    <w:p w14:paraId="65153467">
      <w:pPr>
        <w:rPr>
          <w:color w:val="auto"/>
          <w:highlight w:val="none"/>
        </w:rPr>
      </w:pPr>
    </w:p>
    <w:p w14:paraId="623FC737">
      <w:pPr>
        <w:jc w:val="center"/>
        <w:rPr>
          <w:color w:val="auto"/>
          <w:highlight w:val="none"/>
        </w:rPr>
      </w:pPr>
      <w:r>
        <w:rPr>
          <w:color w:val="auto"/>
          <w:highlight w:val="none"/>
        </w:rPr>
        <w:br w:type="page"/>
      </w:r>
      <w:r>
        <w:rPr>
          <w:rFonts w:hint="eastAsia"/>
          <w:b/>
          <w:bCs/>
          <w:color w:val="auto"/>
          <w:sz w:val="32"/>
          <w:szCs w:val="32"/>
          <w:highlight w:val="none"/>
          <w:lang w:eastAsia="zh-CN"/>
        </w:rPr>
        <w:t>丽江市国有粮食企业深化改革法律咨询服务项目（</w:t>
      </w:r>
      <w:r>
        <w:rPr>
          <w:rFonts w:hint="eastAsia"/>
          <w:b/>
          <w:bCs/>
          <w:color w:val="auto"/>
          <w:sz w:val="32"/>
          <w:szCs w:val="32"/>
          <w:highlight w:val="none"/>
          <w:lang w:val="en-US" w:eastAsia="zh-CN"/>
        </w:rPr>
        <w:t>三</w:t>
      </w:r>
      <w:r>
        <w:rPr>
          <w:rFonts w:hint="eastAsia"/>
          <w:b/>
          <w:bCs/>
          <w:color w:val="auto"/>
          <w:sz w:val="32"/>
          <w:szCs w:val="32"/>
          <w:highlight w:val="none"/>
          <w:lang w:eastAsia="zh-CN"/>
        </w:rPr>
        <w:t>次）</w:t>
      </w:r>
      <w:r>
        <w:rPr>
          <w:b/>
          <w:bCs/>
          <w:color w:val="auto"/>
          <w:sz w:val="32"/>
          <w:szCs w:val="32"/>
          <w:highlight w:val="none"/>
        </w:rPr>
        <w:t>合同</w:t>
      </w:r>
    </w:p>
    <w:p w14:paraId="4D998B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lang w:val="en-US" w:eastAsia="zh-CN"/>
        </w:rPr>
      </w:pPr>
      <w:r>
        <w:rPr>
          <w:rFonts w:hint="eastAsia"/>
          <w:color w:val="auto"/>
          <w:highlight w:val="none"/>
          <w:lang w:val="en-US" w:eastAsia="zh-CN"/>
        </w:rPr>
        <w:t>（本合同草案条款格式仅供参考，具体内容以签订合同时采购人提供的为准）</w:t>
      </w:r>
    </w:p>
    <w:p w14:paraId="748BF6B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p>
    <w:p w14:paraId="060DED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合同编号：</w:t>
      </w:r>
    </w:p>
    <w:p w14:paraId="03138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3BDC71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甲方（采购人）：丽江市粮食和物资储备局</w:t>
      </w:r>
    </w:p>
    <w:p w14:paraId="163A4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w:t>
      </w:r>
    </w:p>
    <w:p w14:paraId="324555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w:t>
      </w:r>
    </w:p>
    <w:p w14:paraId="4BEA7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联系方式：</w:t>
      </w:r>
    </w:p>
    <w:p w14:paraId="17F73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1FEF60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乙方（供应商）：</w:t>
      </w:r>
    </w:p>
    <w:p w14:paraId="59DA5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法定代表人：</w:t>
      </w:r>
    </w:p>
    <w:p w14:paraId="651F30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w:t>
      </w:r>
    </w:p>
    <w:p w14:paraId="45989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联系方式：</w:t>
      </w:r>
    </w:p>
    <w:p w14:paraId="33FA69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7A69E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根据《中华人民共和国民法典》《中华人民共和国政府采购法》等相关法律法规，甲乙双方本着平等自愿、诚实信用的原则，就甲方委托乙方提供</w:t>
      </w:r>
      <w:r>
        <w:rPr>
          <w:rFonts w:hint="eastAsia" w:ascii="宋体" w:hAnsi="宋体" w:eastAsia="宋体" w:cs="宋体"/>
          <w:color w:val="auto"/>
          <w:highlight w:val="none"/>
          <w:u w:val="single"/>
          <w:lang w:val="en-US" w:eastAsia="zh-CN"/>
        </w:rPr>
        <w:t>丽江市国有粮食企业深化改革法律咨询服务（三次）</w:t>
      </w:r>
      <w:r>
        <w:rPr>
          <w:rFonts w:hint="eastAsia" w:ascii="宋体" w:hAnsi="宋体" w:eastAsia="宋体" w:cs="宋体"/>
          <w:color w:val="auto"/>
          <w:highlight w:val="none"/>
          <w:lang w:val="en-US" w:eastAsia="zh-CN"/>
        </w:rPr>
        <w:t>事宜，经友好协商，达成如下协议，以资共同信守。</w:t>
      </w:r>
    </w:p>
    <w:p w14:paraId="0D91CA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第一条 项目基本情况</w:t>
      </w:r>
    </w:p>
    <w:p w14:paraId="14F02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（一）项目名称</w:t>
      </w:r>
    </w:p>
    <w:p w14:paraId="7452B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丽江市国有粮食企业深化改革法律咨询服务项目（三次）</w:t>
      </w:r>
    </w:p>
    <w:p w14:paraId="1B498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（二）服务内容</w:t>
      </w:r>
    </w:p>
    <w:p w14:paraId="6206A9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乙方接受甲方委托，为丽江市国有粮食企业深化改革提供全面法律咨询服务，具体包括但不限于：</w:t>
      </w:r>
      <w:r>
        <w:rPr>
          <w:rFonts w:hint="eastAsia" w:ascii="宋体" w:hAnsi="宋体" w:eastAsia="宋体" w:cs="宋体"/>
          <w:color w:val="auto"/>
          <w:highlight w:val="none"/>
          <w:u w:val="single"/>
        </w:rPr>
        <w:t>对丽江市国有粮食企业深化改革提供法律咨询服务。服务内容包括但不限于：对丽江市现有5户国有粮食企业进行全面摸底调研，出具审计报告、尽职调查报告及整合重组建议方案，配合采购人提交审议《重组方案》，审议通过后协助方案落地实施，对国有资产开展评估工作，出具评估报告上报国资监管部门。</w:t>
      </w:r>
    </w:p>
    <w:p w14:paraId="0DAA4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w:t>
      </w:r>
      <w:r>
        <w:rPr>
          <w:rFonts w:hint="eastAsia" w:ascii="宋体" w:hAnsi="宋体" w:eastAsia="宋体" w:cs="宋体"/>
          <w:b/>
          <w:bCs/>
          <w:color w:val="auto"/>
          <w:highlight w:val="none"/>
          <w:lang w:val="en-US" w:eastAsia="zh-CN"/>
        </w:rPr>
        <w:t>合同</w:t>
      </w:r>
      <w:r>
        <w:rPr>
          <w:rFonts w:hint="eastAsia" w:ascii="宋体" w:hAnsi="宋体" w:eastAsia="宋体" w:cs="宋体"/>
          <w:b/>
          <w:bCs/>
          <w:color w:val="auto"/>
          <w:highlight w:val="none"/>
        </w:rPr>
        <w:t>金额</w:t>
      </w:r>
    </w:p>
    <w:p w14:paraId="78CFA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本项目服务费用为人民币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p w14:paraId="18C26A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（四）合同履行期限</w:t>
      </w:r>
    </w:p>
    <w:p w14:paraId="60E9B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自本合同签订之日起，至本合同约定的全部服务内容完成、相关档案移交完毕之日止。</w:t>
      </w:r>
    </w:p>
    <w:p w14:paraId="7308C0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（五）项目实施地点</w:t>
      </w:r>
    </w:p>
    <w:p w14:paraId="48F5B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丽江市粮食和物资储备局指定地点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p w14:paraId="23C50F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（六）质量要求</w:t>
      </w:r>
    </w:p>
    <w:p w14:paraId="18D96D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乙方提交的所有工作成果（报告、方案、意见等）必须合法合规，不侵犯任何第三方合法权益，符合国家、省、市相关法律法规及行业规范要求。</w:t>
      </w:r>
    </w:p>
    <w:p w14:paraId="2E2EB6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工作成果须满足本合同服务范围约定，经甲方审核完全符合采购需求及工作要求。</w:t>
      </w:r>
    </w:p>
    <w:p w14:paraId="714EF8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乙方对出具的所有法律意见、审计结论、评估结果的真实性、有效性、合法性承担全部法律责任。</w:t>
      </w:r>
    </w:p>
    <w:p w14:paraId="419C5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第二条 服务阶段及工作进度安排</w:t>
      </w:r>
    </w:p>
    <w:p w14:paraId="5353AC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（一）摸底调研阶段（2026 年 </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月 30 日前完成）</w:t>
      </w:r>
    </w:p>
    <w:p w14:paraId="5F7CDA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甲乙双方共同组建专项工作组，乙方派驻专业团队进驻现场。</w:t>
      </w:r>
    </w:p>
    <w:p w14:paraId="15622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丽江市现有</w:t>
      </w:r>
      <w:r>
        <w:rPr>
          <w:rFonts w:hint="eastAsia" w:ascii="宋体" w:hAnsi="宋体" w:eastAsia="宋体" w:cs="宋体"/>
          <w:color w:val="auto"/>
          <w:highlight w:val="none"/>
        </w:rPr>
        <w:t xml:space="preserve"> 5 户企业开展全面资产清查、财务审计、法律尽职调查。</w:t>
      </w:r>
    </w:p>
    <w:p w14:paraId="4DE7A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完成并提交：审计报告、尽职调查报告、整合重组建议方案（初稿）。</w:t>
      </w:r>
    </w:p>
    <w:p w14:paraId="065608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（二）提交审议阶段（2026 年 </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月 30 日前完成）</w:t>
      </w:r>
    </w:p>
    <w:p w14:paraId="22E97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研究制定粮食企业深化改革方案（初稿）</w:t>
      </w:r>
    </w:p>
    <w:p w14:paraId="67725D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广泛征求各有关部门及县（区）人民政府意见建议并完善粮食企业深化改革方案（初稿）</w:t>
      </w:r>
    </w:p>
    <w:p w14:paraId="249550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形成粮食企业深化改革方案（送审稿）。</w:t>
      </w:r>
    </w:p>
    <w:p w14:paraId="635B71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配合甲方依法依规按程序将方案提交市委、市政府审议。</w:t>
      </w:r>
    </w:p>
    <w:p w14:paraId="7F034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完成国有资产评估并出具评估报告，上报国资部门备案。</w:t>
      </w:r>
    </w:p>
    <w:p w14:paraId="7C7F04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（三）方案实施阶段（2026 年 12 月 31 日前完成）</w:t>
      </w:r>
    </w:p>
    <w:p w14:paraId="56C416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组织开展协议签订、办理国有产权登记变更、工商变更登记（股东变更、章程修订）、税务登记变更等相关手续</w:t>
      </w:r>
      <w:r>
        <w:rPr>
          <w:rFonts w:hint="eastAsia" w:ascii="宋体" w:hAnsi="宋体" w:eastAsia="宋体" w:cs="宋体"/>
          <w:color w:val="auto"/>
          <w:highlight w:val="none"/>
          <w:lang w:eastAsia="zh-CN"/>
        </w:rPr>
        <w:t>；</w:t>
      </w:r>
    </w:p>
    <w:p w14:paraId="538E5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办理标的资产交割及权属证明、财务资料移交，完成资产及人员的移交处理。</w:t>
      </w:r>
    </w:p>
    <w:p w14:paraId="79715D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（四）总结评估阶段（202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月 31 日前完成）</w:t>
      </w:r>
    </w:p>
    <w:p w14:paraId="70CC7B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跟踪做好工作总结和档案归档</w:t>
      </w:r>
    </w:p>
    <w:p w14:paraId="319A1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对改革全过程进行总结，形成项目总结报告。</w:t>
      </w:r>
    </w:p>
    <w:p w14:paraId="49895E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整理全套服务档案（报告、文件、记录等）并移交甲方归档。</w:t>
      </w:r>
    </w:p>
    <w:p w14:paraId="50DC3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第三条 双方权利与义务</w:t>
      </w:r>
    </w:p>
    <w:p w14:paraId="1FEB3B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（一）甲方权利义务</w:t>
      </w:r>
    </w:p>
    <w:p w14:paraId="5C3C66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有权对乙方服务全过程进行监督、检查、验收，对不符合要求的成果提出修改意见。</w:t>
      </w:r>
    </w:p>
    <w:p w14:paraId="1E8D0C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及时向乙方提供改革所需的企业资料、文件、数据，并保证其真实、完整、合法。</w:t>
      </w:r>
    </w:p>
    <w:p w14:paraId="7F9865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指派专人作为项目联系人，协调企业配合乙方工作，提供必要工作条件。</w:t>
      </w:r>
    </w:p>
    <w:p w14:paraId="4B8C8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按合同约定按时足额支付服务费用。</w:t>
      </w:r>
    </w:p>
    <w:p w14:paraId="37903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有权要求乙方更换不称职的服务人员。</w:t>
      </w:r>
    </w:p>
    <w:p w14:paraId="5DB5E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（二）乙方权利义务</w:t>
      </w:r>
    </w:p>
    <w:p w14:paraId="0025E4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组建专业人员构成的专项服务团队，团队名单报甲方备案。</w:t>
      </w:r>
    </w:p>
    <w:p w14:paraId="7E56AA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严格按本合同约定的内容、标准、时限完成服务，确保成果质量。</w:t>
      </w:r>
    </w:p>
    <w:p w14:paraId="216DE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遵守甲方工作制度，服从甲方项目统筹安排，及时沟通工作进展。</w:t>
      </w:r>
    </w:p>
    <w:p w14:paraId="06B77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对服务过程中知悉的国家秘密、工作秘密、商业秘密、个人隐私承担无条件保密义务。</w:t>
      </w:r>
    </w:p>
    <w:p w14:paraId="5C2A80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服务期间及现场工作的人身、财产安全由乙方自行负责，与甲方无关。</w:t>
      </w:r>
    </w:p>
    <w:p w14:paraId="326D4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建立快速响应机制，对甲方需求在合理时限内反馈并到达指定地点提供服务。</w:t>
      </w:r>
    </w:p>
    <w:p w14:paraId="02EBE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未经甲方书面同意，不得擅自分包、转包本项目服务工作。</w:t>
      </w:r>
    </w:p>
    <w:p w14:paraId="6A5B09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第四条 保密条款</w:t>
      </w:r>
    </w:p>
    <w:p w14:paraId="510EE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乙方须与甲方另行签订专项《保密协议》，作为本合同附件，与本合同具有同等法律效力。</w:t>
      </w:r>
    </w:p>
    <w:p w14:paraId="24A7AA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乙方及服务团队人员对服务中知悉的国家秘密、工作秘密、商业秘密、个人隐私负有永久保密义务。</w:t>
      </w:r>
    </w:p>
    <w:p w14:paraId="01A333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严禁复制、摘抄、传播、泄露涉密资料；未经甲方批准，不得向任何第三方提供。</w:t>
      </w:r>
    </w:p>
    <w:p w14:paraId="4BEA41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合同终止后，保密义务仍然有效。</w:t>
      </w:r>
    </w:p>
    <w:p w14:paraId="401EA7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乙方违反保密义务，须赔偿甲方全部损失并承担相应法律责任。</w:t>
      </w:r>
    </w:p>
    <w:p w14:paraId="4B1C0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第五条 服务费用及支付方式</w:t>
      </w:r>
    </w:p>
    <w:p w14:paraId="66E317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（一）服务费用</w:t>
      </w:r>
    </w:p>
    <w:p w14:paraId="51A417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本项目固定总价：人民币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包含完成本合同全部服务内容所需的一切费用（人员工资、企业管理费、保险费、驻场费、食宿费、差旅费、交通费、相关文本制作费、政策性文件规费、利润、税金等所有明示及暗示风险的一切费用等），甲方不再支付其他费用。</w:t>
      </w:r>
    </w:p>
    <w:p w14:paraId="33802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（二）支付进度</w:t>
      </w:r>
    </w:p>
    <w:p w14:paraId="27C96B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一次支付</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2026年12月30日前</w:t>
      </w:r>
      <w:r>
        <w:rPr>
          <w:rFonts w:hint="eastAsia" w:ascii="宋体" w:hAnsi="宋体" w:eastAsia="宋体" w:cs="宋体"/>
          <w:color w:val="auto"/>
          <w:highlight w:val="none"/>
        </w:rPr>
        <w:t>）：支付合同总价的 30%，即</w:t>
      </w:r>
      <w:r>
        <w:rPr>
          <w:rFonts w:hint="eastAsia" w:ascii="宋体" w:hAnsi="宋体" w:eastAsia="宋体" w:cs="宋体"/>
          <w:color w:val="auto"/>
          <w:highlight w:val="none"/>
          <w:lang w:val="en-US" w:eastAsia="zh-CN"/>
        </w:rPr>
        <w:t>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p>
    <w:p w14:paraId="7E85DC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w:t>
      </w:r>
      <w:r>
        <w:rPr>
          <w:rFonts w:hint="eastAsia" w:ascii="宋体" w:hAnsi="宋体" w:eastAsia="宋体" w:cs="宋体"/>
          <w:color w:val="auto"/>
          <w:highlight w:val="none"/>
          <w:lang w:val="en-US" w:eastAsia="zh-CN"/>
        </w:rPr>
        <w:t>次支付</w:t>
      </w:r>
      <w:r>
        <w:rPr>
          <w:rFonts w:hint="eastAsia" w:ascii="宋体" w:hAnsi="宋体" w:eastAsia="宋体" w:cs="宋体"/>
          <w:color w:val="auto"/>
          <w:highlight w:val="none"/>
        </w:rPr>
        <w:t>（全套服务档案</w:t>
      </w:r>
      <w:r>
        <w:rPr>
          <w:rFonts w:hint="eastAsia" w:ascii="宋体" w:hAnsi="宋体" w:eastAsia="宋体" w:cs="宋体"/>
          <w:color w:val="auto"/>
          <w:highlight w:val="none"/>
          <w:lang w:val="en-US" w:eastAsia="zh-CN"/>
        </w:rPr>
        <w:t>移交甲方且</w:t>
      </w:r>
      <w:r>
        <w:rPr>
          <w:rFonts w:hint="eastAsia" w:ascii="宋体" w:hAnsi="宋体" w:eastAsia="宋体" w:cs="宋体"/>
          <w:color w:val="auto"/>
          <w:highlight w:val="none"/>
        </w:rPr>
        <w:t xml:space="preserve">验收合格后 </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个工作日内）：支付合同总价的</w:t>
      </w:r>
      <w:r>
        <w:rPr>
          <w:rFonts w:hint="eastAsia" w:ascii="宋体" w:hAnsi="宋体" w:eastAsia="宋体" w:cs="宋体"/>
          <w:color w:val="auto"/>
          <w:highlight w:val="none"/>
          <w:u w:val="none"/>
          <w:lang w:val="en-US" w:eastAsia="zh-CN"/>
        </w:rPr>
        <w:t>70</w:t>
      </w:r>
      <w:r>
        <w:rPr>
          <w:rFonts w:hint="eastAsia" w:ascii="宋体" w:hAnsi="宋体" w:eastAsia="宋体" w:cs="宋体"/>
          <w:color w:val="auto"/>
          <w:highlight w:val="none"/>
        </w:rPr>
        <w:t>%，即</w:t>
      </w:r>
      <w:r>
        <w:rPr>
          <w:rFonts w:hint="eastAsia" w:ascii="宋体" w:hAnsi="宋体" w:eastAsia="宋体" w:cs="宋体"/>
          <w:color w:val="auto"/>
          <w:highlight w:val="none"/>
          <w:lang w:val="en-US" w:eastAsia="zh-CN"/>
        </w:rPr>
        <w:t>人民币</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p>
    <w:p w14:paraId="4CD99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（三）支付方式</w:t>
      </w:r>
    </w:p>
    <w:p w14:paraId="02C03F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1.甲方以对公转账方式支付至乙方指定账户：</w:t>
      </w:r>
    </w:p>
    <w:p w14:paraId="6C045E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w:t>
      </w:r>
    </w:p>
    <w:p w14:paraId="693184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开户行：</w:t>
      </w:r>
    </w:p>
    <w:p w14:paraId="196DDD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w:t>
      </w:r>
    </w:p>
    <w:p w14:paraId="6D157B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2.乙方在每次请款前须向甲方开具合法有效增值税发票。</w:t>
      </w:r>
    </w:p>
    <w:p w14:paraId="353619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第六条 验收标准</w:t>
      </w:r>
    </w:p>
    <w:p w14:paraId="0AD79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乙方按各阶段提交成果，甲方在10 个工作日内组织验收。</w:t>
      </w:r>
    </w:p>
    <w:p w14:paraId="11D20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验收依据：本合同约定、采购需求、国家及地方相关法律法规、行业规范。</w:t>
      </w:r>
    </w:p>
    <w:p w14:paraId="6BDA2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验收不合格的，乙方须在15 日内修改完善并重新提交；仍不合格的，甲方有权解除合同。</w:t>
      </w:r>
    </w:p>
    <w:p w14:paraId="19B063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最终验收：全部服务完成、档案移交、无遗留问题，甲方出具验收合格确认书。</w:t>
      </w:r>
    </w:p>
    <w:p w14:paraId="5BAAD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第七条 违约责任</w:t>
      </w:r>
    </w:p>
    <w:p w14:paraId="33D06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（一）甲方违约</w:t>
      </w:r>
    </w:p>
    <w:p w14:paraId="52138A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1.甲方逾期付款，每逾期一日按应付未付金额的万分之</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支付违约金。</w:t>
      </w:r>
    </w:p>
    <w:p w14:paraId="5016CE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（二）乙方违约</w:t>
      </w:r>
    </w:p>
    <w:p w14:paraId="7297EC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逾期提交成果，每逾期一日按合同总价的千分之</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支付违约金；逾期超 30 日，甲方有权解除合同，乙方退还已收费用并支付合同总价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%的违约金。</w:t>
      </w:r>
    </w:p>
    <w:p w14:paraId="31EE81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成果质量严重不符、经两次整改仍不合格，甲方有权解除合同，乙方退还全部已收费用并赔偿甲方直接损失。</w:t>
      </w:r>
    </w:p>
    <w:p w14:paraId="5F3D27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乙方泄露保密信息、擅自更换核心人员、违法违规执业，甲方有权解除合同，乙方退还费用并承担全部赔偿责任。</w:t>
      </w:r>
    </w:p>
    <w:p w14:paraId="5BF3BE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乙方提供虚假、错误法律意见或报告，导致甲方损失的，承担全部赔偿责任。</w:t>
      </w:r>
    </w:p>
    <w:p w14:paraId="6CA20A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第八条 合同的变更、解除与终止</w:t>
      </w:r>
    </w:p>
    <w:p w14:paraId="5E314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经双方协商一致，可书面变更或解除合同。</w:t>
      </w:r>
    </w:p>
    <w:p w14:paraId="6FB1DE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因不可抗力导致合同无法履行，双方互不承担责任。</w:t>
      </w:r>
    </w:p>
    <w:p w14:paraId="046C1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一方严重违约，守约方可书面通知违约方限期纠正；逾期未改，守约方有权单方解除合同。</w:t>
      </w:r>
    </w:p>
    <w:p w14:paraId="510E2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合同服务内容全部完成、验收合格、费用结清，本合同自动终止。</w:t>
      </w:r>
    </w:p>
    <w:p w14:paraId="5863F9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第九条 争议解决</w:t>
      </w:r>
    </w:p>
    <w:p w14:paraId="5B9654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因本合同引起或与本合同有关的争议，双方先友好协商解决；协商不成的，任何一方均有权向甲方所在地有管辖权的人民法院提起诉讼。</w:t>
      </w:r>
    </w:p>
    <w:p w14:paraId="6755E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第十条 其他条款</w:t>
      </w:r>
    </w:p>
    <w:p w14:paraId="3D0C8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本合同附件（《保密协议》《服务团队名单》《采购需求》）均为合同不可分割部分，与正文具有同等法律效力。</w:t>
      </w:r>
    </w:p>
    <w:p w14:paraId="776CA7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份，甲方执</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份，乙方执</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份，具同等效力。</w:t>
      </w:r>
    </w:p>
    <w:p w14:paraId="59140E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本合同自甲乙双方法定代表人或授权代表签字并加盖公章之日起生效。</w:t>
      </w:r>
    </w:p>
    <w:p w14:paraId="39F59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未尽事宜，双方另行签订补充协议。</w:t>
      </w:r>
    </w:p>
    <w:p w14:paraId="03151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（以下无正文）</w:t>
      </w:r>
    </w:p>
    <w:p w14:paraId="116D17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p>
    <w:p w14:paraId="384A330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p>
    <w:p w14:paraId="1FB16B7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甲方（盖章）：丽江市粮食和物资储备局</w:t>
      </w:r>
    </w:p>
    <w:p w14:paraId="4AA5B70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法定代表人 / 授权代表（签字）：</w:t>
      </w:r>
    </w:p>
    <w:p w14:paraId="01174C2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lang w:val="en-US" w:eastAsia="zh-CN"/>
        </w:rPr>
        <w:t>签订日期： 年 月 日</w:t>
      </w:r>
    </w:p>
    <w:p w14:paraId="40BDC40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p>
    <w:p w14:paraId="600AD4F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乙方（盖章）：</w:t>
      </w:r>
    </w:p>
    <w:p w14:paraId="46BF77D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法定代表人 / 授权代表（签字）：</w:t>
      </w:r>
    </w:p>
    <w:p w14:paraId="514A03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lang w:val="en-US" w:eastAsia="zh-CN"/>
        </w:rPr>
        <w:t>签订日期： 年 月 日</w:t>
      </w:r>
    </w:p>
    <w:p w14:paraId="7265FEC8">
      <w:pPr>
        <w:rPr>
          <w:rFonts w:ascii="宋体" w:hAnsi="宋体"/>
          <w:color w:val="auto"/>
          <w:highlight w:val="none"/>
        </w:rPr>
      </w:pPr>
    </w:p>
    <w:p w14:paraId="6198C97C">
      <w:pPr>
        <w:rPr>
          <w:rFonts w:hint="eastAsia"/>
          <w:color w:val="auto"/>
          <w:highlight w:val="none"/>
        </w:rPr>
      </w:pPr>
      <w:bookmarkStart w:id="310" w:name="_Toc86124081"/>
    </w:p>
    <w:p w14:paraId="20883C25">
      <w:pPr>
        <w:pStyle w:val="2"/>
        <w:jc w:val="center"/>
        <w:rPr>
          <w:rFonts w:hint="eastAsia" w:ascii="宋体" w:hAnsi="宋体" w:eastAsia="宋体"/>
          <w:color w:val="auto"/>
          <w:sz w:val="32"/>
          <w:szCs w:val="32"/>
          <w:highlight w:val="none"/>
        </w:rPr>
      </w:pPr>
      <w:bookmarkStart w:id="311" w:name="_Toc30874"/>
      <w:r>
        <w:rPr>
          <w:rFonts w:hint="eastAsia" w:ascii="宋体" w:hAnsi="宋体" w:eastAsia="宋体"/>
          <w:color w:val="auto"/>
          <w:sz w:val="32"/>
          <w:highlight w:val="none"/>
        </w:rPr>
        <w:br w:type="page"/>
      </w:r>
      <w:bookmarkStart w:id="312" w:name="_Toc18738"/>
      <w:r>
        <w:rPr>
          <w:rFonts w:hint="eastAsia" w:ascii="宋体" w:hAnsi="宋体" w:eastAsia="宋体"/>
          <w:color w:val="auto"/>
          <w:sz w:val="32"/>
          <w:highlight w:val="none"/>
        </w:rPr>
        <w:t>第四章</w:t>
      </w:r>
      <w:r>
        <w:rPr>
          <w:rFonts w:ascii="宋体" w:hAnsi="宋体" w:eastAsia="宋体"/>
          <w:color w:val="auto"/>
          <w:sz w:val="32"/>
          <w:highlight w:val="none"/>
        </w:rPr>
        <w:t xml:space="preserve">  </w:t>
      </w:r>
      <w:r>
        <w:rPr>
          <w:rFonts w:hint="eastAsia" w:ascii="宋体" w:hAnsi="宋体" w:eastAsia="宋体"/>
          <w:color w:val="auto"/>
          <w:sz w:val="32"/>
          <w:highlight w:val="none"/>
        </w:rPr>
        <w:t>响应文件格式</w:t>
      </w:r>
      <w:bookmarkEnd w:id="310"/>
      <w:bookmarkEnd w:id="311"/>
      <w:bookmarkEnd w:id="312"/>
      <w:bookmarkStart w:id="313" w:name="_Toc86124091"/>
    </w:p>
    <w:p w14:paraId="270E4DE9">
      <w:pPr>
        <w:keepNext/>
        <w:keepLines/>
        <w:spacing w:after="120" w:line="360" w:lineRule="auto"/>
        <w:jc w:val="center"/>
        <w:outlineLvl w:val="1"/>
        <w:rPr>
          <w:b/>
          <w:color w:val="auto"/>
          <w:sz w:val="28"/>
          <w:szCs w:val="28"/>
          <w:highlight w:val="none"/>
        </w:rPr>
      </w:pPr>
      <w:bookmarkStart w:id="314" w:name="_Toc415662825"/>
      <w:bookmarkStart w:id="315" w:name="_Toc383175510"/>
      <w:bookmarkStart w:id="316" w:name="_Toc347849248"/>
      <w:r>
        <w:rPr>
          <w:rFonts w:hint="eastAsia"/>
          <w:b/>
          <w:color w:val="auto"/>
          <w:sz w:val="28"/>
          <w:szCs w:val="32"/>
          <w:highlight w:val="none"/>
        </w:rPr>
        <w:t>一、</w:t>
      </w:r>
      <w:r>
        <w:rPr>
          <w:rFonts w:hint="eastAsia"/>
          <w:b/>
          <w:color w:val="auto"/>
          <w:sz w:val="28"/>
          <w:szCs w:val="32"/>
          <w:highlight w:val="none"/>
          <w:lang w:val="en-US" w:eastAsia="zh-CN"/>
        </w:rPr>
        <w:t>磋商</w:t>
      </w:r>
      <w:r>
        <w:rPr>
          <w:rFonts w:hint="eastAsia"/>
          <w:b/>
          <w:color w:val="auto"/>
          <w:sz w:val="28"/>
          <w:szCs w:val="28"/>
          <w:highlight w:val="none"/>
        </w:rPr>
        <w:t>报价一览表</w:t>
      </w:r>
    </w:p>
    <w:p w14:paraId="7438D34A">
      <w:pPr>
        <w:spacing w:before="267" w:line="228" w:lineRule="auto"/>
        <w:ind w:left="12"/>
        <w:rPr>
          <w:rFonts w:ascii="宋体" w:hAnsi="宋体" w:eastAsia="宋体" w:cs="宋体"/>
          <w:color w:val="auto"/>
          <w:spacing w:val="0"/>
          <w:sz w:val="20"/>
          <w:szCs w:val="20"/>
          <w:highlight w:val="none"/>
        </w:rPr>
      </w:pPr>
      <w:r>
        <w:rPr>
          <w:rFonts w:ascii="宋体" w:hAnsi="宋体" w:eastAsia="宋体" w:cs="宋体"/>
          <w:b/>
          <w:bCs/>
          <w:color w:val="auto"/>
          <w:spacing w:val="4"/>
          <w:sz w:val="20"/>
          <w:szCs w:val="20"/>
          <w:highlight w:val="none"/>
        </w:rPr>
        <w:t>项</w:t>
      </w:r>
      <w:r>
        <w:rPr>
          <w:rFonts w:ascii="宋体" w:hAnsi="宋体" w:eastAsia="宋体" w:cs="宋体"/>
          <w:b/>
          <w:bCs/>
          <w:color w:val="auto"/>
          <w:spacing w:val="0"/>
          <w:sz w:val="20"/>
          <w:szCs w:val="20"/>
          <w:highlight w:val="none"/>
        </w:rPr>
        <w:t>目名称：</w:t>
      </w:r>
    </w:p>
    <w:p w14:paraId="7ED3D7BC">
      <w:pPr>
        <w:spacing w:before="64" w:line="228" w:lineRule="auto"/>
        <w:ind w:left="12"/>
        <w:rPr>
          <w:rFonts w:ascii="宋体" w:hAnsi="宋体" w:eastAsia="宋体" w:cs="宋体"/>
          <w:color w:val="auto"/>
          <w:spacing w:val="0"/>
          <w:sz w:val="20"/>
          <w:szCs w:val="20"/>
          <w:highlight w:val="none"/>
        </w:rPr>
      </w:pPr>
      <w:r>
        <w:rPr>
          <w:rFonts w:ascii="宋体" w:hAnsi="宋体" w:eastAsia="宋体" w:cs="宋体"/>
          <w:b/>
          <w:bCs/>
          <w:color w:val="auto"/>
          <w:spacing w:val="0"/>
          <w:sz w:val="20"/>
          <w:szCs w:val="20"/>
          <w:highlight w:val="none"/>
        </w:rPr>
        <w:t>项目编号：</w:t>
      </w:r>
    </w:p>
    <w:p w14:paraId="074C3ECE">
      <w:pPr>
        <w:spacing w:line="139" w:lineRule="auto"/>
        <w:rPr>
          <w:rFonts w:ascii="Arial"/>
          <w:color w:val="auto"/>
          <w:spacing w:val="0"/>
          <w:sz w:val="2"/>
          <w:highlight w:val="none"/>
        </w:rPr>
      </w:pPr>
    </w:p>
    <w:tbl>
      <w:tblPr>
        <w:tblStyle w:val="26"/>
        <w:tblW w:w="9014"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1"/>
        <w:gridCol w:w="6543"/>
      </w:tblGrid>
      <w:tr w14:paraId="3C45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5" w:hRule="atLeast"/>
        </w:trPr>
        <w:tc>
          <w:tcPr>
            <w:tcW w:w="2471" w:type="dxa"/>
            <w:noWrap w:val="0"/>
            <w:vAlign w:val="top"/>
          </w:tcPr>
          <w:p w14:paraId="7BEBD83F">
            <w:pPr>
              <w:pStyle w:val="25"/>
              <w:spacing w:before="193" w:line="227" w:lineRule="auto"/>
              <w:ind w:left="715"/>
              <w:rPr>
                <w:color w:val="auto"/>
                <w:spacing w:val="0"/>
                <w:highlight w:val="none"/>
              </w:rPr>
            </w:pPr>
            <w:r>
              <w:rPr>
                <w:color w:val="auto"/>
                <w:spacing w:val="0"/>
                <w:highlight w:val="none"/>
              </w:rPr>
              <w:t>供应商名称</w:t>
            </w:r>
          </w:p>
        </w:tc>
        <w:tc>
          <w:tcPr>
            <w:tcW w:w="6543" w:type="dxa"/>
            <w:noWrap w:val="0"/>
            <w:vAlign w:val="top"/>
          </w:tcPr>
          <w:p w14:paraId="182ED820">
            <w:pPr>
              <w:rPr>
                <w:rFonts w:ascii="Arial"/>
                <w:color w:val="auto"/>
                <w:spacing w:val="0"/>
                <w:sz w:val="21"/>
                <w:highlight w:val="none"/>
              </w:rPr>
            </w:pPr>
          </w:p>
        </w:tc>
      </w:tr>
      <w:tr w14:paraId="5311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3" w:hRule="atLeast"/>
        </w:trPr>
        <w:tc>
          <w:tcPr>
            <w:tcW w:w="2471" w:type="dxa"/>
            <w:noWrap w:val="0"/>
            <w:vAlign w:val="top"/>
          </w:tcPr>
          <w:p w14:paraId="3F862B23">
            <w:pPr>
              <w:spacing w:line="384" w:lineRule="auto"/>
              <w:rPr>
                <w:rFonts w:ascii="Arial"/>
                <w:color w:val="auto"/>
                <w:spacing w:val="0"/>
                <w:sz w:val="21"/>
                <w:highlight w:val="none"/>
              </w:rPr>
            </w:pPr>
          </w:p>
          <w:p w14:paraId="48574C03">
            <w:pPr>
              <w:pStyle w:val="25"/>
              <w:spacing w:before="65" w:line="226" w:lineRule="auto"/>
              <w:ind w:left="506"/>
              <w:rPr>
                <w:color w:val="auto"/>
                <w:spacing w:val="0"/>
                <w:highlight w:val="none"/>
              </w:rPr>
            </w:pPr>
            <w:r>
              <w:rPr>
                <w:color w:val="auto"/>
                <w:spacing w:val="0"/>
                <w:highlight w:val="none"/>
              </w:rPr>
              <w:t>磋商报价（元）</w:t>
            </w:r>
          </w:p>
        </w:tc>
        <w:tc>
          <w:tcPr>
            <w:tcW w:w="6543" w:type="dxa"/>
            <w:noWrap w:val="0"/>
            <w:vAlign w:val="top"/>
          </w:tcPr>
          <w:p w14:paraId="25D38B6D">
            <w:pPr>
              <w:pStyle w:val="25"/>
              <w:spacing w:before="247" w:line="230" w:lineRule="auto"/>
              <w:ind w:left="117"/>
              <w:rPr>
                <w:color w:val="auto"/>
                <w:spacing w:val="0"/>
                <w:highlight w:val="none"/>
              </w:rPr>
            </w:pPr>
            <w:r>
              <w:rPr>
                <w:color w:val="auto"/>
                <w:spacing w:val="0"/>
                <w:highlight w:val="none"/>
              </w:rPr>
              <w:t>小写：</w:t>
            </w:r>
          </w:p>
          <w:p w14:paraId="082B2D49">
            <w:pPr>
              <w:pStyle w:val="25"/>
              <w:spacing w:before="43" w:line="369" w:lineRule="auto"/>
              <w:ind w:left="115" w:right="148" w:firstLine="1"/>
              <w:jc w:val="left"/>
              <w:rPr>
                <w:color w:val="auto"/>
                <w:spacing w:val="0"/>
                <w:highlight w:val="none"/>
              </w:rPr>
            </w:pPr>
            <w:r>
              <w:rPr>
                <w:color w:val="auto"/>
                <w:spacing w:val="0"/>
                <w:highlight w:val="none"/>
              </w:rPr>
              <w:t>大写：</w:t>
            </w:r>
          </w:p>
        </w:tc>
      </w:tr>
      <w:tr w14:paraId="7831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471" w:type="dxa"/>
            <w:noWrap w:val="0"/>
            <w:vAlign w:val="top"/>
          </w:tcPr>
          <w:p w14:paraId="3954500E">
            <w:pPr>
              <w:pStyle w:val="25"/>
              <w:spacing w:before="235" w:line="228" w:lineRule="auto"/>
              <w:ind w:left="616"/>
              <w:rPr>
                <w:color w:val="auto"/>
                <w:spacing w:val="0"/>
                <w:highlight w:val="none"/>
              </w:rPr>
            </w:pPr>
            <w:r>
              <w:rPr>
                <w:color w:val="auto"/>
                <w:spacing w:val="0"/>
                <w:highlight w:val="none"/>
              </w:rPr>
              <w:t>项目实施期限</w:t>
            </w:r>
          </w:p>
        </w:tc>
        <w:tc>
          <w:tcPr>
            <w:tcW w:w="6543" w:type="dxa"/>
            <w:noWrap w:val="0"/>
            <w:vAlign w:val="top"/>
          </w:tcPr>
          <w:p w14:paraId="73F0F272">
            <w:pPr>
              <w:rPr>
                <w:rFonts w:ascii="Arial"/>
                <w:color w:val="auto"/>
                <w:spacing w:val="0"/>
                <w:sz w:val="21"/>
                <w:highlight w:val="none"/>
              </w:rPr>
            </w:pPr>
          </w:p>
        </w:tc>
      </w:tr>
      <w:tr w14:paraId="7E79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471" w:type="dxa"/>
            <w:noWrap w:val="0"/>
            <w:vAlign w:val="top"/>
          </w:tcPr>
          <w:p w14:paraId="3E1025D9">
            <w:pPr>
              <w:pStyle w:val="25"/>
              <w:spacing w:before="297" w:line="228" w:lineRule="auto"/>
              <w:ind w:left="616"/>
              <w:rPr>
                <w:color w:val="auto"/>
                <w:spacing w:val="0"/>
                <w:highlight w:val="none"/>
              </w:rPr>
            </w:pPr>
            <w:r>
              <w:rPr>
                <w:color w:val="auto"/>
                <w:spacing w:val="0"/>
                <w:highlight w:val="none"/>
              </w:rPr>
              <w:t>项目实施地点</w:t>
            </w:r>
          </w:p>
        </w:tc>
        <w:tc>
          <w:tcPr>
            <w:tcW w:w="6543" w:type="dxa"/>
            <w:noWrap w:val="0"/>
            <w:vAlign w:val="top"/>
          </w:tcPr>
          <w:p w14:paraId="4C31DFBA">
            <w:pPr>
              <w:rPr>
                <w:rFonts w:ascii="Arial"/>
                <w:color w:val="auto"/>
                <w:spacing w:val="0"/>
                <w:sz w:val="21"/>
                <w:highlight w:val="none"/>
              </w:rPr>
            </w:pPr>
          </w:p>
        </w:tc>
      </w:tr>
      <w:tr w14:paraId="49F1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71" w:type="dxa"/>
            <w:noWrap w:val="0"/>
            <w:vAlign w:val="top"/>
          </w:tcPr>
          <w:p w14:paraId="38CC376E">
            <w:pPr>
              <w:pStyle w:val="25"/>
              <w:spacing w:before="297" w:line="228" w:lineRule="auto"/>
              <w:ind w:left="506"/>
              <w:rPr>
                <w:color w:val="auto"/>
                <w:spacing w:val="0"/>
                <w:highlight w:val="none"/>
              </w:rPr>
            </w:pPr>
            <w:r>
              <w:rPr>
                <w:color w:val="auto"/>
                <w:spacing w:val="0"/>
                <w:highlight w:val="none"/>
              </w:rPr>
              <w:t>磋商保证金形式</w:t>
            </w:r>
          </w:p>
        </w:tc>
        <w:tc>
          <w:tcPr>
            <w:tcW w:w="6543" w:type="dxa"/>
            <w:noWrap w:val="0"/>
            <w:vAlign w:val="top"/>
          </w:tcPr>
          <w:p w14:paraId="28CC7612">
            <w:pPr>
              <w:rPr>
                <w:rFonts w:ascii="Arial"/>
                <w:color w:val="auto"/>
                <w:spacing w:val="0"/>
                <w:sz w:val="21"/>
                <w:highlight w:val="none"/>
              </w:rPr>
            </w:pPr>
          </w:p>
        </w:tc>
      </w:tr>
      <w:tr w14:paraId="78D1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9014" w:type="dxa"/>
            <w:gridSpan w:val="2"/>
            <w:noWrap w:val="0"/>
            <w:vAlign w:val="top"/>
          </w:tcPr>
          <w:p w14:paraId="2D7AD238">
            <w:pPr>
              <w:spacing w:line="268" w:lineRule="auto"/>
              <w:rPr>
                <w:rFonts w:ascii="Arial"/>
                <w:color w:val="auto"/>
                <w:spacing w:val="0"/>
                <w:sz w:val="21"/>
                <w:highlight w:val="none"/>
              </w:rPr>
            </w:pPr>
          </w:p>
          <w:p w14:paraId="6AA795E3">
            <w:pPr>
              <w:spacing w:line="269" w:lineRule="auto"/>
              <w:rPr>
                <w:rFonts w:ascii="Arial"/>
                <w:color w:val="auto"/>
                <w:spacing w:val="0"/>
                <w:sz w:val="21"/>
                <w:highlight w:val="none"/>
              </w:rPr>
            </w:pPr>
          </w:p>
          <w:p w14:paraId="37DFC825">
            <w:pPr>
              <w:pStyle w:val="25"/>
              <w:spacing w:before="65" w:line="229" w:lineRule="auto"/>
              <w:ind w:left="118"/>
              <w:rPr>
                <w:color w:val="auto"/>
                <w:spacing w:val="0"/>
                <w:highlight w:val="none"/>
              </w:rPr>
            </w:pPr>
            <w:r>
              <w:rPr>
                <w:color w:val="auto"/>
                <w:spacing w:val="0"/>
                <w:highlight w:val="none"/>
              </w:rPr>
              <w:t>备 注</w:t>
            </w:r>
          </w:p>
        </w:tc>
      </w:tr>
    </w:tbl>
    <w:p w14:paraId="0F3F7233">
      <w:pPr>
        <w:spacing w:before="66" w:line="227" w:lineRule="auto"/>
        <w:ind w:left="9"/>
        <w:rPr>
          <w:rFonts w:ascii="宋体" w:hAnsi="宋体" w:eastAsia="宋体" w:cs="宋体"/>
          <w:color w:val="auto"/>
          <w:spacing w:val="8"/>
          <w:sz w:val="20"/>
          <w:szCs w:val="20"/>
          <w:highlight w:val="none"/>
        </w:rPr>
      </w:pPr>
    </w:p>
    <w:p w14:paraId="057E8C5A">
      <w:pPr>
        <w:pStyle w:val="7"/>
        <w:rPr>
          <w:rFonts w:ascii="宋体" w:hAnsi="宋体" w:eastAsia="宋体" w:cs="宋体"/>
          <w:color w:val="auto"/>
          <w:spacing w:val="8"/>
          <w:sz w:val="20"/>
          <w:szCs w:val="20"/>
          <w:highlight w:val="none"/>
        </w:rPr>
      </w:pPr>
    </w:p>
    <w:p w14:paraId="52711B76">
      <w:pPr>
        <w:rPr>
          <w:color w:val="auto"/>
          <w:highlight w:val="none"/>
        </w:rPr>
      </w:pPr>
    </w:p>
    <w:p w14:paraId="48BD46EA">
      <w:pPr>
        <w:spacing w:line="360" w:lineRule="auto"/>
        <w:rPr>
          <w:rFonts w:ascii="宋体" w:hAnsi="宋体"/>
          <w:color w:val="auto"/>
          <w:sz w:val="21"/>
          <w:szCs w:val="21"/>
          <w:highlight w:val="none"/>
        </w:rPr>
      </w:pPr>
      <w:r>
        <w:rPr>
          <w:rFonts w:hint="eastAsia" w:ascii="宋体" w:hAnsi="宋体"/>
          <w:color w:val="auto"/>
          <w:sz w:val="21"/>
          <w:szCs w:val="21"/>
          <w:highlight w:val="none"/>
        </w:rPr>
        <w:t>供应商：</w:t>
      </w:r>
      <w:r>
        <w:rPr>
          <w:rFonts w:ascii="宋体" w:hAnsi="宋体"/>
          <w:color w:val="auto"/>
          <w:sz w:val="21"/>
          <w:szCs w:val="21"/>
          <w:highlight w:val="none"/>
          <w:u w:val="single"/>
        </w:rPr>
        <w:t xml:space="preserve">                                 </w:t>
      </w:r>
      <w:r>
        <w:rPr>
          <w:rFonts w:hint="eastAsia" w:ascii="宋体" w:hAnsi="宋体"/>
          <w:color w:val="auto"/>
          <w:sz w:val="21"/>
          <w:szCs w:val="21"/>
          <w:highlight w:val="none"/>
        </w:rPr>
        <w:t>（电子签章）</w:t>
      </w:r>
    </w:p>
    <w:p w14:paraId="74AB37F2">
      <w:pPr>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rPr>
        <w:t>（电子签章或签字）</w:t>
      </w:r>
    </w:p>
    <w:p w14:paraId="06B1B905">
      <w:pPr>
        <w:pStyle w:val="7"/>
        <w:spacing w:line="477" w:lineRule="auto"/>
        <w:rPr>
          <w:color w:val="auto"/>
          <w:sz w:val="21"/>
          <w:szCs w:val="21"/>
          <w:highlight w:val="none"/>
        </w:rPr>
      </w:pPr>
      <w:r>
        <w:rPr>
          <w:rFonts w:hint="eastAsia" w:ascii="宋体" w:hAnsi="宋体"/>
          <w:color w:val="auto"/>
          <w:sz w:val="21"/>
          <w:szCs w:val="21"/>
          <w:highlight w:val="none"/>
        </w:rPr>
        <w:t>时  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3BCDE17">
      <w:pPr>
        <w:pStyle w:val="27"/>
        <w:rPr>
          <w:color w:val="auto"/>
          <w:highlight w:val="none"/>
        </w:rPr>
      </w:pPr>
    </w:p>
    <w:p w14:paraId="40EB94EE">
      <w:pPr>
        <w:keepNext/>
        <w:keepLines/>
        <w:spacing w:after="120" w:line="360" w:lineRule="auto"/>
        <w:jc w:val="center"/>
        <w:outlineLvl w:val="1"/>
        <w:rPr>
          <w:b/>
          <w:color w:val="auto"/>
          <w:sz w:val="28"/>
          <w:szCs w:val="32"/>
          <w:highlight w:val="none"/>
        </w:rPr>
      </w:pPr>
      <w:r>
        <w:rPr>
          <w:b/>
          <w:color w:val="auto"/>
          <w:sz w:val="28"/>
          <w:szCs w:val="32"/>
          <w:highlight w:val="none"/>
        </w:rPr>
        <w:br w:type="page"/>
      </w:r>
      <w:r>
        <w:rPr>
          <w:rFonts w:hint="eastAsia"/>
          <w:b/>
          <w:color w:val="auto"/>
          <w:sz w:val="28"/>
          <w:szCs w:val="32"/>
          <w:highlight w:val="none"/>
        </w:rPr>
        <w:t>二、资格证明文件</w:t>
      </w:r>
      <w:bookmarkEnd w:id="314"/>
      <w:bookmarkEnd w:id="315"/>
      <w:bookmarkEnd w:id="316"/>
    </w:p>
    <w:p w14:paraId="2DF1D37C">
      <w:pPr>
        <w:pStyle w:val="3"/>
        <w:rPr>
          <w:rFonts w:hint="eastAsia"/>
          <w:color w:val="auto"/>
          <w:sz w:val="24"/>
          <w:szCs w:val="24"/>
          <w:highlight w:val="none"/>
        </w:rPr>
      </w:pPr>
      <w:bookmarkStart w:id="317" w:name="_Toc28697"/>
      <w:r>
        <w:rPr>
          <w:rFonts w:hint="eastAsia"/>
          <w:color w:val="auto"/>
          <w:sz w:val="24"/>
          <w:szCs w:val="24"/>
          <w:highlight w:val="none"/>
        </w:rPr>
        <w:t>（一）供应商基本情况表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275"/>
        <w:gridCol w:w="2423"/>
        <w:gridCol w:w="1368"/>
        <w:gridCol w:w="1929"/>
      </w:tblGrid>
      <w:tr w14:paraId="2087A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60E99BB3">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供应商名称</w:t>
            </w:r>
          </w:p>
        </w:tc>
        <w:tc>
          <w:tcPr>
            <w:tcW w:w="6995" w:type="dxa"/>
            <w:gridSpan w:val="4"/>
            <w:tcBorders>
              <w:tl2br w:val="nil"/>
              <w:tr2bl w:val="nil"/>
            </w:tcBorders>
            <w:noWrap w:val="0"/>
            <w:vAlign w:val="center"/>
          </w:tcPr>
          <w:p w14:paraId="3AE5E738">
            <w:pPr>
              <w:spacing w:line="440" w:lineRule="exact"/>
              <w:jc w:val="center"/>
              <w:rPr>
                <w:rFonts w:ascii="宋体" w:hAnsi="宋体"/>
                <w:color w:val="auto"/>
                <w:sz w:val="21"/>
                <w:szCs w:val="21"/>
                <w:highlight w:val="none"/>
              </w:rPr>
            </w:pPr>
          </w:p>
        </w:tc>
      </w:tr>
      <w:tr w14:paraId="06ACF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64C83FF7">
            <w:pPr>
              <w:spacing w:line="440" w:lineRule="exact"/>
              <w:jc w:val="center"/>
              <w:rPr>
                <w:rFonts w:hint="eastAsia" w:ascii="宋体" w:hAnsi="宋体"/>
                <w:color w:val="auto"/>
                <w:sz w:val="21"/>
                <w:szCs w:val="21"/>
                <w:highlight w:val="none"/>
              </w:rPr>
            </w:pPr>
            <w:r>
              <w:rPr>
                <w:rFonts w:hint="eastAsia" w:ascii="宋体" w:hAnsi="宋体"/>
                <w:color w:val="auto"/>
                <w:sz w:val="21"/>
                <w:szCs w:val="21"/>
                <w:highlight w:val="none"/>
              </w:rPr>
              <w:t>社会统一信用代码</w:t>
            </w:r>
          </w:p>
        </w:tc>
        <w:tc>
          <w:tcPr>
            <w:tcW w:w="6995" w:type="dxa"/>
            <w:gridSpan w:val="4"/>
            <w:tcBorders>
              <w:tl2br w:val="nil"/>
              <w:tr2bl w:val="nil"/>
            </w:tcBorders>
            <w:noWrap w:val="0"/>
            <w:vAlign w:val="center"/>
          </w:tcPr>
          <w:p w14:paraId="49C08BF5">
            <w:pPr>
              <w:spacing w:line="440" w:lineRule="exact"/>
              <w:jc w:val="center"/>
              <w:rPr>
                <w:rFonts w:ascii="宋体" w:hAnsi="宋体"/>
                <w:color w:val="auto"/>
                <w:sz w:val="21"/>
                <w:szCs w:val="21"/>
                <w:highlight w:val="none"/>
              </w:rPr>
            </w:pPr>
          </w:p>
        </w:tc>
      </w:tr>
      <w:tr w14:paraId="6C790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75516388">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注册资金</w:t>
            </w:r>
          </w:p>
        </w:tc>
        <w:tc>
          <w:tcPr>
            <w:tcW w:w="3698" w:type="dxa"/>
            <w:gridSpan w:val="2"/>
            <w:tcBorders>
              <w:tl2br w:val="nil"/>
              <w:tr2bl w:val="nil"/>
            </w:tcBorders>
            <w:noWrap w:val="0"/>
            <w:vAlign w:val="center"/>
          </w:tcPr>
          <w:p w14:paraId="1EE7C38B">
            <w:pPr>
              <w:spacing w:line="440" w:lineRule="exact"/>
              <w:jc w:val="center"/>
              <w:rPr>
                <w:rFonts w:ascii="宋体" w:hAnsi="宋体"/>
                <w:color w:val="auto"/>
                <w:sz w:val="21"/>
                <w:szCs w:val="21"/>
                <w:highlight w:val="none"/>
              </w:rPr>
            </w:pPr>
          </w:p>
        </w:tc>
        <w:tc>
          <w:tcPr>
            <w:tcW w:w="1368" w:type="dxa"/>
            <w:tcBorders>
              <w:tl2br w:val="nil"/>
              <w:tr2bl w:val="nil"/>
            </w:tcBorders>
            <w:noWrap w:val="0"/>
            <w:vAlign w:val="center"/>
          </w:tcPr>
          <w:p w14:paraId="0D570618">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成立时间</w:t>
            </w:r>
          </w:p>
        </w:tc>
        <w:tc>
          <w:tcPr>
            <w:tcW w:w="1929" w:type="dxa"/>
            <w:tcBorders>
              <w:tl2br w:val="nil"/>
              <w:tr2bl w:val="nil"/>
            </w:tcBorders>
            <w:noWrap w:val="0"/>
            <w:vAlign w:val="center"/>
          </w:tcPr>
          <w:p w14:paraId="10210FAE">
            <w:pPr>
              <w:spacing w:line="440" w:lineRule="exact"/>
              <w:jc w:val="center"/>
              <w:rPr>
                <w:rFonts w:ascii="宋体" w:hAnsi="宋体"/>
                <w:color w:val="auto"/>
                <w:sz w:val="21"/>
                <w:szCs w:val="21"/>
                <w:highlight w:val="none"/>
              </w:rPr>
            </w:pPr>
          </w:p>
        </w:tc>
      </w:tr>
      <w:tr w14:paraId="30023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4DDE0872">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注册地址</w:t>
            </w:r>
          </w:p>
        </w:tc>
        <w:tc>
          <w:tcPr>
            <w:tcW w:w="6995" w:type="dxa"/>
            <w:gridSpan w:val="4"/>
            <w:tcBorders>
              <w:tl2br w:val="nil"/>
              <w:tr2bl w:val="nil"/>
            </w:tcBorders>
            <w:noWrap w:val="0"/>
            <w:vAlign w:val="center"/>
          </w:tcPr>
          <w:p w14:paraId="541AE2F4">
            <w:pPr>
              <w:spacing w:line="440" w:lineRule="exact"/>
              <w:jc w:val="center"/>
              <w:rPr>
                <w:rFonts w:ascii="宋体" w:hAnsi="宋体"/>
                <w:color w:val="auto"/>
                <w:sz w:val="21"/>
                <w:szCs w:val="21"/>
                <w:highlight w:val="none"/>
              </w:rPr>
            </w:pPr>
          </w:p>
        </w:tc>
      </w:tr>
      <w:tr w14:paraId="20B4D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2DA07D50">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邮政编码</w:t>
            </w:r>
          </w:p>
        </w:tc>
        <w:tc>
          <w:tcPr>
            <w:tcW w:w="3698" w:type="dxa"/>
            <w:gridSpan w:val="2"/>
            <w:tcBorders>
              <w:tl2br w:val="nil"/>
              <w:tr2bl w:val="nil"/>
            </w:tcBorders>
            <w:noWrap w:val="0"/>
            <w:vAlign w:val="center"/>
          </w:tcPr>
          <w:p w14:paraId="2235AA99">
            <w:pPr>
              <w:spacing w:line="440" w:lineRule="exact"/>
              <w:jc w:val="center"/>
              <w:rPr>
                <w:rFonts w:ascii="宋体" w:hAnsi="宋体"/>
                <w:color w:val="auto"/>
                <w:sz w:val="21"/>
                <w:szCs w:val="21"/>
                <w:highlight w:val="none"/>
              </w:rPr>
            </w:pPr>
          </w:p>
        </w:tc>
        <w:tc>
          <w:tcPr>
            <w:tcW w:w="1368" w:type="dxa"/>
            <w:tcBorders>
              <w:tl2br w:val="nil"/>
              <w:tr2bl w:val="nil"/>
            </w:tcBorders>
            <w:noWrap w:val="0"/>
            <w:vAlign w:val="center"/>
          </w:tcPr>
          <w:p w14:paraId="2D2DD1E0">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员工总数</w:t>
            </w:r>
          </w:p>
        </w:tc>
        <w:tc>
          <w:tcPr>
            <w:tcW w:w="1929" w:type="dxa"/>
            <w:tcBorders>
              <w:tl2br w:val="nil"/>
              <w:tr2bl w:val="nil"/>
            </w:tcBorders>
            <w:noWrap w:val="0"/>
            <w:vAlign w:val="center"/>
          </w:tcPr>
          <w:p w14:paraId="0192A6AD">
            <w:pPr>
              <w:spacing w:line="440" w:lineRule="exact"/>
              <w:jc w:val="center"/>
              <w:rPr>
                <w:rFonts w:ascii="宋体" w:hAnsi="宋体"/>
                <w:color w:val="auto"/>
                <w:sz w:val="21"/>
                <w:szCs w:val="21"/>
                <w:highlight w:val="none"/>
              </w:rPr>
            </w:pPr>
          </w:p>
        </w:tc>
      </w:tr>
      <w:tr w14:paraId="7C9CF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vMerge w:val="restart"/>
            <w:tcBorders>
              <w:tl2br w:val="nil"/>
              <w:tr2bl w:val="nil"/>
            </w:tcBorders>
            <w:noWrap w:val="0"/>
            <w:vAlign w:val="center"/>
          </w:tcPr>
          <w:p w14:paraId="17B346CB">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联系方式</w:t>
            </w:r>
          </w:p>
        </w:tc>
        <w:tc>
          <w:tcPr>
            <w:tcW w:w="1275" w:type="dxa"/>
            <w:tcBorders>
              <w:tl2br w:val="nil"/>
              <w:tr2bl w:val="nil"/>
            </w:tcBorders>
            <w:noWrap w:val="0"/>
            <w:vAlign w:val="center"/>
          </w:tcPr>
          <w:p w14:paraId="665689FE">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联系人</w:t>
            </w:r>
          </w:p>
        </w:tc>
        <w:tc>
          <w:tcPr>
            <w:tcW w:w="2423" w:type="dxa"/>
            <w:tcBorders>
              <w:tl2br w:val="nil"/>
              <w:tr2bl w:val="nil"/>
            </w:tcBorders>
            <w:noWrap w:val="0"/>
            <w:vAlign w:val="center"/>
          </w:tcPr>
          <w:p w14:paraId="0C78021C">
            <w:pPr>
              <w:spacing w:line="440" w:lineRule="exact"/>
              <w:jc w:val="center"/>
              <w:rPr>
                <w:rFonts w:ascii="宋体" w:hAnsi="宋体"/>
                <w:color w:val="auto"/>
                <w:sz w:val="21"/>
                <w:szCs w:val="21"/>
                <w:highlight w:val="none"/>
              </w:rPr>
            </w:pPr>
          </w:p>
        </w:tc>
        <w:tc>
          <w:tcPr>
            <w:tcW w:w="1368" w:type="dxa"/>
            <w:tcBorders>
              <w:tl2br w:val="nil"/>
              <w:tr2bl w:val="nil"/>
            </w:tcBorders>
            <w:noWrap w:val="0"/>
            <w:vAlign w:val="center"/>
          </w:tcPr>
          <w:p w14:paraId="5E137D93">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电话</w:t>
            </w:r>
          </w:p>
        </w:tc>
        <w:tc>
          <w:tcPr>
            <w:tcW w:w="1929" w:type="dxa"/>
            <w:tcBorders>
              <w:tl2br w:val="nil"/>
              <w:tr2bl w:val="nil"/>
            </w:tcBorders>
            <w:noWrap w:val="0"/>
            <w:vAlign w:val="center"/>
          </w:tcPr>
          <w:p w14:paraId="78B7D4B3">
            <w:pPr>
              <w:spacing w:line="440" w:lineRule="exact"/>
              <w:jc w:val="center"/>
              <w:rPr>
                <w:rFonts w:ascii="宋体" w:hAnsi="宋体"/>
                <w:color w:val="auto"/>
                <w:sz w:val="21"/>
                <w:szCs w:val="21"/>
                <w:highlight w:val="none"/>
              </w:rPr>
            </w:pPr>
          </w:p>
        </w:tc>
      </w:tr>
      <w:tr w14:paraId="1BA3A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vMerge w:val="continue"/>
            <w:tcBorders>
              <w:tl2br w:val="nil"/>
              <w:tr2bl w:val="nil"/>
            </w:tcBorders>
            <w:noWrap w:val="0"/>
            <w:vAlign w:val="center"/>
          </w:tcPr>
          <w:p w14:paraId="7755F354">
            <w:pPr>
              <w:widowControl w:val="0"/>
              <w:jc w:val="both"/>
              <w:rPr>
                <w:rFonts w:ascii="宋体" w:hAnsi="宋体"/>
                <w:color w:val="auto"/>
                <w:kern w:val="2"/>
                <w:sz w:val="21"/>
                <w:szCs w:val="21"/>
                <w:highlight w:val="none"/>
              </w:rPr>
            </w:pPr>
          </w:p>
        </w:tc>
        <w:tc>
          <w:tcPr>
            <w:tcW w:w="1275" w:type="dxa"/>
            <w:tcBorders>
              <w:tl2br w:val="nil"/>
              <w:tr2bl w:val="nil"/>
            </w:tcBorders>
            <w:noWrap w:val="0"/>
            <w:vAlign w:val="center"/>
          </w:tcPr>
          <w:p w14:paraId="2BB5FA24">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网址</w:t>
            </w:r>
          </w:p>
        </w:tc>
        <w:tc>
          <w:tcPr>
            <w:tcW w:w="2423" w:type="dxa"/>
            <w:tcBorders>
              <w:tl2br w:val="nil"/>
              <w:tr2bl w:val="nil"/>
            </w:tcBorders>
            <w:noWrap w:val="0"/>
            <w:vAlign w:val="center"/>
          </w:tcPr>
          <w:p w14:paraId="6926C2D8">
            <w:pPr>
              <w:spacing w:line="440" w:lineRule="exact"/>
              <w:jc w:val="center"/>
              <w:rPr>
                <w:rFonts w:ascii="宋体" w:hAnsi="宋体"/>
                <w:color w:val="auto"/>
                <w:sz w:val="21"/>
                <w:szCs w:val="21"/>
                <w:highlight w:val="none"/>
              </w:rPr>
            </w:pPr>
          </w:p>
        </w:tc>
        <w:tc>
          <w:tcPr>
            <w:tcW w:w="1368" w:type="dxa"/>
            <w:tcBorders>
              <w:tl2br w:val="nil"/>
              <w:tr2bl w:val="nil"/>
            </w:tcBorders>
            <w:noWrap w:val="0"/>
            <w:vAlign w:val="center"/>
          </w:tcPr>
          <w:p w14:paraId="1FEB391B">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传真</w:t>
            </w:r>
          </w:p>
        </w:tc>
        <w:tc>
          <w:tcPr>
            <w:tcW w:w="1929" w:type="dxa"/>
            <w:tcBorders>
              <w:tl2br w:val="nil"/>
              <w:tr2bl w:val="nil"/>
            </w:tcBorders>
            <w:noWrap w:val="0"/>
            <w:vAlign w:val="center"/>
          </w:tcPr>
          <w:p w14:paraId="17C1290A">
            <w:pPr>
              <w:spacing w:line="440" w:lineRule="exact"/>
              <w:jc w:val="center"/>
              <w:rPr>
                <w:rFonts w:ascii="宋体" w:hAnsi="宋体"/>
                <w:color w:val="auto"/>
                <w:sz w:val="21"/>
                <w:szCs w:val="21"/>
                <w:highlight w:val="none"/>
              </w:rPr>
            </w:pPr>
          </w:p>
        </w:tc>
      </w:tr>
      <w:tr w14:paraId="4D842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2806DF25">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法定代表人</w:t>
            </w:r>
          </w:p>
          <w:p w14:paraId="17528FA7">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（单位负责人）</w:t>
            </w:r>
          </w:p>
        </w:tc>
        <w:tc>
          <w:tcPr>
            <w:tcW w:w="1275" w:type="dxa"/>
            <w:tcBorders>
              <w:tl2br w:val="nil"/>
              <w:tr2bl w:val="nil"/>
            </w:tcBorders>
            <w:noWrap w:val="0"/>
            <w:vAlign w:val="center"/>
          </w:tcPr>
          <w:p w14:paraId="4DA92F1B">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2423" w:type="dxa"/>
            <w:tcBorders>
              <w:tl2br w:val="nil"/>
              <w:tr2bl w:val="nil"/>
            </w:tcBorders>
            <w:noWrap w:val="0"/>
            <w:vAlign w:val="center"/>
          </w:tcPr>
          <w:p w14:paraId="05B92CFB">
            <w:pPr>
              <w:spacing w:line="440" w:lineRule="exact"/>
              <w:jc w:val="center"/>
              <w:rPr>
                <w:rFonts w:ascii="宋体" w:hAnsi="宋体"/>
                <w:color w:val="auto"/>
                <w:sz w:val="21"/>
                <w:szCs w:val="21"/>
                <w:highlight w:val="none"/>
              </w:rPr>
            </w:pPr>
          </w:p>
        </w:tc>
        <w:tc>
          <w:tcPr>
            <w:tcW w:w="1368" w:type="dxa"/>
            <w:tcBorders>
              <w:tl2br w:val="nil"/>
              <w:tr2bl w:val="nil"/>
            </w:tcBorders>
            <w:noWrap w:val="0"/>
            <w:vAlign w:val="center"/>
          </w:tcPr>
          <w:p w14:paraId="3413EF58">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电话</w:t>
            </w:r>
          </w:p>
        </w:tc>
        <w:tc>
          <w:tcPr>
            <w:tcW w:w="1929" w:type="dxa"/>
            <w:tcBorders>
              <w:tl2br w:val="nil"/>
              <w:tr2bl w:val="nil"/>
            </w:tcBorders>
            <w:noWrap w:val="0"/>
            <w:vAlign w:val="center"/>
          </w:tcPr>
          <w:p w14:paraId="05E59D46">
            <w:pPr>
              <w:spacing w:line="440" w:lineRule="exact"/>
              <w:jc w:val="center"/>
              <w:rPr>
                <w:rFonts w:ascii="宋体" w:hAnsi="宋体"/>
                <w:color w:val="auto"/>
                <w:sz w:val="21"/>
                <w:szCs w:val="21"/>
                <w:highlight w:val="none"/>
              </w:rPr>
            </w:pPr>
          </w:p>
        </w:tc>
      </w:tr>
      <w:tr w14:paraId="1EF4E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5EA1FD50">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供应商须知要求供应商需具有的各类资质证书（若有）</w:t>
            </w:r>
          </w:p>
        </w:tc>
        <w:tc>
          <w:tcPr>
            <w:tcW w:w="6995" w:type="dxa"/>
            <w:gridSpan w:val="4"/>
            <w:tcBorders>
              <w:tl2br w:val="nil"/>
              <w:tr2bl w:val="nil"/>
            </w:tcBorders>
            <w:noWrap w:val="0"/>
            <w:vAlign w:val="center"/>
          </w:tcPr>
          <w:p w14:paraId="171E7D83">
            <w:pPr>
              <w:spacing w:line="440" w:lineRule="exact"/>
              <w:rPr>
                <w:rFonts w:ascii="宋体" w:hAnsi="宋体"/>
                <w:color w:val="auto"/>
                <w:sz w:val="21"/>
                <w:szCs w:val="21"/>
                <w:highlight w:val="none"/>
              </w:rPr>
            </w:pPr>
            <w:r>
              <w:rPr>
                <w:rFonts w:hint="eastAsia" w:ascii="宋体" w:hAnsi="宋体"/>
                <w:color w:val="auto"/>
                <w:sz w:val="21"/>
                <w:szCs w:val="21"/>
                <w:highlight w:val="none"/>
              </w:rPr>
              <w:t>类型：                等级：                 证书号：</w:t>
            </w:r>
          </w:p>
        </w:tc>
      </w:tr>
      <w:tr w14:paraId="6B99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43A0C18E">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基本账户开户银行</w:t>
            </w:r>
          </w:p>
        </w:tc>
        <w:tc>
          <w:tcPr>
            <w:tcW w:w="6995" w:type="dxa"/>
            <w:gridSpan w:val="4"/>
            <w:tcBorders>
              <w:tl2br w:val="nil"/>
              <w:tr2bl w:val="nil"/>
            </w:tcBorders>
            <w:noWrap w:val="0"/>
            <w:vAlign w:val="center"/>
          </w:tcPr>
          <w:p w14:paraId="2FF8B159">
            <w:pPr>
              <w:spacing w:line="440" w:lineRule="exact"/>
              <w:jc w:val="center"/>
              <w:rPr>
                <w:rFonts w:ascii="宋体" w:hAnsi="宋体"/>
                <w:color w:val="auto"/>
                <w:sz w:val="21"/>
                <w:szCs w:val="21"/>
                <w:highlight w:val="none"/>
              </w:rPr>
            </w:pPr>
          </w:p>
        </w:tc>
      </w:tr>
      <w:tr w14:paraId="0B229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0E4F258D">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基本账户银行账号</w:t>
            </w:r>
          </w:p>
        </w:tc>
        <w:tc>
          <w:tcPr>
            <w:tcW w:w="6995" w:type="dxa"/>
            <w:gridSpan w:val="4"/>
            <w:tcBorders>
              <w:tl2br w:val="nil"/>
              <w:tr2bl w:val="nil"/>
            </w:tcBorders>
            <w:noWrap w:val="0"/>
            <w:vAlign w:val="center"/>
          </w:tcPr>
          <w:p w14:paraId="48DDB541">
            <w:pPr>
              <w:spacing w:line="440" w:lineRule="exact"/>
              <w:jc w:val="center"/>
              <w:rPr>
                <w:rFonts w:ascii="宋体" w:hAnsi="宋体"/>
                <w:color w:val="auto"/>
                <w:sz w:val="21"/>
                <w:szCs w:val="21"/>
                <w:highlight w:val="none"/>
              </w:rPr>
            </w:pPr>
          </w:p>
        </w:tc>
      </w:tr>
      <w:tr w14:paraId="01152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6B618F8C">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供应商关联企业情况（包括但不限于与供应商法定代表人（单位负责人）为同一人或者存在控股、管理关系的不同单位）</w:t>
            </w:r>
          </w:p>
        </w:tc>
        <w:tc>
          <w:tcPr>
            <w:tcW w:w="6995" w:type="dxa"/>
            <w:gridSpan w:val="4"/>
            <w:tcBorders>
              <w:tl2br w:val="nil"/>
              <w:tr2bl w:val="nil"/>
            </w:tcBorders>
            <w:noWrap w:val="0"/>
            <w:vAlign w:val="center"/>
          </w:tcPr>
          <w:p w14:paraId="6196F010">
            <w:pPr>
              <w:spacing w:line="440" w:lineRule="exact"/>
              <w:jc w:val="center"/>
              <w:rPr>
                <w:rFonts w:ascii="宋体" w:hAnsi="宋体"/>
                <w:color w:val="auto"/>
                <w:sz w:val="21"/>
                <w:szCs w:val="21"/>
                <w:highlight w:val="none"/>
              </w:rPr>
            </w:pPr>
          </w:p>
        </w:tc>
      </w:tr>
      <w:tr w14:paraId="3D1C7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4" w:type="dxa"/>
            <w:tcBorders>
              <w:tl2br w:val="nil"/>
              <w:tr2bl w:val="nil"/>
            </w:tcBorders>
            <w:noWrap w:val="0"/>
            <w:vAlign w:val="center"/>
          </w:tcPr>
          <w:p w14:paraId="5F21A736">
            <w:pPr>
              <w:spacing w:line="440" w:lineRule="exact"/>
              <w:jc w:val="center"/>
              <w:rPr>
                <w:rFonts w:ascii="宋体" w:hAnsi="宋体"/>
                <w:color w:val="auto"/>
                <w:sz w:val="21"/>
                <w:szCs w:val="21"/>
                <w:highlight w:val="none"/>
              </w:rPr>
            </w:pPr>
            <w:r>
              <w:rPr>
                <w:rFonts w:hint="eastAsia" w:ascii="宋体" w:hAnsi="宋体"/>
                <w:color w:val="auto"/>
                <w:sz w:val="21"/>
                <w:szCs w:val="21"/>
                <w:highlight w:val="none"/>
              </w:rPr>
              <w:t>备注</w:t>
            </w:r>
          </w:p>
        </w:tc>
        <w:tc>
          <w:tcPr>
            <w:tcW w:w="6995" w:type="dxa"/>
            <w:gridSpan w:val="4"/>
            <w:tcBorders>
              <w:tl2br w:val="nil"/>
              <w:tr2bl w:val="nil"/>
            </w:tcBorders>
            <w:noWrap w:val="0"/>
            <w:vAlign w:val="center"/>
          </w:tcPr>
          <w:p w14:paraId="50350654">
            <w:pPr>
              <w:spacing w:line="440" w:lineRule="exact"/>
              <w:jc w:val="center"/>
              <w:rPr>
                <w:rFonts w:ascii="宋体" w:hAnsi="宋体"/>
                <w:color w:val="auto"/>
                <w:sz w:val="21"/>
                <w:szCs w:val="21"/>
                <w:highlight w:val="none"/>
              </w:rPr>
            </w:pPr>
          </w:p>
        </w:tc>
      </w:tr>
    </w:tbl>
    <w:p w14:paraId="31DFEA2F">
      <w:pPr>
        <w:rPr>
          <w:rFonts w:hint="eastAsia"/>
          <w:color w:val="auto"/>
          <w:sz w:val="21"/>
          <w:szCs w:val="21"/>
          <w:highlight w:val="none"/>
        </w:rPr>
      </w:pPr>
      <w:r>
        <w:rPr>
          <w:rFonts w:hint="eastAsia"/>
          <w:color w:val="auto"/>
          <w:sz w:val="21"/>
          <w:szCs w:val="21"/>
          <w:highlight w:val="none"/>
        </w:rPr>
        <w:br w:type="page"/>
      </w:r>
    </w:p>
    <w:p w14:paraId="02E86910">
      <w:pPr>
        <w:pStyle w:val="3"/>
        <w:jc w:val="both"/>
        <w:rPr>
          <w:rFonts w:ascii="宋体" w:hAnsi="宋体"/>
          <w:color w:val="auto"/>
          <w:sz w:val="21"/>
          <w:szCs w:val="21"/>
          <w:highlight w:val="none"/>
        </w:rPr>
      </w:pPr>
      <w:r>
        <w:rPr>
          <w:rFonts w:hint="eastAsia"/>
          <w:color w:val="auto"/>
          <w:sz w:val="21"/>
          <w:szCs w:val="21"/>
          <w:highlight w:val="none"/>
        </w:rPr>
        <w:t>附</w:t>
      </w:r>
      <w:bookmarkEnd w:id="317"/>
      <w:r>
        <w:rPr>
          <w:rFonts w:hint="eastAsia"/>
          <w:color w:val="auto"/>
          <w:sz w:val="21"/>
          <w:szCs w:val="21"/>
          <w:highlight w:val="none"/>
        </w:rPr>
        <w:t>件一：营业执照或身份证明文件</w:t>
      </w:r>
    </w:p>
    <w:p w14:paraId="20137E34">
      <w:pPr>
        <w:autoSpaceDE w:val="0"/>
        <w:autoSpaceDN w:val="0"/>
        <w:adjustRightInd w:val="0"/>
        <w:spacing w:line="360" w:lineRule="auto"/>
        <w:jc w:val="left"/>
        <w:rPr>
          <w:rFonts w:hAnsi="宋体"/>
          <w:color w:val="auto"/>
          <w:kern w:val="0"/>
          <w:sz w:val="21"/>
          <w:szCs w:val="21"/>
          <w:highlight w:val="none"/>
        </w:rPr>
      </w:pPr>
      <w:r>
        <w:rPr>
          <w:rFonts w:hint="eastAsia" w:hAnsi="宋体"/>
          <w:color w:val="auto"/>
          <w:kern w:val="0"/>
          <w:sz w:val="21"/>
          <w:szCs w:val="21"/>
          <w:highlight w:val="none"/>
        </w:rPr>
        <w:t>供应商</w:t>
      </w:r>
      <w:r>
        <w:rPr>
          <w:rFonts w:hAnsi="宋体"/>
          <w:color w:val="auto"/>
          <w:kern w:val="0"/>
          <w:sz w:val="21"/>
          <w:szCs w:val="21"/>
          <w:highlight w:val="none"/>
        </w:rPr>
        <w:t>根据自身实际情况提供下述证明材料之一</w:t>
      </w:r>
      <w:r>
        <w:rPr>
          <w:rFonts w:hint="eastAsia" w:hAnsi="宋体"/>
          <w:color w:val="auto"/>
          <w:kern w:val="0"/>
          <w:sz w:val="21"/>
          <w:szCs w:val="21"/>
          <w:highlight w:val="none"/>
        </w:rPr>
        <w:t>：</w:t>
      </w:r>
    </w:p>
    <w:p w14:paraId="12827CB3">
      <w:pPr>
        <w:autoSpaceDE w:val="0"/>
        <w:autoSpaceDN w:val="0"/>
        <w:adjustRightInd w:val="0"/>
        <w:spacing w:line="360" w:lineRule="auto"/>
        <w:jc w:val="left"/>
        <w:rPr>
          <w:rFonts w:hAnsi="宋体"/>
          <w:color w:val="auto"/>
          <w:kern w:val="0"/>
          <w:sz w:val="21"/>
          <w:szCs w:val="21"/>
          <w:highlight w:val="none"/>
        </w:rPr>
      </w:pPr>
      <w:r>
        <w:rPr>
          <w:rFonts w:hAnsi="宋体"/>
          <w:color w:val="auto"/>
          <w:kern w:val="0"/>
          <w:sz w:val="21"/>
          <w:szCs w:val="21"/>
          <w:highlight w:val="none"/>
        </w:rPr>
        <w:t>1</w:t>
      </w:r>
      <w:r>
        <w:rPr>
          <w:rFonts w:hint="eastAsia" w:hAnsi="宋体"/>
          <w:color w:val="auto"/>
          <w:kern w:val="0"/>
          <w:sz w:val="21"/>
          <w:szCs w:val="21"/>
          <w:highlight w:val="none"/>
        </w:rPr>
        <w:t>）供应商是企业（包括合伙企业）的，应提供其在市场监督管理部门注册的有效“企业法人营业执照”或“营业执照”；</w:t>
      </w:r>
    </w:p>
    <w:p w14:paraId="26261F62">
      <w:pPr>
        <w:autoSpaceDE w:val="0"/>
        <w:autoSpaceDN w:val="0"/>
        <w:adjustRightInd w:val="0"/>
        <w:spacing w:line="360" w:lineRule="auto"/>
        <w:jc w:val="left"/>
        <w:rPr>
          <w:rFonts w:hAnsi="宋体"/>
          <w:color w:val="auto"/>
          <w:kern w:val="0"/>
          <w:sz w:val="21"/>
          <w:szCs w:val="21"/>
          <w:highlight w:val="none"/>
        </w:rPr>
      </w:pPr>
      <w:r>
        <w:rPr>
          <w:rFonts w:hAnsi="宋体"/>
          <w:color w:val="auto"/>
          <w:kern w:val="0"/>
          <w:sz w:val="21"/>
          <w:szCs w:val="21"/>
          <w:highlight w:val="none"/>
        </w:rPr>
        <w:t>2</w:t>
      </w:r>
      <w:r>
        <w:rPr>
          <w:rFonts w:hint="eastAsia" w:hAnsi="宋体"/>
          <w:color w:val="auto"/>
          <w:kern w:val="0"/>
          <w:sz w:val="21"/>
          <w:szCs w:val="21"/>
          <w:highlight w:val="none"/>
        </w:rPr>
        <w:t xml:space="preserve">）供应商是事业单位的，应提供其有效的“事业单位法人证书”； </w:t>
      </w:r>
    </w:p>
    <w:p w14:paraId="0C2BD864">
      <w:pPr>
        <w:autoSpaceDE w:val="0"/>
        <w:autoSpaceDN w:val="0"/>
        <w:adjustRightInd w:val="0"/>
        <w:spacing w:line="360" w:lineRule="auto"/>
        <w:jc w:val="left"/>
        <w:rPr>
          <w:rFonts w:hAnsi="宋体"/>
          <w:color w:val="auto"/>
          <w:kern w:val="0"/>
          <w:sz w:val="21"/>
          <w:szCs w:val="21"/>
          <w:highlight w:val="none"/>
        </w:rPr>
      </w:pPr>
      <w:r>
        <w:rPr>
          <w:rFonts w:hAnsi="宋体"/>
          <w:color w:val="auto"/>
          <w:kern w:val="0"/>
          <w:sz w:val="21"/>
          <w:szCs w:val="21"/>
          <w:highlight w:val="none"/>
        </w:rPr>
        <w:t>3</w:t>
      </w:r>
      <w:r>
        <w:rPr>
          <w:rFonts w:hint="eastAsia" w:hAnsi="宋体"/>
          <w:color w:val="auto"/>
          <w:kern w:val="0"/>
          <w:sz w:val="21"/>
          <w:szCs w:val="21"/>
          <w:highlight w:val="none"/>
        </w:rPr>
        <w:t xml:space="preserve">）供应商是个体工商户的，应提供其有效的“个体工商户营业执照”； </w:t>
      </w:r>
    </w:p>
    <w:p w14:paraId="59181CB3">
      <w:pPr>
        <w:autoSpaceDE w:val="0"/>
        <w:autoSpaceDN w:val="0"/>
        <w:adjustRightInd w:val="0"/>
        <w:spacing w:line="360" w:lineRule="auto"/>
        <w:jc w:val="left"/>
        <w:rPr>
          <w:rFonts w:hAnsi="宋体"/>
          <w:color w:val="auto"/>
          <w:kern w:val="0"/>
          <w:sz w:val="21"/>
          <w:szCs w:val="21"/>
          <w:highlight w:val="none"/>
        </w:rPr>
      </w:pPr>
      <w:r>
        <w:rPr>
          <w:rFonts w:hAnsi="宋体"/>
          <w:color w:val="auto"/>
          <w:kern w:val="0"/>
          <w:sz w:val="21"/>
          <w:szCs w:val="21"/>
          <w:highlight w:val="none"/>
        </w:rPr>
        <w:t>4</w:t>
      </w:r>
      <w:r>
        <w:rPr>
          <w:rFonts w:hint="eastAsia" w:hAnsi="宋体"/>
          <w:color w:val="auto"/>
          <w:kern w:val="0"/>
          <w:sz w:val="21"/>
          <w:szCs w:val="21"/>
          <w:highlight w:val="none"/>
        </w:rPr>
        <w:t>）供应商是自然人的，应提供其有效的自然人身份证明；</w:t>
      </w:r>
    </w:p>
    <w:p w14:paraId="2D0B04A6">
      <w:pPr>
        <w:autoSpaceDE w:val="0"/>
        <w:autoSpaceDN w:val="0"/>
        <w:adjustRightInd w:val="0"/>
        <w:spacing w:line="360" w:lineRule="auto"/>
        <w:jc w:val="left"/>
        <w:rPr>
          <w:rFonts w:hAnsi="宋体"/>
          <w:color w:val="auto"/>
          <w:kern w:val="0"/>
          <w:sz w:val="24"/>
          <w:highlight w:val="none"/>
        </w:rPr>
      </w:pPr>
      <w:r>
        <w:rPr>
          <w:rFonts w:hint="eastAsia" w:hAnsi="宋体"/>
          <w:color w:val="auto"/>
          <w:kern w:val="0"/>
          <w:sz w:val="21"/>
          <w:szCs w:val="21"/>
          <w:highlight w:val="none"/>
        </w:rPr>
        <w:t>5）其他。</w:t>
      </w:r>
      <w:r>
        <w:rPr>
          <w:rFonts w:hAnsi="宋体"/>
          <w:color w:val="auto"/>
          <w:sz w:val="21"/>
          <w:szCs w:val="21"/>
          <w:highlight w:val="none"/>
        </w:rPr>
        <w:t xml:space="preserve"> </w:t>
      </w:r>
    </w:p>
    <w:p w14:paraId="69F7B40F">
      <w:pPr>
        <w:jc w:val="center"/>
        <w:rPr>
          <w:color w:val="auto"/>
          <w:highlight w:val="none"/>
        </w:rPr>
      </w:pPr>
    </w:p>
    <w:p w14:paraId="74AD1364">
      <w:pPr>
        <w:pStyle w:val="3"/>
        <w:rPr>
          <w:color w:val="auto"/>
          <w:highlight w:val="none"/>
        </w:rPr>
      </w:pPr>
      <w:r>
        <w:rPr>
          <w:rFonts w:ascii="宋体" w:hAnsi="宋体"/>
          <w:color w:val="auto"/>
          <w:sz w:val="20"/>
          <w:highlight w:val="none"/>
        </w:rPr>
        <w:br w:type="page"/>
      </w:r>
      <w:bookmarkStart w:id="318" w:name="_Toc25445"/>
      <w:bookmarkStart w:id="319" w:name="_Toc20724"/>
      <w:r>
        <w:rPr>
          <w:rFonts w:hint="eastAsia"/>
          <w:color w:val="auto"/>
          <w:sz w:val="24"/>
          <w:szCs w:val="24"/>
          <w:highlight w:val="none"/>
        </w:rPr>
        <w:t>（二）</w:t>
      </w:r>
      <w:bookmarkEnd w:id="318"/>
      <w:bookmarkEnd w:id="319"/>
      <w:r>
        <w:rPr>
          <w:rFonts w:hint="eastAsia"/>
          <w:color w:val="auto"/>
          <w:sz w:val="24"/>
          <w:szCs w:val="24"/>
          <w:highlight w:val="none"/>
        </w:rPr>
        <w:t>供应商须具有良好的商业信誉和健全的财务会计制度</w:t>
      </w:r>
    </w:p>
    <w:p w14:paraId="1A4ABEAB">
      <w:pPr>
        <w:pStyle w:val="9"/>
        <w:keepNext w:val="0"/>
        <w:keepLines w:val="0"/>
        <w:pageBreakBefore w:val="0"/>
        <w:widowControl w:val="0"/>
        <w:kinsoku/>
        <w:wordWrap/>
        <w:overflowPunct/>
        <w:topLinePunct w:val="0"/>
        <w:autoSpaceDE w:val="0"/>
        <w:autoSpaceDN w:val="0"/>
        <w:bidi w:val="0"/>
        <w:adjustRightInd w:val="0"/>
        <w:snapToGrid/>
        <w:spacing w:line="6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rPr>
        <w:t>供应商须具有良好的商业信誉和健全的财务会计制度，供应商满足下列任一要求：（提供下述①～②项证明材料任意一种即可）</w:t>
      </w:r>
    </w:p>
    <w:p w14:paraId="3DD7F258">
      <w:pPr>
        <w:pStyle w:val="9"/>
        <w:keepNext w:val="0"/>
        <w:keepLines w:val="0"/>
        <w:pageBreakBefore w:val="0"/>
        <w:widowControl w:val="0"/>
        <w:kinsoku/>
        <w:wordWrap/>
        <w:overflowPunct/>
        <w:topLinePunct w:val="0"/>
        <w:autoSpaceDE w:val="0"/>
        <w:autoSpaceDN w:val="0"/>
        <w:bidi w:val="0"/>
        <w:adjustRightInd w:val="0"/>
        <w:snapToGrid/>
        <w:spacing w:line="600" w:lineRule="exact"/>
        <w:ind w:firstLine="420" w:firstLineChars="200"/>
        <w:textAlignment w:val="auto"/>
        <w:rPr>
          <w:rFonts w:hAnsi="宋体"/>
          <w:b/>
          <w:color w:val="auto"/>
          <w:sz w:val="21"/>
          <w:szCs w:val="21"/>
          <w:highlight w:val="none"/>
        </w:rPr>
      </w:pPr>
      <w:r>
        <w:rPr>
          <w:rFonts w:hint="eastAsia" w:hAnsi="宋体"/>
          <w:color w:val="auto"/>
          <w:sz w:val="21"/>
          <w:szCs w:val="21"/>
          <w:highlight w:val="none"/>
        </w:rPr>
        <w:t>①供应商须提供2023年度至2025年度任意一年的经第三方审计的财务报表（包括审计报告、资产负债表、利润表、现金流量表）或公司内部财务报表（至少包括资产负债表、利润表、现金流量表），成立不满1年的，提供自成立至今的财务报表（包括资产负债表、利润表、现金流量表）（若供应商为自然人的也可提供承诺函，若为非营利性单位或者社会团体或者其他机关事业单位也可提供以符合财务会计制度为准的证明材料或者提供承诺函）； ②提供在响应文件提交截止时间前三个月内银行开具的资信证明或银行存款证明。</w:t>
      </w:r>
    </w:p>
    <w:p w14:paraId="2C15E16E">
      <w:pPr>
        <w:overflowPunct w:val="0"/>
        <w:spacing w:line="360" w:lineRule="auto"/>
        <w:ind w:firstLine="560" w:firstLineChars="200"/>
        <w:rPr>
          <w:rFonts w:hint="eastAsia" w:hAnsi="宋体"/>
          <w:b/>
          <w:color w:val="auto"/>
          <w:sz w:val="28"/>
          <w:szCs w:val="28"/>
          <w:highlight w:val="none"/>
        </w:rPr>
      </w:pPr>
    </w:p>
    <w:p w14:paraId="1D0C5F48">
      <w:pPr>
        <w:pStyle w:val="9"/>
        <w:spacing w:line="600" w:lineRule="exact"/>
        <w:rPr>
          <w:rFonts w:hAnsi="宋体"/>
          <w:b/>
          <w:color w:val="auto"/>
          <w:sz w:val="28"/>
          <w:szCs w:val="28"/>
          <w:highlight w:val="none"/>
        </w:rPr>
      </w:pPr>
    </w:p>
    <w:p w14:paraId="5FFAC4E2">
      <w:pPr>
        <w:pStyle w:val="3"/>
        <w:rPr>
          <w:rFonts w:hint="eastAsia"/>
          <w:color w:val="auto"/>
          <w:sz w:val="24"/>
          <w:szCs w:val="24"/>
          <w:highlight w:val="none"/>
        </w:rPr>
      </w:pPr>
      <w:bookmarkStart w:id="320" w:name="_Toc10896"/>
      <w:r>
        <w:rPr>
          <w:rFonts w:hint="eastAsia"/>
          <w:color w:val="auto"/>
          <w:highlight w:val="none"/>
        </w:rPr>
        <w:br w:type="page"/>
      </w:r>
      <w:bookmarkStart w:id="321" w:name="_Toc17099"/>
      <w:r>
        <w:rPr>
          <w:rFonts w:hint="eastAsia"/>
          <w:color w:val="auto"/>
          <w:sz w:val="24"/>
          <w:szCs w:val="24"/>
          <w:highlight w:val="none"/>
        </w:rPr>
        <w:t>（三）</w:t>
      </w:r>
      <w:bookmarkEnd w:id="320"/>
      <w:bookmarkEnd w:id="321"/>
      <w:r>
        <w:rPr>
          <w:rFonts w:hint="eastAsia"/>
          <w:color w:val="auto"/>
          <w:sz w:val="24"/>
          <w:szCs w:val="24"/>
          <w:highlight w:val="none"/>
        </w:rPr>
        <w:t>具有履行合同所必需的设备和专业技术能力</w:t>
      </w:r>
    </w:p>
    <w:p w14:paraId="68BC5169">
      <w:pPr>
        <w:keepNext/>
        <w:keepLines/>
        <w:pageBreakBefore w:val="0"/>
        <w:widowControl w:val="0"/>
        <w:kinsoku/>
        <w:wordWrap/>
        <w:overflowPunct/>
        <w:topLinePunct w:val="0"/>
        <w:autoSpaceDE/>
        <w:autoSpaceDN/>
        <w:bidi w:val="0"/>
        <w:adjustRightInd/>
        <w:snapToGrid/>
        <w:jc w:val="center"/>
        <w:textAlignment w:val="auto"/>
        <w:outlineLvl w:val="9"/>
        <w:rPr>
          <w:color w:val="auto"/>
          <w:highlight w:val="none"/>
        </w:rPr>
      </w:pPr>
      <w:r>
        <w:rPr>
          <w:rFonts w:hint="eastAsia"/>
          <w:color w:val="auto"/>
          <w:sz w:val="24"/>
          <w:szCs w:val="24"/>
          <w:highlight w:val="none"/>
        </w:rPr>
        <w:t>（提供证明材料或书面承诺）</w:t>
      </w:r>
    </w:p>
    <w:p w14:paraId="0F04D646">
      <w:pPr>
        <w:pStyle w:val="3"/>
        <w:rPr>
          <w:rStyle w:val="28"/>
          <w:b w:val="0"/>
          <w:bCs w:val="0"/>
          <w:color w:val="auto"/>
          <w:highlight w:val="none"/>
        </w:rPr>
      </w:pPr>
      <w:r>
        <w:rPr>
          <w:rFonts w:hAnsi="宋体"/>
          <w:b w:val="0"/>
          <w:color w:val="auto"/>
          <w:sz w:val="28"/>
          <w:szCs w:val="28"/>
          <w:highlight w:val="none"/>
        </w:rPr>
        <w:br w:type="page"/>
      </w:r>
      <w:bookmarkStart w:id="322" w:name="_Toc31097"/>
      <w:bookmarkStart w:id="323" w:name="_Toc12478"/>
      <w:r>
        <w:rPr>
          <w:rFonts w:hint="eastAsia"/>
          <w:bCs w:val="0"/>
          <w:color w:val="auto"/>
          <w:sz w:val="24"/>
          <w:szCs w:val="24"/>
          <w:highlight w:val="none"/>
        </w:rPr>
        <w:t>（四）</w:t>
      </w:r>
      <w:bookmarkEnd w:id="322"/>
      <w:r>
        <w:rPr>
          <w:rFonts w:hint="eastAsia"/>
          <w:bCs w:val="0"/>
          <w:color w:val="auto"/>
          <w:sz w:val="24"/>
          <w:szCs w:val="24"/>
          <w:highlight w:val="none"/>
        </w:rPr>
        <w:t>有依法缴纳税收和社会保障资金的良好记录</w:t>
      </w:r>
    </w:p>
    <w:bookmarkEnd w:id="323"/>
    <w:p w14:paraId="6C03ED59">
      <w:pPr>
        <w:pStyle w:val="9"/>
        <w:spacing w:line="600" w:lineRule="exact"/>
        <w:rPr>
          <w:rFonts w:hAnsi="宋体"/>
          <w:b/>
          <w:color w:val="auto"/>
          <w:sz w:val="28"/>
          <w:szCs w:val="28"/>
          <w:highlight w:val="none"/>
        </w:rPr>
      </w:pPr>
    </w:p>
    <w:p w14:paraId="0FA469BD">
      <w:pPr>
        <w:spacing w:line="360" w:lineRule="auto"/>
        <w:ind w:firstLine="420" w:firstLineChars="200"/>
        <w:rPr>
          <w:rFonts w:hint="eastAsia" w:ascii="宋体" w:hAnsi="宋体"/>
          <w:color w:val="auto"/>
          <w:szCs w:val="21"/>
          <w:highlight w:val="none"/>
        </w:rPr>
      </w:pPr>
      <w:bookmarkStart w:id="324" w:name="_Toc10288"/>
      <w:r>
        <w:rPr>
          <w:rFonts w:hint="eastAsia" w:ascii="宋体" w:hAnsi="宋体"/>
          <w:color w:val="auto"/>
          <w:szCs w:val="21"/>
          <w:highlight w:val="none"/>
        </w:rPr>
        <w:t>（1）提供供应商缴税所属时间在202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07</w:t>
      </w:r>
      <w:r>
        <w:rPr>
          <w:rFonts w:hint="eastAsia" w:ascii="宋体" w:hAnsi="宋体"/>
          <w:color w:val="auto"/>
          <w:szCs w:val="21"/>
          <w:highlight w:val="none"/>
        </w:rPr>
        <w:t>月至本项目提交响应文件截止时间前任意1个月的税务局税收通用缴款书或银行电子缴税（费）凭证或税务局出具的纳税情况的相关证明；依法免税的，应提供依法免税的相关证明文件（加盖供应商公章）；至响应文件提交截止时间止成立不足1个月的供应商可提供相关情况说明（加盖供应商公章）；</w:t>
      </w:r>
    </w:p>
    <w:p w14:paraId="0D4CC9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（2）提供供应商缴费所属时间在202</w:t>
      </w:r>
      <w:r>
        <w:rPr>
          <w:rFonts w:hint="eastAsia" w:ascii="宋体" w:hAnsi="宋体"/>
          <w:color w:val="auto"/>
          <w:szCs w:val="21"/>
          <w:highlight w:val="none"/>
          <w:lang w:val="en-US" w:eastAsia="zh-CN"/>
        </w:rPr>
        <w:t>5</w:t>
      </w:r>
      <w:r>
        <w:rPr>
          <w:rFonts w:hint="eastAsia" w:ascii="宋体" w:hAnsi="宋体"/>
          <w:color w:val="auto"/>
          <w:szCs w:val="21"/>
          <w:highlight w:val="none"/>
        </w:rPr>
        <w:t>年0</w:t>
      </w:r>
      <w:r>
        <w:rPr>
          <w:rFonts w:hint="eastAsia" w:ascii="宋体" w:hAnsi="宋体"/>
          <w:color w:val="auto"/>
          <w:szCs w:val="21"/>
          <w:highlight w:val="none"/>
          <w:lang w:val="en-US" w:eastAsia="zh-CN"/>
        </w:rPr>
        <w:t>7</w:t>
      </w:r>
      <w:r>
        <w:rPr>
          <w:rFonts w:hint="eastAsia" w:ascii="宋体" w:hAnsi="宋体"/>
          <w:color w:val="auto"/>
          <w:szCs w:val="21"/>
          <w:highlight w:val="none"/>
        </w:rPr>
        <w:t>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163A3421">
      <w:pPr>
        <w:pStyle w:val="3"/>
        <w:rPr>
          <w:color w:val="auto"/>
          <w:highlight w:val="none"/>
        </w:rPr>
      </w:pPr>
      <w:r>
        <w:rPr>
          <w:rFonts w:hint="eastAsia"/>
          <w:color w:val="auto"/>
          <w:highlight w:val="none"/>
        </w:rPr>
        <w:br w:type="page"/>
      </w:r>
      <w:bookmarkStart w:id="325" w:name="_Toc23153"/>
      <w:r>
        <w:rPr>
          <w:rFonts w:hint="eastAsia"/>
          <w:bCs w:val="0"/>
          <w:color w:val="auto"/>
          <w:sz w:val="24"/>
          <w:szCs w:val="24"/>
          <w:highlight w:val="none"/>
        </w:rPr>
        <w:t>（五）</w:t>
      </w:r>
      <w:bookmarkEnd w:id="324"/>
      <w:bookmarkEnd w:id="325"/>
      <w:r>
        <w:rPr>
          <w:rFonts w:hint="eastAsia"/>
          <w:bCs w:val="0"/>
          <w:color w:val="auto"/>
          <w:sz w:val="24"/>
          <w:szCs w:val="24"/>
          <w:highlight w:val="none"/>
        </w:rPr>
        <w:t>参加政府采购活动前三年内，在经营活动中没有重大违法记录</w:t>
      </w:r>
    </w:p>
    <w:p w14:paraId="62FC0F5B">
      <w:pPr>
        <w:pStyle w:val="9"/>
        <w:spacing w:line="600" w:lineRule="exact"/>
        <w:rPr>
          <w:rFonts w:hAnsi="宋体"/>
          <w:b/>
          <w:color w:val="auto"/>
          <w:sz w:val="28"/>
          <w:szCs w:val="28"/>
          <w:highlight w:val="none"/>
        </w:rPr>
      </w:pPr>
    </w:p>
    <w:p w14:paraId="4F0229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p>
    <w:p w14:paraId="11CFE065">
      <w:pPr>
        <w:pStyle w:val="9"/>
        <w:spacing w:line="600" w:lineRule="exact"/>
        <w:rPr>
          <w:rFonts w:hAnsi="宋体"/>
          <w:color w:val="auto"/>
          <w:sz w:val="24"/>
          <w:highlight w:val="none"/>
        </w:rPr>
      </w:pPr>
    </w:p>
    <w:p w14:paraId="0DB22A13">
      <w:pPr>
        <w:pStyle w:val="3"/>
        <w:rPr>
          <w:color w:val="auto"/>
          <w:highlight w:val="none"/>
        </w:rPr>
      </w:pPr>
      <w:bookmarkStart w:id="326" w:name="_Toc28583"/>
      <w:r>
        <w:rPr>
          <w:rFonts w:hint="eastAsia"/>
          <w:color w:val="auto"/>
          <w:highlight w:val="none"/>
        </w:rPr>
        <w:br w:type="page"/>
      </w:r>
      <w:bookmarkStart w:id="327" w:name="_Toc2277"/>
      <w:r>
        <w:rPr>
          <w:rFonts w:hint="eastAsia"/>
          <w:bCs w:val="0"/>
          <w:color w:val="auto"/>
          <w:sz w:val="24"/>
          <w:szCs w:val="24"/>
          <w:highlight w:val="none"/>
        </w:rPr>
        <w:t>（六）</w:t>
      </w:r>
      <w:bookmarkEnd w:id="326"/>
      <w:bookmarkEnd w:id="327"/>
      <w:r>
        <w:rPr>
          <w:rFonts w:hint="eastAsia"/>
          <w:bCs w:val="0"/>
          <w:color w:val="auto"/>
          <w:sz w:val="24"/>
          <w:szCs w:val="24"/>
          <w:highlight w:val="none"/>
        </w:rPr>
        <w:t>法律、行政法规规定的其他条件</w:t>
      </w:r>
    </w:p>
    <w:p w14:paraId="21B8EC35">
      <w:pPr>
        <w:ind w:firstLine="4410" w:firstLineChars="2100"/>
        <w:rPr>
          <w:rFonts w:ascii="宋体" w:hAnsi="宋体"/>
          <w:color w:val="auto"/>
          <w:highlight w:val="none"/>
        </w:rPr>
      </w:pPr>
    </w:p>
    <w:p w14:paraId="78B950F3">
      <w:pPr>
        <w:ind w:firstLine="4410" w:firstLineChars="2100"/>
        <w:rPr>
          <w:rFonts w:ascii="宋体" w:hAnsi="宋体"/>
          <w:color w:val="auto"/>
          <w:sz w:val="21"/>
          <w:szCs w:val="21"/>
          <w:highlight w:val="none"/>
        </w:rPr>
      </w:pPr>
    </w:p>
    <w:p w14:paraId="223F77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在本项目响应文件提交截止时间前在信用中国网站（www.creditchina.gov.cn）“信用信息”查询栏中查询下载的信用报告或“信用服务”查询栏中查询的信息记录（包括失信被执行人查询、重大税收违法失信主体查询、政府采购严重违法失信行为记录名单）未出现不良信用信息查询记录（查询时间为本公告发布之日起至提交响应文件截止时间止，查询结果以采购人、采购代理机构查询结果为准，并将查询记录和证据留存）；</w:t>
      </w:r>
    </w:p>
    <w:p w14:paraId="647601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在本项目响应文件提交截止时间前在中国政府采购网（www.ccgp.gov.cn）政府采购严重违法失信行为记录名单内无不良信息记录，被禁止在一定期限内参加政府采购活动但期限届满的除外（查询时间为本公告发布之日起至提交响应文件截止时间止，查询结果以采购人、采购代理机构查询结果为准，并将查询记录和证据留存）；</w:t>
      </w:r>
    </w:p>
    <w:p w14:paraId="5FE5C9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（3）单位负责人为同一人或者存在直接控股、管理关系的不同供应商，不得参加同一合同项下的政府采购活动（提供供应商加盖公章书面声明）；</w:t>
      </w:r>
    </w:p>
    <w:p w14:paraId="49D4AC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（4）为采购项目提供整体设计、规范编制或者项目管理、监理、检测等服务的供应商，不得再参加该采购项目的其他采购活动（提供供应商加盖公章的书面声明）。</w:t>
      </w:r>
    </w:p>
    <w:p w14:paraId="4F7CC12F">
      <w:pPr>
        <w:spacing w:line="360" w:lineRule="auto"/>
        <w:jc w:val="left"/>
        <w:rPr>
          <w:rFonts w:ascii="宋体" w:hAnsi="宋体"/>
          <w:color w:val="auto"/>
          <w:sz w:val="21"/>
          <w:szCs w:val="21"/>
          <w:highlight w:val="none"/>
        </w:rPr>
      </w:pPr>
    </w:p>
    <w:p w14:paraId="50FF31CD">
      <w:pPr>
        <w:spacing w:line="360" w:lineRule="auto"/>
        <w:jc w:val="left"/>
        <w:rPr>
          <w:rFonts w:ascii="宋体" w:hAnsi="宋体"/>
          <w:color w:val="auto"/>
          <w:sz w:val="21"/>
          <w:szCs w:val="21"/>
          <w:highlight w:val="none"/>
        </w:rPr>
      </w:pPr>
    </w:p>
    <w:p w14:paraId="23E6E688">
      <w:pPr>
        <w:rPr>
          <w:color w:val="auto"/>
          <w:sz w:val="21"/>
          <w:szCs w:val="21"/>
          <w:highlight w:val="none"/>
        </w:rPr>
      </w:pPr>
    </w:p>
    <w:p w14:paraId="72352F89">
      <w:pPr>
        <w:pStyle w:val="3"/>
        <w:rPr>
          <w:rStyle w:val="28"/>
          <w:rFonts w:hint="eastAsia"/>
          <w:b w:val="0"/>
          <w:bCs w:val="0"/>
          <w:color w:val="auto"/>
          <w:highlight w:val="none"/>
        </w:rPr>
      </w:pPr>
      <w:r>
        <w:rPr>
          <w:rFonts w:hint="eastAsia"/>
          <w:color w:val="auto"/>
          <w:highlight w:val="none"/>
        </w:rPr>
        <w:br w:type="page"/>
      </w:r>
      <w:bookmarkStart w:id="328" w:name="_Toc10323"/>
      <w:r>
        <w:rPr>
          <w:rFonts w:hint="eastAsia"/>
          <w:color w:val="auto"/>
          <w:sz w:val="24"/>
          <w:szCs w:val="24"/>
          <w:highlight w:val="none"/>
        </w:rPr>
        <w:t>（七）</w:t>
      </w:r>
      <w:bookmarkEnd w:id="328"/>
      <w:r>
        <w:rPr>
          <w:rFonts w:hint="eastAsia"/>
          <w:color w:val="auto"/>
          <w:sz w:val="24"/>
          <w:szCs w:val="24"/>
          <w:highlight w:val="none"/>
        </w:rPr>
        <w:t>本项目的特定资格要求</w:t>
      </w:r>
    </w:p>
    <w:p w14:paraId="57F94B3B">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7.1供应商应同时具备以下资格条件</w:t>
      </w:r>
    </w:p>
    <w:p w14:paraId="301B4557">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供应商具有合法有效的律师事务所执业许可证，若为分所或分支机构参加</w:t>
      </w:r>
      <w:r>
        <w:rPr>
          <w:rFonts w:hint="eastAsia" w:ascii="宋体" w:hAnsi="宋体"/>
          <w:color w:val="auto"/>
          <w:szCs w:val="21"/>
          <w:highlight w:val="none"/>
          <w:lang w:val="en-US" w:eastAsia="zh-CN"/>
        </w:rPr>
        <w:t>竞争性磋商</w:t>
      </w:r>
      <w:r>
        <w:rPr>
          <w:rFonts w:hint="eastAsia" w:ascii="宋体" w:hAnsi="宋体"/>
          <w:color w:val="auto"/>
          <w:szCs w:val="21"/>
          <w:highlight w:val="none"/>
        </w:rPr>
        <w:t>，须获得总所的唯一授权，并提供分所的执业许可证及总所的业务许可证（注：总所可以一次授权或总体授权，同一个事务所的多家分所或分支机构不可同时参与本项目磋商）</w:t>
      </w:r>
      <w:r>
        <w:rPr>
          <w:rFonts w:hint="eastAsia" w:ascii="宋体" w:hAnsi="宋体"/>
          <w:color w:val="auto"/>
          <w:szCs w:val="21"/>
          <w:highlight w:val="none"/>
          <w:lang w:eastAsia="zh-CN"/>
        </w:rPr>
        <w:t>（提供复印件加盖公章）；</w:t>
      </w:r>
    </w:p>
    <w:p w14:paraId="3FE58030">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）供应商须具有财政部门颁发的合法有效的《会计师事务所执业证书》，若为分所参加竞争性磋商，须获得总所的唯一授权，</w:t>
      </w:r>
      <w:r>
        <w:rPr>
          <w:rFonts w:hint="eastAsia" w:ascii="宋体" w:hAnsi="宋体"/>
          <w:color w:val="auto"/>
          <w:szCs w:val="21"/>
          <w:highlight w:val="none"/>
          <w:lang w:val="en-US" w:eastAsia="zh-CN"/>
        </w:rPr>
        <w:t>并</w:t>
      </w:r>
      <w:r>
        <w:rPr>
          <w:rFonts w:hint="eastAsia" w:ascii="宋体" w:hAnsi="宋体"/>
          <w:color w:val="auto"/>
          <w:szCs w:val="21"/>
          <w:highlight w:val="none"/>
          <w:lang w:eastAsia="zh-CN"/>
        </w:rPr>
        <w:t>提供分所的《会计师事务所执业证书》（注：总所可以一次授权或总体授权，同一个事务所的多家分所不可同时参与本项目磋商）（提供复印件加盖公章）；</w:t>
      </w:r>
    </w:p>
    <w:p w14:paraId="4594FCDA">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供应商已根据《财政部关于做好资产评估机构备案管理工作的通知》（财资〔2017〕26号）及《自然资源部办公厅关于土地估价机构备案工作的通知》自然资办发〔2022〕42号的要求完成资产评估机构备案及</w:t>
      </w:r>
      <w:r>
        <w:rPr>
          <w:rFonts w:hint="eastAsia" w:ascii="宋体" w:hAnsi="宋体"/>
          <w:color w:val="auto"/>
          <w:szCs w:val="21"/>
          <w:highlight w:val="none"/>
          <w:lang w:eastAsia="zh-CN"/>
        </w:rPr>
        <w:t>土地估价机构备案，</w:t>
      </w:r>
      <w:r>
        <w:rPr>
          <w:rFonts w:hint="eastAsia" w:ascii="宋体" w:hAnsi="宋体"/>
          <w:color w:val="auto"/>
          <w:szCs w:val="21"/>
          <w:highlight w:val="none"/>
          <w:lang w:val="en-US" w:eastAsia="zh-CN"/>
        </w:rPr>
        <w:t>并提供备案</w:t>
      </w:r>
      <w:r>
        <w:rPr>
          <w:rFonts w:hint="eastAsia" w:ascii="宋体" w:hAnsi="宋体"/>
          <w:color w:val="auto"/>
          <w:szCs w:val="21"/>
          <w:highlight w:val="none"/>
          <w:lang w:eastAsia="zh-CN"/>
        </w:rPr>
        <w:t>证明材料（提供复印件加盖公章）。</w:t>
      </w:r>
    </w:p>
    <w:p w14:paraId="5FDA38F4">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7F7E8590">
      <w:pPr>
        <w:spacing w:line="360" w:lineRule="auto"/>
        <w:ind w:firstLine="420" w:firstLineChars="200"/>
        <w:rPr>
          <w:rFonts w:hint="eastAsia"/>
          <w:color w:val="auto"/>
          <w:sz w:val="24"/>
          <w:szCs w:val="24"/>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.2本项目接受联合体参与，以联合体参与</w:t>
      </w:r>
      <w:r>
        <w:rPr>
          <w:rFonts w:hint="eastAsia" w:ascii="宋体" w:hAnsi="宋体"/>
          <w:color w:val="auto"/>
          <w:szCs w:val="21"/>
          <w:highlight w:val="none"/>
          <w:lang w:val="en-US" w:eastAsia="zh-CN"/>
        </w:rPr>
        <w:t>磋商</w:t>
      </w:r>
      <w:r>
        <w:rPr>
          <w:rFonts w:hint="eastAsia" w:ascii="宋体" w:hAnsi="宋体"/>
          <w:color w:val="auto"/>
          <w:szCs w:val="21"/>
          <w:highlight w:val="none"/>
          <w:lang w:eastAsia="zh-CN"/>
        </w:rPr>
        <w:t>的牵头人及联合体成员总数不得超过</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家；联合体成员应按采购文件提供的格式签订联合体协议，明确联合体牵头单位和各方权利义务，联合体各成员在</w:t>
      </w:r>
      <w:r>
        <w:rPr>
          <w:rFonts w:hint="eastAsia" w:ascii="宋体" w:hAnsi="宋体"/>
          <w:color w:val="auto"/>
          <w:szCs w:val="21"/>
          <w:highlight w:val="none"/>
          <w:lang w:val="en-US" w:eastAsia="zh-CN"/>
        </w:rPr>
        <w:t>磋商</w:t>
      </w:r>
      <w:r>
        <w:rPr>
          <w:rFonts w:hint="eastAsia" w:ascii="宋体" w:hAnsi="宋体"/>
          <w:color w:val="auto"/>
          <w:szCs w:val="21"/>
          <w:highlight w:val="none"/>
          <w:lang w:eastAsia="zh-CN"/>
        </w:rPr>
        <w:t>、签约与履行合同过程中，依法向采购人承担连带责任。以联合体形式参加磋商的，联合体各方不得再单独参加或者与其他供应商另外组成联合体参加同一合同项下磋商</w:t>
      </w:r>
      <w:bookmarkStart w:id="329" w:name="_Toc20780"/>
      <w:r>
        <w:rPr>
          <w:rFonts w:hint="eastAsia" w:ascii="宋体" w:hAnsi="宋体"/>
          <w:color w:val="auto"/>
          <w:szCs w:val="21"/>
          <w:highlight w:val="none"/>
          <w:lang w:eastAsia="zh-CN"/>
        </w:rPr>
        <w:t>。</w:t>
      </w:r>
    </w:p>
    <w:p w14:paraId="4B834751">
      <w:pPr>
        <w:keepNext w:val="0"/>
        <w:keepLines w:val="0"/>
        <w:pageBreakBefore w:val="0"/>
        <w:widowControl w:val="0"/>
        <w:kinsoku/>
        <w:wordWrap/>
        <w:overflowPunct/>
        <w:topLinePunct w:val="0"/>
        <w:autoSpaceDE/>
        <w:autoSpaceDN/>
        <w:bidi w:val="0"/>
        <w:adjustRightInd/>
        <w:snapToGrid/>
        <w:spacing w:line="440" w:lineRule="exact"/>
        <w:ind w:firstLine="422"/>
        <w:jc w:val="center"/>
        <w:textAlignment w:val="auto"/>
        <w:rPr>
          <w:rFonts w:hint="eastAsia" w:ascii="Times New Roman" w:hAnsi="Times New Roman" w:eastAsia="黑体" w:cs="Times New Roman"/>
          <w:color w:val="auto"/>
          <w:sz w:val="28"/>
          <w:szCs w:val="28"/>
          <w:highlight w:val="none"/>
          <w:lang w:eastAsia="zh-CN"/>
        </w:rPr>
      </w:pPr>
      <w:r>
        <w:rPr>
          <w:rFonts w:hint="eastAsia" w:ascii="Times New Roman" w:hAnsi="Times New Roman" w:eastAsia="黑体" w:cs="Times New Roman"/>
          <w:color w:val="auto"/>
          <w:sz w:val="28"/>
          <w:szCs w:val="28"/>
          <w:highlight w:val="none"/>
          <w:lang w:eastAsia="zh-CN"/>
        </w:rPr>
        <w:t>联合体协议</w:t>
      </w:r>
    </w:p>
    <w:p w14:paraId="1A3BD72F">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bookmarkStart w:id="330" w:name="OLE_LINK352"/>
      <w:r>
        <w:rPr>
          <w:rFonts w:hint="eastAsia" w:ascii="宋体" w:hAnsi="宋体" w:eastAsia="宋体" w:cs="宋体"/>
          <w:b w:val="0"/>
          <w:bCs w:val="0"/>
          <w:color w:val="auto"/>
          <w:sz w:val="21"/>
          <w:szCs w:val="21"/>
          <w:highlight w:val="none"/>
          <w:lang w:eastAsia="zh-CN"/>
        </w:rPr>
        <w:t>（如有）</w:t>
      </w:r>
    </w:p>
    <w:bookmarkEnd w:id="330"/>
    <w:p w14:paraId="32D5006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就共同参与“</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color w:val="auto"/>
          <w:kern w:val="0"/>
          <w:sz w:val="21"/>
          <w:szCs w:val="21"/>
          <w:highlight w:val="none"/>
          <w:lang w:val="en-US" w:eastAsia="zh-CN" w:bidi="ar"/>
        </w:rPr>
        <w:t xml:space="preserve">”的竞争性磋商事宜，经各方充分协商一致，达成如下协议： </w:t>
      </w:r>
    </w:p>
    <w:p w14:paraId="38EE128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一、由</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牵头，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参加，组成联合体共同参与磋商。 </w:t>
      </w:r>
    </w:p>
    <w:p w14:paraId="01C07FF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二、中标/成交后，联合体各方共同与采购人签订合同，就采购合同约定的事项对采购人承担连带责任。 </w:t>
      </w:r>
    </w:p>
    <w:p w14:paraId="15E54FF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三、联合体各方均同意由牵头人代表其他联合体成员单位按竞争性磋商文件要求出具《授权委托书》。</w:t>
      </w:r>
    </w:p>
    <w:p w14:paraId="32B230A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四、牵头人为项目的总负责单位；组织各参加方进行项目实施工作。 </w:t>
      </w:r>
    </w:p>
    <w:p w14:paraId="37376B6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负责</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，具体工作范围、内容以响应文件及合同为准。 </w:t>
      </w:r>
    </w:p>
    <w:p w14:paraId="647C4E8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六、</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负责</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，具体工作范围、内容以响应文件及合同为准。 </w:t>
      </w:r>
    </w:p>
    <w:p w14:paraId="453DE03A">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负责</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（如有），具体工作范围、内容以响应文件及合同为准。 </w:t>
      </w:r>
    </w:p>
    <w:p w14:paraId="0D0289D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八、本项目联合体各成员按照如下比例分摊（按联合体成员分别列明）： </w:t>
      </w:r>
    </w:p>
    <w:p w14:paraId="122CF89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为□大型企业、□中型企业、□小微企业（包含监狱企业、残疾人福利性单位）、□其他，合同金额占比为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C3038C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为□大型企业、□中型企业、□小微企业（包含监狱企业、残疾人福利性单位）、□其他，合同金额为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4691800">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为□大型企业、□中型企业、□小微企业（包含监狱企业、残疾人福利性单位）、□其他，合同金额为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685F82D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九、以联合体形式参加政府采购活动的，联合体各方不得再单独参加或者与其他</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 xml:space="preserve">另外组成联合体参加同一合同项下的政府采购活动。 </w:t>
      </w:r>
    </w:p>
    <w:p w14:paraId="29D8F6E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十、其他约定（如有）：</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14:paraId="26FD007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本协议自各方盖章后生效，采购合同履行完毕后自动失效。如未中标，本协议自动终止。</w:t>
      </w:r>
    </w:p>
    <w:p w14:paraId="151DA1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联合体牵头人名称：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 xml:space="preserve">        </w:t>
      </w:r>
    </w:p>
    <w:p w14:paraId="375A2D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盖章：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 xml:space="preserve">                        </w:t>
      </w:r>
    </w:p>
    <w:p w14:paraId="6693ED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bidi="ar"/>
        </w:rPr>
      </w:pPr>
    </w:p>
    <w:p w14:paraId="70ED20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联合体成员名称：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p>
    <w:p w14:paraId="2D4082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盖章：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 xml:space="preserve"> </w:t>
      </w:r>
    </w:p>
    <w:p w14:paraId="5E6717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p>
    <w:p w14:paraId="31D311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联合体成员名称：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p>
    <w:p w14:paraId="0A5917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盖章：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p>
    <w:p w14:paraId="7ED3B473">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日期：</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日 </w:t>
      </w:r>
    </w:p>
    <w:p w14:paraId="68E59F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 xml:space="preserve"> </w:t>
      </w:r>
    </w:p>
    <w:p w14:paraId="3531E8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1.如本项目（包）接受</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以联合体形式参加采购活动，且</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以联合体形式参与时，须提供《联合体协议》，否则</w:t>
      </w:r>
      <w:r>
        <w:rPr>
          <w:rFonts w:hint="eastAsia" w:ascii="宋体" w:hAnsi="宋体" w:eastAsia="宋体" w:cs="宋体"/>
          <w:b/>
          <w:bCs/>
          <w:color w:val="auto"/>
          <w:kern w:val="0"/>
          <w:sz w:val="21"/>
          <w:szCs w:val="21"/>
          <w:highlight w:val="none"/>
          <w:lang w:val="en-US" w:eastAsia="zh-CN" w:bidi="ar"/>
        </w:rPr>
        <w:t>响应无效</w:t>
      </w:r>
      <w:r>
        <w:rPr>
          <w:rFonts w:hint="eastAsia" w:ascii="宋体" w:hAnsi="宋体" w:eastAsia="宋体" w:cs="宋体"/>
          <w:color w:val="auto"/>
          <w:kern w:val="0"/>
          <w:sz w:val="21"/>
          <w:szCs w:val="21"/>
          <w:highlight w:val="none"/>
          <w:lang w:val="en-US" w:eastAsia="zh-CN" w:bidi="ar"/>
        </w:rPr>
        <w:t xml:space="preserve">。 </w:t>
      </w:r>
    </w:p>
    <w:p w14:paraId="61DADF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2.联合体各方成员需在本协议上共同盖章</w:t>
      </w:r>
      <w:r>
        <w:rPr>
          <w:rFonts w:hint="eastAsia" w:ascii="宋体" w:hAnsi="宋体" w:cs="宋体"/>
          <w:color w:val="auto"/>
          <w:kern w:val="0"/>
          <w:sz w:val="21"/>
          <w:szCs w:val="21"/>
          <w:highlight w:val="none"/>
          <w:lang w:val="en-US" w:eastAsia="zh-CN" w:bidi="ar"/>
        </w:rPr>
        <w:t>后提交</w:t>
      </w:r>
      <w:r>
        <w:rPr>
          <w:rFonts w:hint="eastAsia" w:ascii="宋体" w:hAnsi="宋体" w:cs="宋体"/>
          <w:b/>
          <w:bCs/>
          <w:color w:val="auto"/>
          <w:highlight w:val="none"/>
          <w:lang w:eastAsia="zh-CN"/>
        </w:rPr>
        <w:t>原件的</w:t>
      </w:r>
      <w:r>
        <w:rPr>
          <w:rFonts w:hint="eastAsia" w:ascii="宋体" w:hAnsi="宋体" w:cs="宋体"/>
          <w:b/>
          <w:bCs/>
          <w:color w:val="auto"/>
          <w:highlight w:val="none"/>
        </w:rPr>
        <w:t>扫描件</w:t>
      </w:r>
      <w:r>
        <w:rPr>
          <w:rFonts w:hint="eastAsia" w:ascii="宋体" w:hAnsi="宋体" w:cs="宋体"/>
          <w:b/>
          <w:bCs/>
          <w:color w:val="auto"/>
          <w:highlight w:val="none"/>
          <w:lang w:eastAsia="zh-CN"/>
        </w:rPr>
        <w:t>或</w:t>
      </w:r>
      <w:r>
        <w:rPr>
          <w:rFonts w:hint="eastAsia" w:ascii="宋体" w:hAnsi="宋体" w:cs="宋体"/>
          <w:b/>
          <w:bCs/>
          <w:color w:val="auto"/>
          <w:highlight w:val="none"/>
          <w:lang w:val="en-US" w:eastAsia="zh-CN"/>
        </w:rPr>
        <w:t>照片等</w:t>
      </w:r>
      <w:r>
        <w:rPr>
          <w:rFonts w:hint="eastAsia" w:ascii="宋体" w:hAnsi="宋体" w:cs="宋体"/>
          <w:b/>
          <w:bCs/>
          <w:color w:val="auto"/>
          <w:highlight w:val="none"/>
          <w:lang w:eastAsia="zh-CN"/>
        </w:rPr>
        <w:t>电子件</w:t>
      </w:r>
      <w:r>
        <w:rPr>
          <w:rFonts w:hint="eastAsia" w:ascii="宋体" w:hAnsi="宋体" w:cs="宋体"/>
          <w:b w:val="0"/>
          <w:bCs w:val="0"/>
          <w:color w:val="auto"/>
          <w:highlight w:val="none"/>
          <w:lang w:eastAsia="zh-CN"/>
        </w:rPr>
        <w:t>。</w:t>
      </w:r>
    </w:p>
    <w:p w14:paraId="3106D3A3">
      <w:pPr>
        <w:pStyle w:val="3"/>
        <w:rPr>
          <w:rFonts w:hint="eastAsia"/>
          <w:color w:val="auto"/>
          <w:sz w:val="28"/>
          <w:szCs w:val="28"/>
          <w:highlight w:val="none"/>
        </w:rPr>
      </w:pPr>
      <w:r>
        <w:rPr>
          <w:rFonts w:hint="eastAsia"/>
          <w:color w:val="auto"/>
          <w:sz w:val="28"/>
          <w:szCs w:val="28"/>
          <w:highlight w:val="none"/>
        </w:rPr>
        <w:br w:type="page"/>
      </w:r>
      <w:bookmarkStart w:id="331" w:name="_Toc19911"/>
      <w:r>
        <w:rPr>
          <w:rFonts w:hint="eastAsia" w:ascii="Times New Roman" w:hAnsi="Times New Roman"/>
          <w:bCs w:val="0"/>
          <w:color w:val="auto"/>
          <w:kern w:val="2"/>
          <w:sz w:val="28"/>
          <w:highlight w:val="none"/>
        </w:rPr>
        <w:t>二、商务及报价部分</w:t>
      </w:r>
      <w:bookmarkEnd w:id="331"/>
    </w:p>
    <w:p w14:paraId="065DC4CE">
      <w:pPr>
        <w:pStyle w:val="3"/>
        <w:rPr>
          <w:color w:val="auto"/>
          <w:sz w:val="24"/>
          <w:szCs w:val="24"/>
          <w:highlight w:val="none"/>
        </w:rPr>
      </w:pPr>
      <w:bookmarkStart w:id="332" w:name="_Toc11246"/>
      <w:r>
        <w:rPr>
          <w:rFonts w:hint="eastAsia"/>
          <w:color w:val="auto"/>
          <w:sz w:val="24"/>
          <w:szCs w:val="24"/>
          <w:highlight w:val="none"/>
        </w:rPr>
        <w:t>（一）磋商申请函</w:t>
      </w:r>
      <w:bookmarkEnd w:id="329"/>
      <w:bookmarkEnd w:id="332"/>
    </w:p>
    <w:p w14:paraId="222C448F">
      <w:pPr>
        <w:spacing w:line="360" w:lineRule="auto"/>
        <w:jc w:val="left"/>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p>
    <w:p w14:paraId="0520BCBB">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我方仔细研究了</w:t>
      </w:r>
      <w:r>
        <w:rPr>
          <w:rFonts w:hint="eastAsia" w:ascii="宋体" w:hAnsi="宋体"/>
          <w:color w:val="auto"/>
          <w:szCs w:val="21"/>
          <w:highlight w:val="none"/>
          <w:u w:val="single"/>
        </w:rPr>
        <w:t>（采购项目名称）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）项目竞争性磋商文件的全部内容，现决定参加磋商，并上传电子响应文件。</w:t>
      </w:r>
    </w:p>
    <w:p w14:paraId="2D666800">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据此申请书，签字人兹宣布同意如下：</w:t>
      </w:r>
    </w:p>
    <w:p w14:paraId="7A637321">
      <w:pPr>
        <w:spacing w:line="360" w:lineRule="auto"/>
        <w:ind w:firstLine="420" w:firstLineChars="200"/>
        <w:jc w:val="left"/>
        <w:rPr>
          <w:rFonts w:ascii="宋体"/>
          <w:color w:val="auto"/>
          <w:szCs w:val="21"/>
          <w:highlight w:val="none"/>
        </w:rPr>
      </w:pPr>
      <w:r>
        <w:rPr>
          <w:rFonts w:hint="eastAsia" w:ascii="宋体"/>
          <w:color w:val="auto"/>
          <w:szCs w:val="21"/>
          <w:highlight w:val="none"/>
        </w:rPr>
        <w:t xml:space="preserve">1. </w:t>
      </w:r>
      <w:r>
        <w:rPr>
          <w:rFonts w:hint="eastAsia" w:ascii="宋体" w:hAnsi="宋体"/>
          <w:color w:val="auto"/>
          <w:szCs w:val="21"/>
          <w:highlight w:val="none"/>
        </w:rPr>
        <w:t>我方同意</w:t>
      </w:r>
      <w:r>
        <w:rPr>
          <w:rFonts w:hint="eastAsia" w:ascii="宋体"/>
          <w:color w:val="auto"/>
          <w:szCs w:val="21"/>
          <w:highlight w:val="none"/>
        </w:rPr>
        <w:t>将按竞争性磋商文件的规定履行合同责任和义务，并按最终报价承接本项目。</w:t>
      </w:r>
    </w:p>
    <w:p w14:paraId="69434069">
      <w:pPr>
        <w:spacing w:line="360" w:lineRule="auto"/>
        <w:ind w:firstLine="420" w:firstLineChars="200"/>
        <w:jc w:val="left"/>
        <w:rPr>
          <w:rFonts w:ascii="宋体"/>
          <w:color w:val="auto"/>
          <w:szCs w:val="21"/>
          <w:highlight w:val="none"/>
        </w:rPr>
      </w:pPr>
      <w:r>
        <w:rPr>
          <w:rFonts w:hint="eastAsia" w:ascii="宋体"/>
          <w:color w:val="auto"/>
          <w:szCs w:val="21"/>
          <w:highlight w:val="none"/>
        </w:rPr>
        <w:t xml:space="preserve">2. </w:t>
      </w:r>
      <w:r>
        <w:rPr>
          <w:rFonts w:hint="eastAsia" w:ascii="宋体" w:hAnsi="宋体"/>
          <w:color w:val="auto"/>
          <w:szCs w:val="21"/>
          <w:highlight w:val="none"/>
        </w:rPr>
        <w:t>我方</w:t>
      </w:r>
      <w:r>
        <w:rPr>
          <w:rFonts w:hint="eastAsia" w:ascii="宋体"/>
          <w:color w:val="auto"/>
          <w:szCs w:val="21"/>
          <w:highlight w:val="none"/>
        </w:rPr>
        <w:t>已详细审查全部竞争性磋商文件，包括修改文件以及全部参考资料和所有附件。我们完全理解并认为该磋商文件公平公正，不存在倾向性，且同意放弃对这方面有不明及误解的权利。</w:t>
      </w:r>
    </w:p>
    <w:p w14:paraId="16E17413">
      <w:pPr>
        <w:spacing w:line="360" w:lineRule="auto"/>
        <w:ind w:firstLine="420" w:firstLineChars="200"/>
        <w:jc w:val="left"/>
        <w:rPr>
          <w:rFonts w:ascii="宋体"/>
          <w:color w:val="auto"/>
          <w:szCs w:val="21"/>
          <w:highlight w:val="none"/>
        </w:rPr>
      </w:pPr>
      <w:r>
        <w:rPr>
          <w:rFonts w:hint="eastAsia" w:ascii="宋体"/>
          <w:color w:val="auto"/>
          <w:szCs w:val="21"/>
          <w:highlight w:val="none"/>
        </w:rPr>
        <w:t>3. 我方响应文件有效期为自磋商之日起90天。</w:t>
      </w:r>
    </w:p>
    <w:p w14:paraId="56F14AF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4．我方同意供应商须知中关于没收保证金的规定。</w:t>
      </w:r>
    </w:p>
    <w:p w14:paraId="4EB32DE8">
      <w:pPr>
        <w:spacing w:line="360" w:lineRule="auto"/>
        <w:ind w:firstLine="420" w:firstLineChars="200"/>
        <w:jc w:val="left"/>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．同意应贵方要求提供与本次磋商有关的任何数据和资料，并保证数据和资料的完整性和真实性。</w:t>
      </w:r>
    </w:p>
    <w:p w14:paraId="24963C8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 我方完全理解贵方不一定要接受最低报价的供应商为成交供应商的行为。</w:t>
      </w:r>
    </w:p>
    <w:p w14:paraId="2C056A07">
      <w:pPr>
        <w:spacing w:line="360" w:lineRule="auto"/>
        <w:ind w:firstLine="420" w:firstLineChars="200"/>
        <w:jc w:val="left"/>
        <w:rPr>
          <w:rFonts w:ascii="宋体"/>
          <w:color w:val="auto"/>
          <w:szCs w:val="21"/>
          <w:highlight w:val="none"/>
        </w:rPr>
      </w:pPr>
    </w:p>
    <w:p w14:paraId="7B50EC3B">
      <w:pPr>
        <w:spacing w:line="360" w:lineRule="auto"/>
        <w:ind w:firstLine="420" w:firstLineChars="200"/>
        <w:jc w:val="left"/>
        <w:rPr>
          <w:rFonts w:ascii="宋体"/>
          <w:color w:val="auto"/>
          <w:szCs w:val="21"/>
          <w:highlight w:val="none"/>
        </w:rPr>
      </w:pPr>
    </w:p>
    <w:p w14:paraId="6164BEB5">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与本次磋商有关的正式通讯地址为：</w:t>
      </w:r>
    </w:p>
    <w:p w14:paraId="620FE7A8">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地址：邮政编码：</w:t>
      </w:r>
    </w:p>
    <w:p w14:paraId="5B4EB786">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电话：传真：</w:t>
      </w:r>
      <w:r>
        <w:rPr>
          <w:rFonts w:hint="eastAsia" w:ascii="宋体" w:hAnsi="宋体"/>
          <w:color w:val="auto"/>
          <w:szCs w:val="21"/>
          <w:highlight w:val="none"/>
          <w:u w:val="single"/>
        </w:rPr>
        <w:t>　　　　　　　　</w:t>
      </w:r>
    </w:p>
    <w:p w14:paraId="4079B17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开户名称：</w:t>
      </w:r>
    </w:p>
    <w:p w14:paraId="6ADB49CB">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开户银行：</w:t>
      </w:r>
    </w:p>
    <w:p w14:paraId="51959A1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帐号：</w:t>
      </w:r>
    </w:p>
    <w:p w14:paraId="759E7FA8">
      <w:pPr>
        <w:spacing w:line="360" w:lineRule="auto"/>
        <w:ind w:firstLine="420"/>
        <w:rPr>
          <w:rFonts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u w:val="single"/>
        </w:rPr>
        <w:t xml:space="preserve">                                 </w:t>
      </w:r>
      <w:r>
        <w:rPr>
          <w:rFonts w:hint="eastAsia" w:ascii="宋体" w:hAnsi="宋体"/>
          <w:color w:val="auto"/>
          <w:szCs w:val="21"/>
          <w:highlight w:val="none"/>
        </w:rPr>
        <w:t>（电子签章）</w:t>
      </w:r>
    </w:p>
    <w:p w14:paraId="531344C9">
      <w:pPr>
        <w:spacing w:line="360" w:lineRule="auto"/>
        <w:ind w:firstLine="420"/>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（电子签章或签字）</w:t>
      </w:r>
    </w:p>
    <w:p w14:paraId="3CFFEED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时  间：    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4694A160">
      <w:pPr>
        <w:spacing w:line="360" w:lineRule="auto"/>
        <w:ind w:firstLine="420" w:firstLineChars="200"/>
        <w:jc w:val="left"/>
        <w:rPr>
          <w:color w:val="auto"/>
          <w:szCs w:val="21"/>
          <w:highlight w:val="none"/>
        </w:rPr>
      </w:pPr>
    </w:p>
    <w:p w14:paraId="36DAFEC2">
      <w:pPr>
        <w:spacing w:line="360" w:lineRule="auto"/>
        <w:ind w:firstLine="420" w:firstLineChars="200"/>
        <w:jc w:val="left"/>
        <w:rPr>
          <w:color w:val="auto"/>
          <w:szCs w:val="21"/>
          <w:highlight w:val="none"/>
          <w:u w:val="single"/>
        </w:rPr>
      </w:pPr>
    </w:p>
    <w:p w14:paraId="5B706639">
      <w:pPr>
        <w:rPr>
          <w:color w:val="auto"/>
          <w:highlight w:val="none"/>
        </w:rPr>
      </w:pPr>
    </w:p>
    <w:p w14:paraId="747267B6">
      <w:pPr>
        <w:pStyle w:val="3"/>
        <w:rPr>
          <w:color w:val="auto"/>
          <w:highlight w:val="none"/>
        </w:rPr>
      </w:pPr>
      <w:r>
        <w:rPr>
          <w:color w:val="auto"/>
          <w:highlight w:val="none"/>
        </w:rPr>
        <w:br w:type="page"/>
      </w:r>
      <w:bookmarkStart w:id="333" w:name="_Toc3331"/>
      <w:r>
        <w:rPr>
          <w:rFonts w:hint="eastAsia"/>
          <w:color w:val="auto"/>
          <w:sz w:val="24"/>
          <w:szCs w:val="24"/>
          <w:highlight w:val="none"/>
        </w:rPr>
        <w:t>（二）</w:t>
      </w:r>
      <w:bookmarkStart w:id="334" w:name="_Toc32029"/>
      <w:r>
        <w:rPr>
          <w:rFonts w:hint="eastAsia"/>
          <w:color w:val="auto"/>
          <w:sz w:val="24"/>
          <w:szCs w:val="24"/>
          <w:highlight w:val="none"/>
        </w:rPr>
        <w:t>法定代表人身份证明书</w:t>
      </w:r>
      <w:bookmarkEnd w:id="333"/>
      <w:bookmarkEnd w:id="334"/>
    </w:p>
    <w:p w14:paraId="1300986C">
      <w:pPr>
        <w:spacing w:line="360" w:lineRule="auto"/>
        <w:jc w:val="center"/>
        <w:rPr>
          <w:b/>
          <w:color w:val="auto"/>
          <w:sz w:val="30"/>
          <w:szCs w:val="30"/>
          <w:highlight w:val="none"/>
        </w:rPr>
      </w:pPr>
    </w:p>
    <w:p w14:paraId="3A6FD853">
      <w:pPr>
        <w:spacing w:line="360" w:lineRule="auto"/>
        <w:rPr>
          <w:color w:val="auto"/>
          <w:szCs w:val="21"/>
          <w:highlight w:val="none"/>
        </w:rPr>
      </w:pPr>
      <w:r>
        <w:rPr>
          <w:rFonts w:hint="eastAsia"/>
          <w:color w:val="auto"/>
          <w:szCs w:val="21"/>
          <w:highlight w:val="none"/>
        </w:rPr>
        <w:t>供应商名称：</w:t>
      </w:r>
    </w:p>
    <w:p w14:paraId="4EE04A41">
      <w:pPr>
        <w:spacing w:line="360" w:lineRule="auto"/>
        <w:rPr>
          <w:color w:val="auto"/>
          <w:szCs w:val="21"/>
          <w:highlight w:val="none"/>
        </w:rPr>
      </w:pPr>
      <w:r>
        <w:rPr>
          <w:rFonts w:hint="eastAsia"/>
          <w:color w:val="auto"/>
          <w:szCs w:val="21"/>
          <w:highlight w:val="none"/>
        </w:rPr>
        <w:t>单位性质：</w:t>
      </w:r>
    </w:p>
    <w:p w14:paraId="3B36CB87">
      <w:pPr>
        <w:spacing w:line="360" w:lineRule="auto"/>
        <w:rPr>
          <w:color w:val="auto"/>
          <w:szCs w:val="21"/>
          <w:highlight w:val="none"/>
        </w:rPr>
      </w:pPr>
      <w:r>
        <w:rPr>
          <w:rFonts w:hint="eastAsia"/>
          <w:color w:val="auto"/>
          <w:szCs w:val="21"/>
          <w:highlight w:val="none"/>
        </w:rPr>
        <w:t>成立时间：</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4483A5CC">
      <w:pPr>
        <w:spacing w:line="360" w:lineRule="auto"/>
        <w:rPr>
          <w:color w:val="auto"/>
          <w:szCs w:val="21"/>
          <w:highlight w:val="none"/>
        </w:rPr>
      </w:pPr>
      <w:r>
        <w:rPr>
          <w:rFonts w:hint="eastAsia"/>
          <w:color w:val="auto"/>
          <w:szCs w:val="21"/>
          <w:highlight w:val="none"/>
        </w:rPr>
        <w:t>经营期限：</w:t>
      </w:r>
    </w:p>
    <w:p w14:paraId="248159BA">
      <w:pPr>
        <w:spacing w:line="360" w:lineRule="auto"/>
        <w:rPr>
          <w:color w:val="auto"/>
          <w:szCs w:val="21"/>
          <w:highlight w:val="none"/>
        </w:rPr>
      </w:pPr>
      <w:r>
        <w:rPr>
          <w:rFonts w:hint="eastAsia"/>
          <w:color w:val="auto"/>
          <w:szCs w:val="21"/>
          <w:highlight w:val="none"/>
        </w:rPr>
        <w:t>姓名：</w:t>
      </w:r>
      <w:r>
        <w:rPr>
          <w:rFonts w:hint="eastAsia"/>
          <w:color w:val="auto"/>
          <w:szCs w:val="21"/>
          <w:highlight w:val="none"/>
          <w:lang w:val="en-US" w:eastAsia="zh-CN"/>
        </w:rPr>
        <w:t xml:space="preserve">    </w:t>
      </w:r>
      <w:r>
        <w:rPr>
          <w:rFonts w:hint="eastAsia"/>
          <w:color w:val="auto"/>
          <w:szCs w:val="21"/>
          <w:highlight w:val="none"/>
        </w:rPr>
        <w:t>性别：</w:t>
      </w:r>
      <w:r>
        <w:rPr>
          <w:rFonts w:hint="eastAsia"/>
          <w:color w:val="auto"/>
          <w:szCs w:val="21"/>
          <w:highlight w:val="none"/>
          <w:lang w:val="en-US" w:eastAsia="zh-CN"/>
        </w:rPr>
        <w:t xml:space="preserve">    </w:t>
      </w:r>
      <w:r>
        <w:rPr>
          <w:rFonts w:hint="eastAsia"/>
          <w:color w:val="auto"/>
          <w:szCs w:val="21"/>
          <w:highlight w:val="none"/>
        </w:rPr>
        <w:t>年龄：</w:t>
      </w:r>
      <w:r>
        <w:rPr>
          <w:rFonts w:hint="eastAsia"/>
          <w:color w:val="auto"/>
          <w:szCs w:val="21"/>
          <w:highlight w:val="none"/>
          <w:lang w:val="en-US" w:eastAsia="zh-CN"/>
        </w:rPr>
        <w:t xml:space="preserve">    </w:t>
      </w:r>
      <w:r>
        <w:rPr>
          <w:rFonts w:hint="eastAsia"/>
          <w:color w:val="auto"/>
          <w:szCs w:val="21"/>
          <w:highlight w:val="none"/>
        </w:rPr>
        <w:t>职务：</w:t>
      </w:r>
    </w:p>
    <w:p w14:paraId="66981643">
      <w:pPr>
        <w:spacing w:line="360" w:lineRule="auto"/>
        <w:rPr>
          <w:color w:val="auto"/>
          <w:szCs w:val="21"/>
          <w:highlight w:val="none"/>
        </w:rPr>
      </w:pPr>
      <w:r>
        <w:rPr>
          <w:rFonts w:hint="eastAsia"/>
          <w:color w:val="auto"/>
          <w:szCs w:val="21"/>
          <w:highlight w:val="none"/>
        </w:rPr>
        <w:t>系</w:t>
      </w:r>
      <w:r>
        <w:rPr>
          <w:rFonts w:hint="eastAsia"/>
          <w:color w:val="auto"/>
          <w:szCs w:val="21"/>
          <w:highlight w:val="none"/>
          <w:u w:val="single"/>
        </w:rPr>
        <w:t>（供应商名称）</w:t>
      </w:r>
      <w:r>
        <w:rPr>
          <w:rFonts w:hint="eastAsia"/>
          <w:color w:val="auto"/>
          <w:szCs w:val="21"/>
          <w:highlight w:val="none"/>
        </w:rPr>
        <w:t>的法定代表人。</w:t>
      </w:r>
    </w:p>
    <w:p w14:paraId="38174423">
      <w:pPr>
        <w:spacing w:line="360" w:lineRule="auto"/>
        <w:ind w:firstLine="420" w:firstLineChars="200"/>
        <w:rPr>
          <w:color w:val="auto"/>
          <w:szCs w:val="21"/>
          <w:highlight w:val="none"/>
        </w:rPr>
      </w:pPr>
    </w:p>
    <w:p w14:paraId="2E4BAB90">
      <w:pPr>
        <w:spacing w:line="360" w:lineRule="auto"/>
        <w:ind w:firstLine="420" w:firstLineChars="200"/>
        <w:rPr>
          <w:color w:val="auto"/>
          <w:szCs w:val="21"/>
          <w:highlight w:val="none"/>
        </w:rPr>
      </w:pPr>
      <w:r>
        <w:rPr>
          <w:rFonts w:hint="eastAsia"/>
          <w:color w:val="auto"/>
          <w:szCs w:val="21"/>
          <w:highlight w:val="none"/>
        </w:rPr>
        <w:t>特此证明。</w:t>
      </w:r>
    </w:p>
    <w:p w14:paraId="1A0F3B69">
      <w:pPr>
        <w:spacing w:line="360" w:lineRule="auto"/>
        <w:rPr>
          <w:b/>
          <w:bCs/>
          <w:color w:val="auto"/>
          <w:sz w:val="24"/>
          <w:highlight w:val="none"/>
        </w:rPr>
      </w:pPr>
    </w:p>
    <w:p w14:paraId="1276E1DA">
      <w:pPr>
        <w:spacing w:line="360" w:lineRule="auto"/>
        <w:rPr>
          <w:color w:val="auto"/>
          <w:szCs w:val="21"/>
          <w:highlight w:val="none"/>
        </w:rPr>
      </w:pPr>
      <w:r>
        <w:rPr>
          <w:rFonts w:hint="eastAsia"/>
          <w:b/>
          <w:bCs/>
          <w:color w:val="auto"/>
          <w:sz w:val="24"/>
          <w:highlight w:val="none"/>
        </w:rPr>
        <w:t>注</w:t>
      </w:r>
      <w:r>
        <w:rPr>
          <w:b/>
          <w:bCs/>
          <w:color w:val="auto"/>
          <w:sz w:val="24"/>
          <w:highlight w:val="none"/>
        </w:rPr>
        <w:t>:</w:t>
      </w:r>
      <w:r>
        <w:rPr>
          <w:rFonts w:hint="eastAsia"/>
          <w:b/>
          <w:bCs/>
          <w:color w:val="auto"/>
          <w:sz w:val="24"/>
          <w:highlight w:val="none"/>
        </w:rPr>
        <w:t>后附法定代表人身份证扫描件。</w:t>
      </w:r>
    </w:p>
    <w:p w14:paraId="7D7CDEF4">
      <w:pPr>
        <w:spacing w:line="360" w:lineRule="auto"/>
        <w:rPr>
          <w:color w:val="auto"/>
          <w:szCs w:val="21"/>
          <w:highlight w:val="none"/>
        </w:rPr>
      </w:pPr>
    </w:p>
    <w:p w14:paraId="559B427D">
      <w:pPr>
        <w:spacing w:line="360" w:lineRule="auto"/>
        <w:ind w:left="3780" w:leftChars="1800"/>
        <w:rPr>
          <w:color w:val="auto"/>
          <w:szCs w:val="21"/>
          <w:highlight w:val="none"/>
        </w:rPr>
      </w:pPr>
      <w:r>
        <w:rPr>
          <w:rFonts w:hint="eastAsia"/>
          <w:color w:val="auto"/>
          <w:szCs w:val="21"/>
          <w:highlight w:val="none"/>
        </w:rPr>
        <w:t>供应商：（电子签章）</w:t>
      </w:r>
    </w:p>
    <w:p w14:paraId="6250B2D2">
      <w:pPr>
        <w:spacing w:line="360" w:lineRule="auto"/>
        <w:ind w:left="3780" w:leftChars="1800"/>
        <w:rPr>
          <w:color w:val="auto"/>
          <w:szCs w:val="21"/>
          <w:highlight w:val="none"/>
        </w:rPr>
      </w:pP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33112A5B">
      <w:pPr>
        <w:spacing w:line="360" w:lineRule="auto"/>
        <w:rPr>
          <w:color w:val="auto"/>
          <w:szCs w:val="21"/>
          <w:highlight w:val="none"/>
        </w:rPr>
      </w:pPr>
    </w:p>
    <w:p w14:paraId="0DAEE204">
      <w:pPr>
        <w:pStyle w:val="3"/>
        <w:rPr>
          <w:color w:val="auto"/>
          <w:highlight w:val="none"/>
        </w:rPr>
      </w:pPr>
      <w:r>
        <w:rPr>
          <w:rFonts w:ascii="宋体" w:hAnsi="宋体"/>
          <w:color w:val="auto"/>
          <w:sz w:val="20"/>
          <w:highlight w:val="none"/>
        </w:rPr>
        <w:br w:type="page"/>
      </w:r>
      <w:bookmarkStart w:id="335" w:name="_Toc23323"/>
      <w:r>
        <w:rPr>
          <w:rFonts w:hint="eastAsia"/>
          <w:color w:val="auto"/>
          <w:sz w:val="24"/>
          <w:szCs w:val="24"/>
          <w:highlight w:val="none"/>
        </w:rPr>
        <w:t>（三）法定代表人授权委托书</w:t>
      </w:r>
      <w:bookmarkEnd w:id="335"/>
    </w:p>
    <w:p w14:paraId="474051AA">
      <w:pPr>
        <w:spacing w:line="360" w:lineRule="auto"/>
        <w:rPr>
          <w:color w:val="auto"/>
          <w:szCs w:val="21"/>
          <w:highlight w:val="none"/>
        </w:rPr>
      </w:pPr>
    </w:p>
    <w:p w14:paraId="0DAB1996">
      <w:pPr>
        <w:spacing w:line="360" w:lineRule="auto"/>
        <w:ind w:firstLine="420" w:firstLineChars="200"/>
        <w:rPr>
          <w:color w:val="auto"/>
          <w:szCs w:val="21"/>
          <w:highlight w:val="none"/>
        </w:rPr>
      </w:pPr>
    </w:p>
    <w:p w14:paraId="63E00824">
      <w:pPr>
        <w:spacing w:line="360" w:lineRule="auto"/>
        <w:ind w:firstLine="420" w:firstLineChars="200"/>
        <w:rPr>
          <w:color w:val="auto"/>
          <w:szCs w:val="21"/>
          <w:highlight w:val="none"/>
        </w:rPr>
      </w:pPr>
      <w:r>
        <w:rPr>
          <w:rFonts w:hint="eastAsia"/>
          <w:color w:val="auto"/>
          <w:szCs w:val="21"/>
          <w:highlight w:val="none"/>
        </w:rPr>
        <w:t>本授权书声明：</w:t>
      </w:r>
      <w:r>
        <w:rPr>
          <w:rFonts w:hint="eastAsia"/>
          <w:color w:val="auto"/>
          <w:szCs w:val="21"/>
          <w:highlight w:val="none"/>
          <w:u w:val="single"/>
        </w:rPr>
        <w:t>（供应商全称）</w:t>
      </w:r>
      <w:r>
        <w:rPr>
          <w:rFonts w:hint="eastAsia"/>
          <w:color w:val="auto"/>
          <w:szCs w:val="21"/>
          <w:highlight w:val="none"/>
        </w:rPr>
        <w:t>的法定代表人代表本公司授权</w:t>
      </w:r>
      <w:r>
        <w:rPr>
          <w:rFonts w:hint="eastAsia"/>
          <w:color w:val="auto"/>
          <w:szCs w:val="21"/>
          <w:highlight w:val="none"/>
          <w:u w:val="single"/>
        </w:rPr>
        <w:t>（委托代理人姓名）</w:t>
      </w:r>
      <w:r>
        <w:rPr>
          <w:rFonts w:hint="eastAsia"/>
          <w:color w:val="auto"/>
          <w:szCs w:val="21"/>
          <w:highlight w:val="none"/>
        </w:rPr>
        <w:t>为本公司合法代理人，以本单位名义亲自出席参加贵方组织的</w:t>
      </w:r>
      <w:r>
        <w:rPr>
          <w:rFonts w:hint="eastAsia"/>
          <w:color w:val="auto"/>
          <w:szCs w:val="21"/>
          <w:highlight w:val="none"/>
          <w:u w:val="single"/>
        </w:rPr>
        <w:t>（采购项目名称）</w:t>
      </w:r>
      <w:r>
        <w:rPr>
          <w:rFonts w:hint="eastAsia"/>
          <w:color w:val="auto"/>
          <w:szCs w:val="21"/>
          <w:highlight w:val="none"/>
        </w:rPr>
        <w:t>项目（项目编号：）的磋商采购。代理人在本项目磋商过程中所签署的一切文件和处理与之有关的一切事务，我方均予承认。</w:t>
      </w:r>
    </w:p>
    <w:p w14:paraId="04B8464B">
      <w:pPr>
        <w:spacing w:line="360" w:lineRule="auto"/>
        <w:ind w:firstLine="420" w:firstLineChars="200"/>
        <w:rPr>
          <w:color w:val="auto"/>
          <w:szCs w:val="21"/>
          <w:highlight w:val="none"/>
        </w:rPr>
      </w:pPr>
      <w:r>
        <w:rPr>
          <w:rFonts w:hint="eastAsia"/>
          <w:color w:val="auto"/>
          <w:szCs w:val="21"/>
          <w:highlight w:val="none"/>
        </w:rPr>
        <w:t>代理人无转委托权。</w:t>
      </w:r>
    </w:p>
    <w:p w14:paraId="32545E04">
      <w:pPr>
        <w:spacing w:line="360" w:lineRule="auto"/>
        <w:ind w:firstLine="420" w:firstLineChars="200"/>
        <w:rPr>
          <w:color w:val="auto"/>
          <w:szCs w:val="21"/>
          <w:highlight w:val="none"/>
        </w:rPr>
      </w:pPr>
    </w:p>
    <w:p w14:paraId="13A561B8">
      <w:pPr>
        <w:spacing w:line="360" w:lineRule="auto"/>
        <w:ind w:firstLine="420" w:firstLineChars="200"/>
        <w:rPr>
          <w:color w:val="auto"/>
          <w:szCs w:val="21"/>
          <w:highlight w:val="none"/>
        </w:rPr>
      </w:pPr>
      <w:r>
        <w:rPr>
          <w:rFonts w:hint="eastAsia"/>
          <w:color w:val="auto"/>
          <w:szCs w:val="21"/>
          <w:highlight w:val="none"/>
        </w:rPr>
        <w:t>供应商：</w:t>
      </w:r>
      <w:r>
        <w:rPr>
          <w:rFonts w:hint="eastAsia"/>
          <w:color w:val="auto"/>
          <w:szCs w:val="21"/>
          <w:highlight w:val="none"/>
          <w:u w:val="single"/>
        </w:rPr>
        <w:t>（全称）</w:t>
      </w:r>
      <w:r>
        <w:rPr>
          <w:rFonts w:hint="eastAsia"/>
          <w:color w:val="auto"/>
          <w:szCs w:val="21"/>
          <w:highlight w:val="none"/>
        </w:rPr>
        <w:t>（电子签章）</w:t>
      </w:r>
    </w:p>
    <w:p w14:paraId="72B6E376">
      <w:pPr>
        <w:spacing w:line="360" w:lineRule="auto"/>
        <w:ind w:firstLine="420" w:firstLineChars="200"/>
        <w:rPr>
          <w:color w:val="auto"/>
          <w:szCs w:val="21"/>
          <w:highlight w:val="none"/>
        </w:rPr>
      </w:pPr>
      <w:r>
        <w:rPr>
          <w:rFonts w:hint="eastAsia"/>
          <w:color w:val="auto"/>
          <w:szCs w:val="21"/>
          <w:highlight w:val="none"/>
        </w:rPr>
        <w:t>法定代表人：（电子签章或签名）</w:t>
      </w:r>
    </w:p>
    <w:p w14:paraId="6627101A">
      <w:pPr>
        <w:spacing w:line="360" w:lineRule="auto"/>
        <w:ind w:firstLine="420" w:firstLineChars="200"/>
        <w:rPr>
          <w:color w:val="auto"/>
          <w:szCs w:val="21"/>
          <w:highlight w:val="none"/>
        </w:rPr>
      </w:pPr>
      <w:r>
        <w:rPr>
          <w:rFonts w:hint="eastAsia"/>
          <w:color w:val="auto"/>
          <w:szCs w:val="21"/>
          <w:highlight w:val="none"/>
        </w:rPr>
        <w:t>法定代表人身份证号码：</w:t>
      </w:r>
    </w:p>
    <w:p w14:paraId="6995BD3C">
      <w:pPr>
        <w:spacing w:line="360" w:lineRule="auto"/>
        <w:ind w:firstLine="420" w:firstLineChars="200"/>
        <w:rPr>
          <w:color w:val="auto"/>
          <w:szCs w:val="21"/>
          <w:highlight w:val="none"/>
        </w:rPr>
      </w:pPr>
      <w:r>
        <w:rPr>
          <w:rFonts w:hint="eastAsia"/>
          <w:color w:val="auto"/>
          <w:szCs w:val="21"/>
          <w:highlight w:val="none"/>
        </w:rPr>
        <w:t>委托代理人：</w:t>
      </w:r>
    </w:p>
    <w:p w14:paraId="518E3172">
      <w:pPr>
        <w:spacing w:line="360" w:lineRule="auto"/>
        <w:ind w:firstLine="420" w:firstLineChars="200"/>
        <w:rPr>
          <w:color w:val="auto"/>
          <w:szCs w:val="21"/>
          <w:highlight w:val="none"/>
        </w:rPr>
      </w:pPr>
      <w:r>
        <w:rPr>
          <w:rFonts w:hint="eastAsia"/>
          <w:color w:val="auto"/>
          <w:szCs w:val="21"/>
          <w:highlight w:val="none"/>
        </w:rPr>
        <w:t>职务：</w:t>
      </w:r>
    </w:p>
    <w:p w14:paraId="4B28DFAF">
      <w:pPr>
        <w:spacing w:line="360" w:lineRule="auto"/>
        <w:ind w:firstLine="420" w:firstLineChars="200"/>
        <w:rPr>
          <w:color w:val="auto"/>
          <w:szCs w:val="21"/>
          <w:highlight w:val="none"/>
        </w:rPr>
      </w:pPr>
      <w:r>
        <w:rPr>
          <w:rFonts w:hint="eastAsia"/>
          <w:color w:val="auto"/>
          <w:szCs w:val="21"/>
          <w:highlight w:val="none"/>
        </w:rPr>
        <w:t>代理人身份证号码：</w:t>
      </w:r>
    </w:p>
    <w:p w14:paraId="069B2882">
      <w:pPr>
        <w:spacing w:line="360" w:lineRule="auto"/>
        <w:ind w:firstLine="420" w:firstLineChars="200"/>
        <w:rPr>
          <w:color w:val="auto"/>
          <w:szCs w:val="21"/>
          <w:highlight w:val="none"/>
          <w:u w:val="single"/>
        </w:rPr>
      </w:pPr>
    </w:p>
    <w:p w14:paraId="6CEE48B3">
      <w:pPr>
        <w:spacing w:line="360" w:lineRule="auto"/>
        <w:ind w:firstLine="420" w:firstLineChars="200"/>
        <w:rPr>
          <w:color w:val="auto"/>
          <w:szCs w:val="21"/>
          <w:highlight w:val="none"/>
        </w:rPr>
      </w:pPr>
      <w:r>
        <w:rPr>
          <w:rFonts w:hint="eastAsia"/>
          <w:color w:val="auto"/>
          <w:szCs w:val="21"/>
          <w:highlight w:val="none"/>
        </w:rPr>
        <w:t>年月日</w:t>
      </w:r>
    </w:p>
    <w:p w14:paraId="47F9C878">
      <w:pPr>
        <w:spacing w:line="360" w:lineRule="auto"/>
        <w:ind w:firstLine="420" w:firstLineChars="200"/>
        <w:rPr>
          <w:color w:val="auto"/>
          <w:szCs w:val="21"/>
          <w:highlight w:val="none"/>
        </w:rPr>
      </w:pPr>
    </w:p>
    <w:p w14:paraId="29CC6D71">
      <w:pPr>
        <w:spacing w:line="360" w:lineRule="auto"/>
        <w:ind w:firstLine="420" w:firstLineChars="200"/>
        <w:rPr>
          <w:color w:val="auto"/>
          <w:szCs w:val="21"/>
          <w:highlight w:val="none"/>
          <w:u w:val="single"/>
        </w:rPr>
      </w:pPr>
      <w:r>
        <w:rPr>
          <w:rFonts w:hint="eastAsia"/>
          <w:color w:val="auto"/>
          <w:szCs w:val="21"/>
          <w:highlight w:val="none"/>
        </w:rPr>
        <w:t>附：委托代理人详细地址：</w:t>
      </w:r>
    </w:p>
    <w:p w14:paraId="6D28FA6B">
      <w:pPr>
        <w:spacing w:line="360" w:lineRule="auto"/>
        <w:ind w:firstLine="420" w:firstLineChars="200"/>
        <w:rPr>
          <w:color w:val="auto"/>
          <w:szCs w:val="21"/>
          <w:highlight w:val="none"/>
        </w:rPr>
      </w:pPr>
      <w:r>
        <w:rPr>
          <w:rFonts w:hint="eastAsia"/>
          <w:color w:val="auto"/>
          <w:szCs w:val="21"/>
          <w:highlight w:val="none"/>
        </w:rPr>
        <w:t>电话：</w:t>
      </w:r>
    </w:p>
    <w:p w14:paraId="1FC24292">
      <w:pPr>
        <w:spacing w:line="360" w:lineRule="auto"/>
        <w:ind w:firstLine="420" w:firstLineChars="200"/>
        <w:rPr>
          <w:color w:val="auto"/>
          <w:szCs w:val="21"/>
          <w:highlight w:val="none"/>
        </w:rPr>
      </w:pPr>
    </w:p>
    <w:p w14:paraId="3242C2C5">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注:</w:t>
      </w:r>
    </w:p>
    <w:p w14:paraId="1381AEDE">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1.附委托代理人身份证正反面（扫描件）。</w:t>
      </w:r>
    </w:p>
    <w:p w14:paraId="6BD581EF">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2.有委托代理人的情况填写，没有委托代理人则无需填写。</w:t>
      </w:r>
    </w:p>
    <w:p w14:paraId="40DFEBF8">
      <w:pPr>
        <w:spacing w:line="360" w:lineRule="auto"/>
        <w:ind w:firstLine="420" w:firstLineChars="200"/>
        <w:rPr>
          <w:rFonts w:hAnsi="宋体"/>
          <w:b/>
          <w:color w:val="auto"/>
          <w:szCs w:val="21"/>
          <w:highlight w:val="none"/>
        </w:rPr>
      </w:pPr>
      <w:r>
        <w:rPr>
          <w:rFonts w:hint="eastAsia" w:ascii="宋体" w:hAnsi="宋体"/>
          <w:b/>
          <w:color w:val="auto"/>
          <w:szCs w:val="21"/>
          <w:highlight w:val="none"/>
        </w:rPr>
        <w:t>3.填写此表时，需要确保委托代理人为供应商员工，提供委托代理人社保缴纳记录证明。</w:t>
      </w:r>
    </w:p>
    <w:p w14:paraId="5CF0B84A">
      <w:pPr>
        <w:rPr>
          <w:rFonts w:ascii="Arial" w:hAnsi="Arial"/>
          <w:color w:val="auto"/>
          <w:szCs w:val="32"/>
          <w:highlight w:val="none"/>
        </w:rPr>
      </w:pPr>
    </w:p>
    <w:p w14:paraId="1C85AD12">
      <w:pPr>
        <w:rPr>
          <w:rFonts w:ascii="Arial" w:hAnsi="Arial"/>
          <w:color w:val="auto"/>
          <w:szCs w:val="32"/>
          <w:highlight w:val="none"/>
        </w:rPr>
      </w:pPr>
    </w:p>
    <w:p w14:paraId="77444C29">
      <w:pPr>
        <w:rPr>
          <w:rFonts w:ascii="Arial" w:hAnsi="Arial"/>
          <w:bCs/>
          <w:color w:val="auto"/>
          <w:sz w:val="28"/>
          <w:szCs w:val="28"/>
          <w:highlight w:val="none"/>
        </w:rPr>
      </w:pPr>
    </w:p>
    <w:p w14:paraId="1730C88F">
      <w:pPr>
        <w:pStyle w:val="3"/>
        <w:rPr>
          <w:rFonts w:hint="eastAsia"/>
          <w:color w:val="auto"/>
          <w:highlight w:val="none"/>
        </w:rPr>
      </w:pPr>
      <w:r>
        <w:rPr>
          <w:rStyle w:val="29"/>
          <w:rFonts w:hint="eastAsia"/>
          <w:b/>
          <w:bCs/>
          <w:color w:val="auto"/>
          <w:highlight w:val="none"/>
        </w:rPr>
        <w:br w:type="page"/>
      </w:r>
      <w:bookmarkStart w:id="336" w:name="_Toc20708"/>
      <w:r>
        <w:rPr>
          <w:rFonts w:hint="eastAsia"/>
          <w:color w:val="auto"/>
          <w:sz w:val="24"/>
          <w:szCs w:val="24"/>
          <w:highlight w:val="none"/>
        </w:rPr>
        <w:t>（</w:t>
      </w:r>
      <w:r>
        <w:rPr>
          <w:rFonts w:hint="eastAsia"/>
          <w:color w:val="auto"/>
          <w:sz w:val="24"/>
          <w:szCs w:val="24"/>
          <w:highlight w:val="none"/>
          <w:lang w:val="en-US" w:eastAsia="zh-CN"/>
        </w:rPr>
        <w:t>四</w:t>
      </w:r>
      <w:r>
        <w:rPr>
          <w:rFonts w:hint="eastAsia"/>
          <w:color w:val="auto"/>
          <w:sz w:val="24"/>
          <w:szCs w:val="24"/>
          <w:highlight w:val="none"/>
        </w:rPr>
        <w:t>）中小微企业证明资料</w:t>
      </w:r>
    </w:p>
    <w:p w14:paraId="4681C77B">
      <w:pPr>
        <w:jc w:val="center"/>
        <w:rPr>
          <w:rFonts w:hint="eastAsia"/>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中小企业声明函(服务)</w:t>
      </w:r>
    </w:p>
    <w:p w14:paraId="320D3BE0">
      <w:pPr>
        <w:widowControl w:val="0"/>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本公司(联合体)郑重声明，根据《政府采购促进中小企业发展管理办法》(财库( 2020 )46号)的规定，本公司(联合体)参加</w:t>
      </w:r>
      <w:r>
        <w:rPr>
          <w:rFonts w:hint="eastAsia" w:ascii="宋体" w:hAnsi="宋体" w:eastAsia="宋体" w:cs="宋体"/>
          <w:color w:val="auto"/>
          <w:sz w:val="21"/>
          <w:szCs w:val="21"/>
          <w:highlight w:val="none"/>
          <w:u w:val="single"/>
          <w:shd w:val="clear" w:color="auto" w:fill="FFFFFF"/>
        </w:rPr>
        <w:t xml:space="preserve">        (单位名称)</w:t>
      </w:r>
      <w:r>
        <w:rPr>
          <w:rFonts w:hint="eastAsia" w:ascii="宋体" w:hAnsi="宋体" w:eastAsia="宋体" w:cs="宋体"/>
          <w:color w:val="auto"/>
          <w:sz w:val="21"/>
          <w:szCs w:val="21"/>
          <w:highlight w:val="none"/>
          <w:shd w:val="clear" w:color="auto" w:fill="FFFFFF"/>
        </w:rPr>
        <w:t>的</w:t>
      </w:r>
      <w:r>
        <w:rPr>
          <w:rFonts w:hint="eastAsia" w:ascii="宋体" w:hAnsi="宋体" w:eastAsia="宋体" w:cs="宋体"/>
          <w:color w:val="auto"/>
          <w:sz w:val="21"/>
          <w:szCs w:val="21"/>
          <w:highlight w:val="none"/>
          <w:u w:val="single"/>
          <w:shd w:val="clear" w:color="auto" w:fill="FFFFFF"/>
        </w:rPr>
        <w:t xml:space="preserve">    (项目名称)</w:t>
      </w:r>
      <w:r>
        <w:rPr>
          <w:rFonts w:hint="eastAsia" w:ascii="宋体" w:hAnsi="宋体" w:eastAsia="宋体" w:cs="宋体"/>
          <w:color w:val="auto"/>
          <w:sz w:val="21"/>
          <w:szCs w:val="21"/>
          <w:highlight w:val="none"/>
          <w:shd w:val="clear" w:color="auto" w:fill="FFFFFF"/>
        </w:rPr>
        <w:t>采购活动，工程的施工单位全部为符合政策要求的中小企业（或者</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服务全部由符合政策要求的中小企业承接）。相关企业(含联合体中的中小企业、签订分包意向协议的中小企业)的具体情况如下:</w:t>
      </w:r>
    </w:p>
    <w:p w14:paraId="68373355">
      <w:pPr>
        <w:widowControl w:val="0"/>
        <w:spacing w:line="360" w:lineRule="auto"/>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1. </w:t>
      </w:r>
      <w:r>
        <w:rPr>
          <w:rFonts w:hint="eastAsia" w:ascii="宋体" w:hAnsi="宋体" w:eastAsia="宋体" w:cs="宋体"/>
          <w:color w:val="auto"/>
          <w:sz w:val="21"/>
          <w:szCs w:val="21"/>
          <w:highlight w:val="none"/>
          <w:u w:val="single"/>
          <w:shd w:val="clear" w:color="auto" w:fill="FFFFFF"/>
        </w:rPr>
        <w:t xml:space="preserve">    (标的名称)</w:t>
      </w:r>
      <w:r>
        <w:rPr>
          <w:rFonts w:hint="eastAsia" w:ascii="宋体" w:hAnsi="宋体" w:eastAsia="宋体" w:cs="宋体"/>
          <w:color w:val="auto"/>
          <w:sz w:val="21"/>
          <w:szCs w:val="21"/>
          <w:highlight w:val="none"/>
          <w:shd w:val="clear" w:color="auto" w:fill="FFFFFF"/>
        </w:rPr>
        <w:t>，属于</w:t>
      </w:r>
      <w:r>
        <w:rPr>
          <w:rFonts w:hint="eastAsia" w:ascii="宋体" w:hAnsi="宋体" w:eastAsia="宋体" w:cs="宋体"/>
          <w:color w:val="auto"/>
          <w:sz w:val="21"/>
          <w:szCs w:val="21"/>
          <w:highlight w:val="none"/>
          <w:u w:val="single"/>
          <w:shd w:val="clear" w:color="auto" w:fill="FFFFFF"/>
        </w:rPr>
        <w:t xml:space="preserve">     (采购文件中明确的所属行业)</w:t>
      </w:r>
      <w:r>
        <w:rPr>
          <w:rFonts w:hint="eastAsia" w:ascii="宋体" w:hAnsi="宋体" w:eastAsia="宋体" w:cs="宋体"/>
          <w:color w:val="auto"/>
          <w:sz w:val="21"/>
          <w:szCs w:val="21"/>
          <w:highlight w:val="none"/>
          <w:shd w:val="clear" w:color="auto" w:fill="FFFFFF"/>
        </w:rPr>
        <w:t>；承建（承接）企业为</w:t>
      </w:r>
      <w:r>
        <w:rPr>
          <w:rFonts w:hint="eastAsia" w:ascii="宋体" w:hAnsi="宋体" w:eastAsia="宋体" w:cs="宋体"/>
          <w:color w:val="auto"/>
          <w:sz w:val="21"/>
          <w:szCs w:val="21"/>
          <w:highlight w:val="none"/>
          <w:u w:val="single"/>
          <w:shd w:val="clear" w:color="auto" w:fill="FFFFFF"/>
        </w:rPr>
        <w:t xml:space="preserve">    (企业名称)</w:t>
      </w:r>
      <w:r>
        <w:rPr>
          <w:rFonts w:hint="eastAsia" w:ascii="宋体" w:hAnsi="宋体" w:eastAsia="宋体" w:cs="宋体"/>
          <w:color w:val="auto"/>
          <w:sz w:val="21"/>
          <w:szCs w:val="21"/>
          <w:highlight w:val="none"/>
          <w:shd w:val="clear" w:color="auto" w:fill="FFFFFF"/>
        </w:rPr>
        <w:t>，从业人员</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人， 营业收入为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万元，资产总额为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万元</w:t>
      </w:r>
      <w:r>
        <w:rPr>
          <w:rFonts w:hint="eastAsia" w:ascii="宋体" w:hAnsi="宋体" w:eastAsia="宋体" w:cs="宋体"/>
          <w:color w:val="auto"/>
          <w:sz w:val="21"/>
          <w:szCs w:val="21"/>
          <w:highlight w:val="none"/>
          <w:shd w:val="clear" w:color="auto" w:fill="FFFFFF"/>
          <w:vertAlign w:val="superscript"/>
        </w:rPr>
        <w:t>1</w:t>
      </w:r>
      <w:r>
        <w:rPr>
          <w:rFonts w:hint="eastAsia" w:ascii="宋体" w:hAnsi="宋体" w:eastAsia="宋体" w:cs="宋体"/>
          <w:color w:val="auto"/>
          <w:sz w:val="21"/>
          <w:szCs w:val="21"/>
          <w:highlight w:val="none"/>
          <w:shd w:val="clear" w:color="auto" w:fill="FFFFFF"/>
        </w:rPr>
        <w:t>，属于</w:t>
      </w:r>
      <w:r>
        <w:rPr>
          <w:rFonts w:hint="eastAsia" w:ascii="宋体" w:hAnsi="宋体" w:eastAsia="宋体" w:cs="宋体"/>
          <w:color w:val="auto"/>
          <w:sz w:val="21"/>
          <w:szCs w:val="21"/>
          <w:highlight w:val="none"/>
          <w:u w:val="single"/>
          <w:shd w:val="clear" w:color="auto" w:fill="FFFFFF"/>
        </w:rPr>
        <w:t xml:space="preserve">     （中型企业、小型企业、微型企业）</w:t>
      </w:r>
      <w:r>
        <w:rPr>
          <w:rFonts w:hint="eastAsia" w:ascii="宋体" w:hAnsi="宋体" w:eastAsia="宋体" w:cs="宋体"/>
          <w:color w:val="auto"/>
          <w:sz w:val="21"/>
          <w:szCs w:val="21"/>
          <w:highlight w:val="none"/>
          <w:shd w:val="clear" w:color="auto" w:fill="FFFFFF"/>
        </w:rPr>
        <w:t>；</w:t>
      </w:r>
    </w:p>
    <w:p w14:paraId="68400D18">
      <w:pPr>
        <w:widowControl w:val="0"/>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u w:val="single"/>
          <w:shd w:val="clear" w:color="auto" w:fill="FFFFFF"/>
        </w:rPr>
        <w:t xml:space="preserve">     （标的名称)</w:t>
      </w:r>
      <w:r>
        <w:rPr>
          <w:rFonts w:hint="eastAsia" w:ascii="宋体" w:hAnsi="宋体" w:eastAsia="宋体" w:cs="宋体"/>
          <w:color w:val="auto"/>
          <w:sz w:val="21"/>
          <w:szCs w:val="21"/>
          <w:highlight w:val="none"/>
          <w:shd w:val="clear" w:color="auto" w:fill="FFFFFF"/>
        </w:rPr>
        <w:t>， 属于</w:t>
      </w:r>
      <w:r>
        <w:rPr>
          <w:rFonts w:hint="eastAsia" w:ascii="宋体" w:hAnsi="宋体" w:eastAsia="宋体" w:cs="宋体"/>
          <w:color w:val="auto"/>
          <w:sz w:val="21"/>
          <w:szCs w:val="21"/>
          <w:highlight w:val="none"/>
          <w:u w:val="single"/>
          <w:shd w:val="clear" w:color="auto" w:fill="FFFFFF"/>
        </w:rPr>
        <w:t xml:space="preserve">     （采购文件中明确的所属行业)</w:t>
      </w:r>
      <w:r>
        <w:rPr>
          <w:rFonts w:hint="eastAsia" w:ascii="宋体" w:hAnsi="宋体" w:eastAsia="宋体" w:cs="宋体"/>
          <w:color w:val="auto"/>
          <w:sz w:val="21"/>
          <w:szCs w:val="21"/>
          <w:highlight w:val="none"/>
          <w:shd w:val="clear" w:color="auto" w:fill="FFFFFF"/>
        </w:rPr>
        <w:t>；承建（承接）企业为</w:t>
      </w:r>
      <w:r>
        <w:rPr>
          <w:rFonts w:hint="eastAsia" w:ascii="宋体" w:hAnsi="宋体" w:eastAsia="宋体" w:cs="宋体"/>
          <w:color w:val="auto"/>
          <w:sz w:val="21"/>
          <w:szCs w:val="21"/>
          <w:highlight w:val="none"/>
          <w:u w:val="single"/>
          <w:shd w:val="clear" w:color="auto" w:fill="FFFFFF"/>
        </w:rPr>
        <w:t xml:space="preserve">       (企业名称)</w:t>
      </w:r>
      <w:r>
        <w:rPr>
          <w:rFonts w:hint="eastAsia" w:ascii="宋体" w:hAnsi="宋体" w:eastAsia="宋体" w:cs="宋体"/>
          <w:color w:val="auto"/>
          <w:sz w:val="21"/>
          <w:szCs w:val="21"/>
          <w:highlight w:val="none"/>
          <w:shd w:val="clear" w:color="auto" w:fill="FFFFFF"/>
        </w:rPr>
        <w:t>，从业人员</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人， 营业收入为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万元， 资产总额为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万元，属于</w:t>
      </w:r>
      <w:r>
        <w:rPr>
          <w:rFonts w:hint="eastAsia" w:ascii="宋体" w:hAnsi="宋体" w:eastAsia="宋体" w:cs="宋体"/>
          <w:color w:val="auto"/>
          <w:sz w:val="21"/>
          <w:szCs w:val="21"/>
          <w:highlight w:val="none"/>
          <w:u w:val="single"/>
          <w:shd w:val="clear" w:color="auto" w:fill="FFFFFF"/>
        </w:rPr>
        <w:t xml:space="preserve">      （中型企业、 小型企业、微型企业)</w:t>
      </w:r>
      <w:r>
        <w:rPr>
          <w:rFonts w:hint="eastAsia" w:ascii="宋体" w:hAnsi="宋体" w:eastAsia="宋体" w:cs="宋体"/>
          <w:color w:val="auto"/>
          <w:sz w:val="21"/>
          <w:szCs w:val="21"/>
          <w:highlight w:val="none"/>
          <w:shd w:val="clear" w:color="auto" w:fill="FFFFFF"/>
        </w:rPr>
        <w:t>；</w:t>
      </w:r>
    </w:p>
    <w:p w14:paraId="1E2826A3">
      <w:pPr>
        <w:widowControl w:val="0"/>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w:t>
      </w:r>
    </w:p>
    <w:p w14:paraId="6EAFFDA3">
      <w:pPr>
        <w:widowControl w:val="0"/>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以上企业，不属于大企业的分支机构，不存在控股股东为大企业的情形，也不存在与大企业的负责人为同一人的情形。</w:t>
      </w:r>
    </w:p>
    <w:p w14:paraId="3433AD53">
      <w:pPr>
        <w:widowControl w:val="0"/>
        <w:spacing w:line="360" w:lineRule="auto"/>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本企业对上述声明内容的真实性负责。如有虛假，将依法承担相应责任。</w:t>
      </w:r>
    </w:p>
    <w:p w14:paraId="5B54BA17">
      <w:pPr>
        <w:spacing w:line="360" w:lineRule="auto"/>
        <w:jc w:val="center"/>
        <w:rPr>
          <w:rFonts w:hint="eastAsia" w:ascii="宋体" w:hAnsi="宋体" w:eastAsia="宋体" w:cs="宋体"/>
          <w:color w:val="auto"/>
          <w:sz w:val="21"/>
          <w:szCs w:val="21"/>
          <w:highlight w:val="none"/>
          <w:shd w:val="clear" w:color="auto" w:fill="FFFFFF"/>
        </w:rPr>
      </w:pPr>
    </w:p>
    <w:p w14:paraId="27720389">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企业名称(</w:t>
      </w:r>
      <w:r>
        <w:rPr>
          <w:rFonts w:hint="eastAsia" w:ascii="宋体" w:hAnsi="宋体" w:eastAsia="宋体" w:cs="宋体"/>
          <w:color w:val="auto"/>
          <w:sz w:val="21"/>
          <w:szCs w:val="21"/>
          <w:highlight w:val="none"/>
          <w:u w:val="single"/>
        </w:rPr>
        <w:t>电子签章</w:t>
      </w:r>
      <w:r>
        <w:rPr>
          <w:rFonts w:hint="eastAsia" w:ascii="宋体" w:hAnsi="宋体" w:eastAsia="宋体" w:cs="宋体"/>
          <w:color w:val="auto"/>
          <w:sz w:val="21"/>
          <w:szCs w:val="21"/>
          <w:highlight w:val="none"/>
          <w:shd w:val="clear" w:color="auto" w:fill="FFFFFF"/>
        </w:rPr>
        <w:t>):</w:t>
      </w:r>
    </w:p>
    <w:p w14:paraId="684429AD">
      <w:pPr>
        <w:spacing w:line="360" w:lineRule="auto"/>
        <w:ind w:firstLine="3570" w:firstLineChars="17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  期:</w:t>
      </w:r>
    </w:p>
    <w:p w14:paraId="4B70CC13">
      <w:pPr>
        <w:pStyle w:val="16"/>
        <w:ind w:firstLine="560"/>
        <w:rPr>
          <w:rFonts w:hint="eastAsia"/>
          <w:color w:val="auto"/>
          <w:highlight w:val="none"/>
        </w:rPr>
      </w:pPr>
    </w:p>
    <w:p w14:paraId="55531671">
      <w:pPr>
        <w:rPr>
          <w:rFonts w:hint="eastAsia"/>
          <w:color w:val="auto"/>
          <w:highlight w:val="none"/>
        </w:rPr>
      </w:pPr>
    </w:p>
    <w:p w14:paraId="7F58D25F">
      <w:pPr>
        <w:tabs>
          <w:tab w:val="left" w:pos="4860"/>
        </w:tabs>
        <w:spacing w:line="588" w:lineRule="exact"/>
        <w:ind w:right="1560"/>
        <w:rPr>
          <w:rFonts w:hint="eastAsia" w:ascii="宋体" w:hAnsi="宋体"/>
          <w:color w:val="auto"/>
          <w:spacing w:val="6"/>
          <w:sz w:val="24"/>
          <w:highlight w:val="none"/>
        </w:rPr>
      </w:pPr>
      <w:r>
        <w:rPr>
          <w:rFonts w:hint="eastAsia" w:ascii="宋体" w:hAnsi="宋体"/>
          <w:color w:val="auto"/>
          <w:spacing w:val="6"/>
          <w:sz w:val="30"/>
          <w:szCs w:val="30"/>
          <w:highlight w:val="none"/>
        </w:rPr>
        <w:t xml:space="preserve">   </w:t>
      </w:r>
      <w:r>
        <w:rPr>
          <w:rFonts w:hint="eastAsia" w:ascii="宋体" w:hAnsi="宋体"/>
          <w:color w:val="auto"/>
          <w:spacing w:val="6"/>
          <w:sz w:val="21"/>
          <w:szCs w:val="21"/>
          <w:highlight w:val="none"/>
        </w:rPr>
        <w:t xml:space="preserve"> 注：1、若供应商不属于中小微企业的，则不需要填写此声明函。  </w:t>
      </w:r>
      <w:r>
        <w:rPr>
          <w:rFonts w:hint="eastAsia" w:ascii="宋体" w:hAnsi="宋体"/>
          <w:color w:val="auto"/>
          <w:spacing w:val="6"/>
          <w:sz w:val="30"/>
          <w:szCs w:val="30"/>
          <w:highlight w:val="none"/>
        </w:rPr>
        <w:t xml:space="preserve">             </w:t>
      </w:r>
      <w:r>
        <w:rPr>
          <w:rFonts w:hint="eastAsia" w:ascii="宋体" w:hAnsi="宋体"/>
          <w:color w:val="auto"/>
          <w:spacing w:val="6"/>
          <w:sz w:val="24"/>
          <w:highlight w:val="none"/>
        </w:rPr>
        <w:t xml:space="preserve">        </w:t>
      </w:r>
    </w:p>
    <w:p w14:paraId="1B0EB150">
      <w:pPr>
        <w:pStyle w:val="7"/>
        <w:rPr>
          <w:rFonts w:ascii="宋体" w:hAnsi="宋体"/>
          <w:b/>
          <w:color w:val="auto"/>
          <w:sz w:val="21"/>
          <w:highlight w:val="none"/>
        </w:rPr>
      </w:pPr>
      <w:r>
        <w:rPr>
          <w:color w:val="auto"/>
          <w:highlight w:val="none"/>
        </w:rPr>
        <w:br w:type="page"/>
      </w:r>
      <w:r>
        <w:rPr>
          <w:rFonts w:hint="eastAsia" w:ascii="宋体" w:hAnsi="宋体"/>
          <w:b/>
          <w:color w:val="auto"/>
          <w:sz w:val="21"/>
          <w:highlight w:val="none"/>
        </w:rPr>
        <w:t>注：</w:t>
      </w:r>
    </w:p>
    <w:p w14:paraId="0C3A6252">
      <w:pPr>
        <w:spacing w:line="360" w:lineRule="auto"/>
        <w:rPr>
          <w:rFonts w:ascii="宋体" w:hAnsi="宋体"/>
          <w:b/>
          <w:color w:val="auto"/>
          <w:highlight w:val="none"/>
        </w:rPr>
      </w:pPr>
      <w:r>
        <w:rPr>
          <w:rFonts w:hint="eastAsia" w:ascii="宋体" w:hAnsi="宋体"/>
          <w:b/>
          <w:color w:val="auto"/>
          <w:highlight w:val="none"/>
          <w:lang w:val="en-US" w:eastAsia="zh-CN"/>
        </w:rPr>
        <w:t>1</w:t>
      </w:r>
      <w:r>
        <w:rPr>
          <w:rFonts w:ascii="宋体" w:hAnsi="宋体"/>
          <w:b/>
          <w:color w:val="auto"/>
          <w:highlight w:val="none"/>
        </w:rPr>
        <w:t>.</w:t>
      </w:r>
      <w:r>
        <w:rPr>
          <w:rFonts w:hint="eastAsia" w:ascii="宋体" w:hAnsi="宋体"/>
          <w:b/>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EE34F58">
      <w:pPr>
        <w:spacing w:line="360" w:lineRule="auto"/>
        <w:rPr>
          <w:rFonts w:ascii="宋体" w:hAnsi="宋体"/>
          <w:b/>
          <w:color w:val="auto"/>
          <w:highlight w:val="none"/>
        </w:rPr>
      </w:pPr>
      <w:r>
        <w:rPr>
          <w:rFonts w:hint="eastAsia" w:ascii="宋体" w:hAnsi="宋体"/>
          <w:b/>
          <w:color w:val="auto"/>
          <w:highlight w:val="none"/>
          <w:lang w:val="en-US" w:eastAsia="zh-CN"/>
        </w:rPr>
        <w:t>2</w:t>
      </w:r>
      <w:r>
        <w:rPr>
          <w:rFonts w:ascii="宋体" w:hAnsi="宋体"/>
          <w:b/>
          <w:color w:val="auto"/>
          <w:highlight w:val="none"/>
        </w:rPr>
        <w:t>.</w:t>
      </w:r>
      <w:r>
        <w:rPr>
          <w:rFonts w:hint="eastAsia" w:ascii="宋体" w:hAnsi="宋体"/>
          <w:b/>
          <w:color w:val="auto"/>
          <w:highlight w:val="none"/>
        </w:rPr>
        <w:t>供应商须核对《关于印发中小企业划型标准规定的通知》（工信部联企业〔2011〕300号）规定的中小企业划型标准，如实填写声明函。所声明的从业人员人数或营业收入金额不符合中小企业划型标准规定或未按竞争性磋商文件明确的所属行业填写的，磋商小组将不予认可。根据政府采购主管部门关于政府采购信息公示的相关要求，如中标单位为小型（或微型）企业，其响应文件中所提供的中小企业声明函需在发布采购结果的网站随中标结果一并公示，请各供应商如实提供及填写本单位企业情况。</w:t>
      </w:r>
    </w:p>
    <w:p w14:paraId="2F2E0486">
      <w:pPr>
        <w:spacing w:line="360" w:lineRule="auto"/>
        <w:rPr>
          <w:rFonts w:hint="eastAsia" w:ascii="宋体" w:hAnsi="宋体"/>
          <w:b/>
          <w:color w:val="auto"/>
          <w:highlight w:val="none"/>
        </w:rPr>
      </w:pPr>
      <w:r>
        <w:rPr>
          <w:rFonts w:hint="eastAsia" w:ascii="宋体" w:hAnsi="宋体"/>
          <w:b/>
          <w:color w:val="auto"/>
          <w:highlight w:val="none"/>
          <w:lang w:val="en-US" w:eastAsia="zh-CN"/>
        </w:rPr>
        <w:t>3</w:t>
      </w:r>
      <w:r>
        <w:rPr>
          <w:rFonts w:ascii="宋体" w:hAnsi="宋体"/>
          <w:b/>
          <w:color w:val="auto"/>
          <w:highlight w:val="none"/>
        </w:rPr>
        <w:t>.</w:t>
      </w:r>
      <w:r>
        <w:rPr>
          <w:rFonts w:hint="eastAsia" w:ascii="宋体" w:hAnsi="宋体"/>
          <w:b/>
          <w:color w:val="auto"/>
          <w:highlight w:val="none"/>
        </w:rPr>
        <w:t>本项目属于《关于印发中小企业划型标准规定的通知》（工信部联企业〔2011〕300号）规定中的“</w:t>
      </w:r>
      <w:r>
        <w:rPr>
          <w:rFonts w:hint="eastAsia" w:ascii="宋体" w:hAnsi="宋体"/>
          <w:b/>
          <w:color w:val="auto"/>
          <w:highlight w:val="none"/>
          <w:u w:val="single"/>
          <w:lang w:val="en-US" w:eastAsia="zh-CN"/>
        </w:rPr>
        <w:t>租赁和商务服务业（法律服务）</w:t>
      </w:r>
      <w:r>
        <w:rPr>
          <w:rFonts w:hint="eastAsia" w:ascii="宋体" w:hAnsi="宋体"/>
          <w:b/>
          <w:color w:val="auto"/>
          <w:highlight w:val="none"/>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585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1DA0AD7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行业名称</w:t>
            </w:r>
          </w:p>
        </w:tc>
        <w:tc>
          <w:tcPr>
            <w:tcW w:w="1369" w:type="dxa"/>
            <w:noWrap w:val="0"/>
            <w:vAlign w:val="center"/>
          </w:tcPr>
          <w:p w14:paraId="7B9C33B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0"/>
            <w:vAlign w:val="center"/>
          </w:tcPr>
          <w:p w14:paraId="15E8F56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1ABDFDE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noWrap w:val="0"/>
            <w:vAlign w:val="center"/>
          </w:tcPr>
          <w:p w14:paraId="17EB4A2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0"/>
            <w:vAlign w:val="center"/>
          </w:tcPr>
          <w:p w14:paraId="4CF88D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0"/>
            <w:vAlign w:val="center"/>
          </w:tcPr>
          <w:p w14:paraId="051D5F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0"/>
            <w:vAlign w:val="center"/>
          </w:tcPr>
          <w:p w14:paraId="2D8849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422D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D2DA7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27F898C5">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A6833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E8664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3C1422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noWrap w:val="0"/>
            <w:vAlign w:val="center"/>
          </w:tcPr>
          <w:p w14:paraId="0FBB2E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noWrap w:val="0"/>
            <w:vAlign w:val="center"/>
          </w:tcPr>
          <w:p w14:paraId="2AB21A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9B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EBDB2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工业 </w:t>
            </w:r>
          </w:p>
        </w:tc>
        <w:tc>
          <w:tcPr>
            <w:tcW w:w="1369" w:type="dxa"/>
            <w:noWrap w:val="0"/>
            <w:vAlign w:val="center"/>
          </w:tcPr>
          <w:p w14:paraId="673CC5A7">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410DBF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2C28D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C3083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1945E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noWrap w:val="0"/>
            <w:vAlign w:val="center"/>
          </w:tcPr>
          <w:p w14:paraId="359756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CC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107330">
            <w:pPr>
              <w:widowControl/>
              <w:jc w:val="left"/>
              <w:rPr>
                <w:rFonts w:ascii="宋体" w:hAnsi="宋体" w:cs="宋体"/>
                <w:color w:val="auto"/>
                <w:kern w:val="0"/>
                <w:sz w:val="18"/>
                <w:szCs w:val="18"/>
                <w:highlight w:val="none"/>
              </w:rPr>
            </w:pPr>
          </w:p>
        </w:tc>
        <w:tc>
          <w:tcPr>
            <w:tcW w:w="1369" w:type="dxa"/>
            <w:noWrap w:val="0"/>
            <w:vAlign w:val="center"/>
          </w:tcPr>
          <w:p w14:paraId="62FB288E">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614C5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12565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460461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36DE24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noWrap w:val="0"/>
            <w:vAlign w:val="center"/>
          </w:tcPr>
          <w:p w14:paraId="4B8425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341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FC437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7428EC25">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23B10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0A6E0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62EDEB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6FFB70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noWrap w:val="0"/>
            <w:vAlign w:val="center"/>
          </w:tcPr>
          <w:p w14:paraId="7192E2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176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D41E79B">
            <w:pPr>
              <w:widowControl/>
              <w:jc w:val="left"/>
              <w:rPr>
                <w:rFonts w:ascii="宋体" w:hAnsi="宋体" w:cs="宋体"/>
                <w:color w:val="auto"/>
                <w:kern w:val="0"/>
                <w:sz w:val="18"/>
                <w:szCs w:val="18"/>
                <w:highlight w:val="none"/>
              </w:rPr>
            </w:pPr>
          </w:p>
        </w:tc>
        <w:tc>
          <w:tcPr>
            <w:tcW w:w="1369" w:type="dxa"/>
            <w:noWrap w:val="0"/>
            <w:vAlign w:val="center"/>
          </w:tcPr>
          <w:p w14:paraId="73289979">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1BA7A0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A1125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7EBD22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6E70CF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noWrap w:val="0"/>
            <w:vAlign w:val="center"/>
          </w:tcPr>
          <w:p w14:paraId="123ECC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835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410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7AAC3F73">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700C8E4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CDECA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35D0C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61CCA6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noWrap w:val="0"/>
            <w:vAlign w:val="center"/>
          </w:tcPr>
          <w:p w14:paraId="4A015E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279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DCE424">
            <w:pPr>
              <w:widowControl/>
              <w:jc w:val="left"/>
              <w:rPr>
                <w:rFonts w:ascii="宋体" w:hAnsi="宋体" w:cs="宋体"/>
                <w:color w:val="auto"/>
                <w:kern w:val="0"/>
                <w:sz w:val="18"/>
                <w:szCs w:val="18"/>
                <w:highlight w:val="none"/>
              </w:rPr>
            </w:pPr>
          </w:p>
        </w:tc>
        <w:tc>
          <w:tcPr>
            <w:tcW w:w="1369" w:type="dxa"/>
            <w:noWrap w:val="0"/>
            <w:vAlign w:val="center"/>
          </w:tcPr>
          <w:p w14:paraId="06CA43CC">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9A0A9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59FEE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2C54F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C92B533">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72F73D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882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88572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7E5140E4">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59CE2D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B8B71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B2096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270CD393">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65724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3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17CC4E">
            <w:pPr>
              <w:widowControl/>
              <w:jc w:val="left"/>
              <w:rPr>
                <w:rFonts w:ascii="宋体" w:hAnsi="宋体" w:cs="宋体"/>
                <w:color w:val="auto"/>
                <w:kern w:val="0"/>
                <w:sz w:val="18"/>
                <w:szCs w:val="18"/>
                <w:highlight w:val="none"/>
              </w:rPr>
            </w:pPr>
          </w:p>
        </w:tc>
        <w:tc>
          <w:tcPr>
            <w:tcW w:w="1369" w:type="dxa"/>
            <w:noWrap w:val="0"/>
            <w:vAlign w:val="center"/>
          </w:tcPr>
          <w:p w14:paraId="5965D409">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2C9521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B977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D4E88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noWrap w:val="0"/>
            <w:vAlign w:val="center"/>
          </w:tcPr>
          <w:p w14:paraId="03C16BB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noWrap w:val="0"/>
            <w:vAlign w:val="center"/>
          </w:tcPr>
          <w:p w14:paraId="53F513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CA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0476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交通运输业 </w:t>
            </w:r>
          </w:p>
        </w:tc>
        <w:tc>
          <w:tcPr>
            <w:tcW w:w="1369" w:type="dxa"/>
            <w:noWrap w:val="0"/>
            <w:vAlign w:val="center"/>
          </w:tcPr>
          <w:p w14:paraId="567E0D6F">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75B028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8684C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8F71F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58DF5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noWrap w:val="0"/>
            <w:vAlign w:val="center"/>
          </w:tcPr>
          <w:p w14:paraId="14D59E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B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D608BB">
            <w:pPr>
              <w:widowControl/>
              <w:jc w:val="left"/>
              <w:rPr>
                <w:rFonts w:ascii="宋体" w:hAnsi="宋体" w:cs="宋体"/>
                <w:color w:val="auto"/>
                <w:kern w:val="0"/>
                <w:sz w:val="18"/>
                <w:szCs w:val="18"/>
                <w:highlight w:val="none"/>
              </w:rPr>
            </w:pPr>
          </w:p>
        </w:tc>
        <w:tc>
          <w:tcPr>
            <w:tcW w:w="1369" w:type="dxa"/>
            <w:noWrap w:val="0"/>
            <w:vAlign w:val="center"/>
          </w:tcPr>
          <w:p w14:paraId="1FA89995">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983CC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8C1EF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DFAF6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5E8BFA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noWrap w:val="0"/>
            <w:vAlign w:val="center"/>
          </w:tcPr>
          <w:p w14:paraId="04AEFE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C62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3EB1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75AF89EC">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0CEC4D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0862D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0E727B8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1D5F3B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noWrap w:val="0"/>
            <w:vAlign w:val="center"/>
          </w:tcPr>
          <w:p w14:paraId="52AB60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9E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0DFB637">
            <w:pPr>
              <w:widowControl/>
              <w:jc w:val="left"/>
              <w:rPr>
                <w:rFonts w:ascii="宋体" w:hAnsi="宋体" w:cs="宋体"/>
                <w:color w:val="auto"/>
                <w:kern w:val="0"/>
                <w:sz w:val="18"/>
                <w:szCs w:val="18"/>
                <w:highlight w:val="none"/>
              </w:rPr>
            </w:pPr>
          </w:p>
        </w:tc>
        <w:tc>
          <w:tcPr>
            <w:tcW w:w="1369" w:type="dxa"/>
            <w:noWrap w:val="0"/>
            <w:vAlign w:val="center"/>
          </w:tcPr>
          <w:p w14:paraId="2166231C">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B9E91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A5C0E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6EE905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32F9C9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noWrap w:val="0"/>
            <w:vAlign w:val="center"/>
          </w:tcPr>
          <w:p w14:paraId="3CC816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0F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08DB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C65A540">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0C7F33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FDB5E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E3098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1F1DC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noWrap w:val="0"/>
            <w:vAlign w:val="center"/>
          </w:tcPr>
          <w:p w14:paraId="7F45F6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41E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400FCB">
            <w:pPr>
              <w:widowControl/>
              <w:jc w:val="left"/>
              <w:rPr>
                <w:rFonts w:ascii="宋体" w:hAnsi="宋体" w:cs="宋体"/>
                <w:color w:val="auto"/>
                <w:kern w:val="0"/>
                <w:sz w:val="18"/>
                <w:szCs w:val="18"/>
                <w:highlight w:val="none"/>
              </w:rPr>
            </w:pPr>
          </w:p>
        </w:tc>
        <w:tc>
          <w:tcPr>
            <w:tcW w:w="1369" w:type="dxa"/>
            <w:noWrap w:val="0"/>
            <w:vAlign w:val="center"/>
          </w:tcPr>
          <w:p w14:paraId="2133E7F1">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5D0FE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8EE8C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A4AF6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688248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noWrap w:val="0"/>
            <w:vAlign w:val="center"/>
          </w:tcPr>
          <w:p w14:paraId="539662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50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E6F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349A6687">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79D33B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FFC70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2C8C1A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4B20A4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0FE72A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37F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4F501C">
            <w:pPr>
              <w:widowControl/>
              <w:jc w:val="left"/>
              <w:rPr>
                <w:rFonts w:ascii="宋体" w:hAnsi="宋体" w:cs="宋体"/>
                <w:color w:val="auto"/>
                <w:kern w:val="0"/>
                <w:sz w:val="18"/>
                <w:szCs w:val="18"/>
                <w:highlight w:val="none"/>
              </w:rPr>
            </w:pPr>
          </w:p>
        </w:tc>
        <w:tc>
          <w:tcPr>
            <w:tcW w:w="1369" w:type="dxa"/>
            <w:noWrap w:val="0"/>
            <w:vAlign w:val="center"/>
          </w:tcPr>
          <w:p w14:paraId="1955E63B">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07C44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B13A7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6E452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915FA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noWrap w:val="0"/>
            <w:vAlign w:val="center"/>
          </w:tcPr>
          <w:p w14:paraId="4B3EAA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EC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552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2001B7E3">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7330BE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C7249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5999BB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8CD05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61B0B6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DE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94F93B">
            <w:pPr>
              <w:widowControl/>
              <w:jc w:val="left"/>
              <w:rPr>
                <w:rFonts w:ascii="宋体" w:hAnsi="宋体" w:cs="宋体"/>
                <w:color w:val="auto"/>
                <w:kern w:val="0"/>
                <w:sz w:val="18"/>
                <w:szCs w:val="18"/>
                <w:highlight w:val="none"/>
              </w:rPr>
            </w:pPr>
          </w:p>
        </w:tc>
        <w:tc>
          <w:tcPr>
            <w:tcW w:w="1369" w:type="dxa"/>
            <w:noWrap w:val="0"/>
            <w:vAlign w:val="center"/>
          </w:tcPr>
          <w:p w14:paraId="782FDF9C">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D2471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26DE0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A7CE1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9D268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noWrap w:val="0"/>
            <w:vAlign w:val="center"/>
          </w:tcPr>
          <w:p w14:paraId="2AE823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9C3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8190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信息传输业 </w:t>
            </w:r>
          </w:p>
        </w:tc>
        <w:tc>
          <w:tcPr>
            <w:tcW w:w="1369" w:type="dxa"/>
            <w:noWrap w:val="0"/>
            <w:vAlign w:val="center"/>
          </w:tcPr>
          <w:p w14:paraId="72D21249">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2E1CA8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DBE69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7F171C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217EBA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7F07C1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316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0FF8A">
            <w:pPr>
              <w:widowControl/>
              <w:jc w:val="left"/>
              <w:rPr>
                <w:rFonts w:ascii="宋体" w:hAnsi="宋体" w:cs="宋体"/>
                <w:color w:val="auto"/>
                <w:kern w:val="0"/>
                <w:sz w:val="18"/>
                <w:szCs w:val="18"/>
                <w:highlight w:val="none"/>
              </w:rPr>
            </w:pPr>
          </w:p>
        </w:tc>
        <w:tc>
          <w:tcPr>
            <w:tcW w:w="1369" w:type="dxa"/>
            <w:noWrap w:val="0"/>
            <w:vAlign w:val="center"/>
          </w:tcPr>
          <w:p w14:paraId="1039AB17">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F06AB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48B1E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1A8FAC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noWrap w:val="0"/>
            <w:vAlign w:val="center"/>
          </w:tcPr>
          <w:p w14:paraId="11B698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noWrap w:val="0"/>
            <w:vAlign w:val="center"/>
          </w:tcPr>
          <w:p w14:paraId="0EF769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4B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811C197">
            <w:pPr>
              <w:widowControl/>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33D0EE4D">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4A93CC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3B079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1B29143">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0C4C6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5B4AAA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07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CEBD385">
            <w:pPr>
              <w:widowControl/>
              <w:jc w:val="left"/>
              <w:rPr>
                <w:rFonts w:ascii="宋体" w:hAnsi="宋体" w:cs="宋体"/>
                <w:color w:val="auto"/>
                <w:spacing w:val="-12"/>
                <w:kern w:val="0"/>
                <w:sz w:val="18"/>
                <w:szCs w:val="18"/>
                <w:highlight w:val="none"/>
              </w:rPr>
            </w:pPr>
          </w:p>
        </w:tc>
        <w:tc>
          <w:tcPr>
            <w:tcW w:w="1369" w:type="dxa"/>
            <w:noWrap w:val="0"/>
            <w:vAlign w:val="center"/>
          </w:tcPr>
          <w:p w14:paraId="191D966F">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A353C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20BAF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04859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01A08C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noWrap w:val="0"/>
            <w:vAlign w:val="center"/>
          </w:tcPr>
          <w:p w14:paraId="1D328C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EBE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4E8C5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34C3A381">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010C8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C14F1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37A564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noWrap w:val="0"/>
            <w:vAlign w:val="center"/>
          </w:tcPr>
          <w:p w14:paraId="5E3EB6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noWrap w:val="0"/>
            <w:vAlign w:val="center"/>
          </w:tcPr>
          <w:p w14:paraId="423D8B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5A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7E50D">
            <w:pPr>
              <w:widowControl/>
              <w:jc w:val="left"/>
              <w:rPr>
                <w:rFonts w:ascii="宋体" w:hAnsi="宋体" w:cs="宋体"/>
                <w:color w:val="auto"/>
                <w:kern w:val="0"/>
                <w:sz w:val="18"/>
                <w:szCs w:val="18"/>
                <w:highlight w:val="none"/>
              </w:rPr>
            </w:pPr>
          </w:p>
        </w:tc>
        <w:tc>
          <w:tcPr>
            <w:tcW w:w="1369" w:type="dxa"/>
            <w:noWrap w:val="0"/>
            <w:vAlign w:val="center"/>
          </w:tcPr>
          <w:p w14:paraId="03CECCA7">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4E9141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3644E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3F70F9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443F5C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noWrap w:val="0"/>
            <w:vAlign w:val="center"/>
          </w:tcPr>
          <w:p w14:paraId="5159F4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2A0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6C965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5E646D92">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66B49D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55551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F67C3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34F1D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noWrap w:val="0"/>
            <w:vAlign w:val="center"/>
          </w:tcPr>
          <w:p w14:paraId="04A526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65F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CB7372">
            <w:pPr>
              <w:widowControl/>
              <w:jc w:val="left"/>
              <w:rPr>
                <w:rFonts w:ascii="宋体" w:hAnsi="宋体" w:cs="宋体"/>
                <w:color w:val="auto"/>
                <w:kern w:val="0"/>
                <w:sz w:val="18"/>
                <w:szCs w:val="18"/>
                <w:highlight w:val="none"/>
              </w:rPr>
            </w:pPr>
          </w:p>
        </w:tc>
        <w:tc>
          <w:tcPr>
            <w:tcW w:w="1369" w:type="dxa"/>
            <w:noWrap w:val="0"/>
            <w:vAlign w:val="center"/>
          </w:tcPr>
          <w:p w14:paraId="1254985A">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3AF1E0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C29C4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319533F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noWrap w:val="0"/>
            <w:vAlign w:val="center"/>
          </w:tcPr>
          <w:p w14:paraId="55A4D3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noWrap w:val="0"/>
            <w:vAlign w:val="center"/>
          </w:tcPr>
          <w:p w14:paraId="6A3467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F1C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90BC5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0E15904">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1331EE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818D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9B6031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0473D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73BA5C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49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C29207">
            <w:pPr>
              <w:widowControl/>
              <w:jc w:val="left"/>
              <w:rPr>
                <w:rFonts w:ascii="宋体" w:hAnsi="宋体" w:cs="宋体"/>
                <w:color w:val="auto"/>
                <w:kern w:val="0"/>
                <w:sz w:val="18"/>
                <w:szCs w:val="18"/>
                <w:highlight w:val="none"/>
              </w:rPr>
            </w:pPr>
          </w:p>
        </w:tc>
        <w:tc>
          <w:tcPr>
            <w:tcW w:w="1369" w:type="dxa"/>
            <w:noWrap w:val="0"/>
            <w:vAlign w:val="center"/>
          </w:tcPr>
          <w:p w14:paraId="6F22C927">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5F03C4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16F78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582F75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noWrap w:val="0"/>
            <w:vAlign w:val="center"/>
          </w:tcPr>
          <w:p w14:paraId="1CEFBD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noWrap w:val="0"/>
            <w:vAlign w:val="center"/>
          </w:tcPr>
          <w:p w14:paraId="210CE2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1795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75AA4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其他未列明行业 </w:t>
            </w:r>
          </w:p>
        </w:tc>
        <w:tc>
          <w:tcPr>
            <w:tcW w:w="1369" w:type="dxa"/>
            <w:noWrap w:val="0"/>
            <w:vAlign w:val="center"/>
          </w:tcPr>
          <w:p w14:paraId="037C857F">
            <w:pPr>
              <w:widowControl/>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w:t>
            </w:r>
          </w:p>
        </w:tc>
        <w:tc>
          <w:tcPr>
            <w:tcW w:w="709" w:type="dxa"/>
            <w:noWrap w:val="0"/>
            <w:vAlign w:val="center"/>
          </w:tcPr>
          <w:p w14:paraId="3C71C3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2A1AD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44D7C9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FF847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73BB2A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D90A815">
      <w:pPr>
        <w:pStyle w:val="7"/>
        <w:rPr>
          <w:rFonts w:ascii="仿宋_GB2312" w:eastAsia="仿宋_GB2312" w:cs="宋体"/>
          <w:color w:val="auto"/>
          <w:spacing w:val="8"/>
          <w:szCs w:val="21"/>
          <w:highlight w:val="none"/>
        </w:rPr>
      </w:pPr>
    </w:p>
    <w:p w14:paraId="17F0BCA2">
      <w:pPr>
        <w:pStyle w:val="6"/>
        <w:rPr>
          <w:color w:val="auto"/>
          <w:highlight w:val="none"/>
        </w:rPr>
      </w:pPr>
    </w:p>
    <w:p w14:paraId="60A9C7C5">
      <w:pPr>
        <w:jc w:val="center"/>
        <w:rPr>
          <w:rFonts w:hint="eastAsia"/>
          <w:b/>
          <w:color w:val="auto"/>
          <w:highlight w:val="none"/>
        </w:rPr>
      </w:pPr>
      <w:r>
        <w:rPr>
          <w:rFonts w:hint="eastAsia"/>
          <w:color w:val="auto"/>
          <w:highlight w:val="none"/>
        </w:rPr>
        <w:br w:type="page"/>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残疾人福利性单位声明函</w:t>
      </w:r>
    </w:p>
    <w:p w14:paraId="35B21024">
      <w:pPr>
        <w:spacing w:line="588" w:lineRule="exact"/>
        <w:ind w:firstLine="504" w:firstLineChars="200"/>
        <w:rPr>
          <w:rFonts w:hint="eastAsia" w:ascii="宋体" w:hAnsi="宋体"/>
          <w:color w:val="auto"/>
          <w:spacing w:val="6"/>
          <w:sz w:val="24"/>
          <w:highlight w:val="none"/>
        </w:rPr>
      </w:pPr>
    </w:p>
    <w:p w14:paraId="466F1DBC">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z w:val="21"/>
          <w:szCs w:val="21"/>
          <w:highlight w:val="none"/>
        </w:rPr>
        <w:t>〔2017〕 141</w:t>
      </w:r>
      <w:r>
        <w:rPr>
          <w:rFonts w:hint="eastAsia" w:ascii="宋体" w:hAnsi="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F83D9F">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本单位对上述声明的真实性负责。如有虚假，将依法承担相应责任。</w:t>
      </w:r>
    </w:p>
    <w:p w14:paraId="565E1B93">
      <w:pPr>
        <w:spacing w:line="588" w:lineRule="exact"/>
        <w:ind w:firstLine="444" w:firstLineChars="200"/>
        <w:rPr>
          <w:rFonts w:ascii="仿宋_GB2312" w:eastAsia="仿宋_GB2312"/>
          <w:color w:val="auto"/>
          <w:spacing w:val="6"/>
          <w:sz w:val="21"/>
          <w:szCs w:val="21"/>
          <w:highlight w:val="none"/>
        </w:rPr>
      </w:pPr>
    </w:p>
    <w:p w14:paraId="5E8E02CF">
      <w:pPr>
        <w:spacing w:line="588" w:lineRule="exact"/>
        <w:ind w:firstLine="444" w:firstLineChars="200"/>
        <w:rPr>
          <w:rFonts w:ascii="宋体" w:hAnsi="宋体"/>
          <w:color w:val="auto"/>
          <w:spacing w:val="6"/>
          <w:sz w:val="21"/>
          <w:szCs w:val="21"/>
          <w:highlight w:val="none"/>
        </w:rPr>
      </w:pPr>
    </w:p>
    <w:p w14:paraId="0BF2C9BD">
      <w:pPr>
        <w:tabs>
          <w:tab w:val="left" w:pos="4860"/>
        </w:tabs>
        <w:spacing w:line="588" w:lineRule="exact"/>
        <w:ind w:right="1560" w:firstLine="444" w:firstLineChars="200"/>
        <w:jc w:val="center"/>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               单位名称（电子公章）：</w:t>
      </w:r>
    </w:p>
    <w:p w14:paraId="64702B7E">
      <w:pPr>
        <w:tabs>
          <w:tab w:val="left" w:pos="4860"/>
        </w:tabs>
        <w:spacing w:line="588" w:lineRule="exact"/>
        <w:ind w:right="1560" w:firstLine="444" w:firstLineChars="200"/>
        <w:jc w:val="center"/>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       日  期：</w:t>
      </w:r>
    </w:p>
    <w:p w14:paraId="30E95BC9">
      <w:pPr>
        <w:spacing w:line="588" w:lineRule="exact"/>
        <w:rPr>
          <w:color w:val="auto"/>
          <w:sz w:val="21"/>
          <w:szCs w:val="21"/>
          <w:highlight w:val="none"/>
        </w:rPr>
      </w:pPr>
    </w:p>
    <w:p w14:paraId="04DDF3F3">
      <w:pPr>
        <w:spacing w:line="588" w:lineRule="exact"/>
        <w:rPr>
          <w:color w:val="auto"/>
          <w:sz w:val="21"/>
          <w:szCs w:val="21"/>
          <w:highlight w:val="none"/>
        </w:rPr>
      </w:pPr>
    </w:p>
    <w:p w14:paraId="7D2DA64A">
      <w:pPr>
        <w:spacing w:line="588" w:lineRule="exact"/>
        <w:rPr>
          <w:color w:val="auto"/>
          <w:sz w:val="21"/>
          <w:szCs w:val="21"/>
          <w:highlight w:val="none"/>
        </w:rPr>
      </w:pPr>
    </w:p>
    <w:p w14:paraId="68C7A783">
      <w:pPr>
        <w:spacing w:line="588" w:lineRule="exact"/>
        <w:rPr>
          <w:rFonts w:hint="eastAsia"/>
          <w:color w:val="auto"/>
          <w:sz w:val="21"/>
          <w:szCs w:val="21"/>
          <w:highlight w:val="none"/>
        </w:rPr>
      </w:pPr>
    </w:p>
    <w:p w14:paraId="37083CAE">
      <w:pPr>
        <w:spacing w:line="588" w:lineRule="exact"/>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注：1、</w:t>
      </w:r>
      <w:r>
        <w:rPr>
          <w:rFonts w:hint="eastAsia" w:ascii="宋体" w:hAnsi="宋体"/>
          <w:b/>
          <w:bCs/>
          <w:color w:val="auto"/>
          <w:spacing w:val="6"/>
          <w:sz w:val="21"/>
          <w:szCs w:val="21"/>
          <w:highlight w:val="none"/>
        </w:rPr>
        <w:t>若供应商不属于残疾人福利性单位的，则不需要填写此声明函</w:t>
      </w:r>
      <w:r>
        <w:rPr>
          <w:rFonts w:hint="eastAsia" w:ascii="宋体" w:hAnsi="宋体"/>
          <w:color w:val="auto"/>
          <w:spacing w:val="6"/>
          <w:sz w:val="21"/>
          <w:szCs w:val="21"/>
          <w:highlight w:val="none"/>
        </w:rPr>
        <w:t>。</w:t>
      </w:r>
    </w:p>
    <w:p w14:paraId="778FCAF0">
      <w:pPr>
        <w:spacing w:line="588" w:lineRule="exact"/>
        <w:ind w:firstLine="444" w:firstLineChars="200"/>
        <w:rPr>
          <w:rFonts w:hint="eastAsia" w:ascii="宋体" w:hAnsi="宋体"/>
          <w:color w:val="auto"/>
          <w:spacing w:val="6"/>
          <w:sz w:val="21"/>
          <w:szCs w:val="21"/>
          <w:highlight w:val="none"/>
        </w:rPr>
      </w:pPr>
      <w:r>
        <w:rPr>
          <w:rFonts w:hint="eastAsia" w:ascii="宋体" w:hAnsi="宋体"/>
          <w:color w:val="auto"/>
          <w:spacing w:val="6"/>
          <w:sz w:val="21"/>
          <w:szCs w:val="21"/>
          <w:highlight w:val="none"/>
        </w:rPr>
        <w:t>2、中标供应商为残疾人福利性单位的，其《残疾人福利性单位声明函》将随中标结果同时公告，接受社会监督。供应商提供的《残疾人福利性单位声明函》与事实不符的，依照《政府采购法》第七十七条第一款的规定追究法律责任。</w:t>
      </w:r>
    </w:p>
    <w:p w14:paraId="19EE7EBE">
      <w:pPr>
        <w:jc w:val="center"/>
        <w:rPr>
          <w:rFonts w:hint="eastAsia"/>
          <w:color w:val="auto"/>
          <w:highlight w:val="none"/>
        </w:rPr>
      </w:pPr>
      <w:r>
        <w:rPr>
          <w:rFonts w:hint="eastAsia"/>
          <w:color w:val="auto"/>
          <w:highlight w:val="none"/>
        </w:rPr>
        <w:br w:type="page"/>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监狱企业证明文件</w:t>
      </w:r>
    </w:p>
    <w:p w14:paraId="3B772CD5">
      <w:pPr>
        <w:spacing w:line="360" w:lineRule="auto"/>
        <w:ind w:firstLine="480" w:firstLineChars="200"/>
        <w:jc w:val="left"/>
        <w:rPr>
          <w:rFonts w:hint="eastAsia" w:ascii="宋体" w:hAnsi="宋体"/>
          <w:color w:val="auto"/>
          <w:sz w:val="24"/>
          <w:highlight w:val="none"/>
        </w:rPr>
      </w:pPr>
    </w:p>
    <w:p w14:paraId="7881A3F4">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30D74A">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监狱企业参加政府采购活动时，应当提供由省级以上监狱管理局、戒毒管理局（含新疆生产建设兵团）出具的属于监狱企业的证明文件。</w:t>
      </w:r>
    </w:p>
    <w:p w14:paraId="60473551">
      <w:pPr>
        <w:spacing w:line="360" w:lineRule="auto"/>
        <w:ind w:firstLine="420" w:firstLineChars="200"/>
        <w:jc w:val="left"/>
        <w:rPr>
          <w:rFonts w:hint="eastAsia" w:ascii="宋体" w:hAnsi="宋体"/>
          <w:color w:val="auto"/>
          <w:sz w:val="21"/>
          <w:szCs w:val="21"/>
          <w:highlight w:val="none"/>
        </w:rPr>
      </w:pPr>
    </w:p>
    <w:p w14:paraId="4AD74CAB">
      <w:pPr>
        <w:spacing w:line="360" w:lineRule="auto"/>
        <w:ind w:firstLine="420" w:firstLineChars="200"/>
        <w:jc w:val="left"/>
        <w:rPr>
          <w:rFonts w:ascii="宋体" w:hAnsi="宋体"/>
          <w:color w:val="auto"/>
          <w:sz w:val="21"/>
          <w:szCs w:val="21"/>
          <w:highlight w:val="none"/>
        </w:rPr>
      </w:pPr>
      <w:r>
        <w:rPr>
          <w:rFonts w:hint="eastAsia" w:ascii="宋体" w:hAnsi="宋体"/>
          <w:b/>
          <w:bCs/>
          <w:color w:val="auto"/>
          <w:sz w:val="21"/>
          <w:szCs w:val="21"/>
          <w:highlight w:val="none"/>
        </w:rPr>
        <w:t>注：若供应商不属于监狱企业的，则不需要提供证明文件。</w:t>
      </w:r>
    </w:p>
    <w:p w14:paraId="1A6314AA">
      <w:pPr>
        <w:spacing w:line="360" w:lineRule="auto"/>
        <w:rPr>
          <w:rFonts w:hint="eastAsia" w:ascii="宋体" w:hAnsi="宋体"/>
          <w:color w:val="auto"/>
          <w:sz w:val="21"/>
          <w:szCs w:val="21"/>
          <w:highlight w:val="none"/>
        </w:rPr>
      </w:pPr>
    </w:p>
    <w:p w14:paraId="4F7F8CAE">
      <w:pPr>
        <w:pStyle w:val="3"/>
        <w:rPr>
          <w:rFonts w:hint="default" w:ascii="宋体" w:hAnsi="宋体" w:eastAsia="宋体"/>
          <w:b/>
          <w:bCs/>
          <w:color w:val="auto"/>
          <w:sz w:val="28"/>
          <w:szCs w:val="28"/>
          <w:highlight w:val="none"/>
          <w:lang w:val="en-US" w:eastAsia="zh-CN" w:bidi="ar-SA"/>
        </w:rPr>
      </w:pPr>
      <w:r>
        <w:rPr>
          <w:rFonts w:hint="eastAsia" w:ascii="宋体" w:hAnsi="宋体"/>
          <w:bCs w:val="0"/>
          <w:color w:val="auto"/>
          <w:kern w:val="2"/>
          <w:sz w:val="28"/>
          <w:szCs w:val="28"/>
          <w:highlight w:val="none"/>
        </w:rPr>
        <w:br w:type="page"/>
      </w:r>
      <w:bookmarkStart w:id="337" w:name="_Toc26943"/>
      <w:bookmarkStart w:id="338" w:name="_Toc28116"/>
      <w:r>
        <w:rPr>
          <w:rFonts w:hint="eastAsia"/>
          <w:color w:val="auto"/>
          <w:sz w:val="24"/>
          <w:szCs w:val="24"/>
          <w:highlight w:val="none"/>
          <w:lang w:val="en-US" w:eastAsia="zh-CN"/>
        </w:rPr>
        <w:t>（五）项目团队配置</w:t>
      </w:r>
      <w:bookmarkEnd w:id="337"/>
    </w:p>
    <w:p w14:paraId="680269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1.项目负责人简历表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192"/>
        <w:gridCol w:w="861"/>
        <w:gridCol w:w="1327"/>
        <w:gridCol w:w="2374"/>
        <w:gridCol w:w="2236"/>
      </w:tblGrid>
      <w:tr w14:paraId="0250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18A3FEA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姓名</w:t>
            </w:r>
          </w:p>
        </w:tc>
        <w:tc>
          <w:tcPr>
            <w:tcW w:w="642" w:type="pct"/>
            <w:tcBorders>
              <w:tl2br w:val="nil"/>
              <w:tr2bl w:val="nil"/>
            </w:tcBorders>
            <w:noWrap w:val="0"/>
            <w:vAlign w:val="center"/>
          </w:tcPr>
          <w:p w14:paraId="173C8B2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463" w:type="pct"/>
            <w:tcBorders>
              <w:tl2br w:val="nil"/>
              <w:tr2bl w:val="nil"/>
            </w:tcBorders>
            <w:noWrap w:val="0"/>
            <w:vAlign w:val="center"/>
          </w:tcPr>
          <w:p w14:paraId="45CD554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年龄</w:t>
            </w:r>
          </w:p>
        </w:tc>
        <w:tc>
          <w:tcPr>
            <w:tcW w:w="715" w:type="pct"/>
            <w:tcBorders>
              <w:tl2br w:val="nil"/>
              <w:tr2bl w:val="nil"/>
            </w:tcBorders>
            <w:noWrap w:val="0"/>
            <w:vAlign w:val="center"/>
          </w:tcPr>
          <w:p w14:paraId="4E50D88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1279" w:type="pct"/>
            <w:tcBorders>
              <w:tl2br w:val="nil"/>
              <w:tr2bl w:val="nil"/>
            </w:tcBorders>
            <w:noWrap w:val="0"/>
            <w:vAlign w:val="center"/>
          </w:tcPr>
          <w:p w14:paraId="7140CF1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学历</w:t>
            </w:r>
          </w:p>
        </w:tc>
        <w:tc>
          <w:tcPr>
            <w:tcW w:w="1202" w:type="pct"/>
            <w:tcBorders>
              <w:tl2br w:val="nil"/>
              <w:tr2bl w:val="nil"/>
            </w:tcBorders>
            <w:noWrap w:val="0"/>
            <w:vAlign w:val="center"/>
          </w:tcPr>
          <w:p w14:paraId="33491D9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r>
      <w:tr w14:paraId="7303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2D1DB73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职务</w:t>
            </w:r>
          </w:p>
        </w:tc>
        <w:tc>
          <w:tcPr>
            <w:tcW w:w="1821" w:type="pct"/>
            <w:gridSpan w:val="3"/>
            <w:tcBorders>
              <w:tl2br w:val="nil"/>
              <w:tr2bl w:val="nil"/>
            </w:tcBorders>
            <w:noWrap w:val="0"/>
            <w:vAlign w:val="center"/>
          </w:tcPr>
          <w:p w14:paraId="619BE5C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1279" w:type="pct"/>
            <w:tcBorders>
              <w:tl2br w:val="nil"/>
              <w:tr2bl w:val="nil"/>
            </w:tcBorders>
            <w:noWrap w:val="0"/>
            <w:vAlign w:val="center"/>
          </w:tcPr>
          <w:p w14:paraId="3A0FFE57">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拟在本项目任职</w:t>
            </w:r>
          </w:p>
        </w:tc>
        <w:tc>
          <w:tcPr>
            <w:tcW w:w="1202" w:type="pct"/>
            <w:tcBorders>
              <w:tl2br w:val="nil"/>
              <w:tr2bl w:val="nil"/>
            </w:tcBorders>
            <w:noWrap w:val="0"/>
            <w:vAlign w:val="center"/>
          </w:tcPr>
          <w:p w14:paraId="65ED9EF7">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r>
      <w:tr w14:paraId="71F0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2" w:type="pct"/>
            <w:gridSpan w:val="3"/>
            <w:tcBorders>
              <w:tl2br w:val="nil"/>
              <w:tr2bl w:val="nil"/>
            </w:tcBorders>
            <w:noWrap w:val="0"/>
            <w:vAlign w:val="center"/>
          </w:tcPr>
          <w:p w14:paraId="2D645BE7">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执业资格等级</w:t>
            </w:r>
          </w:p>
        </w:tc>
        <w:tc>
          <w:tcPr>
            <w:tcW w:w="715" w:type="pct"/>
            <w:tcBorders>
              <w:tl2br w:val="nil"/>
              <w:tr2bl w:val="nil"/>
            </w:tcBorders>
            <w:noWrap w:val="0"/>
            <w:vAlign w:val="center"/>
          </w:tcPr>
          <w:p w14:paraId="70CE1A7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1279" w:type="pct"/>
            <w:tcBorders>
              <w:tl2br w:val="nil"/>
              <w:tr2bl w:val="nil"/>
            </w:tcBorders>
            <w:noWrap w:val="0"/>
            <w:vAlign w:val="center"/>
          </w:tcPr>
          <w:p w14:paraId="2D0580C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专业</w:t>
            </w:r>
          </w:p>
        </w:tc>
        <w:tc>
          <w:tcPr>
            <w:tcW w:w="1202" w:type="pct"/>
            <w:tcBorders>
              <w:tl2br w:val="nil"/>
              <w:tr2bl w:val="nil"/>
            </w:tcBorders>
            <w:noWrap w:val="0"/>
            <w:vAlign w:val="center"/>
          </w:tcPr>
          <w:p w14:paraId="64081B9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r>
      <w:tr w14:paraId="096B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802" w:type="pct"/>
            <w:gridSpan w:val="3"/>
            <w:tcBorders>
              <w:tl2br w:val="nil"/>
              <w:tr2bl w:val="nil"/>
            </w:tcBorders>
            <w:noWrap w:val="0"/>
            <w:vAlign w:val="center"/>
          </w:tcPr>
          <w:p w14:paraId="779F179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证   书</w:t>
            </w:r>
          </w:p>
        </w:tc>
        <w:tc>
          <w:tcPr>
            <w:tcW w:w="3197" w:type="pct"/>
            <w:gridSpan w:val="3"/>
            <w:tcBorders>
              <w:tl2br w:val="nil"/>
              <w:tr2bl w:val="nil"/>
            </w:tcBorders>
            <w:noWrap w:val="0"/>
            <w:vAlign w:val="center"/>
          </w:tcPr>
          <w:p w14:paraId="7FED224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r>
      <w:tr w14:paraId="39CB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96" w:type="pct"/>
            <w:tcBorders>
              <w:tl2br w:val="nil"/>
              <w:tr2bl w:val="nil"/>
            </w:tcBorders>
            <w:noWrap w:val="0"/>
            <w:vAlign w:val="center"/>
          </w:tcPr>
          <w:p w14:paraId="5E07B55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毕业院校</w:t>
            </w:r>
          </w:p>
        </w:tc>
        <w:tc>
          <w:tcPr>
            <w:tcW w:w="4303" w:type="pct"/>
            <w:gridSpan w:val="5"/>
            <w:tcBorders>
              <w:tl2br w:val="nil"/>
              <w:tr2bl w:val="nil"/>
            </w:tcBorders>
            <w:noWrap w:val="0"/>
            <w:vAlign w:val="center"/>
          </w:tcPr>
          <w:p w14:paraId="05A68049">
            <w:pPr>
              <w:keepNext w:val="0"/>
              <w:keepLines w:val="0"/>
              <w:pageBreakBefore w:val="0"/>
              <w:widowControl/>
              <w:kinsoku/>
              <w:wordWrap/>
              <w:overflowPunct/>
              <w:topLinePunct w:val="0"/>
              <w:autoSpaceDE/>
              <w:autoSpaceDN/>
              <w:bidi w:val="0"/>
              <w:adjustRightInd/>
              <w:snapToGrid w:val="0"/>
              <w:spacing w:line="560" w:lineRule="exact"/>
              <w:ind w:firstLine="630" w:firstLineChars="30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年毕业于                  学校              专业</w:t>
            </w:r>
          </w:p>
        </w:tc>
      </w:tr>
      <w:tr w14:paraId="5454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6"/>
            <w:tcBorders>
              <w:tl2br w:val="nil"/>
              <w:tr2bl w:val="nil"/>
            </w:tcBorders>
            <w:noWrap w:val="0"/>
            <w:vAlign w:val="center"/>
          </w:tcPr>
          <w:p w14:paraId="1ABEC8F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主要工作经历</w:t>
            </w:r>
          </w:p>
        </w:tc>
      </w:tr>
      <w:tr w14:paraId="5938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30572A7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p>
        </w:tc>
        <w:tc>
          <w:tcPr>
            <w:tcW w:w="1821" w:type="pct"/>
            <w:gridSpan w:val="3"/>
            <w:tcBorders>
              <w:tl2br w:val="nil"/>
              <w:tr2bl w:val="nil"/>
            </w:tcBorders>
            <w:noWrap w:val="0"/>
            <w:vAlign w:val="center"/>
          </w:tcPr>
          <w:p w14:paraId="030D60F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参加过的类似项目名称</w:t>
            </w:r>
          </w:p>
        </w:tc>
        <w:tc>
          <w:tcPr>
            <w:tcW w:w="1279" w:type="pct"/>
            <w:tcBorders>
              <w:tl2br w:val="nil"/>
              <w:tr2bl w:val="nil"/>
            </w:tcBorders>
            <w:noWrap w:val="0"/>
            <w:vAlign w:val="center"/>
          </w:tcPr>
          <w:p w14:paraId="0C8B13F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项目概况说明</w:t>
            </w:r>
          </w:p>
        </w:tc>
        <w:tc>
          <w:tcPr>
            <w:tcW w:w="1202" w:type="pct"/>
            <w:tcBorders>
              <w:tl2br w:val="nil"/>
              <w:tr2bl w:val="nil"/>
            </w:tcBorders>
            <w:noWrap w:val="0"/>
            <w:vAlign w:val="center"/>
          </w:tcPr>
          <w:p w14:paraId="334486C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53B8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16EA0C2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1821" w:type="pct"/>
            <w:gridSpan w:val="3"/>
            <w:tcBorders>
              <w:tl2br w:val="nil"/>
              <w:tr2bl w:val="nil"/>
            </w:tcBorders>
            <w:noWrap w:val="0"/>
            <w:vAlign w:val="center"/>
          </w:tcPr>
          <w:p w14:paraId="19B990B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1279" w:type="pct"/>
            <w:tcBorders>
              <w:tl2br w:val="nil"/>
              <w:tr2bl w:val="nil"/>
            </w:tcBorders>
            <w:noWrap w:val="0"/>
            <w:vAlign w:val="center"/>
          </w:tcPr>
          <w:p w14:paraId="09FE30A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c>
          <w:tcPr>
            <w:tcW w:w="1202" w:type="pct"/>
            <w:tcBorders>
              <w:tl2br w:val="nil"/>
              <w:tr2bl w:val="nil"/>
            </w:tcBorders>
            <w:noWrap w:val="0"/>
            <w:vAlign w:val="center"/>
          </w:tcPr>
          <w:p w14:paraId="3772F6A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tc>
      </w:tr>
      <w:tr w14:paraId="49A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54CC59D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821" w:type="pct"/>
            <w:gridSpan w:val="3"/>
            <w:tcBorders>
              <w:tl2br w:val="nil"/>
              <w:tr2bl w:val="nil"/>
            </w:tcBorders>
            <w:noWrap w:val="0"/>
            <w:vAlign w:val="center"/>
          </w:tcPr>
          <w:p w14:paraId="04D7934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79" w:type="pct"/>
            <w:tcBorders>
              <w:tl2br w:val="nil"/>
              <w:tr2bl w:val="nil"/>
            </w:tcBorders>
            <w:noWrap w:val="0"/>
            <w:vAlign w:val="center"/>
          </w:tcPr>
          <w:p w14:paraId="34AD00E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02" w:type="pct"/>
            <w:tcBorders>
              <w:tl2br w:val="nil"/>
              <w:tr2bl w:val="nil"/>
            </w:tcBorders>
            <w:noWrap w:val="0"/>
            <w:vAlign w:val="center"/>
          </w:tcPr>
          <w:p w14:paraId="2CEB638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r>
      <w:tr w14:paraId="7B8E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561699A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821" w:type="pct"/>
            <w:gridSpan w:val="3"/>
            <w:tcBorders>
              <w:tl2br w:val="nil"/>
              <w:tr2bl w:val="nil"/>
            </w:tcBorders>
            <w:noWrap w:val="0"/>
            <w:vAlign w:val="center"/>
          </w:tcPr>
          <w:p w14:paraId="623A68E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79" w:type="pct"/>
            <w:tcBorders>
              <w:tl2br w:val="nil"/>
              <w:tr2bl w:val="nil"/>
            </w:tcBorders>
            <w:noWrap w:val="0"/>
            <w:vAlign w:val="center"/>
          </w:tcPr>
          <w:p w14:paraId="3B2D1B3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02" w:type="pct"/>
            <w:tcBorders>
              <w:tl2br w:val="nil"/>
              <w:tr2bl w:val="nil"/>
            </w:tcBorders>
            <w:noWrap w:val="0"/>
            <w:vAlign w:val="center"/>
          </w:tcPr>
          <w:p w14:paraId="7A8B2DC7">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r>
      <w:tr w14:paraId="52DC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05948E4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821" w:type="pct"/>
            <w:gridSpan w:val="3"/>
            <w:tcBorders>
              <w:tl2br w:val="nil"/>
              <w:tr2bl w:val="nil"/>
            </w:tcBorders>
            <w:noWrap w:val="0"/>
            <w:vAlign w:val="center"/>
          </w:tcPr>
          <w:p w14:paraId="3447559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79" w:type="pct"/>
            <w:tcBorders>
              <w:tl2br w:val="nil"/>
              <w:tr2bl w:val="nil"/>
            </w:tcBorders>
            <w:noWrap w:val="0"/>
            <w:vAlign w:val="center"/>
          </w:tcPr>
          <w:p w14:paraId="6B83B6D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02" w:type="pct"/>
            <w:tcBorders>
              <w:tl2br w:val="nil"/>
              <w:tr2bl w:val="nil"/>
            </w:tcBorders>
            <w:noWrap w:val="0"/>
            <w:vAlign w:val="center"/>
          </w:tcPr>
          <w:p w14:paraId="708A665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r>
      <w:tr w14:paraId="0434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96" w:type="pct"/>
            <w:tcBorders>
              <w:tl2br w:val="nil"/>
              <w:tr2bl w:val="nil"/>
            </w:tcBorders>
            <w:noWrap w:val="0"/>
            <w:vAlign w:val="center"/>
          </w:tcPr>
          <w:p w14:paraId="17D3AD1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821" w:type="pct"/>
            <w:gridSpan w:val="3"/>
            <w:tcBorders>
              <w:tl2br w:val="nil"/>
              <w:tr2bl w:val="nil"/>
            </w:tcBorders>
            <w:noWrap w:val="0"/>
            <w:vAlign w:val="center"/>
          </w:tcPr>
          <w:p w14:paraId="61F03DC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79" w:type="pct"/>
            <w:tcBorders>
              <w:tl2br w:val="nil"/>
              <w:tr2bl w:val="nil"/>
            </w:tcBorders>
            <w:noWrap w:val="0"/>
            <w:vAlign w:val="center"/>
          </w:tcPr>
          <w:p w14:paraId="5329942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c>
          <w:tcPr>
            <w:tcW w:w="1202" w:type="pct"/>
            <w:tcBorders>
              <w:tl2br w:val="nil"/>
              <w:tr2bl w:val="nil"/>
            </w:tcBorders>
            <w:noWrap w:val="0"/>
            <w:vAlign w:val="center"/>
          </w:tcPr>
          <w:p w14:paraId="7C9BC60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highlight w:val="none"/>
              </w:rPr>
            </w:pPr>
          </w:p>
        </w:tc>
      </w:tr>
    </w:tbl>
    <w:p w14:paraId="5EB1C73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6A49FA0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需提供身份证、职业资格证书、供应商出具加盖公章的在职证明（证明其为供应商在职执业律师）、项目负责人工作经验证明材料，若上述有关材料缺失或无法体现或无法确认主要信息的，评审时将不予认可。</w:t>
      </w:r>
    </w:p>
    <w:p w14:paraId="4FE939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项目团队配置表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5"/>
        <w:gridCol w:w="1362"/>
        <w:gridCol w:w="981"/>
        <w:gridCol w:w="1172"/>
        <w:gridCol w:w="1281"/>
        <w:gridCol w:w="1084"/>
        <w:gridCol w:w="1213"/>
        <w:gridCol w:w="1119"/>
      </w:tblGrid>
      <w:tr w14:paraId="4A7D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476" w:type="pct"/>
            <w:noWrap w:val="0"/>
            <w:vAlign w:val="center"/>
          </w:tcPr>
          <w:p w14:paraId="3E2CCB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50" w:type="pct"/>
            <w:noWrap w:val="0"/>
            <w:vAlign w:val="center"/>
          </w:tcPr>
          <w:p w14:paraId="45AE40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540" w:type="pct"/>
            <w:noWrap w:val="0"/>
            <w:vAlign w:val="center"/>
          </w:tcPr>
          <w:p w14:paraId="4549C4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45" w:type="pct"/>
            <w:noWrap w:val="0"/>
            <w:vAlign w:val="center"/>
          </w:tcPr>
          <w:p w14:paraId="5982D9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705" w:type="pct"/>
            <w:noWrap w:val="0"/>
            <w:vAlign w:val="center"/>
          </w:tcPr>
          <w:p w14:paraId="4E902411">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学历</w:t>
            </w:r>
          </w:p>
        </w:tc>
        <w:tc>
          <w:tcPr>
            <w:tcW w:w="597" w:type="pct"/>
            <w:noWrap w:val="0"/>
            <w:vAlign w:val="center"/>
          </w:tcPr>
          <w:p w14:paraId="52DD64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执业/职业资格</w:t>
            </w:r>
          </w:p>
        </w:tc>
        <w:tc>
          <w:tcPr>
            <w:tcW w:w="668" w:type="pct"/>
            <w:noWrap w:val="0"/>
            <w:vAlign w:val="center"/>
          </w:tcPr>
          <w:p w14:paraId="2F3A54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从业年限</w:t>
            </w:r>
          </w:p>
        </w:tc>
        <w:tc>
          <w:tcPr>
            <w:tcW w:w="616" w:type="pct"/>
            <w:noWrap w:val="0"/>
            <w:vAlign w:val="center"/>
          </w:tcPr>
          <w:p w14:paraId="74B88E8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r>
      <w:tr w14:paraId="0F44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476" w:type="pct"/>
            <w:noWrap w:val="0"/>
            <w:vAlign w:val="center"/>
          </w:tcPr>
          <w:p w14:paraId="321D5148">
            <w:pPr>
              <w:jc w:val="center"/>
              <w:rPr>
                <w:rFonts w:hint="eastAsia" w:ascii="宋体" w:hAnsi="宋体" w:eastAsia="宋体" w:cs="宋体"/>
                <w:color w:val="auto"/>
                <w:sz w:val="21"/>
                <w:szCs w:val="21"/>
                <w:highlight w:val="none"/>
              </w:rPr>
            </w:pPr>
          </w:p>
        </w:tc>
        <w:tc>
          <w:tcPr>
            <w:tcW w:w="750" w:type="pct"/>
            <w:noWrap w:val="0"/>
            <w:vAlign w:val="center"/>
          </w:tcPr>
          <w:p w14:paraId="3296EA4B">
            <w:pPr>
              <w:jc w:val="center"/>
              <w:rPr>
                <w:rFonts w:hint="eastAsia" w:ascii="宋体" w:hAnsi="宋体" w:eastAsia="宋体" w:cs="宋体"/>
                <w:color w:val="auto"/>
                <w:sz w:val="21"/>
                <w:szCs w:val="21"/>
                <w:highlight w:val="none"/>
              </w:rPr>
            </w:pPr>
          </w:p>
        </w:tc>
        <w:tc>
          <w:tcPr>
            <w:tcW w:w="540" w:type="pct"/>
            <w:noWrap w:val="0"/>
            <w:vAlign w:val="center"/>
          </w:tcPr>
          <w:p w14:paraId="66342931">
            <w:pPr>
              <w:jc w:val="center"/>
              <w:rPr>
                <w:rFonts w:hint="eastAsia" w:ascii="宋体" w:hAnsi="宋体" w:eastAsia="宋体" w:cs="宋体"/>
                <w:color w:val="auto"/>
                <w:sz w:val="21"/>
                <w:szCs w:val="21"/>
                <w:highlight w:val="none"/>
              </w:rPr>
            </w:pPr>
          </w:p>
        </w:tc>
        <w:tc>
          <w:tcPr>
            <w:tcW w:w="645" w:type="pct"/>
            <w:noWrap w:val="0"/>
            <w:vAlign w:val="center"/>
          </w:tcPr>
          <w:p w14:paraId="4BEC0963">
            <w:pPr>
              <w:jc w:val="center"/>
              <w:rPr>
                <w:rFonts w:hint="eastAsia" w:ascii="宋体" w:hAnsi="宋体" w:eastAsia="宋体" w:cs="宋体"/>
                <w:color w:val="auto"/>
                <w:sz w:val="21"/>
                <w:szCs w:val="21"/>
                <w:highlight w:val="none"/>
              </w:rPr>
            </w:pPr>
          </w:p>
        </w:tc>
        <w:tc>
          <w:tcPr>
            <w:tcW w:w="705" w:type="pct"/>
            <w:noWrap w:val="0"/>
            <w:vAlign w:val="center"/>
          </w:tcPr>
          <w:p w14:paraId="0A1EC1A5">
            <w:pPr>
              <w:jc w:val="center"/>
              <w:rPr>
                <w:rFonts w:hint="eastAsia" w:ascii="宋体" w:hAnsi="宋体" w:eastAsia="宋体" w:cs="宋体"/>
                <w:color w:val="auto"/>
                <w:sz w:val="21"/>
                <w:szCs w:val="21"/>
                <w:highlight w:val="none"/>
              </w:rPr>
            </w:pPr>
          </w:p>
        </w:tc>
        <w:tc>
          <w:tcPr>
            <w:tcW w:w="597" w:type="pct"/>
            <w:noWrap w:val="0"/>
            <w:vAlign w:val="center"/>
          </w:tcPr>
          <w:p w14:paraId="28988E10">
            <w:pPr>
              <w:jc w:val="center"/>
              <w:rPr>
                <w:rFonts w:hint="eastAsia" w:ascii="宋体" w:hAnsi="宋体" w:eastAsia="宋体" w:cs="宋体"/>
                <w:color w:val="auto"/>
                <w:sz w:val="21"/>
                <w:szCs w:val="21"/>
                <w:highlight w:val="none"/>
              </w:rPr>
            </w:pPr>
          </w:p>
        </w:tc>
        <w:tc>
          <w:tcPr>
            <w:tcW w:w="668" w:type="pct"/>
            <w:noWrap w:val="0"/>
            <w:vAlign w:val="center"/>
          </w:tcPr>
          <w:p w14:paraId="5322905D">
            <w:pPr>
              <w:jc w:val="center"/>
              <w:rPr>
                <w:rFonts w:hint="eastAsia" w:ascii="宋体" w:hAnsi="宋体" w:eastAsia="宋体" w:cs="宋体"/>
                <w:color w:val="auto"/>
                <w:sz w:val="21"/>
                <w:szCs w:val="21"/>
                <w:highlight w:val="none"/>
              </w:rPr>
            </w:pPr>
          </w:p>
        </w:tc>
        <w:tc>
          <w:tcPr>
            <w:tcW w:w="616" w:type="pct"/>
            <w:noWrap w:val="0"/>
            <w:vAlign w:val="center"/>
          </w:tcPr>
          <w:p w14:paraId="44C52976">
            <w:pPr>
              <w:jc w:val="center"/>
              <w:rPr>
                <w:rFonts w:hint="eastAsia" w:ascii="宋体" w:hAnsi="宋体" w:eastAsia="宋体" w:cs="宋体"/>
                <w:color w:val="auto"/>
                <w:sz w:val="21"/>
                <w:szCs w:val="21"/>
                <w:highlight w:val="none"/>
              </w:rPr>
            </w:pPr>
          </w:p>
        </w:tc>
      </w:tr>
      <w:tr w14:paraId="4CBA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76" w:type="pct"/>
            <w:noWrap w:val="0"/>
            <w:vAlign w:val="center"/>
          </w:tcPr>
          <w:p w14:paraId="49A45031">
            <w:pPr>
              <w:jc w:val="center"/>
              <w:rPr>
                <w:rFonts w:hint="eastAsia" w:ascii="宋体" w:hAnsi="宋体" w:eastAsia="宋体" w:cs="宋体"/>
                <w:color w:val="auto"/>
                <w:sz w:val="21"/>
                <w:szCs w:val="21"/>
                <w:highlight w:val="none"/>
              </w:rPr>
            </w:pPr>
          </w:p>
        </w:tc>
        <w:tc>
          <w:tcPr>
            <w:tcW w:w="750" w:type="pct"/>
            <w:noWrap w:val="0"/>
            <w:vAlign w:val="center"/>
          </w:tcPr>
          <w:p w14:paraId="53536F90">
            <w:pPr>
              <w:jc w:val="center"/>
              <w:rPr>
                <w:rFonts w:hint="eastAsia" w:ascii="宋体" w:hAnsi="宋体" w:eastAsia="宋体" w:cs="宋体"/>
                <w:color w:val="auto"/>
                <w:sz w:val="21"/>
                <w:szCs w:val="21"/>
                <w:highlight w:val="none"/>
              </w:rPr>
            </w:pPr>
          </w:p>
        </w:tc>
        <w:tc>
          <w:tcPr>
            <w:tcW w:w="540" w:type="pct"/>
            <w:noWrap w:val="0"/>
            <w:vAlign w:val="center"/>
          </w:tcPr>
          <w:p w14:paraId="14246CA0">
            <w:pPr>
              <w:jc w:val="center"/>
              <w:rPr>
                <w:rFonts w:hint="eastAsia" w:ascii="宋体" w:hAnsi="宋体" w:eastAsia="宋体" w:cs="宋体"/>
                <w:color w:val="auto"/>
                <w:sz w:val="21"/>
                <w:szCs w:val="21"/>
                <w:highlight w:val="none"/>
              </w:rPr>
            </w:pPr>
          </w:p>
        </w:tc>
        <w:tc>
          <w:tcPr>
            <w:tcW w:w="645" w:type="pct"/>
            <w:noWrap w:val="0"/>
            <w:vAlign w:val="center"/>
          </w:tcPr>
          <w:p w14:paraId="2934B8ED">
            <w:pPr>
              <w:jc w:val="center"/>
              <w:rPr>
                <w:rFonts w:hint="eastAsia" w:ascii="宋体" w:hAnsi="宋体" w:eastAsia="宋体" w:cs="宋体"/>
                <w:color w:val="auto"/>
                <w:sz w:val="21"/>
                <w:szCs w:val="21"/>
                <w:highlight w:val="none"/>
              </w:rPr>
            </w:pPr>
          </w:p>
        </w:tc>
        <w:tc>
          <w:tcPr>
            <w:tcW w:w="705" w:type="pct"/>
            <w:noWrap w:val="0"/>
            <w:vAlign w:val="center"/>
          </w:tcPr>
          <w:p w14:paraId="7235F545">
            <w:pPr>
              <w:jc w:val="center"/>
              <w:rPr>
                <w:rFonts w:hint="eastAsia" w:ascii="宋体" w:hAnsi="宋体" w:eastAsia="宋体" w:cs="宋体"/>
                <w:color w:val="auto"/>
                <w:sz w:val="21"/>
                <w:szCs w:val="21"/>
                <w:highlight w:val="none"/>
              </w:rPr>
            </w:pPr>
          </w:p>
        </w:tc>
        <w:tc>
          <w:tcPr>
            <w:tcW w:w="597" w:type="pct"/>
            <w:noWrap w:val="0"/>
            <w:vAlign w:val="center"/>
          </w:tcPr>
          <w:p w14:paraId="2251BE13">
            <w:pPr>
              <w:jc w:val="center"/>
              <w:rPr>
                <w:rFonts w:hint="eastAsia" w:ascii="宋体" w:hAnsi="宋体" w:eastAsia="宋体" w:cs="宋体"/>
                <w:color w:val="auto"/>
                <w:sz w:val="21"/>
                <w:szCs w:val="21"/>
                <w:highlight w:val="none"/>
              </w:rPr>
            </w:pPr>
          </w:p>
        </w:tc>
        <w:tc>
          <w:tcPr>
            <w:tcW w:w="668" w:type="pct"/>
            <w:noWrap w:val="0"/>
            <w:vAlign w:val="center"/>
          </w:tcPr>
          <w:p w14:paraId="7056C6BA">
            <w:pPr>
              <w:jc w:val="center"/>
              <w:rPr>
                <w:rFonts w:hint="eastAsia" w:ascii="宋体" w:hAnsi="宋体" w:eastAsia="宋体" w:cs="宋体"/>
                <w:color w:val="auto"/>
                <w:sz w:val="21"/>
                <w:szCs w:val="21"/>
                <w:highlight w:val="none"/>
              </w:rPr>
            </w:pPr>
          </w:p>
        </w:tc>
        <w:tc>
          <w:tcPr>
            <w:tcW w:w="616" w:type="pct"/>
            <w:noWrap w:val="0"/>
            <w:vAlign w:val="center"/>
          </w:tcPr>
          <w:p w14:paraId="4ED60074">
            <w:pPr>
              <w:jc w:val="center"/>
              <w:rPr>
                <w:rFonts w:hint="eastAsia" w:ascii="宋体" w:hAnsi="宋体" w:eastAsia="宋体" w:cs="宋体"/>
                <w:color w:val="auto"/>
                <w:sz w:val="21"/>
                <w:szCs w:val="21"/>
                <w:highlight w:val="none"/>
              </w:rPr>
            </w:pPr>
          </w:p>
        </w:tc>
      </w:tr>
      <w:tr w14:paraId="03F3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76" w:type="pct"/>
            <w:noWrap w:val="0"/>
            <w:vAlign w:val="center"/>
          </w:tcPr>
          <w:p w14:paraId="3154856F">
            <w:pPr>
              <w:jc w:val="center"/>
              <w:rPr>
                <w:rFonts w:hint="eastAsia" w:ascii="宋体" w:hAnsi="宋体" w:eastAsia="宋体" w:cs="宋体"/>
                <w:color w:val="auto"/>
                <w:sz w:val="21"/>
                <w:szCs w:val="21"/>
                <w:highlight w:val="none"/>
              </w:rPr>
            </w:pPr>
          </w:p>
        </w:tc>
        <w:tc>
          <w:tcPr>
            <w:tcW w:w="750" w:type="pct"/>
            <w:noWrap w:val="0"/>
            <w:vAlign w:val="center"/>
          </w:tcPr>
          <w:p w14:paraId="32DFFEE0">
            <w:pPr>
              <w:jc w:val="center"/>
              <w:rPr>
                <w:rFonts w:hint="eastAsia" w:ascii="宋体" w:hAnsi="宋体" w:eastAsia="宋体" w:cs="宋体"/>
                <w:color w:val="auto"/>
                <w:sz w:val="21"/>
                <w:szCs w:val="21"/>
                <w:highlight w:val="none"/>
              </w:rPr>
            </w:pPr>
          </w:p>
        </w:tc>
        <w:tc>
          <w:tcPr>
            <w:tcW w:w="540" w:type="pct"/>
            <w:noWrap w:val="0"/>
            <w:vAlign w:val="center"/>
          </w:tcPr>
          <w:p w14:paraId="72F0475F">
            <w:pPr>
              <w:jc w:val="center"/>
              <w:rPr>
                <w:rFonts w:hint="eastAsia" w:ascii="宋体" w:hAnsi="宋体" w:eastAsia="宋体" w:cs="宋体"/>
                <w:color w:val="auto"/>
                <w:sz w:val="21"/>
                <w:szCs w:val="21"/>
                <w:highlight w:val="none"/>
              </w:rPr>
            </w:pPr>
          </w:p>
        </w:tc>
        <w:tc>
          <w:tcPr>
            <w:tcW w:w="645" w:type="pct"/>
            <w:noWrap w:val="0"/>
            <w:vAlign w:val="center"/>
          </w:tcPr>
          <w:p w14:paraId="6C13FFD4">
            <w:pPr>
              <w:jc w:val="center"/>
              <w:rPr>
                <w:rFonts w:hint="eastAsia" w:ascii="宋体" w:hAnsi="宋体" w:eastAsia="宋体" w:cs="宋体"/>
                <w:color w:val="auto"/>
                <w:sz w:val="21"/>
                <w:szCs w:val="21"/>
                <w:highlight w:val="none"/>
              </w:rPr>
            </w:pPr>
          </w:p>
        </w:tc>
        <w:tc>
          <w:tcPr>
            <w:tcW w:w="705" w:type="pct"/>
            <w:noWrap w:val="0"/>
            <w:vAlign w:val="center"/>
          </w:tcPr>
          <w:p w14:paraId="4AE2E5D6">
            <w:pPr>
              <w:jc w:val="center"/>
              <w:rPr>
                <w:rFonts w:hint="eastAsia" w:ascii="宋体" w:hAnsi="宋体" w:eastAsia="宋体" w:cs="宋体"/>
                <w:color w:val="auto"/>
                <w:sz w:val="21"/>
                <w:szCs w:val="21"/>
                <w:highlight w:val="none"/>
              </w:rPr>
            </w:pPr>
          </w:p>
        </w:tc>
        <w:tc>
          <w:tcPr>
            <w:tcW w:w="597" w:type="pct"/>
            <w:noWrap w:val="0"/>
            <w:vAlign w:val="center"/>
          </w:tcPr>
          <w:p w14:paraId="07994E88">
            <w:pPr>
              <w:jc w:val="center"/>
              <w:rPr>
                <w:rFonts w:hint="eastAsia" w:ascii="宋体" w:hAnsi="宋体" w:eastAsia="宋体" w:cs="宋体"/>
                <w:color w:val="auto"/>
                <w:sz w:val="21"/>
                <w:szCs w:val="21"/>
                <w:highlight w:val="none"/>
              </w:rPr>
            </w:pPr>
          </w:p>
        </w:tc>
        <w:tc>
          <w:tcPr>
            <w:tcW w:w="668" w:type="pct"/>
            <w:noWrap w:val="0"/>
            <w:vAlign w:val="center"/>
          </w:tcPr>
          <w:p w14:paraId="2C081C87">
            <w:pPr>
              <w:jc w:val="center"/>
              <w:rPr>
                <w:rFonts w:hint="eastAsia" w:ascii="宋体" w:hAnsi="宋体" w:eastAsia="宋体" w:cs="宋体"/>
                <w:color w:val="auto"/>
                <w:sz w:val="21"/>
                <w:szCs w:val="21"/>
                <w:highlight w:val="none"/>
              </w:rPr>
            </w:pPr>
          </w:p>
        </w:tc>
        <w:tc>
          <w:tcPr>
            <w:tcW w:w="616" w:type="pct"/>
            <w:noWrap w:val="0"/>
            <w:vAlign w:val="center"/>
          </w:tcPr>
          <w:p w14:paraId="2421209B">
            <w:pPr>
              <w:jc w:val="center"/>
              <w:rPr>
                <w:rFonts w:hint="eastAsia" w:ascii="宋体" w:hAnsi="宋体" w:eastAsia="宋体" w:cs="宋体"/>
                <w:color w:val="auto"/>
                <w:sz w:val="21"/>
                <w:szCs w:val="21"/>
                <w:highlight w:val="none"/>
              </w:rPr>
            </w:pPr>
          </w:p>
        </w:tc>
      </w:tr>
      <w:tr w14:paraId="12AC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476" w:type="pct"/>
            <w:noWrap w:val="0"/>
            <w:vAlign w:val="center"/>
          </w:tcPr>
          <w:p w14:paraId="7DD53248">
            <w:pPr>
              <w:jc w:val="center"/>
              <w:rPr>
                <w:rFonts w:hint="eastAsia" w:ascii="宋体" w:hAnsi="宋体" w:eastAsia="宋体" w:cs="宋体"/>
                <w:color w:val="auto"/>
                <w:sz w:val="21"/>
                <w:szCs w:val="21"/>
                <w:highlight w:val="none"/>
              </w:rPr>
            </w:pPr>
          </w:p>
        </w:tc>
        <w:tc>
          <w:tcPr>
            <w:tcW w:w="750" w:type="pct"/>
            <w:noWrap w:val="0"/>
            <w:vAlign w:val="center"/>
          </w:tcPr>
          <w:p w14:paraId="4CAC0BC7">
            <w:pPr>
              <w:jc w:val="center"/>
              <w:rPr>
                <w:rFonts w:hint="eastAsia" w:ascii="宋体" w:hAnsi="宋体" w:eastAsia="宋体" w:cs="宋体"/>
                <w:color w:val="auto"/>
                <w:sz w:val="21"/>
                <w:szCs w:val="21"/>
                <w:highlight w:val="none"/>
              </w:rPr>
            </w:pPr>
          </w:p>
        </w:tc>
        <w:tc>
          <w:tcPr>
            <w:tcW w:w="540" w:type="pct"/>
            <w:noWrap w:val="0"/>
            <w:vAlign w:val="center"/>
          </w:tcPr>
          <w:p w14:paraId="453B687B">
            <w:pPr>
              <w:jc w:val="center"/>
              <w:rPr>
                <w:rFonts w:hint="eastAsia" w:ascii="宋体" w:hAnsi="宋体" w:eastAsia="宋体" w:cs="宋体"/>
                <w:color w:val="auto"/>
                <w:sz w:val="21"/>
                <w:szCs w:val="21"/>
                <w:highlight w:val="none"/>
              </w:rPr>
            </w:pPr>
          </w:p>
        </w:tc>
        <w:tc>
          <w:tcPr>
            <w:tcW w:w="645" w:type="pct"/>
            <w:noWrap w:val="0"/>
            <w:vAlign w:val="center"/>
          </w:tcPr>
          <w:p w14:paraId="03FF1642">
            <w:pPr>
              <w:jc w:val="center"/>
              <w:rPr>
                <w:rFonts w:hint="eastAsia" w:ascii="宋体" w:hAnsi="宋体" w:eastAsia="宋体" w:cs="宋体"/>
                <w:color w:val="auto"/>
                <w:sz w:val="21"/>
                <w:szCs w:val="21"/>
                <w:highlight w:val="none"/>
              </w:rPr>
            </w:pPr>
          </w:p>
        </w:tc>
        <w:tc>
          <w:tcPr>
            <w:tcW w:w="705" w:type="pct"/>
            <w:noWrap w:val="0"/>
            <w:vAlign w:val="center"/>
          </w:tcPr>
          <w:p w14:paraId="2F53DF13">
            <w:pPr>
              <w:jc w:val="center"/>
              <w:rPr>
                <w:rFonts w:hint="eastAsia" w:ascii="宋体" w:hAnsi="宋体" w:eastAsia="宋体" w:cs="宋体"/>
                <w:color w:val="auto"/>
                <w:sz w:val="21"/>
                <w:szCs w:val="21"/>
                <w:highlight w:val="none"/>
              </w:rPr>
            </w:pPr>
          </w:p>
        </w:tc>
        <w:tc>
          <w:tcPr>
            <w:tcW w:w="597" w:type="pct"/>
            <w:noWrap w:val="0"/>
            <w:vAlign w:val="center"/>
          </w:tcPr>
          <w:p w14:paraId="7C5AC483">
            <w:pPr>
              <w:jc w:val="center"/>
              <w:rPr>
                <w:rFonts w:hint="eastAsia" w:ascii="宋体" w:hAnsi="宋体" w:eastAsia="宋体" w:cs="宋体"/>
                <w:color w:val="auto"/>
                <w:sz w:val="21"/>
                <w:szCs w:val="21"/>
                <w:highlight w:val="none"/>
              </w:rPr>
            </w:pPr>
          </w:p>
        </w:tc>
        <w:tc>
          <w:tcPr>
            <w:tcW w:w="668" w:type="pct"/>
            <w:noWrap w:val="0"/>
            <w:vAlign w:val="center"/>
          </w:tcPr>
          <w:p w14:paraId="3CD78CB6">
            <w:pPr>
              <w:jc w:val="center"/>
              <w:rPr>
                <w:rFonts w:hint="eastAsia" w:ascii="宋体" w:hAnsi="宋体" w:eastAsia="宋体" w:cs="宋体"/>
                <w:color w:val="auto"/>
                <w:sz w:val="21"/>
                <w:szCs w:val="21"/>
                <w:highlight w:val="none"/>
              </w:rPr>
            </w:pPr>
          </w:p>
        </w:tc>
        <w:tc>
          <w:tcPr>
            <w:tcW w:w="616" w:type="pct"/>
            <w:noWrap w:val="0"/>
            <w:vAlign w:val="center"/>
          </w:tcPr>
          <w:p w14:paraId="06800910">
            <w:pPr>
              <w:jc w:val="center"/>
              <w:rPr>
                <w:rFonts w:hint="eastAsia" w:ascii="宋体" w:hAnsi="宋体" w:eastAsia="宋体" w:cs="宋体"/>
                <w:color w:val="auto"/>
                <w:sz w:val="21"/>
                <w:szCs w:val="21"/>
                <w:highlight w:val="none"/>
              </w:rPr>
            </w:pPr>
          </w:p>
        </w:tc>
      </w:tr>
      <w:tr w14:paraId="38A1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76" w:type="pct"/>
            <w:noWrap w:val="0"/>
            <w:vAlign w:val="center"/>
          </w:tcPr>
          <w:p w14:paraId="0CB17DAC">
            <w:pPr>
              <w:jc w:val="center"/>
              <w:rPr>
                <w:rFonts w:hint="eastAsia" w:ascii="宋体" w:hAnsi="宋体" w:eastAsia="宋体" w:cs="宋体"/>
                <w:color w:val="auto"/>
                <w:sz w:val="21"/>
                <w:szCs w:val="21"/>
                <w:highlight w:val="none"/>
              </w:rPr>
            </w:pPr>
          </w:p>
        </w:tc>
        <w:tc>
          <w:tcPr>
            <w:tcW w:w="750" w:type="pct"/>
            <w:noWrap w:val="0"/>
            <w:vAlign w:val="center"/>
          </w:tcPr>
          <w:p w14:paraId="0B392432">
            <w:pPr>
              <w:jc w:val="center"/>
              <w:rPr>
                <w:rFonts w:hint="eastAsia" w:ascii="宋体" w:hAnsi="宋体" w:eastAsia="宋体" w:cs="宋体"/>
                <w:color w:val="auto"/>
                <w:sz w:val="21"/>
                <w:szCs w:val="21"/>
                <w:highlight w:val="none"/>
              </w:rPr>
            </w:pPr>
          </w:p>
        </w:tc>
        <w:tc>
          <w:tcPr>
            <w:tcW w:w="540" w:type="pct"/>
            <w:noWrap w:val="0"/>
            <w:vAlign w:val="center"/>
          </w:tcPr>
          <w:p w14:paraId="61640DD5">
            <w:pPr>
              <w:jc w:val="center"/>
              <w:rPr>
                <w:rFonts w:hint="eastAsia" w:ascii="宋体" w:hAnsi="宋体" w:eastAsia="宋体" w:cs="宋体"/>
                <w:color w:val="auto"/>
                <w:sz w:val="21"/>
                <w:szCs w:val="21"/>
                <w:highlight w:val="none"/>
              </w:rPr>
            </w:pPr>
          </w:p>
        </w:tc>
        <w:tc>
          <w:tcPr>
            <w:tcW w:w="645" w:type="pct"/>
            <w:noWrap w:val="0"/>
            <w:vAlign w:val="center"/>
          </w:tcPr>
          <w:p w14:paraId="68A0B099">
            <w:pPr>
              <w:jc w:val="center"/>
              <w:rPr>
                <w:rFonts w:hint="eastAsia" w:ascii="宋体" w:hAnsi="宋体" w:eastAsia="宋体" w:cs="宋体"/>
                <w:color w:val="auto"/>
                <w:sz w:val="21"/>
                <w:szCs w:val="21"/>
                <w:highlight w:val="none"/>
              </w:rPr>
            </w:pPr>
          </w:p>
        </w:tc>
        <w:tc>
          <w:tcPr>
            <w:tcW w:w="705" w:type="pct"/>
            <w:noWrap w:val="0"/>
            <w:vAlign w:val="center"/>
          </w:tcPr>
          <w:p w14:paraId="11A4E74A">
            <w:pPr>
              <w:jc w:val="center"/>
              <w:rPr>
                <w:rFonts w:hint="eastAsia" w:ascii="宋体" w:hAnsi="宋体" w:eastAsia="宋体" w:cs="宋体"/>
                <w:color w:val="auto"/>
                <w:sz w:val="21"/>
                <w:szCs w:val="21"/>
                <w:highlight w:val="none"/>
              </w:rPr>
            </w:pPr>
          </w:p>
        </w:tc>
        <w:tc>
          <w:tcPr>
            <w:tcW w:w="597" w:type="pct"/>
            <w:noWrap w:val="0"/>
            <w:vAlign w:val="center"/>
          </w:tcPr>
          <w:p w14:paraId="3BCD5E84">
            <w:pPr>
              <w:jc w:val="center"/>
              <w:rPr>
                <w:rFonts w:hint="eastAsia" w:ascii="宋体" w:hAnsi="宋体" w:eastAsia="宋体" w:cs="宋体"/>
                <w:color w:val="auto"/>
                <w:sz w:val="21"/>
                <w:szCs w:val="21"/>
                <w:highlight w:val="none"/>
              </w:rPr>
            </w:pPr>
          </w:p>
        </w:tc>
        <w:tc>
          <w:tcPr>
            <w:tcW w:w="668" w:type="pct"/>
            <w:noWrap w:val="0"/>
            <w:vAlign w:val="center"/>
          </w:tcPr>
          <w:p w14:paraId="49E09A8E">
            <w:pPr>
              <w:jc w:val="center"/>
              <w:rPr>
                <w:rFonts w:hint="eastAsia" w:ascii="宋体" w:hAnsi="宋体" w:eastAsia="宋体" w:cs="宋体"/>
                <w:color w:val="auto"/>
                <w:sz w:val="21"/>
                <w:szCs w:val="21"/>
                <w:highlight w:val="none"/>
              </w:rPr>
            </w:pPr>
          </w:p>
        </w:tc>
        <w:tc>
          <w:tcPr>
            <w:tcW w:w="616" w:type="pct"/>
            <w:noWrap w:val="0"/>
            <w:vAlign w:val="center"/>
          </w:tcPr>
          <w:p w14:paraId="5AD33342">
            <w:pPr>
              <w:jc w:val="center"/>
              <w:rPr>
                <w:rFonts w:hint="eastAsia" w:ascii="宋体" w:hAnsi="宋体" w:eastAsia="宋体" w:cs="宋体"/>
                <w:color w:val="auto"/>
                <w:sz w:val="21"/>
                <w:szCs w:val="21"/>
                <w:highlight w:val="none"/>
              </w:rPr>
            </w:pPr>
          </w:p>
        </w:tc>
      </w:tr>
      <w:tr w14:paraId="2A6F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476" w:type="pct"/>
            <w:noWrap w:val="0"/>
            <w:vAlign w:val="center"/>
          </w:tcPr>
          <w:p w14:paraId="7258061E">
            <w:pPr>
              <w:jc w:val="center"/>
              <w:rPr>
                <w:rFonts w:hint="eastAsia" w:ascii="宋体" w:hAnsi="宋体" w:eastAsia="宋体" w:cs="宋体"/>
                <w:color w:val="auto"/>
                <w:sz w:val="21"/>
                <w:szCs w:val="21"/>
                <w:highlight w:val="none"/>
              </w:rPr>
            </w:pPr>
          </w:p>
        </w:tc>
        <w:tc>
          <w:tcPr>
            <w:tcW w:w="750" w:type="pct"/>
            <w:noWrap w:val="0"/>
            <w:vAlign w:val="center"/>
          </w:tcPr>
          <w:p w14:paraId="79ADC72F">
            <w:pPr>
              <w:jc w:val="center"/>
              <w:rPr>
                <w:rFonts w:hint="eastAsia" w:ascii="宋体" w:hAnsi="宋体" w:eastAsia="宋体" w:cs="宋体"/>
                <w:color w:val="auto"/>
                <w:sz w:val="21"/>
                <w:szCs w:val="21"/>
                <w:highlight w:val="none"/>
              </w:rPr>
            </w:pPr>
          </w:p>
        </w:tc>
        <w:tc>
          <w:tcPr>
            <w:tcW w:w="540" w:type="pct"/>
            <w:noWrap w:val="0"/>
            <w:vAlign w:val="center"/>
          </w:tcPr>
          <w:p w14:paraId="4D68464C">
            <w:pPr>
              <w:jc w:val="center"/>
              <w:rPr>
                <w:rFonts w:hint="eastAsia" w:ascii="宋体" w:hAnsi="宋体" w:eastAsia="宋体" w:cs="宋体"/>
                <w:color w:val="auto"/>
                <w:sz w:val="21"/>
                <w:szCs w:val="21"/>
                <w:highlight w:val="none"/>
              </w:rPr>
            </w:pPr>
          </w:p>
        </w:tc>
        <w:tc>
          <w:tcPr>
            <w:tcW w:w="645" w:type="pct"/>
            <w:noWrap w:val="0"/>
            <w:vAlign w:val="center"/>
          </w:tcPr>
          <w:p w14:paraId="58DCD361">
            <w:pPr>
              <w:jc w:val="center"/>
              <w:rPr>
                <w:rFonts w:hint="eastAsia" w:ascii="宋体" w:hAnsi="宋体" w:eastAsia="宋体" w:cs="宋体"/>
                <w:color w:val="auto"/>
                <w:sz w:val="21"/>
                <w:szCs w:val="21"/>
                <w:highlight w:val="none"/>
              </w:rPr>
            </w:pPr>
          </w:p>
        </w:tc>
        <w:tc>
          <w:tcPr>
            <w:tcW w:w="705" w:type="pct"/>
            <w:noWrap w:val="0"/>
            <w:vAlign w:val="center"/>
          </w:tcPr>
          <w:p w14:paraId="05E39DC4">
            <w:pPr>
              <w:jc w:val="center"/>
              <w:rPr>
                <w:rFonts w:hint="eastAsia" w:ascii="宋体" w:hAnsi="宋体" w:eastAsia="宋体" w:cs="宋体"/>
                <w:color w:val="auto"/>
                <w:sz w:val="21"/>
                <w:szCs w:val="21"/>
                <w:highlight w:val="none"/>
              </w:rPr>
            </w:pPr>
          </w:p>
        </w:tc>
        <w:tc>
          <w:tcPr>
            <w:tcW w:w="597" w:type="pct"/>
            <w:noWrap w:val="0"/>
            <w:vAlign w:val="center"/>
          </w:tcPr>
          <w:p w14:paraId="0C5FF032">
            <w:pPr>
              <w:jc w:val="center"/>
              <w:rPr>
                <w:rFonts w:hint="eastAsia" w:ascii="宋体" w:hAnsi="宋体" w:eastAsia="宋体" w:cs="宋体"/>
                <w:color w:val="auto"/>
                <w:sz w:val="21"/>
                <w:szCs w:val="21"/>
                <w:highlight w:val="none"/>
              </w:rPr>
            </w:pPr>
          </w:p>
        </w:tc>
        <w:tc>
          <w:tcPr>
            <w:tcW w:w="668" w:type="pct"/>
            <w:noWrap w:val="0"/>
            <w:vAlign w:val="center"/>
          </w:tcPr>
          <w:p w14:paraId="230802E1">
            <w:pPr>
              <w:jc w:val="center"/>
              <w:rPr>
                <w:rFonts w:hint="eastAsia" w:ascii="宋体" w:hAnsi="宋体" w:eastAsia="宋体" w:cs="宋体"/>
                <w:color w:val="auto"/>
                <w:sz w:val="21"/>
                <w:szCs w:val="21"/>
                <w:highlight w:val="none"/>
              </w:rPr>
            </w:pPr>
          </w:p>
        </w:tc>
        <w:tc>
          <w:tcPr>
            <w:tcW w:w="616" w:type="pct"/>
            <w:noWrap w:val="0"/>
            <w:vAlign w:val="center"/>
          </w:tcPr>
          <w:p w14:paraId="782AEF76">
            <w:pPr>
              <w:jc w:val="center"/>
              <w:rPr>
                <w:rFonts w:hint="eastAsia" w:ascii="宋体" w:hAnsi="宋体" w:eastAsia="宋体" w:cs="宋体"/>
                <w:color w:val="auto"/>
                <w:sz w:val="21"/>
                <w:szCs w:val="21"/>
                <w:highlight w:val="none"/>
              </w:rPr>
            </w:pPr>
          </w:p>
        </w:tc>
      </w:tr>
      <w:tr w14:paraId="0B26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76" w:type="pct"/>
            <w:noWrap w:val="0"/>
            <w:vAlign w:val="center"/>
          </w:tcPr>
          <w:p w14:paraId="22F2BA3C">
            <w:pPr>
              <w:jc w:val="center"/>
              <w:rPr>
                <w:rFonts w:hint="eastAsia" w:ascii="宋体" w:hAnsi="宋体" w:eastAsia="宋体" w:cs="宋体"/>
                <w:color w:val="auto"/>
                <w:sz w:val="21"/>
                <w:szCs w:val="21"/>
                <w:highlight w:val="none"/>
              </w:rPr>
            </w:pPr>
          </w:p>
        </w:tc>
        <w:tc>
          <w:tcPr>
            <w:tcW w:w="750" w:type="pct"/>
            <w:noWrap w:val="0"/>
            <w:vAlign w:val="center"/>
          </w:tcPr>
          <w:p w14:paraId="5FC2620E">
            <w:pPr>
              <w:jc w:val="center"/>
              <w:rPr>
                <w:rFonts w:hint="eastAsia" w:ascii="宋体" w:hAnsi="宋体" w:eastAsia="宋体" w:cs="宋体"/>
                <w:color w:val="auto"/>
                <w:sz w:val="21"/>
                <w:szCs w:val="21"/>
                <w:highlight w:val="none"/>
              </w:rPr>
            </w:pPr>
          </w:p>
        </w:tc>
        <w:tc>
          <w:tcPr>
            <w:tcW w:w="540" w:type="pct"/>
            <w:noWrap w:val="0"/>
            <w:vAlign w:val="center"/>
          </w:tcPr>
          <w:p w14:paraId="1E5DACAE">
            <w:pPr>
              <w:jc w:val="center"/>
              <w:rPr>
                <w:rFonts w:hint="eastAsia" w:ascii="宋体" w:hAnsi="宋体" w:eastAsia="宋体" w:cs="宋体"/>
                <w:color w:val="auto"/>
                <w:sz w:val="21"/>
                <w:szCs w:val="21"/>
                <w:highlight w:val="none"/>
              </w:rPr>
            </w:pPr>
          </w:p>
        </w:tc>
        <w:tc>
          <w:tcPr>
            <w:tcW w:w="645" w:type="pct"/>
            <w:noWrap w:val="0"/>
            <w:vAlign w:val="center"/>
          </w:tcPr>
          <w:p w14:paraId="249B1EB7">
            <w:pPr>
              <w:jc w:val="center"/>
              <w:rPr>
                <w:rFonts w:hint="eastAsia" w:ascii="宋体" w:hAnsi="宋体" w:eastAsia="宋体" w:cs="宋体"/>
                <w:color w:val="auto"/>
                <w:sz w:val="21"/>
                <w:szCs w:val="21"/>
                <w:highlight w:val="none"/>
              </w:rPr>
            </w:pPr>
          </w:p>
        </w:tc>
        <w:tc>
          <w:tcPr>
            <w:tcW w:w="705" w:type="pct"/>
            <w:noWrap w:val="0"/>
            <w:vAlign w:val="center"/>
          </w:tcPr>
          <w:p w14:paraId="10A08E26">
            <w:pPr>
              <w:jc w:val="center"/>
              <w:rPr>
                <w:rFonts w:hint="eastAsia" w:ascii="宋体" w:hAnsi="宋体" w:eastAsia="宋体" w:cs="宋体"/>
                <w:color w:val="auto"/>
                <w:sz w:val="21"/>
                <w:szCs w:val="21"/>
                <w:highlight w:val="none"/>
              </w:rPr>
            </w:pPr>
          </w:p>
        </w:tc>
        <w:tc>
          <w:tcPr>
            <w:tcW w:w="597" w:type="pct"/>
            <w:noWrap w:val="0"/>
            <w:vAlign w:val="center"/>
          </w:tcPr>
          <w:p w14:paraId="2AF29FE2">
            <w:pPr>
              <w:jc w:val="center"/>
              <w:rPr>
                <w:rFonts w:hint="eastAsia" w:ascii="宋体" w:hAnsi="宋体" w:eastAsia="宋体" w:cs="宋体"/>
                <w:color w:val="auto"/>
                <w:sz w:val="21"/>
                <w:szCs w:val="21"/>
                <w:highlight w:val="none"/>
              </w:rPr>
            </w:pPr>
          </w:p>
        </w:tc>
        <w:tc>
          <w:tcPr>
            <w:tcW w:w="668" w:type="pct"/>
            <w:noWrap w:val="0"/>
            <w:vAlign w:val="center"/>
          </w:tcPr>
          <w:p w14:paraId="39B60771">
            <w:pPr>
              <w:jc w:val="center"/>
              <w:rPr>
                <w:rFonts w:hint="eastAsia" w:ascii="宋体" w:hAnsi="宋体" w:eastAsia="宋体" w:cs="宋体"/>
                <w:color w:val="auto"/>
                <w:sz w:val="21"/>
                <w:szCs w:val="21"/>
                <w:highlight w:val="none"/>
              </w:rPr>
            </w:pPr>
          </w:p>
        </w:tc>
        <w:tc>
          <w:tcPr>
            <w:tcW w:w="616" w:type="pct"/>
            <w:noWrap w:val="0"/>
            <w:vAlign w:val="center"/>
          </w:tcPr>
          <w:p w14:paraId="1DBC1C93">
            <w:pPr>
              <w:jc w:val="center"/>
              <w:rPr>
                <w:rFonts w:hint="eastAsia" w:ascii="宋体" w:hAnsi="宋体" w:eastAsia="宋体" w:cs="宋体"/>
                <w:color w:val="auto"/>
                <w:sz w:val="21"/>
                <w:szCs w:val="21"/>
                <w:highlight w:val="none"/>
              </w:rPr>
            </w:pPr>
          </w:p>
        </w:tc>
      </w:tr>
      <w:tr w14:paraId="3A27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76" w:type="pct"/>
            <w:noWrap w:val="0"/>
            <w:vAlign w:val="center"/>
          </w:tcPr>
          <w:p w14:paraId="34C85392">
            <w:pPr>
              <w:jc w:val="center"/>
              <w:rPr>
                <w:rFonts w:hint="eastAsia" w:ascii="宋体" w:hAnsi="宋体" w:eastAsia="宋体" w:cs="宋体"/>
                <w:color w:val="auto"/>
                <w:sz w:val="21"/>
                <w:szCs w:val="21"/>
                <w:highlight w:val="none"/>
              </w:rPr>
            </w:pPr>
          </w:p>
        </w:tc>
        <w:tc>
          <w:tcPr>
            <w:tcW w:w="750" w:type="pct"/>
            <w:noWrap w:val="0"/>
            <w:vAlign w:val="center"/>
          </w:tcPr>
          <w:p w14:paraId="4D9DE442">
            <w:pPr>
              <w:jc w:val="center"/>
              <w:rPr>
                <w:rFonts w:hint="eastAsia" w:ascii="宋体" w:hAnsi="宋体" w:eastAsia="宋体" w:cs="宋体"/>
                <w:color w:val="auto"/>
                <w:sz w:val="21"/>
                <w:szCs w:val="21"/>
                <w:highlight w:val="none"/>
              </w:rPr>
            </w:pPr>
          </w:p>
        </w:tc>
        <w:tc>
          <w:tcPr>
            <w:tcW w:w="540" w:type="pct"/>
            <w:noWrap w:val="0"/>
            <w:vAlign w:val="center"/>
          </w:tcPr>
          <w:p w14:paraId="6195142B">
            <w:pPr>
              <w:jc w:val="center"/>
              <w:rPr>
                <w:rFonts w:hint="eastAsia" w:ascii="宋体" w:hAnsi="宋体" w:eastAsia="宋体" w:cs="宋体"/>
                <w:color w:val="auto"/>
                <w:sz w:val="21"/>
                <w:szCs w:val="21"/>
                <w:highlight w:val="none"/>
              </w:rPr>
            </w:pPr>
          </w:p>
        </w:tc>
        <w:tc>
          <w:tcPr>
            <w:tcW w:w="645" w:type="pct"/>
            <w:noWrap w:val="0"/>
            <w:vAlign w:val="center"/>
          </w:tcPr>
          <w:p w14:paraId="56468A48">
            <w:pPr>
              <w:jc w:val="center"/>
              <w:rPr>
                <w:rFonts w:hint="eastAsia" w:ascii="宋体" w:hAnsi="宋体" w:eastAsia="宋体" w:cs="宋体"/>
                <w:color w:val="auto"/>
                <w:sz w:val="21"/>
                <w:szCs w:val="21"/>
                <w:highlight w:val="none"/>
              </w:rPr>
            </w:pPr>
          </w:p>
        </w:tc>
        <w:tc>
          <w:tcPr>
            <w:tcW w:w="705" w:type="pct"/>
            <w:noWrap w:val="0"/>
            <w:vAlign w:val="center"/>
          </w:tcPr>
          <w:p w14:paraId="1F0EC021">
            <w:pPr>
              <w:jc w:val="center"/>
              <w:rPr>
                <w:rFonts w:hint="eastAsia" w:ascii="宋体" w:hAnsi="宋体" w:eastAsia="宋体" w:cs="宋体"/>
                <w:color w:val="auto"/>
                <w:sz w:val="21"/>
                <w:szCs w:val="21"/>
                <w:highlight w:val="none"/>
              </w:rPr>
            </w:pPr>
          </w:p>
        </w:tc>
        <w:tc>
          <w:tcPr>
            <w:tcW w:w="597" w:type="pct"/>
            <w:noWrap w:val="0"/>
            <w:vAlign w:val="center"/>
          </w:tcPr>
          <w:p w14:paraId="5A6B362F">
            <w:pPr>
              <w:jc w:val="center"/>
              <w:rPr>
                <w:rFonts w:hint="eastAsia" w:ascii="宋体" w:hAnsi="宋体" w:eastAsia="宋体" w:cs="宋体"/>
                <w:color w:val="auto"/>
                <w:sz w:val="21"/>
                <w:szCs w:val="21"/>
                <w:highlight w:val="none"/>
              </w:rPr>
            </w:pPr>
          </w:p>
        </w:tc>
        <w:tc>
          <w:tcPr>
            <w:tcW w:w="668" w:type="pct"/>
            <w:noWrap w:val="0"/>
            <w:vAlign w:val="center"/>
          </w:tcPr>
          <w:p w14:paraId="39E2C69F">
            <w:pPr>
              <w:jc w:val="center"/>
              <w:rPr>
                <w:rFonts w:hint="eastAsia" w:ascii="宋体" w:hAnsi="宋体" w:eastAsia="宋体" w:cs="宋体"/>
                <w:color w:val="auto"/>
                <w:sz w:val="21"/>
                <w:szCs w:val="21"/>
                <w:highlight w:val="none"/>
              </w:rPr>
            </w:pPr>
          </w:p>
        </w:tc>
        <w:tc>
          <w:tcPr>
            <w:tcW w:w="616" w:type="pct"/>
            <w:noWrap w:val="0"/>
            <w:vAlign w:val="center"/>
          </w:tcPr>
          <w:p w14:paraId="0737F7C1">
            <w:pPr>
              <w:jc w:val="center"/>
              <w:rPr>
                <w:rFonts w:hint="eastAsia" w:ascii="宋体" w:hAnsi="宋体" w:eastAsia="宋体" w:cs="宋体"/>
                <w:color w:val="auto"/>
                <w:sz w:val="21"/>
                <w:szCs w:val="21"/>
                <w:highlight w:val="none"/>
              </w:rPr>
            </w:pPr>
          </w:p>
        </w:tc>
      </w:tr>
      <w:tr w14:paraId="1A11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476" w:type="pct"/>
            <w:noWrap w:val="0"/>
            <w:vAlign w:val="center"/>
          </w:tcPr>
          <w:p w14:paraId="23F764E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50" w:type="pct"/>
            <w:noWrap w:val="0"/>
            <w:vAlign w:val="center"/>
          </w:tcPr>
          <w:p w14:paraId="30F1C5D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40" w:type="pct"/>
            <w:noWrap w:val="0"/>
            <w:vAlign w:val="center"/>
          </w:tcPr>
          <w:p w14:paraId="77AE6AB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45" w:type="pct"/>
            <w:noWrap w:val="0"/>
            <w:vAlign w:val="center"/>
          </w:tcPr>
          <w:p w14:paraId="1002EA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05" w:type="pct"/>
            <w:noWrap w:val="0"/>
            <w:vAlign w:val="center"/>
          </w:tcPr>
          <w:p w14:paraId="2B5BD62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97" w:type="pct"/>
            <w:noWrap w:val="0"/>
            <w:vAlign w:val="center"/>
          </w:tcPr>
          <w:p w14:paraId="07E3784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68" w:type="pct"/>
            <w:noWrap w:val="0"/>
            <w:vAlign w:val="center"/>
          </w:tcPr>
          <w:p w14:paraId="5636E0F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16" w:type="pct"/>
            <w:noWrap w:val="0"/>
            <w:vAlign w:val="center"/>
          </w:tcPr>
          <w:p w14:paraId="27313AE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228697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2A35EA7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①需提供身份证、职业资格证书、供应商出具加盖公章的在职证明，证明其为供应商在职执业律师若上述有关材料缺失或无法体现或无法确认主要信息的，评审时将不予认可。</w:t>
      </w:r>
    </w:p>
    <w:p w14:paraId="1077040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②供应商根据自身情况，据实提供</w:t>
      </w:r>
      <w:r>
        <w:rPr>
          <w:rFonts w:hint="eastAsia" w:ascii="宋体" w:hAnsi="宋体" w:eastAsia="宋体" w:cs="宋体"/>
          <w:b w:val="0"/>
          <w:bCs w:val="0"/>
          <w:color w:val="auto"/>
          <w:sz w:val="21"/>
          <w:szCs w:val="21"/>
          <w:highlight w:val="none"/>
          <w:lang w:val="en-US" w:eastAsia="zh-CN"/>
        </w:rPr>
        <w:t>人员配置计划</w:t>
      </w:r>
      <w:r>
        <w:rPr>
          <w:rFonts w:hint="eastAsia" w:ascii="宋体" w:hAnsi="宋体" w:eastAsia="宋体" w:cs="宋体"/>
          <w:color w:val="auto"/>
          <w:sz w:val="21"/>
          <w:szCs w:val="21"/>
          <w:highlight w:val="none"/>
          <w:lang w:val="en-US" w:eastAsia="zh-CN"/>
        </w:rPr>
        <w:t>有关方案及材料，并附于本表及项目团队成员有关资料证书后，以方便评审查阅。</w:t>
      </w:r>
    </w:p>
    <w:p w14:paraId="732F6D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24"/>
          <w:szCs w:val="24"/>
          <w:highlight w:val="none"/>
          <w:lang w:val="en-US" w:eastAsia="zh-CN"/>
        </w:rPr>
      </w:pPr>
    </w:p>
    <w:p w14:paraId="0A1C51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1"/>
          <w:szCs w:val="21"/>
          <w:highlight w:val="none"/>
          <w:lang w:val="en-US" w:eastAsia="zh-CN"/>
        </w:rPr>
      </w:pPr>
      <w:r>
        <w:rPr>
          <w:rFonts w:hint="default" w:ascii="Times New Roman" w:hAnsi="Times New Roman" w:eastAsia="宋体" w:cs="Times New Roman"/>
          <w:color w:val="auto"/>
          <w:sz w:val="24"/>
          <w:szCs w:val="24"/>
          <w:highlight w:val="none"/>
          <w:lang w:val="en-US" w:eastAsia="zh-CN"/>
        </w:rPr>
        <w:br w:type="page"/>
      </w:r>
      <w:r>
        <w:rPr>
          <w:rFonts w:hint="eastAsia" w:ascii="Times New Roman" w:hAnsi="Times New Roman" w:eastAsia="宋体" w:cs="Times New Roman"/>
          <w:color w:val="auto"/>
          <w:sz w:val="21"/>
          <w:szCs w:val="21"/>
          <w:highlight w:val="none"/>
          <w:lang w:val="en-US" w:eastAsia="zh-CN"/>
        </w:rPr>
        <w:t>3.</w:t>
      </w:r>
      <w:r>
        <w:rPr>
          <w:rFonts w:hint="default" w:ascii="宋体" w:hAnsi="宋体" w:eastAsia="宋体" w:cs="宋体"/>
          <w:b/>
          <w:bCs/>
          <w:color w:val="auto"/>
          <w:sz w:val="21"/>
          <w:szCs w:val="21"/>
          <w:highlight w:val="none"/>
          <w:lang w:val="en-US" w:eastAsia="zh-CN"/>
        </w:rPr>
        <w:t>人员配置计划</w:t>
      </w:r>
    </w:p>
    <w:p w14:paraId="20F928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（格式自拟）</w:t>
      </w:r>
    </w:p>
    <w:p w14:paraId="50B0453D">
      <w:pPr>
        <w:rPr>
          <w:rFonts w:hint="eastAsia"/>
          <w:color w:val="auto"/>
          <w:sz w:val="24"/>
          <w:szCs w:val="24"/>
          <w:highlight w:val="none"/>
        </w:rPr>
      </w:pPr>
      <w:r>
        <w:rPr>
          <w:rFonts w:hint="eastAsia"/>
          <w:color w:val="auto"/>
          <w:sz w:val="24"/>
          <w:szCs w:val="24"/>
          <w:highlight w:val="none"/>
        </w:rPr>
        <w:br w:type="page"/>
      </w:r>
    </w:p>
    <w:p w14:paraId="18FFB4EB">
      <w:pPr>
        <w:pStyle w:val="3"/>
        <w:rPr>
          <w:rFonts w:ascii="宋体" w:hAnsi="宋体"/>
          <w:b w:val="0"/>
          <w:color w:val="auto"/>
          <w:sz w:val="28"/>
          <w:highlight w:val="none"/>
        </w:rPr>
      </w:pPr>
      <w:r>
        <w:rPr>
          <w:rFonts w:hint="eastAsia"/>
          <w:color w:val="auto"/>
          <w:sz w:val="24"/>
          <w:szCs w:val="24"/>
          <w:highlight w:val="none"/>
        </w:rPr>
        <w:t>（</w:t>
      </w:r>
      <w:r>
        <w:rPr>
          <w:rFonts w:hint="eastAsia"/>
          <w:color w:val="auto"/>
          <w:sz w:val="24"/>
          <w:szCs w:val="24"/>
          <w:highlight w:val="none"/>
          <w:lang w:val="en-US" w:eastAsia="zh-CN"/>
        </w:rPr>
        <w:t>六</w:t>
      </w:r>
      <w:r>
        <w:rPr>
          <w:rFonts w:hint="eastAsia"/>
          <w:color w:val="auto"/>
          <w:sz w:val="24"/>
          <w:szCs w:val="24"/>
          <w:highlight w:val="none"/>
        </w:rPr>
        <w:t>）</w:t>
      </w:r>
      <w:bookmarkEnd w:id="338"/>
      <w:r>
        <w:rPr>
          <w:rFonts w:hint="eastAsia"/>
          <w:color w:val="auto"/>
          <w:sz w:val="24"/>
          <w:szCs w:val="24"/>
          <w:highlight w:val="none"/>
        </w:rPr>
        <w:t>供应商以往类似项目履约情况表</w:t>
      </w:r>
    </w:p>
    <w:p w14:paraId="2BB058C2">
      <w:pPr>
        <w:rPr>
          <w:rFonts w:ascii="宋体" w:hAnsi="宋体"/>
          <w:color w:val="auto"/>
          <w:highlight w:val="none"/>
        </w:rPr>
      </w:pPr>
    </w:p>
    <w:p w14:paraId="384E0FB5">
      <w:pPr>
        <w:spacing w:line="120" w:lineRule="exact"/>
        <w:rPr>
          <w:color w:val="auto"/>
          <w:highlight w:val="none"/>
        </w:rPr>
      </w:pPr>
    </w:p>
    <w:tbl>
      <w:tblPr>
        <w:tblStyle w:val="26"/>
        <w:tblW w:w="8788"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2327"/>
        <w:gridCol w:w="1275"/>
        <w:gridCol w:w="1275"/>
        <w:gridCol w:w="1206"/>
        <w:gridCol w:w="1213"/>
        <w:gridCol w:w="821"/>
      </w:tblGrid>
      <w:tr w14:paraId="3B3E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1" w:type="dxa"/>
            <w:noWrap w:val="0"/>
            <w:vAlign w:val="top"/>
          </w:tcPr>
          <w:p w14:paraId="36DE55FD">
            <w:pPr>
              <w:pStyle w:val="25"/>
              <w:spacing w:before="240" w:line="229" w:lineRule="auto"/>
              <w:ind w:left="130"/>
              <w:rPr>
                <w:color w:val="auto"/>
                <w:highlight w:val="none"/>
              </w:rPr>
            </w:pPr>
            <w:r>
              <w:rPr>
                <w:color w:val="auto"/>
                <w:spacing w:val="5"/>
                <w:highlight w:val="none"/>
              </w:rPr>
              <w:t>序号</w:t>
            </w:r>
          </w:p>
        </w:tc>
        <w:tc>
          <w:tcPr>
            <w:tcW w:w="2327" w:type="dxa"/>
            <w:noWrap w:val="0"/>
            <w:vAlign w:val="top"/>
          </w:tcPr>
          <w:p w14:paraId="76C3A601">
            <w:pPr>
              <w:pStyle w:val="25"/>
              <w:spacing w:before="240" w:line="228" w:lineRule="auto"/>
              <w:ind w:left="750"/>
              <w:rPr>
                <w:color w:val="auto"/>
                <w:highlight w:val="none"/>
              </w:rPr>
            </w:pPr>
            <w:r>
              <w:rPr>
                <w:color w:val="auto"/>
                <w:spacing w:val="6"/>
                <w:highlight w:val="none"/>
              </w:rPr>
              <w:t>项目名称</w:t>
            </w:r>
          </w:p>
        </w:tc>
        <w:tc>
          <w:tcPr>
            <w:tcW w:w="1275" w:type="dxa"/>
            <w:noWrap w:val="0"/>
            <w:vAlign w:val="top"/>
          </w:tcPr>
          <w:p w14:paraId="3883227E">
            <w:pPr>
              <w:pStyle w:val="25"/>
              <w:spacing w:before="240" w:line="229" w:lineRule="auto"/>
              <w:ind w:left="324"/>
              <w:rPr>
                <w:color w:val="auto"/>
                <w:highlight w:val="none"/>
              </w:rPr>
            </w:pPr>
            <w:r>
              <w:rPr>
                <w:color w:val="auto"/>
                <w:spacing w:val="7"/>
                <w:highlight w:val="none"/>
              </w:rPr>
              <w:t>委托方</w:t>
            </w:r>
          </w:p>
        </w:tc>
        <w:tc>
          <w:tcPr>
            <w:tcW w:w="1275" w:type="dxa"/>
            <w:noWrap w:val="0"/>
            <w:vAlign w:val="top"/>
          </w:tcPr>
          <w:p w14:paraId="0C84C72F">
            <w:pPr>
              <w:pStyle w:val="25"/>
              <w:spacing w:before="239" w:line="230" w:lineRule="auto"/>
              <w:ind w:left="328"/>
              <w:rPr>
                <w:color w:val="auto"/>
                <w:highlight w:val="none"/>
              </w:rPr>
            </w:pPr>
            <w:r>
              <w:rPr>
                <w:color w:val="auto"/>
                <w:spacing w:val="6"/>
                <w:highlight w:val="none"/>
              </w:rPr>
              <w:t>联系人</w:t>
            </w:r>
          </w:p>
        </w:tc>
        <w:tc>
          <w:tcPr>
            <w:tcW w:w="1206" w:type="dxa"/>
            <w:noWrap w:val="0"/>
            <w:vAlign w:val="top"/>
          </w:tcPr>
          <w:p w14:paraId="3338D3A8">
            <w:pPr>
              <w:pStyle w:val="25"/>
              <w:spacing w:before="239" w:line="230" w:lineRule="auto"/>
              <w:ind w:left="423"/>
              <w:rPr>
                <w:color w:val="auto"/>
                <w:highlight w:val="none"/>
              </w:rPr>
            </w:pPr>
            <w:r>
              <w:rPr>
                <w:color w:val="auto"/>
                <w:spacing w:val="-8"/>
                <w:highlight w:val="none"/>
              </w:rPr>
              <w:t>电话</w:t>
            </w:r>
          </w:p>
        </w:tc>
        <w:tc>
          <w:tcPr>
            <w:tcW w:w="1213" w:type="dxa"/>
            <w:noWrap w:val="0"/>
            <w:vAlign w:val="top"/>
          </w:tcPr>
          <w:p w14:paraId="588C0E90">
            <w:pPr>
              <w:pStyle w:val="25"/>
              <w:spacing w:before="35" w:line="228" w:lineRule="auto"/>
              <w:ind w:left="194"/>
              <w:rPr>
                <w:color w:val="auto"/>
                <w:highlight w:val="none"/>
              </w:rPr>
            </w:pPr>
            <w:r>
              <w:rPr>
                <w:color w:val="auto"/>
                <w:spacing w:val="7"/>
                <w:highlight w:val="none"/>
              </w:rPr>
              <w:t>合同金额</w:t>
            </w:r>
          </w:p>
          <w:p w14:paraId="40B89325">
            <w:pPr>
              <w:pStyle w:val="25"/>
              <w:spacing w:before="161" w:line="228" w:lineRule="auto"/>
              <w:ind w:left="203"/>
              <w:rPr>
                <w:color w:val="auto"/>
                <w:highlight w:val="none"/>
              </w:rPr>
            </w:pPr>
            <w:r>
              <w:rPr>
                <w:color w:val="auto"/>
                <w:spacing w:val="2"/>
                <w:highlight w:val="none"/>
              </w:rPr>
              <w:t>（万元）</w:t>
            </w:r>
          </w:p>
        </w:tc>
        <w:tc>
          <w:tcPr>
            <w:tcW w:w="821" w:type="dxa"/>
            <w:noWrap w:val="0"/>
            <w:vAlign w:val="top"/>
          </w:tcPr>
          <w:p w14:paraId="4791061F">
            <w:pPr>
              <w:pStyle w:val="25"/>
              <w:spacing w:before="240" w:line="229" w:lineRule="auto"/>
              <w:ind w:left="207"/>
              <w:rPr>
                <w:color w:val="auto"/>
                <w:highlight w:val="none"/>
              </w:rPr>
            </w:pPr>
            <w:r>
              <w:rPr>
                <w:color w:val="auto"/>
                <w:spacing w:val="3"/>
                <w:highlight w:val="none"/>
              </w:rPr>
              <w:t>备注</w:t>
            </w:r>
          </w:p>
        </w:tc>
      </w:tr>
      <w:tr w14:paraId="7054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1" w:type="dxa"/>
            <w:noWrap w:val="0"/>
            <w:vAlign w:val="top"/>
          </w:tcPr>
          <w:p w14:paraId="6026CE1D">
            <w:pPr>
              <w:rPr>
                <w:rFonts w:ascii="Arial"/>
                <w:color w:val="auto"/>
                <w:sz w:val="21"/>
                <w:highlight w:val="none"/>
              </w:rPr>
            </w:pPr>
          </w:p>
        </w:tc>
        <w:tc>
          <w:tcPr>
            <w:tcW w:w="2327" w:type="dxa"/>
            <w:noWrap w:val="0"/>
            <w:vAlign w:val="top"/>
          </w:tcPr>
          <w:p w14:paraId="7981C7F9">
            <w:pPr>
              <w:rPr>
                <w:rFonts w:ascii="Arial"/>
                <w:color w:val="auto"/>
                <w:sz w:val="21"/>
                <w:highlight w:val="none"/>
              </w:rPr>
            </w:pPr>
          </w:p>
        </w:tc>
        <w:tc>
          <w:tcPr>
            <w:tcW w:w="1275" w:type="dxa"/>
            <w:noWrap w:val="0"/>
            <w:vAlign w:val="top"/>
          </w:tcPr>
          <w:p w14:paraId="194D819A">
            <w:pPr>
              <w:rPr>
                <w:rFonts w:ascii="Arial"/>
                <w:color w:val="auto"/>
                <w:sz w:val="21"/>
                <w:highlight w:val="none"/>
              </w:rPr>
            </w:pPr>
          </w:p>
        </w:tc>
        <w:tc>
          <w:tcPr>
            <w:tcW w:w="1275" w:type="dxa"/>
            <w:noWrap w:val="0"/>
            <w:vAlign w:val="top"/>
          </w:tcPr>
          <w:p w14:paraId="7EA96D1C">
            <w:pPr>
              <w:rPr>
                <w:rFonts w:ascii="Arial"/>
                <w:color w:val="auto"/>
                <w:sz w:val="21"/>
                <w:highlight w:val="none"/>
              </w:rPr>
            </w:pPr>
          </w:p>
        </w:tc>
        <w:tc>
          <w:tcPr>
            <w:tcW w:w="1206" w:type="dxa"/>
            <w:noWrap w:val="0"/>
            <w:vAlign w:val="top"/>
          </w:tcPr>
          <w:p w14:paraId="748BDDAB">
            <w:pPr>
              <w:rPr>
                <w:rFonts w:ascii="Arial"/>
                <w:color w:val="auto"/>
                <w:sz w:val="21"/>
                <w:highlight w:val="none"/>
              </w:rPr>
            </w:pPr>
          </w:p>
        </w:tc>
        <w:tc>
          <w:tcPr>
            <w:tcW w:w="1213" w:type="dxa"/>
            <w:noWrap w:val="0"/>
            <w:vAlign w:val="top"/>
          </w:tcPr>
          <w:p w14:paraId="20572C78">
            <w:pPr>
              <w:rPr>
                <w:rFonts w:ascii="Arial"/>
                <w:color w:val="auto"/>
                <w:sz w:val="21"/>
                <w:highlight w:val="none"/>
              </w:rPr>
            </w:pPr>
          </w:p>
        </w:tc>
        <w:tc>
          <w:tcPr>
            <w:tcW w:w="821" w:type="dxa"/>
            <w:noWrap w:val="0"/>
            <w:vAlign w:val="top"/>
          </w:tcPr>
          <w:p w14:paraId="3BDC6ABA">
            <w:pPr>
              <w:rPr>
                <w:rFonts w:ascii="Arial"/>
                <w:color w:val="auto"/>
                <w:sz w:val="21"/>
                <w:highlight w:val="none"/>
              </w:rPr>
            </w:pPr>
          </w:p>
        </w:tc>
      </w:tr>
      <w:tr w14:paraId="366F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1" w:type="dxa"/>
            <w:noWrap w:val="0"/>
            <w:vAlign w:val="top"/>
          </w:tcPr>
          <w:p w14:paraId="14D1430F">
            <w:pPr>
              <w:rPr>
                <w:rFonts w:ascii="Arial"/>
                <w:color w:val="auto"/>
                <w:sz w:val="21"/>
                <w:highlight w:val="none"/>
              </w:rPr>
            </w:pPr>
          </w:p>
        </w:tc>
        <w:tc>
          <w:tcPr>
            <w:tcW w:w="2327" w:type="dxa"/>
            <w:noWrap w:val="0"/>
            <w:vAlign w:val="top"/>
          </w:tcPr>
          <w:p w14:paraId="48FEA0FA">
            <w:pPr>
              <w:rPr>
                <w:rFonts w:ascii="Arial"/>
                <w:color w:val="auto"/>
                <w:sz w:val="21"/>
                <w:highlight w:val="none"/>
              </w:rPr>
            </w:pPr>
          </w:p>
        </w:tc>
        <w:tc>
          <w:tcPr>
            <w:tcW w:w="1275" w:type="dxa"/>
            <w:noWrap w:val="0"/>
            <w:vAlign w:val="top"/>
          </w:tcPr>
          <w:p w14:paraId="076CDDC1">
            <w:pPr>
              <w:rPr>
                <w:rFonts w:ascii="Arial"/>
                <w:color w:val="auto"/>
                <w:sz w:val="21"/>
                <w:highlight w:val="none"/>
              </w:rPr>
            </w:pPr>
          </w:p>
        </w:tc>
        <w:tc>
          <w:tcPr>
            <w:tcW w:w="1275" w:type="dxa"/>
            <w:noWrap w:val="0"/>
            <w:vAlign w:val="top"/>
          </w:tcPr>
          <w:p w14:paraId="7100658E">
            <w:pPr>
              <w:rPr>
                <w:rFonts w:ascii="Arial"/>
                <w:color w:val="auto"/>
                <w:sz w:val="21"/>
                <w:highlight w:val="none"/>
              </w:rPr>
            </w:pPr>
          </w:p>
        </w:tc>
        <w:tc>
          <w:tcPr>
            <w:tcW w:w="1206" w:type="dxa"/>
            <w:noWrap w:val="0"/>
            <w:vAlign w:val="top"/>
          </w:tcPr>
          <w:p w14:paraId="434B7B9E">
            <w:pPr>
              <w:rPr>
                <w:rFonts w:ascii="Arial"/>
                <w:color w:val="auto"/>
                <w:sz w:val="21"/>
                <w:highlight w:val="none"/>
              </w:rPr>
            </w:pPr>
          </w:p>
        </w:tc>
        <w:tc>
          <w:tcPr>
            <w:tcW w:w="1213" w:type="dxa"/>
            <w:noWrap w:val="0"/>
            <w:vAlign w:val="top"/>
          </w:tcPr>
          <w:p w14:paraId="3B04A6A0">
            <w:pPr>
              <w:rPr>
                <w:rFonts w:ascii="Arial"/>
                <w:color w:val="auto"/>
                <w:sz w:val="21"/>
                <w:highlight w:val="none"/>
              </w:rPr>
            </w:pPr>
          </w:p>
        </w:tc>
        <w:tc>
          <w:tcPr>
            <w:tcW w:w="821" w:type="dxa"/>
            <w:noWrap w:val="0"/>
            <w:vAlign w:val="top"/>
          </w:tcPr>
          <w:p w14:paraId="3B2664E6">
            <w:pPr>
              <w:rPr>
                <w:rFonts w:ascii="Arial"/>
                <w:color w:val="auto"/>
                <w:sz w:val="21"/>
                <w:highlight w:val="none"/>
              </w:rPr>
            </w:pPr>
          </w:p>
        </w:tc>
      </w:tr>
      <w:tr w14:paraId="5B6C2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1" w:type="dxa"/>
            <w:noWrap w:val="0"/>
            <w:vAlign w:val="top"/>
          </w:tcPr>
          <w:p w14:paraId="44A9E121">
            <w:pPr>
              <w:rPr>
                <w:rFonts w:ascii="Arial"/>
                <w:color w:val="auto"/>
                <w:sz w:val="21"/>
                <w:highlight w:val="none"/>
              </w:rPr>
            </w:pPr>
          </w:p>
        </w:tc>
        <w:tc>
          <w:tcPr>
            <w:tcW w:w="2327" w:type="dxa"/>
            <w:noWrap w:val="0"/>
            <w:vAlign w:val="top"/>
          </w:tcPr>
          <w:p w14:paraId="12E3071D">
            <w:pPr>
              <w:rPr>
                <w:rFonts w:ascii="Arial"/>
                <w:color w:val="auto"/>
                <w:sz w:val="21"/>
                <w:highlight w:val="none"/>
              </w:rPr>
            </w:pPr>
          </w:p>
        </w:tc>
        <w:tc>
          <w:tcPr>
            <w:tcW w:w="1275" w:type="dxa"/>
            <w:noWrap w:val="0"/>
            <w:vAlign w:val="top"/>
          </w:tcPr>
          <w:p w14:paraId="0025DBB2">
            <w:pPr>
              <w:rPr>
                <w:rFonts w:ascii="Arial"/>
                <w:color w:val="auto"/>
                <w:sz w:val="21"/>
                <w:highlight w:val="none"/>
              </w:rPr>
            </w:pPr>
          </w:p>
        </w:tc>
        <w:tc>
          <w:tcPr>
            <w:tcW w:w="1275" w:type="dxa"/>
            <w:noWrap w:val="0"/>
            <w:vAlign w:val="top"/>
          </w:tcPr>
          <w:p w14:paraId="21C15243">
            <w:pPr>
              <w:rPr>
                <w:rFonts w:ascii="Arial"/>
                <w:color w:val="auto"/>
                <w:sz w:val="21"/>
                <w:highlight w:val="none"/>
              </w:rPr>
            </w:pPr>
          </w:p>
        </w:tc>
        <w:tc>
          <w:tcPr>
            <w:tcW w:w="1206" w:type="dxa"/>
            <w:noWrap w:val="0"/>
            <w:vAlign w:val="top"/>
          </w:tcPr>
          <w:p w14:paraId="469DE8A7">
            <w:pPr>
              <w:rPr>
                <w:rFonts w:ascii="Arial"/>
                <w:color w:val="auto"/>
                <w:sz w:val="21"/>
                <w:highlight w:val="none"/>
              </w:rPr>
            </w:pPr>
          </w:p>
        </w:tc>
        <w:tc>
          <w:tcPr>
            <w:tcW w:w="1213" w:type="dxa"/>
            <w:noWrap w:val="0"/>
            <w:vAlign w:val="top"/>
          </w:tcPr>
          <w:p w14:paraId="638F0708">
            <w:pPr>
              <w:rPr>
                <w:rFonts w:ascii="Arial"/>
                <w:color w:val="auto"/>
                <w:sz w:val="21"/>
                <w:highlight w:val="none"/>
              </w:rPr>
            </w:pPr>
          </w:p>
        </w:tc>
        <w:tc>
          <w:tcPr>
            <w:tcW w:w="821" w:type="dxa"/>
            <w:noWrap w:val="0"/>
            <w:vAlign w:val="top"/>
          </w:tcPr>
          <w:p w14:paraId="3E7A9953">
            <w:pPr>
              <w:rPr>
                <w:rFonts w:ascii="Arial"/>
                <w:color w:val="auto"/>
                <w:sz w:val="21"/>
                <w:highlight w:val="none"/>
              </w:rPr>
            </w:pPr>
          </w:p>
        </w:tc>
      </w:tr>
      <w:tr w14:paraId="08D5B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71" w:type="dxa"/>
            <w:noWrap w:val="0"/>
            <w:vAlign w:val="top"/>
          </w:tcPr>
          <w:p w14:paraId="3EE8D6DD">
            <w:pPr>
              <w:spacing w:line="288" w:lineRule="auto"/>
              <w:rPr>
                <w:rFonts w:ascii="Arial"/>
                <w:color w:val="auto"/>
                <w:sz w:val="21"/>
                <w:highlight w:val="none"/>
              </w:rPr>
            </w:pPr>
          </w:p>
          <w:p w14:paraId="257FB31B">
            <w:pPr>
              <w:pStyle w:val="25"/>
              <w:spacing w:before="65" w:line="83" w:lineRule="exact"/>
              <w:ind w:left="187"/>
              <w:rPr>
                <w:color w:val="auto"/>
                <w:highlight w:val="none"/>
              </w:rPr>
            </w:pPr>
            <w:r>
              <w:rPr>
                <w:color w:val="auto"/>
                <w:spacing w:val="3"/>
                <w:position w:val="1"/>
                <w:highlight w:val="none"/>
              </w:rPr>
              <w:t>...</w:t>
            </w:r>
          </w:p>
        </w:tc>
        <w:tc>
          <w:tcPr>
            <w:tcW w:w="2327" w:type="dxa"/>
            <w:noWrap w:val="0"/>
            <w:vAlign w:val="top"/>
          </w:tcPr>
          <w:p w14:paraId="09CF0D8E">
            <w:pPr>
              <w:rPr>
                <w:rFonts w:ascii="Arial"/>
                <w:color w:val="auto"/>
                <w:sz w:val="21"/>
                <w:highlight w:val="none"/>
              </w:rPr>
            </w:pPr>
          </w:p>
        </w:tc>
        <w:tc>
          <w:tcPr>
            <w:tcW w:w="1275" w:type="dxa"/>
            <w:noWrap w:val="0"/>
            <w:vAlign w:val="top"/>
          </w:tcPr>
          <w:p w14:paraId="56014641">
            <w:pPr>
              <w:rPr>
                <w:rFonts w:ascii="Arial"/>
                <w:color w:val="auto"/>
                <w:sz w:val="21"/>
                <w:highlight w:val="none"/>
              </w:rPr>
            </w:pPr>
          </w:p>
        </w:tc>
        <w:tc>
          <w:tcPr>
            <w:tcW w:w="1275" w:type="dxa"/>
            <w:noWrap w:val="0"/>
            <w:vAlign w:val="top"/>
          </w:tcPr>
          <w:p w14:paraId="6731749B">
            <w:pPr>
              <w:rPr>
                <w:rFonts w:ascii="Arial"/>
                <w:color w:val="auto"/>
                <w:sz w:val="21"/>
                <w:highlight w:val="none"/>
              </w:rPr>
            </w:pPr>
          </w:p>
        </w:tc>
        <w:tc>
          <w:tcPr>
            <w:tcW w:w="1206" w:type="dxa"/>
            <w:noWrap w:val="0"/>
            <w:vAlign w:val="top"/>
          </w:tcPr>
          <w:p w14:paraId="6C813CC6">
            <w:pPr>
              <w:rPr>
                <w:rFonts w:ascii="Arial"/>
                <w:color w:val="auto"/>
                <w:sz w:val="21"/>
                <w:highlight w:val="none"/>
              </w:rPr>
            </w:pPr>
          </w:p>
        </w:tc>
        <w:tc>
          <w:tcPr>
            <w:tcW w:w="1213" w:type="dxa"/>
            <w:noWrap w:val="0"/>
            <w:vAlign w:val="top"/>
          </w:tcPr>
          <w:p w14:paraId="05D363A8">
            <w:pPr>
              <w:rPr>
                <w:rFonts w:ascii="Arial"/>
                <w:color w:val="auto"/>
                <w:sz w:val="21"/>
                <w:highlight w:val="none"/>
              </w:rPr>
            </w:pPr>
          </w:p>
        </w:tc>
        <w:tc>
          <w:tcPr>
            <w:tcW w:w="821" w:type="dxa"/>
            <w:noWrap w:val="0"/>
            <w:vAlign w:val="top"/>
          </w:tcPr>
          <w:p w14:paraId="67772A71">
            <w:pPr>
              <w:rPr>
                <w:rFonts w:ascii="Arial"/>
                <w:color w:val="auto"/>
                <w:sz w:val="21"/>
                <w:highlight w:val="none"/>
              </w:rPr>
            </w:pPr>
          </w:p>
        </w:tc>
      </w:tr>
    </w:tbl>
    <w:p w14:paraId="0976ECEC">
      <w:pPr>
        <w:keepNext w:val="0"/>
        <w:keepLines w:val="0"/>
        <w:pageBreakBefore w:val="0"/>
        <w:widowControl w:val="0"/>
        <w:kinsoku/>
        <w:wordWrap/>
        <w:overflowPunct/>
        <w:topLinePunct w:val="0"/>
        <w:autoSpaceDE/>
        <w:autoSpaceDN/>
        <w:bidi w:val="0"/>
        <w:adjustRightInd w:val="0"/>
        <w:snapToGrid/>
        <w:spacing w:line="360" w:lineRule="auto"/>
        <w:ind w:left="0" w:firstLine="0"/>
        <w:textAlignment w:val="auto"/>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0BD1584A">
      <w:pPr>
        <w:keepNext w:val="0"/>
        <w:keepLines w:val="0"/>
        <w:pageBreakBefore w:val="0"/>
        <w:widowControl w:val="0"/>
        <w:kinsoku/>
        <w:wordWrap/>
        <w:overflowPunct/>
        <w:topLinePunct w:val="0"/>
        <w:autoSpaceDE/>
        <w:autoSpaceDN/>
        <w:bidi w:val="0"/>
        <w:adjustRightInd w:val="0"/>
        <w:snapToGrid/>
        <w:spacing w:line="360" w:lineRule="auto"/>
        <w:ind w:left="0" w:firstLine="0"/>
        <w:textAlignment w:val="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1.响应文件中须提供《供应商以往类似项目履约情况表》及相对应的类似项目履约</w:t>
      </w:r>
      <w:r>
        <w:rPr>
          <w:rFonts w:ascii="宋体" w:hAnsi="宋体" w:eastAsia="宋体" w:cs="宋体"/>
          <w:color w:val="auto"/>
          <w:spacing w:val="8"/>
          <w:sz w:val="20"/>
          <w:szCs w:val="20"/>
          <w:highlight w:val="none"/>
        </w:rPr>
        <w:t>情况证明材料（复印件</w:t>
      </w:r>
      <w:r>
        <w:rPr>
          <w:rFonts w:ascii="宋体" w:hAnsi="宋体" w:eastAsia="宋体" w:cs="宋体"/>
          <w:color w:val="auto"/>
          <w:spacing w:val="9"/>
          <w:sz w:val="20"/>
          <w:szCs w:val="20"/>
          <w:highlight w:val="none"/>
        </w:rPr>
        <w:t>加盖供应商公章</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类似项目履约情况证明材料为</w:t>
      </w:r>
      <w:r>
        <w:rPr>
          <w:rFonts w:hint="eastAsia" w:ascii="宋体" w:hAnsi="宋体" w:eastAsia="宋体" w:cs="宋体"/>
          <w:color w:val="auto"/>
          <w:spacing w:val="9"/>
          <w:sz w:val="20"/>
          <w:szCs w:val="20"/>
          <w:highlight w:val="none"/>
        </w:rPr>
        <w:t>合同协议书扫描件或中标（成交）通知书扫描件或业主证明材料等</w:t>
      </w:r>
      <w:r>
        <w:rPr>
          <w:rFonts w:ascii="宋体" w:hAnsi="宋体" w:eastAsia="宋体" w:cs="宋体"/>
          <w:color w:val="auto"/>
          <w:spacing w:val="9"/>
          <w:sz w:val="20"/>
          <w:szCs w:val="20"/>
          <w:highlight w:val="none"/>
        </w:rPr>
        <w:t>。无证明材料或未按要求提供证明材料或证明材料不明确、无法体现内容的，不</w:t>
      </w:r>
      <w:r>
        <w:rPr>
          <w:rFonts w:ascii="宋体" w:hAnsi="宋体" w:eastAsia="宋体" w:cs="宋体"/>
          <w:color w:val="auto"/>
          <w:spacing w:val="5"/>
          <w:sz w:val="20"/>
          <w:szCs w:val="20"/>
          <w:highlight w:val="none"/>
        </w:rPr>
        <w:t>予认可。</w:t>
      </w:r>
    </w:p>
    <w:p w14:paraId="32986B82">
      <w:pPr>
        <w:keepNext w:val="0"/>
        <w:keepLines w:val="0"/>
        <w:pageBreakBefore w:val="0"/>
        <w:widowControl w:val="0"/>
        <w:kinsoku/>
        <w:wordWrap/>
        <w:overflowPunct/>
        <w:topLinePunct w:val="0"/>
        <w:autoSpaceDE/>
        <w:autoSpaceDN/>
        <w:bidi w:val="0"/>
        <w:adjustRightInd w:val="0"/>
        <w:snapToGrid/>
        <w:spacing w:line="360" w:lineRule="auto"/>
        <w:ind w:left="0" w:firstLine="0"/>
        <w:textAlignment w:val="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2.供应商可根据实际情况拓展本表。</w:t>
      </w:r>
    </w:p>
    <w:p w14:paraId="6138A705">
      <w:pPr>
        <w:pStyle w:val="7"/>
        <w:spacing w:line="271" w:lineRule="auto"/>
        <w:rPr>
          <w:color w:val="auto"/>
          <w:highlight w:val="none"/>
        </w:rPr>
      </w:pPr>
    </w:p>
    <w:p w14:paraId="1ADD3B39">
      <w:pPr>
        <w:pStyle w:val="7"/>
        <w:spacing w:line="271" w:lineRule="auto"/>
        <w:rPr>
          <w:color w:val="auto"/>
          <w:highlight w:val="none"/>
        </w:rPr>
      </w:pPr>
    </w:p>
    <w:p w14:paraId="2BC938EE">
      <w:pPr>
        <w:pStyle w:val="7"/>
        <w:spacing w:line="272" w:lineRule="auto"/>
        <w:rPr>
          <w:color w:val="auto"/>
          <w:highlight w:val="none"/>
        </w:rPr>
      </w:pPr>
    </w:p>
    <w:p w14:paraId="1C2069D0">
      <w:pPr>
        <w:spacing w:line="360" w:lineRule="auto"/>
        <w:rPr>
          <w:rFonts w:ascii="宋体" w:hAnsi="宋体"/>
          <w:color w:val="auto"/>
          <w:sz w:val="21"/>
          <w:szCs w:val="21"/>
          <w:highlight w:val="none"/>
        </w:rPr>
      </w:pPr>
      <w:r>
        <w:rPr>
          <w:rFonts w:hint="eastAsia" w:ascii="宋体" w:hAnsi="宋体"/>
          <w:color w:val="auto"/>
          <w:sz w:val="21"/>
          <w:szCs w:val="21"/>
          <w:highlight w:val="none"/>
        </w:rPr>
        <w:t>供应商：</w:t>
      </w:r>
      <w:r>
        <w:rPr>
          <w:rFonts w:ascii="宋体" w:hAnsi="宋体"/>
          <w:color w:val="auto"/>
          <w:sz w:val="21"/>
          <w:szCs w:val="21"/>
          <w:highlight w:val="none"/>
          <w:u w:val="single"/>
        </w:rPr>
        <w:t xml:space="preserve">                                 </w:t>
      </w:r>
      <w:r>
        <w:rPr>
          <w:rFonts w:hint="eastAsia" w:ascii="宋体" w:hAnsi="宋体"/>
          <w:color w:val="auto"/>
          <w:sz w:val="21"/>
          <w:szCs w:val="21"/>
          <w:highlight w:val="none"/>
        </w:rPr>
        <w:t>（电子签章）</w:t>
      </w:r>
    </w:p>
    <w:p w14:paraId="0DF25E8F">
      <w:pPr>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rPr>
        <w:t>（电子签章或签字）</w:t>
      </w:r>
    </w:p>
    <w:p w14:paraId="72E0346B">
      <w:pPr>
        <w:spacing w:line="360" w:lineRule="auto"/>
        <w:rPr>
          <w:rFonts w:hint="eastAsia" w:ascii="宋体" w:hAnsi="宋体"/>
          <w:color w:val="auto"/>
          <w:szCs w:val="21"/>
          <w:highlight w:val="none"/>
        </w:rPr>
      </w:pPr>
      <w:r>
        <w:rPr>
          <w:rFonts w:hint="eastAsia" w:ascii="宋体" w:hAnsi="宋体"/>
          <w:color w:val="auto"/>
          <w:sz w:val="21"/>
          <w:szCs w:val="21"/>
          <w:highlight w:val="none"/>
        </w:rPr>
        <w:t>时  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bookmarkStart w:id="339" w:name="_Toc28125"/>
    </w:p>
    <w:p w14:paraId="15CEDB2B">
      <w:pPr>
        <w:rPr>
          <w:rFonts w:hint="eastAsia"/>
          <w:color w:val="auto"/>
          <w:highlight w:val="none"/>
        </w:rPr>
      </w:pPr>
    </w:p>
    <w:p w14:paraId="3BBAF7A3">
      <w:pPr>
        <w:pStyle w:val="3"/>
        <w:rPr>
          <w:rFonts w:hint="eastAsia"/>
          <w:color w:val="auto"/>
          <w:highlight w:val="none"/>
        </w:rPr>
      </w:pPr>
      <w:r>
        <w:rPr>
          <w:rFonts w:hint="eastAsia"/>
          <w:color w:val="auto"/>
          <w:highlight w:val="none"/>
        </w:rPr>
        <w:br w:type="page"/>
      </w:r>
      <w:r>
        <w:rPr>
          <w:rFonts w:hint="eastAsia"/>
          <w:color w:val="auto"/>
          <w:sz w:val="24"/>
          <w:szCs w:val="24"/>
          <w:highlight w:val="none"/>
        </w:rPr>
        <w:t>（</w:t>
      </w:r>
      <w:r>
        <w:rPr>
          <w:rFonts w:hint="eastAsia"/>
          <w:color w:val="auto"/>
          <w:sz w:val="24"/>
          <w:szCs w:val="24"/>
          <w:highlight w:val="none"/>
          <w:lang w:val="en-US" w:eastAsia="zh-CN"/>
        </w:rPr>
        <w:t>七</w:t>
      </w:r>
      <w:r>
        <w:rPr>
          <w:rFonts w:hint="eastAsia"/>
          <w:color w:val="auto"/>
          <w:sz w:val="24"/>
          <w:szCs w:val="24"/>
          <w:highlight w:val="none"/>
        </w:rPr>
        <w:t>）磋商保证金缴纳凭证</w:t>
      </w:r>
    </w:p>
    <w:p w14:paraId="6026C56B">
      <w:pPr>
        <w:jc w:val="center"/>
        <w:rPr>
          <w:rFonts w:hint="eastAsia"/>
          <w:color w:val="auto"/>
          <w:highlight w:val="none"/>
        </w:rPr>
      </w:pPr>
      <w:r>
        <w:rPr>
          <w:rFonts w:hint="eastAsia"/>
          <w:color w:val="auto"/>
          <w:highlight w:val="none"/>
        </w:rPr>
        <w:t>（附磋商保证金缴纳材料）</w:t>
      </w:r>
    </w:p>
    <w:p w14:paraId="73559183">
      <w:pPr>
        <w:pStyle w:val="3"/>
        <w:rPr>
          <w:rFonts w:ascii="Times New Roman" w:hAnsi="Times New Roman"/>
          <w:bCs w:val="0"/>
          <w:color w:val="auto"/>
          <w:kern w:val="2"/>
          <w:sz w:val="28"/>
          <w:highlight w:val="none"/>
        </w:rPr>
      </w:pPr>
      <w:r>
        <w:rPr>
          <w:rFonts w:hint="eastAsia"/>
          <w:color w:val="auto"/>
          <w:highlight w:val="none"/>
        </w:rPr>
        <w:br w:type="page"/>
      </w:r>
      <w:r>
        <w:rPr>
          <w:rFonts w:hint="eastAsia"/>
          <w:color w:val="auto"/>
          <w:sz w:val="24"/>
          <w:szCs w:val="24"/>
          <w:highlight w:val="none"/>
        </w:rPr>
        <w:t>（</w:t>
      </w:r>
      <w:r>
        <w:rPr>
          <w:rFonts w:hint="eastAsia"/>
          <w:color w:val="auto"/>
          <w:sz w:val="24"/>
          <w:szCs w:val="24"/>
          <w:highlight w:val="none"/>
          <w:lang w:val="en-US" w:eastAsia="zh-CN"/>
        </w:rPr>
        <w:t>八</w:t>
      </w:r>
      <w:r>
        <w:rPr>
          <w:rFonts w:hint="eastAsia"/>
          <w:color w:val="auto"/>
          <w:sz w:val="24"/>
          <w:szCs w:val="24"/>
          <w:highlight w:val="none"/>
        </w:rPr>
        <w:t>）</w:t>
      </w:r>
      <w:bookmarkEnd w:id="339"/>
      <w:bookmarkStart w:id="340" w:name="_Toc27915"/>
      <w:r>
        <w:rPr>
          <w:rFonts w:hint="eastAsia"/>
          <w:color w:val="auto"/>
          <w:sz w:val="24"/>
          <w:szCs w:val="24"/>
          <w:highlight w:val="none"/>
        </w:rPr>
        <w:t>供应商认为需要提供的其他资料</w:t>
      </w:r>
    </w:p>
    <w:p w14:paraId="37EBDAE2">
      <w:pPr>
        <w:pStyle w:val="3"/>
        <w:rPr>
          <w:rFonts w:hint="eastAsia"/>
          <w:color w:val="auto"/>
          <w:highlight w:val="none"/>
        </w:rPr>
      </w:pPr>
      <w:r>
        <w:rPr>
          <w:rFonts w:ascii="Times New Roman" w:hAnsi="Times New Roman"/>
          <w:bCs w:val="0"/>
          <w:color w:val="auto"/>
          <w:kern w:val="2"/>
          <w:sz w:val="28"/>
          <w:highlight w:val="none"/>
        </w:rPr>
        <w:br w:type="page"/>
      </w:r>
      <w:r>
        <w:rPr>
          <w:rFonts w:hint="eastAsia" w:ascii="Times New Roman" w:hAnsi="Times New Roman"/>
          <w:bCs w:val="0"/>
          <w:color w:val="auto"/>
          <w:kern w:val="2"/>
          <w:sz w:val="28"/>
          <w:highlight w:val="none"/>
        </w:rPr>
        <w:t>三、技术部分</w:t>
      </w:r>
      <w:bookmarkEnd w:id="336"/>
      <w:bookmarkEnd w:id="340"/>
    </w:p>
    <w:p w14:paraId="2A2A228E">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供应商根据本项目采购需求及评审内容，自行编制技术服务方案，内容包括但不限于以下内容：</w:t>
      </w:r>
    </w:p>
    <w:p w14:paraId="429A7C2D">
      <w:pPr>
        <w:numPr>
          <w:ilvl w:val="0"/>
          <w:numId w:val="2"/>
        </w:numPr>
        <w:spacing w:line="360" w:lineRule="auto"/>
        <w:ind w:firstLine="420" w:firstLineChars="200"/>
        <w:jc w:val="left"/>
        <w:rPr>
          <w:rFonts w:hint="default"/>
          <w:color w:val="auto"/>
          <w:highlight w:val="none"/>
          <w:lang w:val="en-US" w:eastAsia="zh-CN"/>
        </w:rPr>
      </w:pPr>
      <w:r>
        <w:rPr>
          <w:rFonts w:hint="default"/>
          <w:color w:val="auto"/>
          <w:highlight w:val="none"/>
          <w:lang w:val="en-US" w:eastAsia="zh-CN"/>
        </w:rPr>
        <w:t>项目理解及需求分析</w:t>
      </w:r>
    </w:p>
    <w:p w14:paraId="7EA87B30">
      <w:pPr>
        <w:numPr>
          <w:ilvl w:val="0"/>
          <w:numId w:val="2"/>
        </w:numPr>
        <w:spacing w:line="360" w:lineRule="auto"/>
        <w:ind w:firstLine="420" w:firstLineChars="200"/>
        <w:jc w:val="left"/>
        <w:rPr>
          <w:rFonts w:hint="default"/>
          <w:color w:val="auto"/>
          <w:highlight w:val="none"/>
          <w:lang w:val="en-US" w:eastAsia="zh-CN"/>
        </w:rPr>
      </w:pPr>
      <w:r>
        <w:rPr>
          <w:rFonts w:hint="default"/>
          <w:color w:val="auto"/>
          <w:highlight w:val="none"/>
          <w:lang w:val="en-US" w:eastAsia="zh-CN"/>
        </w:rPr>
        <w:t>项目实施方案</w:t>
      </w:r>
    </w:p>
    <w:p w14:paraId="33D2FD86">
      <w:pPr>
        <w:numPr>
          <w:ilvl w:val="0"/>
          <w:numId w:val="2"/>
        </w:numPr>
        <w:spacing w:line="360" w:lineRule="auto"/>
        <w:ind w:firstLine="420" w:firstLineChars="200"/>
        <w:jc w:val="left"/>
        <w:rPr>
          <w:rFonts w:hint="default"/>
          <w:color w:val="auto"/>
          <w:highlight w:val="none"/>
          <w:lang w:val="en-US" w:eastAsia="zh-CN"/>
        </w:rPr>
      </w:pPr>
      <w:r>
        <w:rPr>
          <w:rFonts w:hint="default"/>
          <w:color w:val="auto"/>
          <w:highlight w:val="none"/>
          <w:lang w:val="en-US" w:eastAsia="zh-CN"/>
        </w:rPr>
        <w:t>服务质量承诺及保障措施</w:t>
      </w:r>
    </w:p>
    <w:p w14:paraId="69840323">
      <w:pPr>
        <w:numPr>
          <w:ilvl w:val="0"/>
          <w:numId w:val="2"/>
        </w:numPr>
        <w:spacing w:line="360" w:lineRule="auto"/>
        <w:ind w:firstLine="420" w:firstLineChars="200"/>
        <w:jc w:val="left"/>
        <w:rPr>
          <w:rFonts w:hint="default"/>
          <w:color w:val="auto"/>
          <w:highlight w:val="none"/>
          <w:lang w:val="en-US" w:eastAsia="zh-CN"/>
        </w:rPr>
      </w:pPr>
      <w:r>
        <w:rPr>
          <w:rFonts w:hint="default"/>
          <w:color w:val="auto"/>
          <w:highlight w:val="none"/>
          <w:lang w:val="en-US" w:eastAsia="zh-CN"/>
        </w:rPr>
        <w:t>进度计划及措施</w:t>
      </w:r>
    </w:p>
    <w:p w14:paraId="2A0963BB">
      <w:pPr>
        <w:numPr>
          <w:ilvl w:val="0"/>
          <w:numId w:val="2"/>
        </w:numPr>
        <w:spacing w:line="360" w:lineRule="auto"/>
        <w:ind w:firstLine="420" w:firstLineChars="200"/>
        <w:jc w:val="left"/>
        <w:rPr>
          <w:rFonts w:hint="default"/>
          <w:color w:val="auto"/>
          <w:highlight w:val="none"/>
          <w:lang w:val="en-US" w:eastAsia="zh-CN"/>
        </w:rPr>
      </w:pPr>
      <w:r>
        <w:rPr>
          <w:rFonts w:hint="default"/>
          <w:color w:val="auto"/>
          <w:highlight w:val="none"/>
          <w:lang w:val="en-US" w:eastAsia="zh-CN"/>
        </w:rPr>
        <w:t>违约处罚措施及承诺</w:t>
      </w:r>
    </w:p>
    <w:p w14:paraId="65F13850">
      <w:pPr>
        <w:numPr>
          <w:ilvl w:val="0"/>
          <w:numId w:val="2"/>
        </w:numPr>
        <w:spacing w:line="360" w:lineRule="auto"/>
        <w:ind w:firstLine="420" w:firstLineChars="200"/>
        <w:jc w:val="left"/>
        <w:rPr>
          <w:rFonts w:hint="default"/>
          <w:color w:val="auto"/>
          <w:highlight w:val="none"/>
          <w:lang w:val="en-US" w:eastAsia="zh-CN"/>
        </w:rPr>
      </w:pPr>
      <w:r>
        <w:rPr>
          <w:rFonts w:hint="default"/>
          <w:color w:val="auto"/>
          <w:highlight w:val="none"/>
          <w:lang w:val="en-US" w:eastAsia="zh-CN"/>
        </w:rPr>
        <w:t>廉洁及保密措施及承诺</w:t>
      </w:r>
    </w:p>
    <w:p w14:paraId="0E92DA64">
      <w:pPr>
        <w:pStyle w:val="2"/>
        <w:jc w:val="center"/>
        <w:rPr>
          <w:rFonts w:hint="eastAsia" w:ascii="宋体" w:hAnsi="宋体" w:eastAsia="宋体"/>
          <w:color w:val="auto"/>
          <w:sz w:val="32"/>
          <w:highlight w:val="none"/>
          <w:lang w:eastAsia="zh-CN"/>
        </w:rPr>
      </w:pPr>
      <w:r>
        <w:rPr>
          <w:rFonts w:hint="eastAsia" w:ascii="宋体" w:hAnsi="宋体" w:eastAsia="宋体"/>
          <w:color w:val="auto"/>
          <w:sz w:val="32"/>
          <w:szCs w:val="32"/>
          <w:highlight w:val="none"/>
        </w:rPr>
        <w:br w:type="page"/>
      </w:r>
      <w:bookmarkStart w:id="341" w:name="_Toc17634"/>
      <w:bookmarkStart w:id="342" w:name="_Toc32055"/>
      <w:r>
        <w:rPr>
          <w:rFonts w:hint="eastAsia" w:ascii="宋体" w:hAnsi="宋体" w:eastAsia="宋体"/>
          <w:color w:val="auto"/>
          <w:sz w:val="32"/>
          <w:szCs w:val="32"/>
          <w:highlight w:val="none"/>
        </w:rPr>
        <w:t>第五章</w:t>
      </w:r>
      <w:r>
        <w:rPr>
          <w:rFonts w:ascii="宋体" w:hAnsi="宋体" w:eastAsia="宋体"/>
          <w:color w:val="auto"/>
          <w:sz w:val="32"/>
          <w:szCs w:val="32"/>
          <w:highlight w:val="none"/>
        </w:rPr>
        <w:t xml:space="preserve">  </w:t>
      </w:r>
      <w:bookmarkEnd w:id="313"/>
      <w:bookmarkEnd w:id="341"/>
      <w:bookmarkStart w:id="343" w:name="_Toc86124092"/>
      <w:r>
        <w:rPr>
          <w:rFonts w:hint="eastAsia" w:ascii="宋体" w:hAnsi="宋体" w:eastAsia="宋体"/>
          <w:color w:val="auto"/>
          <w:sz w:val="32"/>
          <w:szCs w:val="32"/>
          <w:highlight w:val="none"/>
          <w:lang w:eastAsia="zh-CN"/>
        </w:rPr>
        <w:t>采购需求</w:t>
      </w:r>
      <w:bookmarkEnd w:id="342"/>
    </w:p>
    <w:bookmarkEnd w:id="343"/>
    <w:p w14:paraId="061742E1">
      <w:pPr>
        <w:spacing w:line="360" w:lineRule="auto"/>
        <w:ind w:firstLine="420" w:firstLineChars="200"/>
        <w:outlineLvl w:val="1"/>
        <w:rPr>
          <w:rFonts w:hint="eastAsia" w:ascii="宋体" w:hAnsi="宋体" w:cs="仿宋"/>
          <w:b/>
          <w:color w:val="auto"/>
          <w:szCs w:val="21"/>
          <w:highlight w:val="none"/>
        </w:rPr>
      </w:pPr>
      <w:bookmarkStart w:id="344" w:name="_Toc205909960"/>
      <w:bookmarkStart w:id="345" w:name="_Toc205993575"/>
      <w:bookmarkStart w:id="346" w:name="OLE_LINK2"/>
      <w:r>
        <w:rPr>
          <w:rFonts w:hint="eastAsia" w:ascii="宋体" w:hAnsi="宋体" w:cs="仿宋"/>
          <w:b/>
          <w:color w:val="auto"/>
          <w:szCs w:val="21"/>
          <w:highlight w:val="none"/>
        </w:rPr>
        <w:t>一、项目基本情况</w:t>
      </w:r>
      <w:bookmarkEnd w:id="344"/>
      <w:bookmarkEnd w:id="345"/>
    </w:p>
    <w:p w14:paraId="5A34AC96">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项目名称：</w:t>
      </w:r>
      <w:r>
        <w:rPr>
          <w:rFonts w:hint="eastAsia" w:ascii="宋体" w:hAnsi="宋体" w:cs="仿宋"/>
          <w:color w:val="auto"/>
          <w:szCs w:val="21"/>
          <w:highlight w:val="none"/>
          <w:lang w:val="en-US" w:eastAsia="zh-CN"/>
        </w:rPr>
        <w:t>丽</w:t>
      </w:r>
      <w:r>
        <w:rPr>
          <w:rFonts w:hint="eastAsia" w:ascii="宋体" w:hAnsi="宋体" w:cs="仿宋"/>
          <w:color w:val="auto"/>
          <w:szCs w:val="21"/>
          <w:highlight w:val="none"/>
          <w:lang w:eastAsia="zh-CN"/>
        </w:rPr>
        <w:t>江市国有粮食企业深化改革法律咨询服务项目（三次）</w:t>
      </w: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预算金额：150.00万元</w:t>
      </w:r>
      <w:r>
        <w:rPr>
          <w:rFonts w:hint="eastAsia" w:ascii="宋体" w:hAnsi="宋体" w:cs="仿宋"/>
          <w:color w:val="auto"/>
          <w:szCs w:val="21"/>
          <w:highlight w:val="none"/>
          <w:lang w:eastAsia="zh-CN"/>
        </w:rPr>
        <w:t>，</w:t>
      </w:r>
      <w:r>
        <w:rPr>
          <w:rFonts w:hint="eastAsia" w:ascii="宋体" w:hAnsi="宋体" w:cs="仿宋"/>
          <w:color w:val="auto"/>
          <w:szCs w:val="21"/>
          <w:highlight w:val="none"/>
        </w:rPr>
        <w:t>最高限价：150.00万元</w:t>
      </w:r>
    </w:p>
    <w:p w14:paraId="7DE33FA1">
      <w:pPr>
        <w:spacing w:line="360" w:lineRule="auto"/>
        <w:ind w:firstLine="420" w:firstLineChars="200"/>
        <w:rPr>
          <w:rFonts w:hint="eastAsia" w:ascii="宋体" w:hAnsi="宋体" w:cs="仿宋" w:eastAsiaTheme="minorEastAsia"/>
          <w:color w:val="auto"/>
          <w:szCs w:val="21"/>
          <w:highlight w:val="none"/>
          <w:lang w:eastAsia="zh-CN"/>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采购需求：</w:t>
      </w:r>
      <w:r>
        <w:rPr>
          <w:rFonts w:hint="eastAsia" w:ascii="宋体" w:hAnsi="宋体" w:cs="仿宋"/>
          <w:color w:val="auto"/>
          <w:szCs w:val="21"/>
          <w:highlight w:val="none"/>
          <w:lang w:eastAsia="zh-CN"/>
        </w:rPr>
        <w:t>对丽江市国有粮食企业深化改革提供法律咨询服务。服务内容包括但不限于：对丽江市现有5户国有粮食企业进行全面摸底调研，出具审计报告、尽职调查报告及整合重组建议方案，配合采购人提交审议《重组方案》，审议通过后协助方案落地实施，对国有资产开展评估工作，出具评估报告上报国资监管部门。</w:t>
      </w:r>
    </w:p>
    <w:p w14:paraId="19404575">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合同履行期限：自合同签订之日起至合同约定的内容完成为止。</w:t>
      </w:r>
    </w:p>
    <w:p w14:paraId="49F8776F">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5.</w:t>
      </w:r>
      <w:r>
        <w:rPr>
          <w:rFonts w:hint="eastAsia" w:ascii="宋体" w:hAnsi="宋体" w:cs="仿宋"/>
          <w:color w:val="auto"/>
          <w:szCs w:val="21"/>
          <w:highlight w:val="none"/>
        </w:rPr>
        <w:t>项目实施地点：丽江市粮食和物资储备局指定地点。</w:t>
      </w:r>
    </w:p>
    <w:p w14:paraId="31293746">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6.质量要求：</w:t>
      </w:r>
      <w:r>
        <w:rPr>
          <w:rFonts w:hint="eastAsia" w:ascii="宋体" w:hAnsi="宋体" w:cs="仿宋"/>
          <w:color w:val="auto"/>
          <w:szCs w:val="21"/>
          <w:highlight w:val="none"/>
        </w:rPr>
        <w:t>提交的工作成果合法且不会侵犯任何第三方的合法权益，符合国家、省、州、市及相关法律法规的要求</w:t>
      </w:r>
      <w:r>
        <w:rPr>
          <w:rFonts w:hint="eastAsia" w:ascii="宋体" w:hAnsi="宋体" w:cs="仿宋"/>
          <w:color w:val="auto"/>
          <w:szCs w:val="21"/>
          <w:highlight w:val="none"/>
          <w:lang w:eastAsia="zh-CN"/>
        </w:rPr>
        <w:t>；</w:t>
      </w:r>
      <w:r>
        <w:rPr>
          <w:rFonts w:hint="eastAsia" w:ascii="宋体" w:hAnsi="宋体" w:cs="仿宋"/>
          <w:color w:val="auto"/>
          <w:szCs w:val="21"/>
          <w:highlight w:val="none"/>
        </w:rPr>
        <w:t>提交的工作成果经采购人审核，符合服务范围的约定和达到采购人的要求；。</w:t>
      </w:r>
    </w:p>
    <w:p w14:paraId="7C9A95FA">
      <w:pPr>
        <w:spacing w:line="360" w:lineRule="auto"/>
        <w:ind w:firstLine="402"/>
        <w:outlineLvl w:val="1"/>
        <w:rPr>
          <w:rFonts w:hint="eastAsia" w:ascii="宋体" w:hAnsi="宋体" w:cs="仿宋" w:eastAsiaTheme="minorEastAsia"/>
          <w:b/>
          <w:color w:val="auto"/>
          <w:szCs w:val="21"/>
          <w:highlight w:val="none"/>
          <w:lang w:val="en-US" w:eastAsia="zh-CN"/>
        </w:rPr>
      </w:pPr>
      <w:bookmarkStart w:id="347" w:name="_Toc205909961"/>
      <w:bookmarkStart w:id="348" w:name="_Toc205993576"/>
      <w:r>
        <w:rPr>
          <w:rFonts w:hint="eastAsia" w:ascii="宋体" w:hAnsi="宋体" w:cs="仿宋"/>
          <w:b/>
          <w:color w:val="auto"/>
          <w:szCs w:val="21"/>
          <w:highlight w:val="none"/>
          <w:lang w:val="en-US" w:eastAsia="zh-CN"/>
        </w:rPr>
        <w:t>二</w:t>
      </w:r>
      <w:r>
        <w:rPr>
          <w:rFonts w:hint="eastAsia" w:ascii="宋体" w:hAnsi="宋体" w:cs="仿宋"/>
          <w:b/>
          <w:color w:val="auto"/>
          <w:szCs w:val="21"/>
          <w:highlight w:val="none"/>
        </w:rPr>
        <w:t>、时间安排及工作</w:t>
      </w:r>
      <w:r>
        <w:rPr>
          <w:rFonts w:hint="eastAsia" w:ascii="宋体" w:hAnsi="宋体" w:cs="仿宋"/>
          <w:b/>
          <w:color w:val="auto"/>
          <w:szCs w:val="21"/>
          <w:highlight w:val="none"/>
          <w:lang w:val="en-US" w:eastAsia="zh-CN"/>
        </w:rPr>
        <w:t>内容</w:t>
      </w:r>
    </w:p>
    <w:p w14:paraId="7A10E5A8">
      <w:pPr>
        <w:spacing w:line="360" w:lineRule="auto"/>
        <w:ind w:firstLine="402"/>
        <w:outlineLvl w:val="1"/>
        <w:rPr>
          <w:rFonts w:hint="eastAsia" w:ascii="宋体" w:hAnsi="宋体" w:cs="仿宋"/>
          <w:b w:val="0"/>
          <w:bCs/>
          <w:color w:val="auto"/>
          <w:szCs w:val="21"/>
          <w:highlight w:val="none"/>
        </w:rPr>
      </w:pPr>
      <w:r>
        <w:rPr>
          <w:rFonts w:hint="eastAsia" w:ascii="宋体" w:hAnsi="宋体" w:cs="仿宋"/>
          <w:b w:val="0"/>
          <w:bCs/>
          <w:color w:val="auto"/>
          <w:szCs w:val="21"/>
          <w:highlight w:val="none"/>
        </w:rPr>
        <w:t>（一）摸底调研阶段（2026年</w:t>
      </w:r>
      <w:r>
        <w:rPr>
          <w:rFonts w:hint="eastAsia" w:ascii="宋体" w:hAnsi="宋体" w:cs="仿宋"/>
          <w:b w:val="0"/>
          <w:bCs/>
          <w:color w:val="auto"/>
          <w:szCs w:val="21"/>
          <w:highlight w:val="none"/>
          <w:lang w:val="en-US" w:eastAsia="zh-CN"/>
        </w:rPr>
        <w:t>6</w:t>
      </w:r>
      <w:r>
        <w:rPr>
          <w:rFonts w:hint="eastAsia" w:ascii="宋体" w:hAnsi="宋体" w:cs="仿宋"/>
          <w:b w:val="0"/>
          <w:bCs/>
          <w:color w:val="auto"/>
          <w:szCs w:val="21"/>
          <w:highlight w:val="none"/>
        </w:rPr>
        <w:t>月30日前）。</w:t>
      </w:r>
      <w:r>
        <w:rPr>
          <w:rFonts w:hint="eastAsia" w:ascii="宋体" w:hAnsi="宋体" w:cs="仿宋"/>
          <w:b w:val="0"/>
          <w:bCs/>
          <w:color w:val="auto"/>
          <w:szCs w:val="21"/>
          <w:highlight w:val="none"/>
          <w:lang w:val="en-US" w:eastAsia="zh-CN"/>
        </w:rPr>
        <w:t>与采购人</w:t>
      </w:r>
      <w:r>
        <w:rPr>
          <w:rFonts w:hint="eastAsia" w:ascii="宋体" w:hAnsi="宋体" w:cs="仿宋"/>
          <w:b w:val="0"/>
          <w:bCs/>
          <w:color w:val="auto"/>
          <w:szCs w:val="21"/>
          <w:highlight w:val="none"/>
        </w:rPr>
        <w:t>组成专项工作组对全市现有国有粮食企业进行全面摸底调研，出具审计报告、尽职调查报告及整合重组建议方案（初稿）。</w:t>
      </w:r>
    </w:p>
    <w:p w14:paraId="20B99DCE">
      <w:pPr>
        <w:spacing w:line="360" w:lineRule="auto"/>
        <w:ind w:firstLine="402"/>
        <w:outlineLvl w:val="1"/>
        <w:rPr>
          <w:rFonts w:hint="eastAsia" w:ascii="宋体" w:hAnsi="宋体" w:cs="仿宋"/>
          <w:b w:val="0"/>
          <w:bCs/>
          <w:color w:val="auto"/>
          <w:szCs w:val="21"/>
          <w:highlight w:val="none"/>
        </w:rPr>
      </w:pPr>
      <w:r>
        <w:rPr>
          <w:rFonts w:hint="eastAsia" w:ascii="宋体" w:hAnsi="宋体" w:cs="仿宋"/>
          <w:b w:val="0"/>
          <w:bCs/>
          <w:color w:val="auto"/>
          <w:szCs w:val="21"/>
          <w:highlight w:val="none"/>
        </w:rPr>
        <w:t>（二）提交审议阶段（2026年</w:t>
      </w:r>
      <w:r>
        <w:rPr>
          <w:rFonts w:hint="eastAsia" w:ascii="宋体" w:hAnsi="宋体" w:cs="仿宋"/>
          <w:b w:val="0"/>
          <w:bCs/>
          <w:color w:val="auto"/>
          <w:szCs w:val="21"/>
          <w:highlight w:val="none"/>
          <w:lang w:val="en-US" w:eastAsia="zh-CN"/>
        </w:rPr>
        <w:t>7</w:t>
      </w:r>
      <w:r>
        <w:rPr>
          <w:rFonts w:hint="eastAsia" w:ascii="宋体" w:hAnsi="宋体" w:cs="仿宋"/>
          <w:b w:val="0"/>
          <w:bCs/>
          <w:color w:val="auto"/>
          <w:szCs w:val="21"/>
          <w:highlight w:val="none"/>
        </w:rPr>
        <w:t>月30日前）。研究制定粮食企业深化改革方案（初稿），经广泛征求各有关部门及县（区）人民政府意见建议并完善后，形成粮食企业深化改革方案（送审稿），依法依规按程序提交市委市政府审议。完成国有资产评估并出具评估报告，上报国资部门备案。</w:t>
      </w:r>
    </w:p>
    <w:p w14:paraId="5E060C46">
      <w:pPr>
        <w:spacing w:line="360" w:lineRule="auto"/>
        <w:ind w:firstLine="402"/>
        <w:outlineLvl w:val="1"/>
        <w:rPr>
          <w:rFonts w:hint="eastAsia" w:ascii="宋体" w:hAnsi="宋体" w:cs="仿宋"/>
          <w:b w:val="0"/>
          <w:bCs/>
          <w:color w:val="auto"/>
          <w:szCs w:val="21"/>
          <w:highlight w:val="none"/>
        </w:rPr>
      </w:pPr>
      <w:r>
        <w:rPr>
          <w:rFonts w:hint="eastAsia" w:ascii="宋体" w:hAnsi="宋体" w:cs="仿宋"/>
          <w:b w:val="0"/>
          <w:bCs/>
          <w:color w:val="auto"/>
          <w:szCs w:val="21"/>
          <w:highlight w:val="none"/>
        </w:rPr>
        <w:t>（三）方案实施阶段（2026年12月底前）。组织开展协议签订、办理国有产权登记变更、工商变更登记（股东变更、章程修订）、税务登记变更等相关手续，办理标的资产交割及权属证明、财务资料移交，完成资产及人员的移交处理。</w:t>
      </w:r>
    </w:p>
    <w:p w14:paraId="226BC909">
      <w:pPr>
        <w:spacing w:line="360" w:lineRule="auto"/>
        <w:ind w:firstLine="402"/>
        <w:outlineLvl w:val="1"/>
        <w:rPr>
          <w:rFonts w:hint="eastAsia" w:ascii="宋体" w:hAnsi="宋体" w:cs="仿宋"/>
          <w:b w:val="0"/>
          <w:bCs/>
          <w:color w:val="auto"/>
          <w:szCs w:val="21"/>
          <w:highlight w:val="none"/>
        </w:rPr>
      </w:pPr>
      <w:r>
        <w:rPr>
          <w:rFonts w:hint="eastAsia" w:ascii="宋体" w:hAnsi="宋体" w:cs="仿宋"/>
          <w:b w:val="0"/>
          <w:bCs/>
          <w:color w:val="auto"/>
          <w:szCs w:val="21"/>
          <w:highlight w:val="none"/>
        </w:rPr>
        <w:t>（四）总结评估阶段（202</w:t>
      </w:r>
      <w:r>
        <w:rPr>
          <w:rFonts w:hint="eastAsia" w:ascii="宋体" w:hAnsi="宋体" w:cs="仿宋"/>
          <w:b w:val="0"/>
          <w:bCs/>
          <w:color w:val="auto"/>
          <w:szCs w:val="21"/>
          <w:highlight w:val="none"/>
          <w:lang w:val="en-US" w:eastAsia="zh-CN"/>
        </w:rPr>
        <w:t>7年5</w:t>
      </w:r>
      <w:r>
        <w:rPr>
          <w:rFonts w:hint="eastAsia" w:ascii="宋体" w:hAnsi="宋体" w:cs="仿宋"/>
          <w:b w:val="0"/>
          <w:bCs/>
          <w:color w:val="auto"/>
          <w:szCs w:val="21"/>
          <w:highlight w:val="none"/>
        </w:rPr>
        <w:t>月底前）。跟踪做好工作总结和档案归档。</w:t>
      </w:r>
    </w:p>
    <w:p w14:paraId="153A3F64">
      <w:pPr>
        <w:spacing w:line="360" w:lineRule="auto"/>
        <w:ind w:firstLine="402"/>
        <w:outlineLvl w:val="1"/>
        <w:rPr>
          <w:rFonts w:hint="eastAsia" w:ascii="宋体" w:hAnsi="宋体" w:cs="仿宋"/>
          <w:b/>
          <w:color w:val="auto"/>
          <w:szCs w:val="21"/>
          <w:highlight w:val="none"/>
        </w:rPr>
      </w:pPr>
      <w:r>
        <w:rPr>
          <w:rFonts w:hint="eastAsia" w:ascii="宋体" w:hAnsi="宋体" w:cs="仿宋"/>
          <w:b/>
          <w:color w:val="auto"/>
          <w:szCs w:val="21"/>
          <w:highlight w:val="none"/>
          <w:lang w:val="en-US" w:eastAsia="zh-CN"/>
        </w:rPr>
        <w:t>三</w:t>
      </w:r>
      <w:r>
        <w:rPr>
          <w:rFonts w:hint="eastAsia" w:ascii="宋体" w:hAnsi="宋体" w:cs="仿宋"/>
          <w:b/>
          <w:color w:val="auto"/>
          <w:szCs w:val="21"/>
          <w:highlight w:val="none"/>
        </w:rPr>
        <w:t>、其他服务要求</w:t>
      </w:r>
      <w:bookmarkEnd w:id="347"/>
      <w:bookmarkEnd w:id="348"/>
    </w:p>
    <w:p w14:paraId="769E9353">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w:t>
      </w:r>
      <w:r>
        <w:rPr>
          <w:rFonts w:hint="eastAsia" w:ascii="宋体" w:hAnsi="宋体" w:cs="仿宋"/>
          <w:color w:val="auto"/>
          <w:szCs w:val="21"/>
          <w:highlight w:val="none"/>
          <w:lang w:val="en-US" w:eastAsia="zh-CN"/>
        </w:rPr>
        <w:t>保密要求：</w:t>
      </w:r>
      <w:r>
        <w:rPr>
          <w:rFonts w:hint="eastAsia" w:ascii="宋体" w:hAnsi="宋体" w:cs="仿宋"/>
          <w:color w:val="auto"/>
          <w:szCs w:val="21"/>
          <w:highlight w:val="none"/>
        </w:rPr>
        <w:t>供应商在服务期间内需与业主签订保密协议，不复制，不传阅业主方涉密资料。</w:t>
      </w:r>
      <w:r>
        <w:rPr>
          <w:rFonts w:hint="eastAsia" w:ascii="宋体" w:hAnsi="宋体" w:cs="仿宋"/>
          <w:color w:val="auto"/>
          <w:szCs w:val="21"/>
          <w:highlight w:val="none"/>
          <w:lang w:val="en-US" w:eastAsia="zh-CN"/>
        </w:rPr>
        <w:t>供应商</w:t>
      </w:r>
      <w:r>
        <w:rPr>
          <w:rFonts w:hint="eastAsia" w:ascii="宋体" w:hAnsi="宋体" w:cs="仿宋"/>
          <w:color w:val="auto"/>
          <w:szCs w:val="21"/>
          <w:highlight w:val="none"/>
        </w:rPr>
        <w:t>及参与本项目的服务团队人员在服务过程中对所知悉的国家秘密、工作秘密、商业秘密、个人隐私信息，应当予以保密，未经采购人批准，不得泄露或者向他人非法提供，否则须赔偿采购人由此遭受的损失并承担相应的法律责任。</w:t>
      </w:r>
    </w:p>
    <w:p w14:paraId="3C86D99A">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2、供应商在服务期间内安全（人身安全、财产安全）均由供应商自行负责。</w:t>
      </w:r>
    </w:p>
    <w:p w14:paraId="1C56CBEE">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3、供应商须及时响应，并在双方商议的合理时限内反馈工作成果或到达业主指定地点进行相关服务。</w:t>
      </w:r>
    </w:p>
    <w:p w14:paraId="3B0AA57A">
      <w:pPr>
        <w:spacing w:line="360" w:lineRule="auto"/>
        <w:ind w:firstLine="420" w:firstLineChars="200"/>
        <w:rPr>
          <w:rFonts w:hint="eastAsia" w:ascii="宋体" w:hAnsi="宋体"/>
          <w:color w:val="auto"/>
          <w:sz w:val="24"/>
          <w:highlight w:val="none"/>
        </w:rPr>
      </w:pPr>
      <w:r>
        <w:rPr>
          <w:rFonts w:hint="eastAsia" w:ascii="宋体" w:hAnsi="宋体" w:cs="仿宋"/>
          <w:color w:val="auto"/>
          <w:szCs w:val="21"/>
          <w:highlight w:val="none"/>
        </w:rPr>
        <w:t>4、供应商须对所出法律意见的真实性、有效性及合法性负责。</w:t>
      </w:r>
      <w:bookmarkEnd w:id="346"/>
    </w:p>
    <w:p w14:paraId="140D6F00">
      <w:pPr>
        <w:pStyle w:val="2"/>
        <w:jc w:val="both"/>
        <w:rPr>
          <w:rFonts w:ascii="宋体" w:hAnsi="宋体" w:eastAsia="宋体"/>
          <w:color w:val="auto"/>
          <w:sz w:val="32"/>
          <w:szCs w:val="32"/>
          <w:highlight w:val="none"/>
        </w:rPr>
        <w:sectPr>
          <w:footerReference r:id="rId5" w:type="first"/>
          <w:headerReference r:id="rId3" w:type="default"/>
          <w:footerReference r:id="rId4" w:type="default"/>
          <w:pgSz w:w="11906" w:h="16838"/>
          <w:pgMar w:top="1332" w:right="1417" w:bottom="1315" w:left="1417" w:header="737" w:footer="680" w:gutter="0"/>
          <w:pgBorders>
            <w:top w:val="none" w:sz="0" w:space="0"/>
            <w:left w:val="none" w:sz="0" w:space="0"/>
            <w:bottom w:val="none" w:sz="0" w:space="0"/>
            <w:right w:val="none" w:sz="0" w:space="0"/>
          </w:pgBorders>
          <w:pgNumType w:fmt="decimal" w:start="1"/>
          <w:cols w:space="720" w:num="1"/>
          <w:titlePg/>
          <w:rtlGutter w:val="0"/>
          <w:docGrid w:type="linesAndChars" w:linePitch="312" w:charSpace="0"/>
        </w:sectPr>
      </w:pPr>
      <w:bookmarkStart w:id="349" w:name="_Toc27131"/>
    </w:p>
    <w:p w14:paraId="1B39B71D">
      <w:pPr>
        <w:pStyle w:val="2"/>
        <w:jc w:val="center"/>
        <w:rPr>
          <w:rFonts w:ascii="宋体" w:hAnsi="宋体"/>
          <w:color w:val="auto"/>
          <w:sz w:val="24"/>
          <w:highlight w:val="none"/>
        </w:rPr>
      </w:pPr>
      <w:bookmarkStart w:id="350" w:name="_Toc223"/>
      <w:r>
        <w:rPr>
          <w:rFonts w:hint="eastAsia" w:ascii="宋体" w:hAnsi="宋体" w:eastAsia="宋体"/>
          <w:color w:val="auto"/>
          <w:sz w:val="32"/>
          <w:szCs w:val="32"/>
          <w:highlight w:val="none"/>
        </w:rPr>
        <w:t>第六章 磋商程序和方法（综合评分法）</w:t>
      </w:r>
      <w:bookmarkEnd w:id="349"/>
      <w:bookmarkEnd w:id="350"/>
    </w:p>
    <w:p w14:paraId="4BDF24A8">
      <w:pPr>
        <w:pStyle w:val="3"/>
        <w:spacing w:before="0"/>
        <w:rPr>
          <w:rFonts w:ascii="宋体" w:hAnsi="宋体"/>
          <w:color w:val="auto"/>
          <w:spacing w:val="0"/>
          <w:szCs w:val="28"/>
          <w:highlight w:val="none"/>
        </w:rPr>
      </w:pPr>
      <w:bookmarkStart w:id="351" w:name="_Toc14142"/>
      <w:bookmarkStart w:id="352" w:name="_Toc26083"/>
      <w:r>
        <w:rPr>
          <w:rFonts w:hint="eastAsia" w:ascii="宋体" w:hAnsi="宋体"/>
          <w:color w:val="auto"/>
          <w:spacing w:val="0"/>
          <w:szCs w:val="28"/>
          <w:highlight w:val="none"/>
        </w:rPr>
        <w:t>磋商方法前附表</w:t>
      </w:r>
      <w:bookmarkEnd w:id="351"/>
      <w:bookmarkEnd w:id="352"/>
    </w:p>
    <w:tbl>
      <w:tblPr>
        <w:tblStyle w:val="17"/>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72"/>
        <w:gridCol w:w="1512"/>
        <w:gridCol w:w="19"/>
        <w:gridCol w:w="798"/>
        <w:gridCol w:w="19"/>
        <w:gridCol w:w="5935"/>
        <w:gridCol w:w="19"/>
      </w:tblGrid>
      <w:tr w14:paraId="0AC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1996" w:type="dxa"/>
            <w:gridSpan w:val="2"/>
            <w:noWrap w:val="0"/>
            <w:vAlign w:val="center"/>
          </w:tcPr>
          <w:p w14:paraId="69D2D92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b/>
                <w:color w:val="auto"/>
                <w:spacing w:val="0"/>
                <w:sz w:val="21"/>
                <w:szCs w:val="21"/>
                <w:highlight w:val="none"/>
              </w:rPr>
            </w:pPr>
            <w:r>
              <w:rPr>
                <w:rFonts w:hint="eastAsia" w:ascii="宋体" w:hAnsi="宋体"/>
                <w:b/>
                <w:color w:val="auto"/>
                <w:spacing w:val="0"/>
                <w:sz w:val="21"/>
                <w:szCs w:val="21"/>
                <w:highlight w:val="none"/>
              </w:rPr>
              <w:t>条款号</w:t>
            </w:r>
          </w:p>
        </w:tc>
        <w:tc>
          <w:tcPr>
            <w:tcW w:w="2329" w:type="dxa"/>
            <w:gridSpan w:val="3"/>
            <w:noWrap w:val="0"/>
            <w:vAlign w:val="center"/>
          </w:tcPr>
          <w:p w14:paraId="30F6877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b/>
                <w:color w:val="auto"/>
                <w:spacing w:val="0"/>
                <w:sz w:val="21"/>
                <w:szCs w:val="21"/>
                <w:highlight w:val="none"/>
              </w:rPr>
            </w:pPr>
            <w:r>
              <w:rPr>
                <w:rFonts w:hint="eastAsia" w:ascii="宋体" w:hAnsi="宋体"/>
                <w:b/>
                <w:color w:val="auto"/>
                <w:spacing w:val="0"/>
                <w:sz w:val="21"/>
                <w:szCs w:val="21"/>
                <w:highlight w:val="none"/>
              </w:rPr>
              <w:t>评 审 内 容</w:t>
            </w:r>
          </w:p>
        </w:tc>
        <w:tc>
          <w:tcPr>
            <w:tcW w:w="5954" w:type="dxa"/>
            <w:gridSpan w:val="2"/>
            <w:noWrap w:val="0"/>
            <w:vAlign w:val="center"/>
          </w:tcPr>
          <w:p w14:paraId="0590C9B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b/>
                <w:color w:val="auto"/>
                <w:spacing w:val="0"/>
                <w:sz w:val="21"/>
                <w:szCs w:val="21"/>
                <w:highlight w:val="none"/>
              </w:rPr>
            </w:pPr>
            <w:r>
              <w:rPr>
                <w:rFonts w:hint="eastAsia" w:ascii="宋体" w:hAnsi="宋体"/>
                <w:b/>
                <w:color w:val="auto"/>
                <w:spacing w:val="0"/>
                <w:sz w:val="21"/>
                <w:szCs w:val="21"/>
                <w:highlight w:val="none"/>
              </w:rPr>
              <w:t>评 审 标 准</w:t>
            </w:r>
          </w:p>
        </w:tc>
      </w:tr>
      <w:tr w14:paraId="24D6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noWrap w:val="0"/>
            <w:vAlign w:val="center"/>
          </w:tcPr>
          <w:p w14:paraId="2521551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2.1.1</w:t>
            </w:r>
          </w:p>
        </w:tc>
        <w:tc>
          <w:tcPr>
            <w:tcW w:w="1172" w:type="dxa"/>
            <w:noWrap w:val="0"/>
            <w:vAlign w:val="center"/>
          </w:tcPr>
          <w:p w14:paraId="451F122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资格评审标准</w:t>
            </w:r>
          </w:p>
        </w:tc>
        <w:tc>
          <w:tcPr>
            <w:tcW w:w="2329" w:type="dxa"/>
            <w:gridSpan w:val="3"/>
            <w:noWrap w:val="0"/>
            <w:vAlign w:val="center"/>
          </w:tcPr>
          <w:p w14:paraId="229AEAC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资格条件</w:t>
            </w:r>
          </w:p>
        </w:tc>
        <w:tc>
          <w:tcPr>
            <w:tcW w:w="5954" w:type="dxa"/>
            <w:gridSpan w:val="2"/>
            <w:noWrap w:val="0"/>
            <w:vAlign w:val="center"/>
          </w:tcPr>
          <w:p w14:paraId="765969C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符合第二章“供应商须知”第</w:t>
            </w:r>
            <w:r>
              <w:rPr>
                <w:rFonts w:ascii="宋体" w:hAnsi="宋体"/>
                <w:color w:val="auto"/>
                <w:spacing w:val="0"/>
                <w:sz w:val="21"/>
                <w:szCs w:val="21"/>
                <w:highlight w:val="none"/>
              </w:rPr>
              <w:t>4</w:t>
            </w:r>
            <w:r>
              <w:rPr>
                <w:rFonts w:hint="eastAsia" w:ascii="宋体" w:hAnsi="宋体"/>
                <w:color w:val="auto"/>
                <w:spacing w:val="0"/>
                <w:sz w:val="21"/>
                <w:szCs w:val="21"/>
                <w:highlight w:val="none"/>
              </w:rPr>
              <w:t>项规定</w:t>
            </w:r>
          </w:p>
        </w:tc>
      </w:tr>
      <w:tr w14:paraId="214F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restart"/>
            <w:noWrap w:val="0"/>
            <w:vAlign w:val="center"/>
          </w:tcPr>
          <w:p w14:paraId="73D4B6D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2.1.2</w:t>
            </w:r>
          </w:p>
        </w:tc>
        <w:tc>
          <w:tcPr>
            <w:tcW w:w="1172" w:type="dxa"/>
            <w:vMerge w:val="restart"/>
            <w:noWrap w:val="0"/>
            <w:vAlign w:val="center"/>
          </w:tcPr>
          <w:p w14:paraId="3D814F4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符合性评审标准</w:t>
            </w:r>
          </w:p>
        </w:tc>
        <w:tc>
          <w:tcPr>
            <w:tcW w:w="2329" w:type="dxa"/>
            <w:gridSpan w:val="3"/>
            <w:noWrap w:val="0"/>
            <w:vAlign w:val="center"/>
          </w:tcPr>
          <w:p w14:paraId="0060A50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磋商保证金</w:t>
            </w:r>
          </w:p>
        </w:tc>
        <w:tc>
          <w:tcPr>
            <w:tcW w:w="5954" w:type="dxa"/>
            <w:gridSpan w:val="2"/>
            <w:noWrap w:val="0"/>
            <w:vAlign w:val="center"/>
          </w:tcPr>
          <w:p w14:paraId="385683A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符合第二章“供应商须知”第13.2项规定</w:t>
            </w:r>
          </w:p>
        </w:tc>
      </w:tr>
      <w:tr w14:paraId="6FB3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continue"/>
            <w:noWrap w:val="0"/>
            <w:vAlign w:val="center"/>
          </w:tcPr>
          <w:p w14:paraId="48B11D8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p>
        </w:tc>
        <w:tc>
          <w:tcPr>
            <w:tcW w:w="1172" w:type="dxa"/>
            <w:vMerge w:val="continue"/>
            <w:noWrap w:val="0"/>
            <w:vAlign w:val="center"/>
          </w:tcPr>
          <w:p w14:paraId="210B09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p>
        </w:tc>
        <w:tc>
          <w:tcPr>
            <w:tcW w:w="2329" w:type="dxa"/>
            <w:gridSpan w:val="3"/>
            <w:noWrap w:val="0"/>
            <w:vAlign w:val="center"/>
          </w:tcPr>
          <w:p w14:paraId="4163560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响应文件的签署</w:t>
            </w:r>
          </w:p>
        </w:tc>
        <w:tc>
          <w:tcPr>
            <w:tcW w:w="5954" w:type="dxa"/>
            <w:gridSpan w:val="2"/>
            <w:noWrap w:val="0"/>
            <w:vAlign w:val="center"/>
          </w:tcPr>
          <w:p w14:paraId="2A45D60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按磋商文件第四章响应文件格式要求进行签署</w:t>
            </w:r>
          </w:p>
        </w:tc>
      </w:tr>
      <w:tr w14:paraId="71CB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continue"/>
            <w:noWrap w:val="0"/>
            <w:vAlign w:val="center"/>
          </w:tcPr>
          <w:p w14:paraId="140BE3D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p>
        </w:tc>
        <w:tc>
          <w:tcPr>
            <w:tcW w:w="1172" w:type="dxa"/>
            <w:vMerge w:val="continue"/>
            <w:noWrap w:val="0"/>
            <w:vAlign w:val="center"/>
          </w:tcPr>
          <w:p w14:paraId="5FD7008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p>
        </w:tc>
        <w:tc>
          <w:tcPr>
            <w:tcW w:w="2329" w:type="dxa"/>
            <w:gridSpan w:val="3"/>
            <w:noWrap w:val="0"/>
            <w:vAlign w:val="center"/>
          </w:tcPr>
          <w:p w14:paraId="185F5DB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磋商报价</w:t>
            </w:r>
          </w:p>
        </w:tc>
        <w:tc>
          <w:tcPr>
            <w:tcW w:w="5954" w:type="dxa"/>
            <w:gridSpan w:val="2"/>
            <w:noWrap w:val="0"/>
            <w:vAlign w:val="center"/>
          </w:tcPr>
          <w:p w14:paraId="0F079A3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最后报价未超过预算金额或最高限价</w:t>
            </w:r>
          </w:p>
        </w:tc>
      </w:tr>
      <w:tr w14:paraId="3146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continue"/>
            <w:noWrap w:val="0"/>
            <w:vAlign w:val="center"/>
          </w:tcPr>
          <w:p w14:paraId="52632EE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7326D11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2329" w:type="dxa"/>
            <w:gridSpan w:val="3"/>
            <w:noWrap w:val="0"/>
            <w:vAlign w:val="center"/>
          </w:tcPr>
          <w:p w14:paraId="0B39732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ascii="宋体" w:hAnsi="宋体"/>
                <w:color w:val="auto"/>
                <w:spacing w:val="0"/>
                <w:sz w:val="21"/>
                <w:szCs w:val="21"/>
                <w:highlight w:val="none"/>
              </w:rPr>
              <w:t>法定代表人身份证明书</w:t>
            </w:r>
          </w:p>
        </w:tc>
        <w:tc>
          <w:tcPr>
            <w:tcW w:w="5954" w:type="dxa"/>
            <w:gridSpan w:val="2"/>
            <w:noWrap w:val="0"/>
            <w:vAlign w:val="center"/>
          </w:tcPr>
          <w:p w14:paraId="71B9D33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ascii="宋体" w:hAnsi="宋体"/>
                <w:color w:val="auto"/>
                <w:spacing w:val="0"/>
                <w:sz w:val="21"/>
                <w:szCs w:val="21"/>
                <w:highlight w:val="none"/>
              </w:rPr>
              <w:t>符合磋商文件</w:t>
            </w:r>
            <w:r>
              <w:rPr>
                <w:rFonts w:hint="eastAsia" w:ascii="宋体" w:hAnsi="宋体"/>
                <w:color w:val="auto"/>
                <w:spacing w:val="0"/>
                <w:sz w:val="21"/>
                <w:szCs w:val="21"/>
                <w:highlight w:val="none"/>
              </w:rPr>
              <w:t>规</w:t>
            </w:r>
            <w:r>
              <w:rPr>
                <w:rFonts w:ascii="宋体" w:hAnsi="宋体"/>
                <w:color w:val="auto"/>
                <w:spacing w:val="0"/>
                <w:sz w:val="21"/>
                <w:szCs w:val="21"/>
                <w:highlight w:val="none"/>
              </w:rPr>
              <w:t>定</w:t>
            </w:r>
            <w:r>
              <w:rPr>
                <w:rFonts w:hint="eastAsia" w:ascii="宋体" w:hAnsi="宋体"/>
                <w:color w:val="auto"/>
                <w:spacing w:val="0"/>
                <w:sz w:val="21"/>
                <w:szCs w:val="21"/>
                <w:highlight w:val="none"/>
              </w:rPr>
              <w:t>的</w:t>
            </w:r>
            <w:r>
              <w:rPr>
                <w:rFonts w:ascii="宋体" w:hAnsi="宋体"/>
                <w:color w:val="auto"/>
                <w:spacing w:val="0"/>
                <w:sz w:val="21"/>
                <w:szCs w:val="21"/>
                <w:highlight w:val="none"/>
              </w:rPr>
              <w:t>格式及内容</w:t>
            </w:r>
            <w:r>
              <w:rPr>
                <w:rFonts w:hint="eastAsia" w:ascii="宋体" w:hAnsi="宋体"/>
                <w:color w:val="auto"/>
                <w:spacing w:val="0"/>
                <w:sz w:val="21"/>
                <w:szCs w:val="21"/>
                <w:highlight w:val="none"/>
              </w:rPr>
              <w:t>，</w:t>
            </w:r>
            <w:r>
              <w:rPr>
                <w:rFonts w:ascii="宋体" w:hAnsi="宋体"/>
                <w:color w:val="auto"/>
                <w:spacing w:val="0"/>
                <w:sz w:val="21"/>
                <w:szCs w:val="21"/>
                <w:highlight w:val="none"/>
              </w:rPr>
              <w:t>并盖单位章。</w:t>
            </w:r>
          </w:p>
        </w:tc>
      </w:tr>
      <w:tr w14:paraId="7FB8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continue"/>
            <w:noWrap w:val="0"/>
            <w:vAlign w:val="center"/>
          </w:tcPr>
          <w:p w14:paraId="1D312EA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392A475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2329" w:type="dxa"/>
            <w:gridSpan w:val="3"/>
            <w:noWrap w:val="0"/>
            <w:vAlign w:val="center"/>
          </w:tcPr>
          <w:p w14:paraId="07A5ADD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ascii="宋体" w:hAnsi="宋体"/>
                <w:color w:val="auto"/>
                <w:spacing w:val="0"/>
                <w:sz w:val="21"/>
                <w:szCs w:val="21"/>
                <w:highlight w:val="none"/>
              </w:rPr>
              <w:t>法定代表人授权委托书</w:t>
            </w:r>
          </w:p>
        </w:tc>
        <w:tc>
          <w:tcPr>
            <w:tcW w:w="5954" w:type="dxa"/>
            <w:gridSpan w:val="2"/>
            <w:noWrap w:val="0"/>
            <w:vAlign w:val="center"/>
          </w:tcPr>
          <w:p w14:paraId="48A2BE6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ascii="宋体" w:hAnsi="宋体"/>
                <w:color w:val="auto"/>
                <w:spacing w:val="0"/>
                <w:sz w:val="21"/>
                <w:szCs w:val="21"/>
                <w:highlight w:val="none"/>
              </w:rPr>
              <w:t>有法定代表人电子签章或签字，并盖单位章；符合磋商文件</w:t>
            </w:r>
            <w:r>
              <w:rPr>
                <w:rFonts w:hint="eastAsia" w:ascii="宋体" w:hAnsi="宋体"/>
                <w:color w:val="auto"/>
                <w:spacing w:val="0"/>
                <w:sz w:val="21"/>
                <w:szCs w:val="21"/>
                <w:highlight w:val="none"/>
              </w:rPr>
              <w:t>规</w:t>
            </w:r>
            <w:r>
              <w:rPr>
                <w:rFonts w:ascii="宋体" w:hAnsi="宋体"/>
                <w:color w:val="auto"/>
                <w:spacing w:val="0"/>
                <w:sz w:val="21"/>
                <w:szCs w:val="21"/>
                <w:highlight w:val="none"/>
              </w:rPr>
              <w:t>定</w:t>
            </w:r>
            <w:r>
              <w:rPr>
                <w:rFonts w:hint="eastAsia" w:ascii="宋体" w:hAnsi="宋体"/>
                <w:color w:val="auto"/>
                <w:spacing w:val="0"/>
                <w:sz w:val="21"/>
                <w:szCs w:val="21"/>
                <w:highlight w:val="none"/>
              </w:rPr>
              <w:t>的</w:t>
            </w:r>
            <w:r>
              <w:rPr>
                <w:rFonts w:ascii="宋体" w:hAnsi="宋体"/>
                <w:color w:val="auto"/>
                <w:spacing w:val="0"/>
                <w:sz w:val="21"/>
                <w:szCs w:val="21"/>
                <w:highlight w:val="none"/>
              </w:rPr>
              <w:t>格式及内容。</w:t>
            </w:r>
          </w:p>
        </w:tc>
      </w:tr>
      <w:tr w14:paraId="1F74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continue"/>
            <w:noWrap w:val="0"/>
            <w:vAlign w:val="center"/>
          </w:tcPr>
          <w:p w14:paraId="1B277A0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026E849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2329" w:type="dxa"/>
            <w:gridSpan w:val="3"/>
            <w:noWrap w:val="0"/>
            <w:vAlign w:val="center"/>
          </w:tcPr>
          <w:p w14:paraId="4855239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磋商有效期</w:t>
            </w:r>
          </w:p>
        </w:tc>
        <w:tc>
          <w:tcPr>
            <w:tcW w:w="5954" w:type="dxa"/>
            <w:gridSpan w:val="2"/>
            <w:noWrap w:val="0"/>
            <w:vAlign w:val="center"/>
          </w:tcPr>
          <w:p w14:paraId="6DB543F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符合第二章“供应商须知”第11.1项规定</w:t>
            </w:r>
          </w:p>
        </w:tc>
      </w:tr>
      <w:tr w14:paraId="7685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824" w:type="dxa"/>
            <w:vMerge w:val="continue"/>
            <w:noWrap w:val="0"/>
            <w:vAlign w:val="center"/>
          </w:tcPr>
          <w:p w14:paraId="5D7B167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498FA93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2329" w:type="dxa"/>
            <w:gridSpan w:val="3"/>
            <w:noWrap w:val="0"/>
            <w:vAlign w:val="center"/>
          </w:tcPr>
          <w:p w14:paraId="5009EA1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其他实质性条件</w:t>
            </w:r>
          </w:p>
        </w:tc>
        <w:tc>
          <w:tcPr>
            <w:tcW w:w="5954" w:type="dxa"/>
            <w:gridSpan w:val="2"/>
            <w:noWrap w:val="0"/>
            <w:vAlign w:val="center"/>
          </w:tcPr>
          <w:p w14:paraId="22D4D26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实质性响应磋商文件中标注★条款内容</w:t>
            </w:r>
          </w:p>
        </w:tc>
      </w:tr>
      <w:tr w14:paraId="393B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786" w:hRule="atLeast"/>
          <w:jc w:val="center"/>
        </w:trPr>
        <w:tc>
          <w:tcPr>
            <w:tcW w:w="824" w:type="dxa"/>
            <w:noWrap w:val="0"/>
            <w:vAlign w:val="center"/>
          </w:tcPr>
          <w:p w14:paraId="68281A1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Theme="minorEastAsia"/>
                <w:color w:val="auto"/>
                <w:spacing w:val="0"/>
                <w:sz w:val="21"/>
                <w:szCs w:val="21"/>
                <w:highlight w:val="none"/>
                <w:lang w:val="en-US" w:eastAsia="zh-CN"/>
              </w:rPr>
            </w:pPr>
            <w:r>
              <w:rPr>
                <w:rFonts w:hint="eastAsia" w:ascii="宋体" w:hAnsi="宋体"/>
                <w:color w:val="auto"/>
                <w:spacing w:val="0"/>
                <w:sz w:val="21"/>
                <w:szCs w:val="21"/>
                <w:highlight w:val="none"/>
              </w:rPr>
              <w:t>2.2</w:t>
            </w:r>
            <w:r>
              <w:rPr>
                <w:rFonts w:hint="eastAsia" w:ascii="宋体" w:hAnsi="宋体"/>
                <w:color w:val="auto"/>
                <w:spacing w:val="0"/>
                <w:sz w:val="21"/>
                <w:szCs w:val="21"/>
                <w:highlight w:val="none"/>
                <w:lang w:val="en-US" w:eastAsia="zh-CN"/>
              </w:rPr>
              <w:t>.1</w:t>
            </w:r>
          </w:p>
        </w:tc>
        <w:tc>
          <w:tcPr>
            <w:tcW w:w="1172" w:type="dxa"/>
            <w:noWrap w:val="0"/>
            <w:vAlign w:val="center"/>
          </w:tcPr>
          <w:p w14:paraId="5CF6634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Theme="minorEastAsia"/>
                <w:color w:val="auto"/>
                <w:spacing w:val="0"/>
                <w:sz w:val="21"/>
                <w:szCs w:val="21"/>
                <w:highlight w:val="none"/>
                <w:lang w:val="en-US" w:eastAsia="zh-CN"/>
              </w:rPr>
            </w:pPr>
            <w:r>
              <w:rPr>
                <w:rFonts w:hint="eastAsia" w:ascii="宋体" w:hAnsi="宋体"/>
                <w:color w:val="auto"/>
                <w:spacing w:val="0"/>
                <w:sz w:val="21"/>
                <w:szCs w:val="21"/>
                <w:highlight w:val="none"/>
                <w:lang w:val="en-US" w:eastAsia="zh-CN"/>
              </w:rPr>
              <w:t>分值构成</w:t>
            </w:r>
          </w:p>
        </w:tc>
        <w:tc>
          <w:tcPr>
            <w:tcW w:w="2329" w:type="dxa"/>
            <w:gridSpan w:val="3"/>
            <w:noWrap w:val="0"/>
            <w:vAlign w:val="center"/>
          </w:tcPr>
          <w:p w14:paraId="4F756E8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cs="宋体" w:eastAsiaTheme="minorEastAsia"/>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满分100分</w:t>
            </w:r>
          </w:p>
        </w:tc>
        <w:tc>
          <w:tcPr>
            <w:tcW w:w="5954" w:type="dxa"/>
            <w:gridSpan w:val="2"/>
            <w:noWrap w:val="0"/>
            <w:vAlign w:val="center"/>
          </w:tcPr>
          <w:p w14:paraId="6AD554E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Theme="minorEastAsia"/>
                <w:b/>
                <w:color w:val="auto"/>
                <w:spacing w:val="0"/>
                <w:sz w:val="21"/>
                <w:szCs w:val="21"/>
                <w:highlight w:val="none"/>
                <w:lang w:val="en-US" w:eastAsia="zh-CN"/>
              </w:rPr>
            </w:pPr>
            <w:r>
              <w:rPr>
                <w:rFonts w:ascii="宋体" w:hAnsi="宋体"/>
                <w:b/>
                <w:color w:val="auto"/>
                <w:spacing w:val="0"/>
                <w:sz w:val="21"/>
                <w:szCs w:val="21"/>
                <w:highlight w:val="none"/>
              </w:rPr>
              <w:t>供应商的</w:t>
            </w:r>
            <w:r>
              <w:rPr>
                <w:rFonts w:hint="eastAsia" w:ascii="宋体" w:hAnsi="宋体"/>
                <w:b/>
                <w:color w:val="auto"/>
                <w:spacing w:val="0"/>
                <w:sz w:val="21"/>
                <w:szCs w:val="21"/>
                <w:highlight w:val="none"/>
                <w:lang w:val="en-US" w:eastAsia="zh-CN"/>
              </w:rPr>
              <w:t>评审</w:t>
            </w:r>
            <w:r>
              <w:rPr>
                <w:rFonts w:ascii="宋体" w:hAnsi="宋体"/>
                <w:b/>
                <w:color w:val="auto"/>
                <w:spacing w:val="0"/>
                <w:sz w:val="21"/>
                <w:szCs w:val="21"/>
                <w:highlight w:val="none"/>
              </w:rPr>
              <w:t>总得分</w:t>
            </w:r>
            <w:r>
              <w:rPr>
                <w:rFonts w:hint="eastAsia" w:ascii="宋体" w:hAnsi="宋体"/>
                <w:b/>
                <w:color w:val="auto"/>
                <w:spacing w:val="0"/>
                <w:sz w:val="21"/>
                <w:szCs w:val="21"/>
                <w:highlight w:val="none"/>
              </w:rPr>
              <w:t>=</w:t>
            </w:r>
            <w:r>
              <w:rPr>
                <w:rFonts w:ascii="宋体" w:hAnsi="宋体"/>
                <w:color w:val="auto"/>
                <w:spacing w:val="0"/>
                <w:sz w:val="21"/>
                <w:szCs w:val="21"/>
                <w:highlight w:val="none"/>
              </w:rPr>
              <w:t xml:space="preserve"> F1</w:t>
            </w:r>
            <w:r>
              <w:rPr>
                <w:rFonts w:hint="eastAsia" w:ascii="宋体" w:hAnsi="宋体"/>
                <w:color w:val="auto"/>
                <w:spacing w:val="0"/>
                <w:sz w:val="21"/>
                <w:szCs w:val="21"/>
                <w:highlight w:val="none"/>
              </w:rPr>
              <w:t>+</w:t>
            </w:r>
            <w:r>
              <w:rPr>
                <w:rFonts w:ascii="宋体" w:hAnsi="宋体"/>
                <w:color w:val="auto"/>
                <w:spacing w:val="0"/>
                <w:sz w:val="21"/>
                <w:szCs w:val="21"/>
                <w:highlight w:val="none"/>
              </w:rPr>
              <w:t>F2</w:t>
            </w:r>
            <w:r>
              <w:rPr>
                <w:rFonts w:hint="eastAsia" w:ascii="宋体" w:hAnsi="宋体"/>
                <w:color w:val="auto"/>
                <w:spacing w:val="0"/>
                <w:sz w:val="21"/>
                <w:szCs w:val="21"/>
                <w:highlight w:val="none"/>
                <w:lang w:val="en-US" w:eastAsia="zh-CN"/>
              </w:rPr>
              <w:t>+F3</w:t>
            </w:r>
          </w:p>
          <w:p w14:paraId="70EFBB3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ascii="宋体" w:hAnsi="宋体"/>
                <w:color w:val="auto"/>
                <w:spacing w:val="0"/>
                <w:sz w:val="21"/>
                <w:szCs w:val="21"/>
                <w:highlight w:val="none"/>
              </w:rPr>
              <w:t>F1、F2</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lang w:val="en-US" w:eastAsia="zh-CN"/>
              </w:rPr>
              <w:t>F3</w:t>
            </w:r>
            <w:r>
              <w:rPr>
                <w:rFonts w:ascii="宋体" w:hAnsi="宋体"/>
                <w:color w:val="auto"/>
                <w:spacing w:val="0"/>
                <w:sz w:val="21"/>
                <w:szCs w:val="21"/>
                <w:highlight w:val="none"/>
              </w:rPr>
              <w:t>分别为</w:t>
            </w:r>
            <w:r>
              <w:rPr>
                <w:rFonts w:hint="eastAsia" w:ascii="宋体" w:hAnsi="宋体"/>
                <w:color w:val="auto"/>
                <w:spacing w:val="0"/>
                <w:sz w:val="21"/>
                <w:szCs w:val="21"/>
                <w:highlight w:val="none"/>
                <w:lang w:val="en-US" w:eastAsia="zh-CN"/>
              </w:rPr>
              <w:t>磋商</w:t>
            </w:r>
            <w:r>
              <w:rPr>
                <w:rFonts w:ascii="宋体" w:hAnsi="宋体"/>
                <w:color w:val="auto"/>
                <w:spacing w:val="0"/>
                <w:sz w:val="21"/>
                <w:szCs w:val="21"/>
                <w:highlight w:val="none"/>
              </w:rPr>
              <w:t>报价、技术</w:t>
            </w:r>
            <w:r>
              <w:rPr>
                <w:rFonts w:hint="eastAsia" w:ascii="宋体" w:hAnsi="宋体"/>
                <w:color w:val="auto"/>
                <w:spacing w:val="0"/>
                <w:sz w:val="21"/>
                <w:szCs w:val="21"/>
                <w:highlight w:val="none"/>
                <w:lang w:eastAsia="zh-CN"/>
              </w:rPr>
              <w:t>、</w:t>
            </w:r>
            <w:r>
              <w:rPr>
                <w:rFonts w:hint="eastAsia" w:ascii="宋体" w:hAnsi="宋体"/>
                <w:color w:val="auto"/>
                <w:spacing w:val="0"/>
                <w:sz w:val="21"/>
                <w:szCs w:val="21"/>
                <w:highlight w:val="none"/>
              </w:rPr>
              <w:t>商务部分</w:t>
            </w:r>
            <w:r>
              <w:rPr>
                <w:rFonts w:hint="eastAsia" w:ascii="宋体" w:hAnsi="宋体"/>
                <w:color w:val="auto"/>
                <w:spacing w:val="0"/>
                <w:sz w:val="21"/>
                <w:szCs w:val="21"/>
                <w:highlight w:val="none"/>
                <w:lang w:val="en-US" w:eastAsia="zh-CN"/>
              </w:rPr>
              <w:t>3</w:t>
            </w:r>
            <w:r>
              <w:rPr>
                <w:rFonts w:ascii="宋体" w:hAnsi="宋体"/>
                <w:color w:val="auto"/>
                <w:spacing w:val="0"/>
                <w:sz w:val="21"/>
                <w:szCs w:val="21"/>
                <w:highlight w:val="none"/>
              </w:rPr>
              <w:t>项评分因素的汇总得分；</w:t>
            </w:r>
          </w:p>
          <w:p w14:paraId="740C294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Theme="minorEastAsia"/>
                <w:color w:val="auto"/>
                <w:spacing w:val="0"/>
                <w:sz w:val="21"/>
                <w:szCs w:val="21"/>
                <w:highlight w:val="none"/>
                <w:lang w:eastAsia="zh-CN"/>
              </w:rPr>
            </w:pPr>
            <w:r>
              <w:rPr>
                <w:rFonts w:hint="eastAsia" w:ascii="宋体" w:hAnsi="宋体"/>
                <w:color w:val="auto"/>
                <w:spacing w:val="0"/>
                <w:sz w:val="21"/>
                <w:szCs w:val="21"/>
                <w:highlight w:val="none"/>
              </w:rPr>
              <w:t>磋商</w:t>
            </w:r>
            <w:r>
              <w:rPr>
                <w:rFonts w:ascii="宋体" w:hAnsi="宋体"/>
                <w:color w:val="auto"/>
                <w:spacing w:val="0"/>
                <w:sz w:val="21"/>
                <w:szCs w:val="21"/>
                <w:highlight w:val="none"/>
              </w:rPr>
              <w:t>报价F1：</w:t>
            </w:r>
            <w:r>
              <w:rPr>
                <w:rFonts w:hint="eastAsia" w:ascii="宋体" w:hAnsi="宋体"/>
                <w:color w:val="auto"/>
                <w:spacing w:val="0"/>
                <w:sz w:val="21"/>
                <w:szCs w:val="21"/>
                <w:highlight w:val="none"/>
              </w:rPr>
              <w:t>分值</w:t>
            </w:r>
            <w:r>
              <w:rPr>
                <w:rFonts w:hint="eastAsia" w:ascii="宋体" w:hAnsi="宋体"/>
                <w:color w:val="auto"/>
                <w:spacing w:val="0"/>
                <w:sz w:val="21"/>
                <w:szCs w:val="21"/>
                <w:highlight w:val="none"/>
                <w:lang w:val="en-US" w:eastAsia="zh-CN"/>
              </w:rPr>
              <w:t>总分</w:t>
            </w:r>
            <w:r>
              <w:rPr>
                <w:rFonts w:ascii="宋体" w:hAnsi="宋体"/>
                <w:color w:val="auto"/>
                <w:spacing w:val="0"/>
                <w:sz w:val="21"/>
                <w:szCs w:val="21"/>
                <w:highlight w:val="none"/>
              </w:rPr>
              <w:t>为</w:t>
            </w:r>
            <w:r>
              <w:rPr>
                <w:rFonts w:hint="eastAsia" w:ascii="宋体" w:hAnsi="宋体"/>
                <w:color w:val="auto"/>
                <w:spacing w:val="0"/>
                <w:sz w:val="21"/>
                <w:szCs w:val="21"/>
                <w:highlight w:val="none"/>
                <w:lang w:val="en-US" w:eastAsia="zh-CN"/>
              </w:rPr>
              <w:t>1</w:t>
            </w:r>
            <w:r>
              <w:rPr>
                <w:rFonts w:hint="eastAsia" w:ascii="宋体" w:hAnsi="宋体"/>
                <w:color w:val="auto"/>
                <w:spacing w:val="0"/>
                <w:sz w:val="21"/>
                <w:szCs w:val="21"/>
                <w:highlight w:val="none"/>
              </w:rPr>
              <w:t>0分</w:t>
            </w:r>
            <w:r>
              <w:rPr>
                <w:rFonts w:hint="eastAsia" w:ascii="宋体" w:hAnsi="宋体"/>
                <w:color w:val="auto"/>
                <w:spacing w:val="0"/>
                <w:sz w:val="21"/>
                <w:szCs w:val="21"/>
                <w:highlight w:val="none"/>
                <w:lang w:eastAsia="zh-CN"/>
              </w:rPr>
              <w:t>；</w:t>
            </w:r>
          </w:p>
          <w:p w14:paraId="0F9412A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Theme="minorEastAsia"/>
                <w:color w:val="auto"/>
                <w:spacing w:val="0"/>
                <w:sz w:val="21"/>
                <w:szCs w:val="21"/>
                <w:highlight w:val="none"/>
                <w:lang w:eastAsia="zh-CN"/>
              </w:rPr>
            </w:pPr>
            <w:r>
              <w:rPr>
                <w:rFonts w:ascii="宋体" w:hAnsi="宋体"/>
                <w:color w:val="auto"/>
                <w:spacing w:val="0"/>
                <w:sz w:val="21"/>
                <w:szCs w:val="21"/>
                <w:highlight w:val="none"/>
              </w:rPr>
              <w:t>技术</w:t>
            </w:r>
            <w:r>
              <w:rPr>
                <w:rFonts w:hint="eastAsia" w:ascii="宋体" w:hAnsi="宋体"/>
                <w:color w:val="auto"/>
                <w:spacing w:val="0"/>
                <w:sz w:val="21"/>
                <w:szCs w:val="21"/>
                <w:highlight w:val="none"/>
              </w:rPr>
              <w:t>部分</w:t>
            </w:r>
            <w:r>
              <w:rPr>
                <w:rFonts w:ascii="宋体" w:hAnsi="宋体"/>
                <w:color w:val="auto"/>
                <w:spacing w:val="0"/>
                <w:sz w:val="21"/>
                <w:szCs w:val="21"/>
                <w:highlight w:val="none"/>
              </w:rPr>
              <w:t>F</w:t>
            </w:r>
            <w:r>
              <w:rPr>
                <w:rFonts w:hint="eastAsia" w:ascii="宋体" w:hAnsi="宋体"/>
                <w:color w:val="auto"/>
                <w:spacing w:val="0"/>
                <w:sz w:val="21"/>
                <w:szCs w:val="21"/>
                <w:highlight w:val="none"/>
                <w:lang w:val="en-US" w:eastAsia="zh-CN"/>
              </w:rPr>
              <w:t>2</w:t>
            </w:r>
            <w:r>
              <w:rPr>
                <w:rFonts w:ascii="宋体" w:hAnsi="宋体"/>
                <w:color w:val="auto"/>
                <w:spacing w:val="0"/>
                <w:sz w:val="21"/>
                <w:szCs w:val="21"/>
                <w:highlight w:val="none"/>
              </w:rPr>
              <w:t>：</w:t>
            </w:r>
            <w:r>
              <w:rPr>
                <w:rFonts w:hint="eastAsia" w:ascii="宋体" w:hAnsi="宋体"/>
                <w:color w:val="auto"/>
                <w:spacing w:val="0"/>
                <w:sz w:val="21"/>
                <w:szCs w:val="21"/>
                <w:highlight w:val="none"/>
              </w:rPr>
              <w:t>分值</w:t>
            </w:r>
            <w:r>
              <w:rPr>
                <w:rFonts w:hint="eastAsia" w:ascii="宋体" w:hAnsi="宋体"/>
                <w:color w:val="auto"/>
                <w:spacing w:val="0"/>
                <w:sz w:val="21"/>
                <w:szCs w:val="21"/>
                <w:highlight w:val="none"/>
                <w:lang w:val="en-US" w:eastAsia="zh-CN"/>
              </w:rPr>
              <w:t>总分</w:t>
            </w:r>
            <w:r>
              <w:rPr>
                <w:rFonts w:ascii="宋体" w:hAnsi="宋体"/>
                <w:color w:val="auto"/>
                <w:spacing w:val="0"/>
                <w:sz w:val="21"/>
                <w:szCs w:val="21"/>
                <w:highlight w:val="none"/>
              </w:rPr>
              <w:t>为</w:t>
            </w:r>
            <w:r>
              <w:rPr>
                <w:rFonts w:hint="eastAsia" w:ascii="宋体" w:hAnsi="宋体"/>
                <w:color w:val="auto"/>
                <w:spacing w:val="0"/>
                <w:sz w:val="21"/>
                <w:szCs w:val="21"/>
                <w:highlight w:val="none"/>
                <w:lang w:val="en-US" w:eastAsia="zh-CN"/>
              </w:rPr>
              <w:t>70</w:t>
            </w:r>
            <w:r>
              <w:rPr>
                <w:rFonts w:hint="eastAsia" w:ascii="宋体" w:hAnsi="宋体"/>
                <w:color w:val="auto"/>
                <w:spacing w:val="0"/>
                <w:sz w:val="21"/>
                <w:szCs w:val="21"/>
                <w:highlight w:val="none"/>
              </w:rPr>
              <w:t>分</w:t>
            </w:r>
            <w:r>
              <w:rPr>
                <w:rFonts w:hint="eastAsia" w:ascii="宋体" w:hAnsi="宋体"/>
                <w:color w:val="auto"/>
                <w:spacing w:val="0"/>
                <w:sz w:val="21"/>
                <w:szCs w:val="21"/>
                <w:highlight w:val="none"/>
                <w:lang w:eastAsia="zh-CN"/>
              </w:rPr>
              <w:t>；</w:t>
            </w:r>
          </w:p>
          <w:p w14:paraId="362B9D4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商务部分</w:t>
            </w:r>
            <w:r>
              <w:rPr>
                <w:rFonts w:ascii="宋体" w:hAnsi="宋体"/>
                <w:color w:val="auto"/>
                <w:spacing w:val="0"/>
                <w:sz w:val="21"/>
                <w:szCs w:val="21"/>
                <w:highlight w:val="none"/>
              </w:rPr>
              <w:t>F</w:t>
            </w:r>
            <w:r>
              <w:rPr>
                <w:rFonts w:hint="eastAsia" w:ascii="宋体" w:hAnsi="宋体"/>
                <w:color w:val="auto"/>
                <w:spacing w:val="0"/>
                <w:sz w:val="21"/>
                <w:szCs w:val="21"/>
                <w:highlight w:val="none"/>
                <w:lang w:val="en-US" w:eastAsia="zh-CN"/>
              </w:rPr>
              <w:t>3</w:t>
            </w:r>
            <w:r>
              <w:rPr>
                <w:rFonts w:ascii="宋体" w:hAnsi="宋体"/>
                <w:color w:val="auto"/>
                <w:spacing w:val="0"/>
                <w:sz w:val="21"/>
                <w:szCs w:val="21"/>
                <w:highlight w:val="none"/>
              </w:rPr>
              <w:t>：</w:t>
            </w:r>
            <w:r>
              <w:rPr>
                <w:rFonts w:hint="eastAsia" w:ascii="宋体" w:hAnsi="宋体"/>
                <w:color w:val="auto"/>
                <w:spacing w:val="0"/>
                <w:sz w:val="21"/>
                <w:szCs w:val="21"/>
                <w:highlight w:val="none"/>
              </w:rPr>
              <w:t>分值</w:t>
            </w:r>
            <w:r>
              <w:rPr>
                <w:rFonts w:hint="eastAsia" w:ascii="宋体" w:hAnsi="宋体"/>
                <w:color w:val="auto"/>
                <w:spacing w:val="0"/>
                <w:sz w:val="21"/>
                <w:szCs w:val="21"/>
                <w:highlight w:val="none"/>
                <w:lang w:val="en-US" w:eastAsia="zh-CN"/>
              </w:rPr>
              <w:t>总分</w:t>
            </w:r>
            <w:r>
              <w:rPr>
                <w:rFonts w:ascii="宋体" w:hAnsi="宋体"/>
                <w:color w:val="auto"/>
                <w:spacing w:val="0"/>
                <w:sz w:val="21"/>
                <w:szCs w:val="21"/>
                <w:highlight w:val="none"/>
              </w:rPr>
              <w:t>为</w:t>
            </w:r>
            <w:r>
              <w:rPr>
                <w:rFonts w:hint="eastAsia" w:ascii="宋体" w:hAnsi="宋体"/>
                <w:color w:val="auto"/>
                <w:spacing w:val="0"/>
                <w:sz w:val="21"/>
                <w:szCs w:val="21"/>
                <w:highlight w:val="none"/>
                <w:lang w:val="en-US" w:eastAsia="zh-CN"/>
              </w:rPr>
              <w:t>20</w:t>
            </w:r>
            <w:r>
              <w:rPr>
                <w:rFonts w:hint="eastAsia" w:ascii="宋体" w:hAnsi="宋体"/>
                <w:color w:val="auto"/>
                <w:spacing w:val="0"/>
                <w:sz w:val="21"/>
                <w:szCs w:val="21"/>
                <w:highlight w:val="none"/>
              </w:rPr>
              <w:t>分</w:t>
            </w:r>
            <w:r>
              <w:rPr>
                <w:rFonts w:ascii="宋体" w:hAnsi="宋体"/>
                <w:color w:val="auto"/>
                <w:spacing w:val="0"/>
                <w:sz w:val="21"/>
                <w:szCs w:val="21"/>
                <w:highlight w:val="none"/>
              </w:rPr>
              <w:t>。</w:t>
            </w:r>
          </w:p>
        </w:tc>
      </w:tr>
      <w:tr w14:paraId="247A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64" w:hRule="atLeast"/>
          <w:jc w:val="center"/>
        </w:trPr>
        <w:tc>
          <w:tcPr>
            <w:tcW w:w="824" w:type="dxa"/>
            <w:noWrap w:val="0"/>
            <w:vAlign w:val="center"/>
          </w:tcPr>
          <w:p w14:paraId="25F005B4">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Theme="minorEastAsia"/>
                <w:color w:val="auto"/>
                <w:spacing w:val="0"/>
                <w:sz w:val="21"/>
                <w:szCs w:val="21"/>
                <w:highlight w:val="none"/>
                <w:lang w:val="en-US" w:eastAsia="zh-CN"/>
              </w:rPr>
            </w:pPr>
            <w:r>
              <w:rPr>
                <w:rFonts w:hint="eastAsia" w:ascii="宋体" w:hAnsi="宋体"/>
                <w:color w:val="auto"/>
                <w:spacing w:val="0"/>
                <w:sz w:val="21"/>
                <w:szCs w:val="21"/>
                <w:highlight w:val="none"/>
                <w:lang w:val="en-US" w:eastAsia="zh-CN"/>
              </w:rPr>
              <w:t>2.2.2</w:t>
            </w:r>
          </w:p>
        </w:tc>
        <w:tc>
          <w:tcPr>
            <w:tcW w:w="1172" w:type="dxa"/>
            <w:noWrap w:val="0"/>
            <w:vAlign w:val="center"/>
          </w:tcPr>
          <w:p w14:paraId="4336B4C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olor w:val="auto"/>
                <w:spacing w:val="0"/>
                <w:sz w:val="21"/>
                <w:szCs w:val="21"/>
                <w:highlight w:val="none"/>
                <w:lang w:val="en-US" w:eastAsia="zh-CN"/>
              </w:rPr>
            </w:pPr>
            <w:r>
              <w:rPr>
                <w:rFonts w:hAnsi="宋体"/>
                <w:color w:val="auto"/>
                <w:sz w:val="21"/>
                <w:szCs w:val="21"/>
                <w:highlight w:val="none"/>
              </w:rPr>
              <w:t>基准价计算方法</w:t>
            </w:r>
          </w:p>
        </w:tc>
        <w:tc>
          <w:tcPr>
            <w:tcW w:w="2329" w:type="dxa"/>
            <w:gridSpan w:val="3"/>
            <w:noWrap w:val="0"/>
            <w:vAlign w:val="center"/>
          </w:tcPr>
          <w:p w14:paraId="11E05EB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color w:val="auto"/>
                <w:spacing w:val="0"/>
                <w:sz w:val="21"/>
                <w:szCs w:val="21"/>
                <w:highlight w:val="none"/>
                <w:lang w:val="en-US" w:eastAsia="zh-CN"/>
              </w:rPr>
            </w:pPr>
            <w:r>
              <w:rPr>
                <w:rFonts w:hint="eastAsia" w:ascii="宋体" w:hAnsi="宋体"/>
                <w:color w:val="auto"/>
                <w:spacing w:val="0"/>
                <w:sz w:val="21"/>
                <w:szCs w:val="21"/>
                <w:highlight w:val="none"/>
              </w:rPr>
              <w:t>磋商基准价</w:t>
            </w:r>
          </w:p>
        </w:tc>
        <w:tc>
          <w:tcPr>
            <w:tcW w:w="5954" w:type="dxa"/>
            <w:gridSpan w:val="2"/>
            <w:noWrap w:val="0"/>
            <w:vAlign w:val="center"/>
          </w:tcPr>
          <w:p w14:paraId="1806BDA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满足磋商文件要求且最终磋商报价最低的有效磋商报价。</w:t>
            </w:r>
          </w:p>
        </w:tc>
      </w:tr>
      <w:tr w14:paraId="028B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64" w:hRule="atLeast"/>
          <w:jc w:val="center"/>
        </w:trPr>
        <w:tc>
          <w:tcPr>
            <w:tcW w:w="1996" w:type="dxa"/>
            <w:gridSpan w:val="2"/>
            <w:noWrap w:val="0"/>
            <w:vAlign w:val="center"/>
          </w:tcPr>
          <w:p w14:paraId="746DF6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hAnsi="宋体" w:eastAsiaTheme="minorEastAsia"/>
                <w:color w:val="auto"/>
                <w:sz w:val="21"/>
                <w:szCs w:val="21"/>
                <w:highlight w:val="none"/>
                <w:lang w:val="en-US" w:eastAsia="zh-CN"/>
              </w:rPr>
            </w:pPr>
            <w:r>
              <w:rPr>
                <w:rFonts w:hint="eastAsia" w:hAnsi="宋体"/>
                <w:b/>
                <w:bCs/>
                <w:color w:val="auto"/>
                <w:sz w:val="21"/>
                <w:szCs w:val="21"/>
                <w:highlight w:val="none"/>
                <w:lang w:val="en-US" w:eastAsia="zh-CN"/>
              </w:rPr>
              <w:t>条款号</w:t>
            </w:r>
          </w:p>
        </w:tc>
        <w:tc>
          <w:tcPr>
            <w:tcW w:w="1512" w:type="dxa"/>
            <w:shd w:val="clear" w:color="auto" w:fill="auto"/>
            <w:noWrap w:val="0"/>
            <w:vAlign w:val="center"/>
          </w:tcPr>
          <w:p w14:paraId="5CE14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Theme="minorEastAsia" w:cstheme="minorBidi"/>
                <w:b/>
                <w:bCs/>
                <w:color w:val="auto"/>
                <w:spacing w:val="0"/>
                <w:kern w:val="2"/>
                <w:sz w:val="21"/>
                <w:szCs w:val="21"/>
                <w:highlight w:val="none"/>
                <w:lang w:val="en-US" w:eastAsia="zh-CN" w:bidi="ar-SA"/>
              </w:rPr>
            </w:pPr>
            <w:r>
              <w:rPr>
                <w:rFonts w:hint="eastAsia" w:ascii="宋体" w:hAnsi="宋体"/>
                <w:b/>
                <w:bCs/>
                <w:color w:val="auto"/>
                <w:spacing w:val="0"/>
                <w:sz w:val="21"/>
                <w:szCs w:val="21"/>
                <w:highlight w:val="none"/>
                <w:lang w:val="en-US" w:eastAsia="zh-CN"/>
              </w:rPr>
              <w:t>评审内容</w:t>
            </w:r>
          </w:p>
        </w:tc>
        <w:tc>
          <w:tcPr>
            <w:tcW w:w="817" w:type="dxa"/>
            <w:gridSpan w:val="2"/>
            <w:shd w:val="clear" w:color="auto" w:fill="auto"/>
            <w:noWrap w:val="0"/>
            <w:vAlign w:val="center"/>
          </w:tcPr>
          <w:p w14:paraId="1CE0D31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eastAsiaTheme="minorEastAsia"/>
                <w:b/>
                <w:bCs/>
                <w:color w:val="auto"/>
                <w:spacing w:val="0"/>
                <w:kern w:val="2"/>
                <w:sz w:val="21"/>
                <w:szCs w:val="21"/>
                <w:highlight w:val="none"/>
                <w:lang w:val="en-US" w:eastAsia="zh-CN" w:bidi="ar-SA"/>
              </w:rPr>
            </w:pPr>
            <w:r>
              <w:rPr>
                <w:rFonts w:hint="eastAsia" w:ascii="宋体" w:hAnsi="宋体" w:cs="宋体"/>
                <w:b/>
                <w:bCs/>
                <w:color w:val="auto"/>
                <w:spacing w:val="0"/>
                <w:sz w:val="21"/>
                <w:szCs w:val="21"/>
                <w:highlight w:val="none"/>
                <w:lang w:val="en-US" w:eastAsia="zh-CN"/>
              </w:rPr>
              <w:t>分值</w:t>
            </w:r>
          </w:p>
        </w:tc>
        <w:tc>
          <w:tcPr>
            <w:tcW w:w="5954" w:type="dxa"/>
            <w:gridSpan w:val="2"/>
            <w:shd w:val="clear" w:color="auto" w:fill="auto"/>
            <w:noWrap w:val="0"/>
            <w:vAlign w:val="center"/>
          </w:tcPr>
          <w:p w14:paraId="0E5D1FE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Theme="minorEastAsia" w:cstheme="minorBidi"/>
                <w:b/>
                <w:bCs/>
                <w:color w:val="auto"/>
                <w:spacing w:val="0"/>
                <w:kern w:val="2"/>
                <w:sz w:val="21"/>
                <w:szCs w:val="21"/>
                <w:highlight w:val="none"/>
                <w:lang w:val="en-US" w:eastAsia="zh-CN" w:bidi="ar-SA"/>
              </w:rPr>
            </w:pPr>
            <w:r>
              <w:rPr>
                <w:rFonts w:hint="eastAsia" w:ascii="宋体" w:hAnsi="宋体"/>
                <w:b/>
                <w:bCs/>
                <w:color w:val="auto"/>
                <w:spacing w:val="0"/>
                <w:sz w:val="21"/>
                <w:szCs w:val="21"/>
                <w:highlight w:val="none"/>
                <w:lang w:val="en-US" w:eastAsia="zh-CN"/>
              </w:rPr>
              <w:t>评分标准</w:t>
            </w:r>
          </w:p>
        </w:tc>
      </w:tr>
      <w:tr w14:paraId="485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55" w:hRule="atLeast"/>
          <w:jc w:val="center"/>
        </w:trPr>
        <w:tc>
          <w:tcPr>
            <w:tcW w:w="824" w:type="dxa"/>
            <w:noWrap w:val="0"/>
            <w:vAlign w:val="center"/>
          </w:tcPr>
          <w:p w14:paraId="0D5656F9">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Theme="minorEastAsia"/>
                <w:color w:val="auto"/>
                <w:spacing w:val="0"/>
                <w:sz w:val="21"/>
                <w:szCs w:val="21"/>
                <w:highlight w:val="none"/>
                <w:lang w:val="en-US" w:eastAsia="zh-CN"/>
              </w:rPr>
            </w:pPr>
            <w:r>
              <w:rPr>
                <w:rFonts w:hint="eastAsia" w:ascii="宋体" w:hAnsi="宋体"/>
                <w:color w:val="auto"/>
                <w:spacing w:val="0"/>
                <w:sz w:val="21"/>
                <w:szCs w:val="21"/>
                <w:highlight w:val="none"/>
                <w:lang w:val="en-US" w:eastAsia="zh-CN"/>
              </w:rPr>
              <w:t>2.2.3（1）</w:t>
            </w:r>
          </w:p>
        </w:tc>
        <w:tc>
          <w:tcPr>
            <w:tcW w:w="1172" w:type="dxa"/>
            <w:noWrap w:val="0"/>
            <w:vAlign w:val="center"/>
          </w:tcPr>
          <w:p w14:paraId="2F9132A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Theme="minorEastAsia"/>
                <w:color w:val="auto"/>
                <w:spacing w:val="0"/>
                <w:sz w:val="21"/>
                <w:szCs w:val="21"/>
                <w:highlight w:val="none"/>
                <w:lang w:val="en-US" w:eastAsia="zh-CN"/>
              </w:rPr>
            </w:pPr>
            <w:r>
              <w:rPr>
                <w:rFonts w:hint="default" w:ascii="宋体" w:hAnsi="宋体" w:eastAsiaTheme="minorEastAsia"/>
                <w:color w:val="auto"/>
                <w:spacing w:val="0"/>
                <w:sz w:val="21"/>
                <w:szCs w:val="21"/>
                <w:highlight w:val="none"/>
                <w:lang w:val="en-US" w:eastAsia="zh-CN"/>
              </w:rPr>
              <w:t>磋商报价F1评分标准</w:t>
            </w:r>
          </w:p>
        </w:tc>
        <w:tc>
          <w:tcPr>
            <w:tcW w:w="1512" w:type="dxa"/>
            <w:shd w:val="clear" w:color="auto" w:fill="auto"/>
            <w:noWrap w:val="0"/>
            <w:vAlign w:val="center"/>
          </w:tcPr>
          <w:p w14:paraId="247F3A1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eastAsiaTheme="minorEastAsia"/>
                <w:color w:val="auto"/>
                <w:spacing w:val="0"/>
                <w:kern w:val="2"/>
                <w:sz w:val="21"/>
                <w:szCs w:val="21"/>
                <w:highlight w:val="none"/>
                <w:lang w:val="en-US" w:eastAsia="zh-CN" w:bidi="ar-SA"/>
              </w:rPr>
            </w:pPr>
            <w:r>
              <w:rPr>
                <w:rFonts w:hint="eastAsia" w:ascii="宋体" w:hAnsi="宋体"/>
                <w:color w:val="auto"/>
                <w:spacing w:val="0"/>
                <w:sz w:val="21"/>
                <w:szCs w:val="21"/>
                <w:highlight w:val="none"/>
              </w:rPr>
              <w:t>磋商报价</w:t>
            </w:r>
            <w:r>
              <w:rPr>
                <w:rFonts w:hint="eastAsia" w:ascii="宋体" w:hAnsi="宋体"/>
                <w:color w:val="auto"/>
                <w:spacing w:val="0"/>
                <w:sz w:val="21"/>
                <w:szCs w:val="21"/>
                <w:highlight w:val="none"/>
                <w:lang w:val="en-US" w:eastAsia="zh-CN"/>
              </w:rPr>
              <w:t>评审</w:t>
            </w:r>
          </w:p>
        </w:tc>
        <w:tc>
          <w:tcPr>
            <w:tcW w:w="817" w:type="dxa"/>
            <w:gridSpan w:val="2"/>
            <w:shd w:val="clear" w:color="auto" w:fill="auto"/>
            <w:noWrap w:val="0"/>
            <w:vAlign w:val="center"/>
          </w:tcPr>
          <w:p w14:paraId="192BCDF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eastAsiaTheme="minorEastAsia"/>
                <w:color w:val="auto"/>
                <w:spacing w:val="0"/>
                <w:kern w:val="2"/>
                <w:sz w:val="21"/>
                <w:szCs w:val="21"/>
                <w:highlight w:val="none"/>
                <w:lang w:val="en-US" w:eastAsia="zh-CN" w:bidi="ar-SA"/>
              </w:rPr>
            </w:pPr>
            <w:r>
              <w:rPr>
                <w:rFonts w:hint="eastAsia" w:ascii="宋体" w:hAnsi="宋体" w:cs="宋体"/>
                <w:color w:val="auto"/>
                <w:spacing w:val="0"/>
                <w:sz w:val="21"/>
                <w:szCs w:val="21"/>
                <w:highlight w:val="none"/>
                <w:lang w:val="en-US" w:eastAsia="zh-CN"/>
              </w:rPr>
              <w:t>1</w:t>
            </w:r>
            <w:r>
              <w:rPr>
                <w:rFonts w:hint="eastAsia" w:ascii="宋体" w:hAnsi="宋体" w:cs="宋体"/>
                <w:color w:val="auto"/>
                <w:spacing w:val="0"/>
                <w:sz w:val="21"/>
                <w:szCs w:val="21"/>
                <w:highlight w:val="none"/>
              </w:rPr>
              <w:t>0</w:t>
            </w:r>
          </w:p>
        </w:tc>
        <w:tc>
          <w:tcPr>
            <w:tcW w:w="5954" w:type="dxa"/>
            <w:gridSpan w:val="2"/>
            <w:shd w:val="clear" w:color="auto" w:fill="auto"/>
            <w:noWrap w:val="0"/>
            <w:vAlign w:val="center"/>
          </w:tcPr>
          <w:p w14:paraId="5803536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磋商报价评分采用低价优先法计算，即通过实质性评审且最终报价最低的供应商的价格为磋商基准价，其报价分为满分。其他供应商的报价分统一按照下列公式计算：</w:t>
            </w:r>
          </w:p>
          <w:p w14:paraId="488AE3C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报价得分=（磋商基准价/最后磋商报价）×</w:t>
            </w:r>
            <w:r>
              <w:rPr>
                <w:rFonts w:hint="eastAsia" w:ascii="宋体" w:hAnsi="宋体"/>
                <w:color w:val="auto"/>
                <w:spacing w:val="0"/>
                <w:sz w:val="21"/>
                <w:szCs w:val="21"/>
                <w:highlight w:val="none"/>
                <w:lang w:val="en-US" w:eastAsia="zh-CN"/>
              </w:rPr>
              <w:t>1</w:t>
            </w:r>
            <w:r>
              <w:rPr>
                <w:rFonts w:hint="eastAsia" w:ascii="宋体" w:hAnsi="宋体"/>
                <w:color w:val="auto"/>
                <w:spacing w:val="0"/>
                <w:sz w:val="21"/>
                <w:szCs w:val="21"/>
                <w:highlight w:val="none"/>
              </w:rPr>
              <w:t>0</w:t>
            </w:r>
          </w:p>
          <w:p w14:paraId="2AD7088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即：F1=C/（B1，B2，…，Bn）×</w:t>
            </w:r>
            <w:r>
              <w:rPr>
                <w:rFonts w:hint="eastAsia" w:ascii="宋体" w:hAnsi="宋体"/>
                <w:color w:val="auto"/>
                <w:spacing w:val="0"/>
                <w:sz w:val="21"/>
                <w:szCs w:val="21"/>
                <w:highlight w:val="none"/>
                <w:lang w:val="en-US" w:eastAsia="zh-CN"/>
              </w:rPr>
              <w:t>1</w:t>
            </w:r>
            <w:r>
              <w:rPr>
                <w:rFonts w:hint="eastAsia" w:ascii="宋体" w:hAnsi="宋体"/>
                <w:color w:val="auto"/>
                <w:spacing w:val="0"/>
                <w:sz w:val="21"/>
                <w:szCs w:val="21"/>
                <w:highlight w:val="none"/>
              </w:rPr>
              <w:t>0</w:t>
            </w:r>
          </w:p>
          <w:p w14:paraId="565E698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pacing w:val="0"/>
                <w:sz w:val="21"/>
                <w:szCs w:val="21"/>
                <w:highlight w:val="none"/>
              </w:rPr>
            </w:pPr>
            <w:r>
              <w:rPr>
                <w:rFonts w:hint="eastAsia" w:ascii="宋体" w:hAnsi="宋体"/>
                <w:color w:val="auto"/>
                <w:spacing w:val="0"/>
                <w:sz w:val="21"/>
                <w:szCs w:val="21"/>
                <w:highlight w:val="none"/>
              </w:rPr>
              <w:t>注：</w:t>
            </w:r>
          </w:p>
          <w:p w14:paraId="55F0917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olor w:val="auto"/>
                <w:spacing w:val="0"/>
                <w:sz w:val="21"/>
                <w:szCs w:val="21"/>
                <w:highlight w:val="none"/>
                <w:lang w:val="en-US" w:eastAsia="zh-CN"/>
              </w:rPr>
            </w:pPr>
            <w:r>
              <w:rPr>
                <w:rFonts w:hint="eastAsia" w:ascii="宋体" w:hAnsi="宋体"/>
                <w:color w:val="auto"/>
                <w:spacing w:val="0"/>
                <w:sz w:val="21"/>
                <w:szCs w:val="21"/>
                <w:highlight w:val="none"/>
              </w:rPr>
              <w:t>1）C为基准价，即通过实质性评审且最终报价最低的供应商的价格为磋商基准价；</w:t>
            </w:r>
            <w:r>
              <w:rPr>
                <w:rFonts w:hint="eastAsia" w:ascii="宋体" w:hAnsi="宋体"/>
                <w:color w:val="auto"/>
                <w:spacing w:val="0"/>
                <w:sz w:val="21"/>
                <w:szCs w:val="21"/>
                <w:highlight w:val="none"/>
                <w:lang w:val="en-US" w:eastAsia="zh-CN"/>
              </w:rPr>
              <w:t>本项目以供应商的最后报价单价合价作为评审报价。</w:t>
            </w:r>
          </w:p>
          <w:p w14:paraId="6EB6418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Theme="minorHAnsi" w:hAnsiTheme="minorHAnsi" w:eastAsiaTheme="minorEastAsia" w:cstheme="minorBidi"/>
                <w:color w:val="auto"/>
                <w:spacing w:val="0"/>
                <w:kern w:val="2"/>
                <w:sz w:val="21"/>
                <w:szCs w:val="21"/>
                <w:highlight w:val="none"/>
                <w:lang w:val="en-US" w:eastAsia="zh-CN" w:bidi="ar-SA"/>
              </w:rPr>
            </w:pPr>
            <w:r>
              <w:rPr>
                <w:rFonts w:hint="eastAsia" w:ascii="宋体" w:hAnsi="宋体"/>
                <w:color w:val="auto"/>
                <w:spacing w:val="0"/>
                <w:sz w:val="21"/>
                <w:szCs w:val="21"/>
                <w:highlight w:val="none"/>
              </w:rPr>
              <w:t>2）B1，B2，…，Bn为第n个经实质性审查合格的最终报价。</w:t>
            </w:r>
            <w:r>
              <w:rPr>
                <w:rFonts w:hint="eastAsia" w:ascii="宋体" w:hAnsi="宋体"/>
                <w:color w:val="auto"/>
                <w:spacing w:val="0"/>
                <w:sz w:val="21"/>
                <w:szCs w:val="21"/>
                <w:highlight w:val="none"/>
                <w:lang w:val="en-US" w:eastAsia="zh-CN"/>
              </w:rPr>
              <w:t>注：注：本项目针对小型和微型企业产品或残疾人福利性单位产品的价格给予10%的扣除，用扣除后的价格参与评审，残疾人福利性单位属于小型、微型企业的，不重复享受政策。（监狱企业视同小型或微型企业）。接受大中型企业与小微企业组成联合体或者允许大中型企业向一家或者多家小微企业分包的采购项目，对于联合协议或者分包意向协议约定小微企业的合同份额占到合同总金额30%以上的，给予4%的扣除。</w:t>
            </w:r>
          </w:p>
        </w:tc>
      </w:tr>
      <w:tr w14:paraId="1F97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855" w:hRule="atLeast"/>
          <w:jc w:val="center"/>
        </w:trPr>
        <w:tc>
          <w:tcPr>
            <w:tcW w:w="1996" w:type="dxa"/>
            <w:gridSpan w:val="2"/>
            <w:noWrap w:val="0"/>
            <w:vAlign w:val="center"/>
          </w:tcPr>
          <w:p w14:paraId="40FE959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b/>
                <w:bCs/>
                <w:color w:val="auto"/>
                <w:spacing w:val="0"/>
                <w:sz w:val="21"/>
                <w:szCs w:val="21"/>
                <w:highlight w:val="none"/>
                <w:lang w:val="en-US"/>
              </w:rPr>
            </w:pPr>
            <w:r>
              <w:rPr>
                <w:rFonts w:hint="eastAsia" w:ascii="宋体" w:hAnsi="宋体"/>
                <w:b/>
                <w:bCs/>
                <w:color w:val="auto"/>
                <w:spacing w:val="0"/>
                <w:sz w:val="21"/>
                <w:szCs w:val="21"/>
                <w:highlight w:val="none"/>
                <w:lang w:val="en-US" w:eastAsia="zh-CN"/>
              </w:rPr>
              <w:t>条款号</w:t>
            </w:r>
          </w:p>
        </w:tc>
        <w:tc>
          <w:tcPr>
            <w:tcW w:w="1512" w:type="dxa"/>
            <w:shd w:val="clear" w:color="auto" w:fill="auto"/>
            <w:noWrap w:val="0"/>
            <w:vAlign w:val="center"/>
          </w:tcPr>
          <w:p w14:paraId="700D5B1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Theme="minorEastAsia"/>
                <w:b/>
                <w:bCs/>
                <w:color w:val="auto"/>
                <w:spacing w:val="0"/>
                <w:sz w:val="21"/>
                <w:szCs w:val="21"/>
                <w:highlight w:val="none"/>
                <w:lang w:val="en-US" w:eastAsia="zh-CN"/>
              </w:rPr>
            </w:pPr>
            <w:r>
              <w:rPr>
                <w:rFonts w:hint="eastAsia" w:ascii="宋体" w:hAnsi="宋体"/>
                <w:b/>
                <w:bCs/>
                <w:color w:val="auto"/>
                <w:spacing w:val="0"/>
                <w:sz w:val="21"/>
                <w:szCs w:val="21"/>
                <w:highlight w:val="none"/>
                <w:lang w:val="en-US" w:eastAsia="zh-CN"/>
              </w:rPr>
              <w:t>评审内容</w:t>
            </w:r>
          </w:p>
        </w:tc>
        <w:tc>
          <w:tcPr>
            <w:tcW w:w="817" w:type="dxa"/>
            <w:gridSpan w:val="2"/>
            <w:shd w:val="clear" w:color="auto" w:fill="auto"/>
            <w:noWrap w:val="0"/>
            <w:vAlign w:val="center"/>
          </w:tcPr>
          <w:p w14:paraId="18EC445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eastAsiaTheme="minorEastAsia"/>
                <w:b/>
                <w:bCs/>
                <w:color w:val="auto"/>
                <w:spacing w:val="0"/>
                <w:sz w:val="21"/>
                <w:szCs w:val="21"/>
                <w:highlight w:val="none"/>
                <w:lang w:val="en-US" w:eastAsia="zh-CN"/>
              </w:rPr>
            </w:pPr>
            <w:r>
              <w:rPr>
                <w:rFonts w:hint="eastAsia" w:ascii="宋体" w:hAnsi="宋体" w:cs="宋体"/>
                <w:b/>
                <w:bCs/>
                <w:color w:val="auto"/>
                <w:spacing w:val="0"/>
                <w:sz w:val="21"/>
                <w:szCs w:val="21"/>
                <w:highlight w:val="none"/>
                <w:lang w:val="en-US" w:eastAsia="zh-CN"/>
              </w:rPr>
              <w:t>分值</w:t>
            </w:r>
          </w:p>
        </w:tc>
        <w:tc>
          <w:tcPr>
            <w:tcW w:w="5954" w:type="dxa"/>
            <w:gridSpan w:val="2"/>
            <w:shd w:val="clear" w:color="auto" w:fill="auto"/>
            <w:noWrap w:val="0"/>
            <w:vAlign w:val="center"/>
          </w:tcPr>
          <w:p w14:paraId="7EC3364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Theme="minorEastAsia"/>
                <w:b/>
                <w:bCs/>
                <w:color w:val="auto"/>
                <w:spacing w:val="0"/>
                <w:sz w:val="21"/>
                <w:szCs w:val="21"/>
                <w:highlight w:val="none"/>
                <w:lang w:val="en-US" w:eastAsia="zh-CN"/>
              </w:rPr>
            </w:pPr>
            <w:r>
              <w:rPr>
                <w:rFonts w:hint="eastAsia" w:ascii="宋体" w:hAnsi="宋体"/>
                <w:b/>
                <w:bCs/>
                <w:color w:val="auto"/>
                <w:spacing w:val="0"/>
                <w:sz w:val="21"/>
                <w:szCs w:val="21"/>
                <w:highlight w:val="none"/>
                <w:lang w:val="en-US" w:eastAsia="zh-CN"/>
              </w:rPr>
              <w:t>评分标准</w:t>
            </w:r>
          </w:p>
        </w:tc>
      </w:tr>
      <w:tr w14:paraId="48A1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4" w:type="dxa"/>
            <w:vMerge w:val="restart"/>
            <w:noWrap w:val="0"/>
            <w:vAlign w:val="center"/>
          </w:tcPr>
          <w:p w14:paraId="481AA89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Theme="minorEastAsia"/>
                <w:color w:val="auto"/>
                <w:spacing w:val="0"/>
                <w:sz w:val="21"/>
                <w:szCs w:val="21"/>
                <w:highlight w:val="none"/>
                <w:lang w:val="en-US" w:eastAsia="zh-CN"/>
              </w:rPr>
            </w:pPr>
            <w:r>
              <w:rPr>
                <w:rFonts w:hint="eastAsia" w:ascii="宋体" w:hAnsi="宋体"/>
                <w:color w:val="auto"/>
                <w:spacing w:val="0"/>
                <w:sz w:val="21"/>
                <w:szCs w:val="21"/>
                <w:highlight w:val="none"/>
              </w:rPr>
              <w:t>2.2</w:t>
            </w:r>
            <w:r>
              <w:rPr>
                <w:rFonts w:hint="eastAsia" w:ascii="宋体" w:hAnsi="宋体"/>
                <w:color w:val="auto"/>
                <w:spacing w:val="0"/>
                <w:sz w:val="21"/>
                <w:szCs w:val="21"/>
                <w:highlight w:val="none"/>
                <w:lang w:val="en-US" w:eastAsia="zh-CN"/>
              </w:rPr>
              <w:t>.3（2）</w:t>
            </w:r>
          </w:p>
        </w:tc>
        <w:tc>
          <w:tcPr>
            <w:tcW w:w="1172" w:type="dxa"/>
            <w:vMerge w:val="restart"/>
            <w:noWrap w:val="0"/>
            <w:vAlign w:val="center"/>
          </w:tcPr>
          <w:p w14:paraId="26C2A89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pacing w:val="0"/>
                <w:sz w:val="21"/>
                <w:szCs w:val="21"/>
                <w:highlight w:val="none"/>
              </w:rPr>
            </w:pPr>
            <w:r>
              <w:rPr>
                <w:rFonts w:hint="eastAsia" w:ascii="宋体" w:hAnsi="宋体"/>
                <w:color w:val="auto"/>
                <w:spacing w:val="0"/>
                <w:sz w:val="21"/>
                <w:szCs w:val="21"/>
                <w:highlight w:val="none"/>
              </w:rPr>
              <w:t>技术部分F</w:t>
            </w:r>
            <w:r>
              <w:rPr>
                <w:rFonts w:hint="eastAsia" w:ascii="宋体" w:hAnsi="宋体"/>
                <w:color w:val="auto"/>
                <w:spacing w:val="0"/>
                <w:sz w:val="21"/>
                <w:szCs w:val="21"/>
                <w:highlight w:val="none"/>
                <w:lang w:val="en-US" w:eastAsia="zh-CN"/>
              </w:rPr>
              <w:t>2</w:t>
            </w:r>
            <w:r>
              <w:rPr>
                <w:rFonts w:hint="eastAsia" w:ascii="宋体" w:hAnsi="宋体"/>
                <w:color w:val="auto"/>
                <w:spacing w:val="0"/>
                <w:sz w:val="21"/>
                <w:szCs w:val="21"/>
                <w:highlight w:val="none"/>
              </w:rPr>
              <w:t>评审标准</w:t>
            </w:r>
          </w:p>
        </w:tc>
        <w:tc>
          <w:tcPr>
            <w:tcW w:w="1531" w:type="dxa"/>
            <w:gridSpan w:val="2"/>
            <w:noWrap w:val="0"/>
            <w:vAlign w:val="center"/>
          </w:tcPr>
          <w:p w14:paraId="1EE05FB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s="宋体"/>
                <w:color w:val="auto"/>
                <w:spacing w:val="0"/>
                <w:sz w:val="21"/>
                <w:szCs w:val="21"/>
                <w:highlight w:val="none"/>
                <w:shd w:val="clear" w:color="auto" w:fill="auto"/>
              </w:rPr>
            </w:pPr>
            <w:r>
              <w:rPr>
                <w:rFonts w:hint="eastAsia"/>
                <w:b/>
                <w:bCs/>
                <w:color w:val="auto"/>
                <w:spacing w:val="0"/>
                <w:highlight w:val="none"/>
                <w:lang w:val="en-US" w:eastAsia="zh-CN"/>
              </w:rPr>
              <w:t>1.</w:t>
            </w:r>
            <w:r>
              <w:rPr>
                <w:b/>
                <w:bCs/>
                <w:color w:val="auto"/>
                <w:spacing w:val="0"/>
                <w:highlight w:val="none"/>
              </w:rPr>
              <w:t>项目理解及需求分析评审评分</w:t>
            </w:r>
          </w:p>
        </w:tc>
        <w:tc>
          <w:tcPr>
            <w:tcW w:w="817" w:type="dxa"/>
            <w:gridSpan w:val="2"/>
            <w:noWrap w:val="0"/>
            <w:vAlign w:val="center"/>
          </w:tcPr>
          <w:p w14:paraId="13D933B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auto"/>
                <w:spacing w:val="0"/>
                <w:sz w:val="21"/>
                <w:szCs w:val="21"/>
                <w:highlight w:val="none"/>
                <w:shd w:val="clear" w:color="auto" w:fill="auto"/>
                <w:lang w:val="en-US" w:eastAsia="zh-CN"/>
              </w:rPr>
            </w:pPr>
            <w:r>
              <w:rPr>
                <w:rFonts w:hint="eastAsia" w:ascii="宋体" w:hAnsi="宋体" w:cs="宋体"/>
                <w:color w:val="auto"/>
                <w:spacing w:val="0"/>
                <w:sz w:val="21"/>
                <w:szCs w:val="21"/>
                <w:highlight w:val="none"/>
                <w:shd w:val="clear" w:color="auto" w:fill="auto"/>
                <w:lang w:val="en-US" w:eastAsia="zh-CN"/>
              </w:rPr>
              <w:t>15</w:t>
            </w:r>
          </w:p>
        </w:tc>
        <w:tc>
          <w:tcPr>
            <w:tcW w:w="5954" w:type="dxa"/>
            <w:gridSpan w:val="2"/>
            <w:noWrap w:val="0"/>
            <w:vAlign w:val="center"/>
          </w:tcPr>
          <w:p w14:paraId="79236BAD">
            <w:pPr>
              <w:kinsoku w:val="0"/>
              <w:autoSpaceDE w:val="0"/>
              <w:autoSpaceDN w:val="0"/>
              <w:adjustRightInd w:val="0"/>
              <w:snapToGrid w:val="0"/>
              <w:spacing w:line="360" w:lineRule="auto"/>
              <w:rPr>
                <w:rFonts w:hint="eastAsia" w:ascii="宋体" w:hAnsi="宋体" w:cs="宋体"/>
                <w:color w:val="auto"/>
                <w:highlight w:val="none"/>
              </w:rPr>
            </w:pPr>
            <w:r>
              <w:rPr>
                <w:rFonts w:hint="eastAsia" w:ascii="宋体" w:hAnsi="宋体" w:cs="宋体"/>
                <w:b/>
                <w:bCs/>
                <w:color w:val="auto"/>
                <w:highlight w:val="none"/>
              </w:rPr>
              <w:t>1、项目理解及分析（</w:t>
            </w:r>
            <w:r>
              <w:rPr>
                <w:rFonts w:hint="eastAsia" w:ascii="宋体" w:hAnsi="宋体" w:cs="宋体"/>
                <w:b/>
                <w:bCs/>
                <w:color w:val="auto"/>
                <w:highlight w:val="none"/>
                <w:lang w:val="en-US" w:eastAsia="zh-CN"/>
              </w:rPr>
              <w:t>15分</w:t>
            </w:r>
            <w:r>
              <w:rPr>
                <w:rFonts w:hint="eastAsia" w:ascii="宋体" w:hAnsi="宋体" w:cs="宋体"/>
                <w:b/>
                <w:bCs/>
                <w:color w:val="auto"/>
                <w:highlight w:val="none"/>
              </w:rPr>
              <w:t>）</w:t>
            </w:r>
          </w:p>
          <w:p w14:paraId="6C1C879D">
            <w:pPr>
              <w:kinsoku w:val="0"/>
              <w:autoSpaceDE w:val="0"/>
              <w:autoSpaceDN w:val="0"/>
              <w:adjustRightInd w:val="0"/>
              <w:snapToGrid w:val="0"/>
              <w:spacing w:line="360" w:lineRule="auto"/>
              <w:rPr>
                <w:rFonts w:hint="eastAsia" w:ascii="宋体" w:hAnsi="宋体" w:eastAsia="宋体" w:cs="宋体"/>
                <w:color w:val="auto"/>
                <w:szCs w:val="24"/>
                <w:highlight w:val="none"/>
              </w:rPr>
            </w:pPr>
            <w:r>
              <w:rPr>
                <w:rFonts w:hint="eastAsia" w:ascii="宋体" w:hAnsi="宋体" w:cs="宋体"/>
                <w:color w:val="auto"/>
                <w:highlight w:val="none"/>
                <w:lang w:val="en-US" w:eastAsia="zh-CN"/>
              </w:rPr>
              <w:t>包括但不限于</w:t>
            </w:r>
            <w:r>
              <w:rPr>
                <w:rFonts w:hint="eastAsia" w:ascii="宋体" w:hAnsi="宋体" w:cs="宋体"/>
                <w:color w:val="auto"/>
                <w:highlight w:val="none"/>
              </w:rPr>
              <w:t>：①项目背景</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实施意义分析；②政策标准规范解读；</w:t>
            </w:r>
            <w:r>
              <w:rPr>
                <w:rFonts w:hint="eastAsia" w:ascii="宋体" w:hAnsi="宋体" w:eastAsia="宋体" w:cs="宋体"/>
                <w:color w:val="auto"/>
                <w:szCs w:val="21"/>
                <w:highlight w:val="none"/>
                <w:lang w:val="en-US" w:eastAsia="zh-CN"/>
              </w:rPr>
              <w:t>③对本项目各项支持</w:t>
            </w:r>
            <w:r>
              <w:rPr>
                <w:rFonts w:hint="eastAsia" w:ascii="宋体" w:hAnsi="宋体" w:eastAsia="宋体" w:cs="宋体"/>
                <w:color w:val="auto"/>
                <w:szCs w:val="21"/>
                <w:highlight w:val="none"/>
                <w:lang w:eastAsia="zh-CN"/>
              </w:rPr>
              <w:t>服务需求的理解、分析和响应；</w:t>
            </w:r>
            <w:r>
              <w:rPr>
                <w:rFonts w:hint="eastAsia" w:ascii="宋体" w:hAnsi="宋体" w:eastAsia="宋体" w:cs="宋体"/>
                <w:color w:val="auto"/>
                <w:szCs w:val="21"/>
                <w:highlight w:val="none"/>
                <w:lang w:val="en-US" w:eastAsia="zh-CN"/>
              </w:rPr>
              <w:t>④对</w:t>
            </w:r>
            <w:r>
              <w:rPr>
                <w:rFonts w:hint="eastAsia" w:ascii="宋体" w:hAnsi="宋体" w:eastAsia="宋体" w:cs="宋体"/>
                <w:color w:val="auto"/>
                <w:szCs w:val="21"/>
                <w:highlight w:val="none"/>
              </w:rPr>
              <w:t>本项目目标</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重难点</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分</w:t>
            </w:r>
            <w:r>
              <w:rPr>
                <w:rFonts w:hint="eastAsia" w:ascii="宋体" w:hAnsi="宋体" w:eastAsia="宋体" w:cs="宋体"/>
                <w:color w:val="auto"/>
                <w:szCs w:val="24"/>
                <w:highlight w:val="none"/>
              </w:rPr>
              <w:t>析</w:t>
            </w:r>
            <w:r>
              <w:rPr>
                <w:rFonts w:hint="eastAsia" w:ascii="宋体" w:hAnsi="宋体" w:eastAsia="宋体" w:cs="宋体"/>
                <w:color w:val="auto"/>
                <w:szCs w:val="24"/>
                <w:highlight w:val="none"/>
                <w:lang w:eastAsia="zh-CN"/>
              </w:rPr>
              <w:t>；</w:t>
            </w:r>
            <w:r>
              <w:rPr>
                <w:rFonts w:hint="eastAsia" w:ascii="宋体" w:hAnsi="宋体" w:eastAsia="宋体" w:cs="宋体"/>
                <w:caps w:val="0"/>
                <w:smallCaps w:val="0"/>
                <w:color w:val="auto"/>
                <w:sz w:val="21"/>
                <w:szCs w:val="24"/>
                <w:highlight w:val="none"/>
                <w:lang w:val="en-US" w:eastAsia="zh-CN"/>
              </w:rPr>
              <w:t>⑤</w:t>
            </w:r>
            <w:r>
              <w:rPr>
                <w:rFonts w:hint="eastAsia" w:ascii="宋体" w:hAnsi="宋体" w:eastAsia="宋体" w:cs="宋体"/>
                <w:color w:val="auto"/>
                <w:szCs w:val="24"/>
                <w:highlight w:val="none"/>
                <w:lang w:val="en-US" w:eastAsia="zh-CN"/>
              </w:rPr>
              <w:t>针对</w:t>
            </w:r>
            <w:r>
              <w:rPr>
                <w:rFonts w:hint="eastAsia" w:ascii="宋体" w:hAnsi="宋体" w:eastAsia="宋体" w:cs="宋体"/>
                <w:caps w:val="0"/>
                <w:smallCaps w:val="0"/>
                <w:color w:val="auto"/>
                <w:sz w:val="21"/>
                <w:szCs w:val="24"/>
                <w:highlight w:val="none"/>
              </w:rPr>
              <w:t>项目存在的重点难点提供对应的解决方案</w:t>
            </w:r>
            <w:r>
              <w:rPr>
                <w:rFonts w:hint="eastAsia" w:ascii="宋体" w:hAnsi="宋体" w:eastAsia="宋体" w:cs="宋体"/>
                <w:color w:val="auto"/>
                <w:szCs w:val="24"/>
                <w:highlight w:val="none"/>
                <w:lang w:val="en-US" w:eastAsia="zh-CN"/>
              </w:rPr>
              <w:t>等内容</w:t>
            </w:r>
            <w:r>
              <w:rPr>
                <w:rFonts w:hint="eastAsia" w:ascii="宋体" w:hAnsi="宋体" w:eastAsia="宋体" w:cs="宋体"/>
                <w:color w:val="auto"/>
                <w:szCs w:val="24"/>
                <w:highlight w:val="none"/>
              </w:rPr>
              <w:t>。</w:t>
            </w:r>
          </w:p>
          <w:p w14:paraId="55CB70A8">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以上</w:t>
            </w:r>
            <w:r>
              <w:rPr>
                <w:rFonts w:hint="eastAsia" w:ascii="宋体" w:hAnsi="宋体" w:eastAsia="宋体" w:cs="宋体"/>
                <w:color w:val="auto"/>
                <w:highlight w:val="none"/>
                <w:lang w:eastAsia="zh-CN"/>
              </w:rPr>
              <w:t>4</w:t>
            </w:r>
            <w:r>
              <w:rPr>
                <w:rFonts w:hint="eastAsia" w:ascii="宋体" w:hAnsi="宋体" w:eastAsia="宋体" w:cs="宋体"/>
                <w:color w:val="auto"/>
                <w:highlight w:val="none"/>
              </w:rPr>
              <w:t>项内容科学合理、完整具体，针对性强，可行性强，完全满足相关规定及采购人实际情况的，每项</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分，共</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分，否则评委根据以下原则对每项内容进行扣分，扣完为止。</w:t>
            </w:r>
          </w:p>
          <w:p w14:paraId="742C5461">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①无内容或内容表述与本项目无关或不相符的每项扣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405C70B0">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②对实际情况表述不明确不具体，内容过于简略不足以支撑项目的每项扣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13773108">
            <w:pPr>
              <w:kinsoku w:val="0"/>
              <w:snapToGrid w:val="0"/>
              <w:spacing w:line="360" w:lineRule="auto"/>
              <w:rPr>
                <w:rFonts w:hint="eastAsia" w:ascii="宋体" w:hAnsi="宋体" w:eastAsia="宋体" w:cs="宋体"/>
                <w:color w:val="auto"/>
                <w:spacing w:val="0"/>
                <w:sz w:val="21"/>
                <w:szCs w:val="21"/>
                <w:highlight w:val="none"/>
                <w:shd w:val="clear" w:color="auto" w:fill="auto"/>
                <w:lang w:eastAsia="zh-CN"/>
              </w:rPr>
            </w:pPr>
            <w:r>
              <w:rPr>
                <w:rFonts w:hint="eastAsia" w:ascii="宋体" w:hAnsi="宋体" w:eastAsia="宋体" w:cs="宋体"/>
                <w:color w:val="auto"/>
                <w:highlight w:val="none"/>
              </w:rPr>
              <w:t>③内容缺乏可行性、针对性与项目联系不紧密的每项扣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分；④内容存在瑕疵的每项扣</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p>
        </w:tc>
      </w:tr>
      <w:tr w14:paraId="614E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noWrap w:val="0"/>
            <w:vAlign w:val="center"/>
          </w:tcPr>
          <w:p w14:paraId="06D9530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0FF7F44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531" w:type="dxa"/>
            <w:gridSpan w:val="2"/>
            <w:noWrap w:val="0"/>
            <w:vAlign w:val="center"/>
          </w:tcPr>
          <w:p w14:paraId="26AACA2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cs="宋体"/>
                <w:color w:val="auto"/>
                <w:spacing w:val="0"/>
                <w:sz w:val="21"/>
                <w:szCs w:val="21"/>
                <w:highlight w:val="none"/>
              </w:rPr>
            </w:pPr>
            <w:r>
              <w:rPr>
                <w:rFonts w:hint="eastAsia"/>
                <w:b/>
                <w:bCs/>
                <w:color w:val="auto"/>
                <w:spacing w:val="0"/>
                <w:highlight w:val="none"/>
                <w:lang w:val="en-US" w:eastAsia="zh-CN"/>
              </w:rPr>
              <w:t>2.</w:t>
            </w:r>
            <w:r>
              <w:rPr>
                <w:b/>
                <w:bCs/>
                <w:color w:val="auto"/>
                <w:spacing w:val="0"/>
                <w:highlight w:val="none"/>
              </w:rPr>
              <w:t>项目实施方案评审评分</w:t>
            </w:r>
          </w:p>
        </w:tc>
        <w:tc>
          <w:tcPr>
            <w:tcW w:w="817" w:type="dxa"/>
            <w:gridSpan w:val="2"/>
            <w:noWrap w:val="0"/>
            <w:vAlign w:val="center"/>
          </w:tcPr>
          <w:p w14:paraId="5B583B0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20</w:t>
            </w:r>
          </w:p>
        </w:tc>
        <w:tc>
          <w:tcPr>
            <w:tcW w:w="5954" w:type="dxa"/>
            <w:gridSpan w:val="2"/>
            <w:noWrap w:val="0"/>
            <w:vAlign w:val="center"/>
          </w:tcPr>
          <w:p w14:paraId="4DCCA251">
            <w:pPr>
              <w:kinsoku w:val="0"/>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包括但不限于</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①国有粮食企业深化改革法律咨询服务的相关工作内容；②工作流程；③</w:t>
            </w:r>
            <w:r>
              <w:rPr>
                <w:rFonts w:hint="eastAsia" w:ascii="宋体" w:hAnsi="宋体" w:eastAsia="宋体" w:cs="宋体"/>
                <w:color w:val="auto"/>
                <w:highlight w:val="none"/>
              </w:rPr>
              <w:t>项目应急处置预案</w:t>
            </w:r>
            <w:r>
              <w:rPr>
                <w:rFonts w:hint="eastAsia" w:ascii="宋体" w:hAnsi="宋体" w:eastAsia="宋体" w:cs="宋体"/>
                <w:color w:val="auto"/>
                <w:highlight w:val="none"/>
                <w:lang w:val="en-US" w:eastAsia="zh-CN"/>
              </w:rPr>
              <w:t>及实施方案；④后续服务工作安排及保证措施。</w:t>
            </w:r>
          </w:p>
          <w:p w14:paraId="6E0FE187">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以上</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项内容科学合理、完整具体，针对性强，可行性强，完全满足相关规定及采购人实际情况的，每项</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分，共</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分，否则评委根据以下原则对每项内容进行扣分，扣完为止。</w:t>
            </w:r>
          </w:p>
          <w:p w14:paraId="6B03C684">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①无内容或内容表述与本项目无关或不相符的每项扣</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p w14:paraId="79CE8B51">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②对实际情况表述不明确不具体，内容过于简略不足以支撑项目的每项扣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14:paraId="33314927">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③内容缺乏可行性、针对性与项目联系不紧密的每项扣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C17C4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0"/>
              <w:jc w:val="left"/>
              <w:textAlignment w:val="auto"/>
              <w:rPr>
                <w:rFonts w:ascii="宋体" w:hAnsi="宋体" w:cs="宋体"/>
                <w:b/>
                <w:color w:val="auto"/>
                <w:spacing w:val="0"/>
                <w:sz w:val="21"/>
                <w:szCs w:val="21"/>
                <w:highlight w:val="none"/>
              </w:rPr>
            </w:pPr>
            <w:r>
              <w:rPr>
                <w:rFonts w:hint="eastAsia" w:ascii="宋体" w:hAnsi="宋体" w:eastAsia="宋体" w:cs="宋体"/>
                <w:color w:val="auto"/>
                <w:highlight w:val="none"/>
              </w:rPr>
              <w:t>④内容存在瑕疵的每项扣1分。</w:t>
            </w:r>
          </w:p>
        </w:tc>
      </w:tr>
      <w:tr w14:paraId="7D8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noWrap w:val="0"/>
            <w:vAlign w:val="center"/>
          </w:tcPr>
          <w:p w14:paraId="337B367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68181F3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531" w:type="dxa"/>
            <w:gridSpan w:val="2"/>
            <w:noWrap w:val="0"/>
            <w:vAlign w:val="center"/>
          </w:tcPr>
          <w:p w14:paraId="547B7EE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bCs/>
                <w:color w:val="auto"/>
                <w:spacing w:val="0"/>
                <w:sz w:val="21"/>
                <w:szCs w:val="21"/>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lang w:eastAsia="zh-CN"/>
              </w:rPr>
              <w:t>服务质量承诺及保障措施</w:t>
            </w:r>
            <w:r>
              <w:rPr>
                <w:b/>
                <w:bCs/>
                <w:color w:val="auto"/>
                <w:spacing w:val="0"/>
                <w:highlight w:val="none"/>
              </w:rPr>
              <w:t>评审评分</w:t>
            </w:r>
          </w:p>
        </w:tc>
        <w:tc>
          <w:tcPr>
            <w:tcW w:w="817" w:type="dxa"/>
            <w:gridSpan w:val="2"/>
            <w:noWrap w:val="0"/>
            <w:vAlign w:val="center"/>
          </w:tcPr>
          <w:p w14:paraId="6D3A62A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Cs/>
                <w:color w:val="auto"/>
                <w:spacing w:val="0"/>
                <w:sz w:val="21"/>
                <w:szCs w:val="21"/>
                <w:highlight w:val="none"/>
                <w:lang w:val="en-US" w:eastAsia="zh-CN"/>
              </w:rPr>
            </w:pPr>
            <w:r>
              <w:rPr>
                <w:rFonts w:hint="eastAsia" w:ascii="宋体" w:hAnsi="宋体" w:cs="宋体"/>
                <w:bCs/>
                <w:color w:val="auto"/>
                <w:spacing w:val="0"/>
                <w:sz w:val="21"/>
                <w:szCs w:val="21"/>
                <w:highlight w:val="none"/>
                <w:lang w:val="en-US" w:eastAsia="zh-CN"/>
              </w:rPr>
              <w:t>9</w:t>
            </w:r>
          </w:p>
        </w:tc>
        <w:tc>
          <w:tcPr>
            <w:tcW w:w="5954" w:type="dxa"/>
            <w:gridSpan w:val="2"/>
            <w:noWrap w:val="0"/>
            <w:vAlign w:val="center"/>
          </w:tcPr>
          <w:p w14:paraId="7053782F">
            <w:pPr>
              <w:kinsoku w:val="0"/>
              <w:autoSpaceDE w:val="0"/>
              <w:autoSpaceDN w:val="0"/>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包括但不限于</w:t>
            </w:r>
            <w:r>
              <w:rPr>
                <w:rFonts w:hint="eastAsia" w:ascii="宋体" w:hAnsi="宋体" w:cs="宋体"/>
                <w:color w:val="auto"/>
                <w:highlight w:val="none"/>
              </w:rPr>
              <w:t>：①服务质量承诺(含应急响应承诺)</w:t>
            </w:r>
            <w:r>
              <w:rPr>
                <w:rFonts w:hint="eastAsia" w:ascii="宋体" w:hAnsi="宋体" w:cs="宋体"/>
                <w:color w:val="auto"/>
                <w:highlight w:val="none"/>
                <w:lang w:eastAsia="zh-CN"/>
              </w:rPr>
              <w:t>；</w:t>
            </w:r>
            <w:r>
              <w:rPr>
                <w:rFonts w:hint="eastAsia" w:ascii="宋体" w:hAnsi="宋体" w:cs="宋体"/>
                <w:color w:val="auto"/>
                <w:highlight w:val="none"/>
              </w:rPr>
              <w:t>②服务</w:t>
            </w:r>
            <w:r>
              <w:rPr>
                <w:rFonts w:hint="eastAsia" w:ascii="宋体" w:hAnsi="宋体" w:cs="宋体"/>
                <w:color w:val="auto"/>
                <w:highlight w:val="none"/>
                <w:lang w:val="en-US" w:eastAsia="zh-CN"/>
              </w:rPr>
              <w:t>标准及效率</w:t>
            </w:r>
            <w:r>
              <w:rPr>
                <w:rFonts w:hint="eastAsia" w:ascii="宋体" w:hAnsi="宋体" w:cs="宋体"/>
                <w:color w:val="auto"/>
                <w:highlight w:val="none"/>
              </w:rPr>
              <w:t>承诺及保障措施</w:t>
            </w:r>
            <w:r>
              <w:rPr>
                <w:rFonts w:hint="eastAsia" w:ascii="宋体" w:hAnsi="宋体" w:cs="宋体"/>
                <w:color w:val="auto"/>
                <w:highlight w:val="none"/>
                <w:lang w:eastAsia="zh-CN"/>
              </w:rPr>
              <w:t>；</w:t>
            </w:r>
            <w:r>
              <w:rPr>
                <w:rFonts w:hint="eastAsia" w:ascii="宋体" w:hAnsi="宋体" w:cs="宋体"/>
                <w:color w:val="auto"/>
                <w:highlight w:val="none"/>
              </w:rPr>
              <w:t>③实施人员管理质量承诺及保障措施等内容。</w:t>
            </w:r>
          </w:p>
          <w:p w14:paraId="1E95D0D7">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以上</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项内容科学合理、完整具体，针对性强，可行性强，完全满足相关规定及采购人实际情况的，每项</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分，共</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分，否则评委根据以下原则对每项内容进行扣分，扣完为止。</w:t>
            </w:r>
          </w:p>
          <w:p w14:paraId="6C61D3A8">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①无内容或内容表述与本项目无关或不相符的每项扣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5AD0FBF">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②对实际情况表述不明确不具体，内容过于简略不足以支撑项目的每项扣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1626545D">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③内容缺乏可行性、针对性与项目联系不紧密的每项扣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p>
          <w:p w14:paraId="4B00F534">
            <w:pPr>
              <w:kinsoku w:val="0"/>
              <w:snapToGrid w:val="0"/>
              <w:spacing w:line="360" w:lineRule="auto"/>
              <w:rPr>
                <w:rFonts w:hint="eastAsia" w:ascii="宋体" w:hAnsi="宋体" w:cs="宋体"/>
                <w:b/>
                <w:bCs/>
                <w:color w:val="auto"/>
                <w:spacing w:val="0"/>
                <w:sz w:val="21"/>
                <w:szCs w:val="21"/>
                <w:highlight w:val="none"/>
              </w:rPr>
            </w:pPr>
            <w:r>
              <w:rPr>
                <w:rFonts w:hint="eastAsia" w:ascii="宋体" w:hAnsi="宋体" w:eastAsia="宋体" w:cs="宋体"/>
                <w:color w:val="auto"/>
                <w:highlight w:val="none"/>
              </w:rPr>
              <w:t>④内容存在瑕疵的每项扣</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p>
        </w:tc>
      </w:tr>
      <w:tr w14:paraId="170E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noWrap w:val="0"/>
            <w:vAlign w:val="center"/>
          </w:tcPr>
          <w:p w14:paraId="711CDC37">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3D8983E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531" w:type="dxa"/>
            <w:gridSpan w:val="2"/>
            <w:noWrap w:val="0"/>
            <w:vAlign w:val="center"/>
          </w:tcPr>
          <w:p w14:paraId="01FF81D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bCs/>
                <w:color w:val="auto"/>
                <w:spacing w:val="0"/>
                <w:sz w:val="21"/>
                <w:szCs w:val="21"/>
                <w:highlight w:val="none"/>
              </w:rPr>
            </w:pPr>
            <w:r>
              <w:rPr>
                <w:rFonts w:hint="eastAsia" w:ascii="宋体" w:hAnsi="宋体" w:cs="宋体"/>
                <w:b/>
                <w:bCs/>
                <w:color w:val="auto"/>
                <w:highlight w:val="none"/>
                <w:lang w:val="en-US" w:eastAsia="zh-CN"/>
              </w:rPr>
              <w:t>4.</w:t>
            </w:r>
            <w:r>
              <w:rPr>
                <w:rFonts w:hint="eastAsia" w:ascii="宋体" w:hAnsi="宋体" w:cs="宋体"/>
                <w:b/>
                <w:bCs/>
                <w:color w:val="auto"/>
                <w:highlight w:val="none"/>
              </w:rPr>
              <w:t>进度计划及措施</w:t>
            </w:r>
          </w:p>
        </w:tc>
        <w:tc>
          <w:tcPr>
            <w:tcW w:w="817" w:type="dxa"/>
            <w:gridSpan w:val="2"/>
            <w:noWrap w:val="0"/>
            <w:vAlign w:val="center"/>
          </w:tcPr>
          <w:p w14:paraId="4E961A5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12</w:t>
            </w:r>
          </w:p>
        </w:tc>
        <w:tc>
          <w:tcPr>
            <w:tcW w:w="5954" w:type="dxa"/>
            <w:gridSpan w:val="2"/>
            <w:noWrap w:val="0"/>
            <w:vAlign w:val="center"/>
          </w:tcPr>
          <w:p w14:paraId="45C0EAB6">
            <w:pPr>
              <w:kinsoku w:val="0"/>
              <w:autoSpaceDE w:val="0"/>
              <w:autoSpaceDN w:val="0"/>
              <w:adjustRightInd w:val="0"/>
              <w:snapToGrid w:val="0"/>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包括但不限于</w:t>
            </w:r>
            <w:r>
              <w:rPr>
                <w:rFonts w:hint="eastAsia" w:ascii="宋体" w:hAnsi="宋体" w:eastAsia="宋体" w:cs="宋体"/>
                <w:color w:val="auto"/>
                <w:highlight w:val="none"/>
              </w:rPr>
              <w:t>：</w:t>
            </w:r>
            <w:r>
              <w:rPr>
                <w:rFonts w:hint="eastAsia" w:ascii="宋体" w:hAnsi="宋体" w:eastAsia="宋体" w:cs="宋体"/>
                <w:b w:val="0"/>
                <w:bCs w:val="0"/>
                <w:color w:val="auto"/>
                <w:kern w:val="2"/>
                <w:sz w:val="21"/>
                <w:szCs w:val="24"/>
                <w:highlight w:val="none"/>
                <w:lang w:val="en-US" w:eastAsia="zh-CN" w:bidi="ar"/>
              </w:rPr>
              <w:t>①工作进度组织计划；②成果资料提交计划；</w:t>
            </w:r>
            <w:r>
              <w:rPr>
                <w:rFonts w:hint="eastAsia" w:ascii="宋体" w:hAnsi="宋体" w:eastAsia="宋体" w:cs="宋体"/>
                <w:color w:val="auto"/>
                <w:highlight w:val="none"/>
              </w:rPr>
              <w:t>③</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时效性管理及其保障措施等</w:t>
            </w:r>
            <w:r>
              <w:rPr>
                <w:rFonts w:hint="eastAsia" w:ascii="宋体" w:hAnsi="宋体" w:eastAsia="宋体" w:cs="宋体"/>
                <w:color w:val="auto"/>
                <w:highlight w:val="none"/>
                <w:lang w:val="en-US" w:eastAsia="zh-CN"/>
              </w:rPr>
              <w:t>内容</w:t>
            </w:r>
            <w:r>
              <w:rPr>
                <w:rFonts w:hint="eastAsia" w:ascii="宋体" w:hAnsi="宋体" w:eastAsia="宋体" w:cs="宋体"/>
                <w:color w:val="auto"/>
                <w:highlight w:val="none"/>
              </w:rPr>
              <w:t>；</w:t>
            </w:r>
          </w:p>
          <w:p w14:paraId="0CE4DF4D">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以上</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项内容科学合理、完整具体，针对性强，可行性强，完全满足相关规定及采购人实际情况的，每项</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分，共</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分，否则评委根据以下原则对每项内容进行扣分，扣完为止。</w:t>
            </w:r>
          </w:p>
          <w:p w14:paraId="38578618">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①无内容或内容表述与本项目无关或不相符的每项扣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p w14:paraId="34EA040D">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②对实际情况表述不明确不具体，内容过于简略不足以支撑项目的每项扣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8740612">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③内容缺乏可行性、针对性与项目联系不紧密的每项扣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37B157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宋体" w:hAnsi="宋体" w:cs="宋体"/>
                <w:b/>
                <w:bCs/>
                <w:color w:val="auto"/>
                <w:spacing w:val="0"/>
                <w:sz w:val="21"/>
                <w:szCs w:val="21"/>
                <w:highlight w:val="none"/>
              </w:rPr>
            </w:pPr>
            <w:r>
              <w:rPr>
                <w:rFonts w:hint="eastAsia" w:ascii="宋体" w:hAnsi="宋体" w:eastAsia="宋体" w:cs="宋体"/>
                <w:color w:val="auto"/>
                <w:highlight w:val="none"/>
              </w:rPr>
              <w:t>④内容存在瑕疵的每项扣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p>
        </w:tc>
      </w:tr>
      <w:tr w14:paraId="7130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noWrap w:val="0"/>
            <w:vAlign w:val="center"/>
          </w:tcPr>
          <w:p w14:paraId="0828072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5EB5E20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531" w:type="dxa"/>
            <w:gridSpan w:val="2"/>
            <w:noWrap w:val="0"/>
            <w:vAlign w:val="center"/>
          </w:tcPr>
          <w:p w14:paraId="5B2B4D6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bCs/>
                <w:color w:val="auto"/>
                <w:spacing w:val="0"/>
                <w:sz w:val="21"/>
                <w:szCs w:val="21"/>
                <w:highlight w:val="none"/>
                <w:lang w:val="en-US" w:eastAsia="zh-CN"/>
              </w:rPr>
            </w:pPr>
            <w:r>
              <w:rPr>
                <w:rFonts w:hint="eastAsia" w:ascii="宋体" w:hAnsi="宋体" w:cs="宋体"/>
                <w:b/>
                <w:bCs/>
                <w:color w:val="auto"/>
                <w:highlight w:val="none"/>
                <w:lang w:val="en-US" w:eastAsia="zh-CN"/>
              </w:rPr>
              <w:t>5.违约处罚措施及承诺</w:t>
            </w:r>
          </w:p>
          <w:p w14:paraId="7173C59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bCs/>
                <w:color w:val="auto"/>
                <w:spacing w:val="0"/>
                <w:sz w:val="21"/>
                <w:szCs w:val="21"/>
                <w:highlight w:val="none"/>
              </w:rPr>
            </w:pPr>
          </w:p>
        </w:tc>
        <w:tc>
          <w:tcPr>
            <w:tcW w:w="817" w:type="dxa"/>
            <w:gridSpan w:val="2"/>
            <w:noWrap w:val="0"/>
            <w:vAlign w:val="center"/>
          </w:tcPr>
          <w:p w14:paraId="6FED746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Cs/>
                <w:color w:val="auto"/>
                <w:spacing w:val="0"/>
                <w:sz w:val="21"/>
                <w:szCs w:val="21"/>
                <w:highlight w:val="none"/>
                <w:lang w:val="en-US" w:eastAsia="zh-CN"/>
              </w:rPr>
            </w:pPr>
            <w:r>
              <w:rPr>
                <w:rFonts w:hint="eastAsia" w:ascii="宋体" w:hAnsi="宋体" w:cs="宋体"/>
                <w:bCs/>
                <w:color w:val="auto"/>
                <w:spacing w:val="0"/>
                <w:sz w:val="21"/>
                <w:szCs w:val="21"/>
                <w:highlight w:val="none"/>
                <w:lang w:val="en-US" w:eastAsia="zh-CN"/>
              </w:rPr>
              <w:t>9</w:t>
            </w:r>
          </w:p>
        </w:tc>
        <w:tc>
          <w:tcPr>
            <w:tcW w:w="5954" w:type="dxa"/>
            <w:gridSpan w:val="2"/>
            <w:noWrap w:val="0"/>
            <w:vAlign w:val="top"/>
          </w:tcPr>
          <w:p w14:paraId="45D1C14C">
            <w:pPr>
              <w:numPr>
                <w:ilvl w:val="0"/>
                <w:numId w:val="0"/>
              </w:numPr>
              <w:kinsoku/>
              <w:autoSpaceDE/>
              <w:autoSpaceDN/>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包括但不限于</w:t>
            </w:r>
            <w:r>
              <w:rPr>
                <w:rFonts w:hint="eastAsia" w:ascii="宋体" w:hAnsi="宋体" w:eastAsia="宋体" w:cs="宋体"/>
                <w:color w:val="auto"/>
                <w:highlight w:val="none"/>
              </w:rPr>
              <w:t>：</w:t>
            </w:r>
            <w:r>
              <w:rPr>
                <w:rFonts w:hint="eastAsia" w:ascii="宋体" w:hAnsi="宋体" w:eastAsia="宋体" w:cs="宋体"/>
                <w:color w:val="auto"/>
                <w:szCs w:val="24"/>
                <w:highlight w:val="none"/>
              </w:rPr>
              <w:t>①服务质量违约责任承诺及处罚措施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②</w:t>
            </w:r>
            <w:r>
              <w:rPr>
                <w:rFonts w:hint="eastAsia" w:ascii="宋体" w:hAnsi="宋体" w:eastAsia="宋体" w:cs="宋体"/>
                <w:color w:val="auto"/>
                <w:highlight w:val="none"/>
                <w:lang w:val="en-US" w:eastAsia="zh-CN"/>
              </w:rPr>
              <w:t>服务标准及</w:t>
            </w:r>
            <w:r>
              <w:rPr>
                <w:rFonts w:hint="eastAsia" w:ascii="宋体" w:hAnsi="宋体" w:cs="宋体"/>
                <w:color w:val="auto"/>
                <w:highlight w:val="none"/>
                <w:lang w:eastAsia="zh-CN"/>
              </w:rPr>
              <w:t>交付资料</w:t>
            </w:r>
            <w:r>
              <w:rPr>
                <w:rFonts w:hint="eastAsia" w:ascii="宋体" w:hAnsi="宋体" w:cs="宋体"/>
                <w:color w:val="auto"/>
                <w:highlight w:val="none"/>
              </w:rPr>
              <w:t>质量</w:t>
            </w:r>
            <w:r>
              <w:rPr>
                <w:rFonts w:hint="eastAsia" w:ascii="宋体" w:hAnsi="宋体" w:eastAsia="宋体" w:cs="宋体"/>
                <w:color w:val="auto"/>
                <w:szCs w:val="24"/>
                <w:highlight w:val="none"/>
              </w:rPr>
              <w:t>违约责任承诺及处罚措施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③服务</w:t>
            </w:r>
            <w:r>
              <w:rPr>
                <w:rFonts w:hint="eastAsia" w:ascii="宋体" w:hAnsi="宋体" w:eastAsia="宋体" w:cs="宋体"/>
                <w:color w:val="auto"/>
                <w:highlight w:val="none"/>
                <w:lang w:val="en-US" w:eastAsia="zh-CN"/>
              </w:rPr>
              <w:t>进度</w:t>
            </w:r>
            <w:r>
              <w:rPr>
                <w:rFonts w:hint="eastAsia" w:ascii="宋体" w:hAnsi="宋体" w:eastAsia="宋体" w:cs="宋体"/>
                <w:color w:val="auto"/>
                <w:highlight w:val="none"/>
              </w:rPr>
              <w:t>违约责任承诺及处罚措施</w:t>
            </w:r>
            <w:r>
              <w:rPr>
                <w:rFonts w:hint="eastAsia" w:ascii="宋体" w:hAnsi="宋体" w:eastAsia="宋体" w:cs="宋体"/>
                <w:color w:val="auto"/>
                <w:highlight w:val="none"/>
                <w:lang w:eastAsia="zh-CN"/>
              </w:rPr>
              <w:t>；</w:t>
            </w:r>
          </w:p>
          <w:p w14:paraId="4E0498F9">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以上</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项内容科学合理、完整具体，针对性强，可行性强，完全满足相关规定及采购人实际情况的，每项</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分，共</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分，否则评委根据以下原则对每项内容进行扣分，扣完为止。</w:t>
            </w:r>
          </w:p>
          <w:p w14:paraId="6DD3D4E6">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①无内容或内容表述与本项目无关或不相符的每项扣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EA05A88">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②对实际情况表述不明确不具体，内容过于简略不足以支撑项目的每项扣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41020FFC">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③内容缺乏可行性、针对性与项目联系不紧密的每项扣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p>
          <w:p w14:paraId="28CBAC72">
            <w:pPr>
              <w:kinsoku w:val="0"/>
              <w:snapToGrid w:val="0"/>
              <w:spacing w:line="360" w:lineRule="auto"/>
              <w:rPr>
                <w:rFonts w:hint="eastAsia" w:ascii="宋体" w:hAnsi="宋体" w:cs="宋体"/>
                <w:b/>
                <w:bCs/>
                <w:color w:val="auto"/>
                <w:spacing w:val="0"/>
                <w:sz w:val="21"/>
                <w:szCs w:val="21"/>
                <w:highlight w:val="none"/>
              </w:rPr>
            </w:pPr>
            <w:r>
              <w:rPr>
                <w:rFonts w:hint="eastAsia" w:ascii="宋体" w:hAnsi="宋体" w:eastAsia="宋体" w:cs="宋体"/>
                <w:color w:val="auto"/>
                <w:highlight w:val="none"/>
              </w:rPr>
              <w:t>④内容存在瑕疵的每项扣</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p>
        </w:tc>
      </w:tr>
      <w:tr w14:paraId="6A2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noWrap w:val="0"/>
            <w:vAlign w:val="center"/>
          </w:tcPr>
          <w:p w14:paraId="1B43257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02E176D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531" w:type="dxa"/>
            <w:gridSpan w:val="2"/>
            <w:noWrap w:val="0"/>
            <w:vAlign w:val="center"/>
          </w:tcPr>
          <w:p w14:paraId="5BBEA3B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cs="宋体" w:eastAsiaTheme="minorEastAsia"/>
                <w:b/>
                <w:bCs w:val="0"/>
                <w:color w:val="auto"/>
                <w:spacing w:val="0"/>
                <w:sz w:val="21"/>
                <w:szCs w:val="21"/>
                <w:highlight w:val="none"/>
                <w:lang w:val="en-US" w:eastAsia="zh-CN"/>
              </w:rPr>
            </w:pPr>
            <w:r>
              <w:rPr>
                <w:rFonts w:hint="eastAsia" w:ascii="宋体" w:hAnsi="宋体" w:cs="宋体"/>
                <w:b/>
                <w:bCs w:val="0"/>
                <w:color w:val="auto"/>
                <w:spacing w:val="0"/>
                <w:sz w:val="21"/>
                <w:szCs w:val="21"/>
                <w:highlight w:val="none"/>
                <w:lang w:val="en-US" w:eastAsia="zh-CN"/>
              </w:rPr>
              <w:t>6.廉洁及保密措施及承诺</w:t>
            </w:r>
          </w:p>
        </w:tc>
        <w:tc>
          <w:tcPr>
            <w:tcW w:w="817" w:type="dxa"/>
            <w:gridSpan w:val="2"/>
            <w:noWrap w:val="0"/>
            <w:vAlign w:val="center"/>
          </w:tcPr>
          <w:p w14:paraId="6F03474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5</w:t>
            </w:r>
          </w:p>
        </w:tc>
        <w:tc>
          <w:tcPr>
            <w:tcW w:w="5954" w:type="dxa"/>
            <w:gridSpan w:val="2"/>
            <w:noWrap w:val="0"/>
            <w:vAlign w:val="top"/>
          </w:tcPr>
          <w:p w14:paraId="4D7CB8EB">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highlight w:val="none"/>
                <w:lang w:val="en-US" w:eastAsia="zh-CN"/>
              </w:rPr>
              <w:t>包括但不限于</w:t>
            </w:r>
            <w:r>
              <w:rPr>
                <w:rFonts w:hint="eastAsia" w:ascii="宋体" w:hAnsi="宋体" w:eastAsia="宋体" w:cs="宋体"/>
                <w:color w:val="auto"/>
                <w:szCs w:val="21"/>
                <w:highlight w:val="none"/>
              </w:rPr>
              <w:t>：①</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廉洁</w:t>
            </w:r>
            <w:r>
              <w:rPr>
                <w:rFonts w:hint="eastAsia" w:ascii="宋体" w:hAnsi="宋体" w:eastAsia="宋体" w:cs="宋体"/>
                <w:b w:val="0"/>
                <w:bCs w:val="0"/>
                <w:i w:val="0"/>
                <w:iCs w:val="0"/>
                <w:caps w:val="0"/>
                <w:color w:val="auto"/>
                <w:spacing w:val="0"/>
                <w:sz w:val="21"/>
                <w:szCs w:val="21"/>
                <w:highlight w:val="none"/>
                <w:shd w:val="clear" w:color="auto" w:fill="auto"/>
              </w:rPr>
              <w:t>措施</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及承诺</w:t>
            </w:r>
            <w:r>
              <w:rPr>
                <w:rFonts w:hint="eastAsia" w:ascii="宋体" w:hAnsi="宋体" w:eastAsia="宋体" w:cs="宋体"/>
                <w:b w:val="0"/>
                <w:bCs w:val="0"/>
                <w:i w:val="0"/>
                <w:iCs w:val="0"/>
                <w:caps w:val="0"/>
                <w:color w:val="auto"/>
                <w:spacing w:val="0"/>
                <w:sz w:val="21"/>
                <w:szCs w:val="21"/>
                <w:highlight w:val="none"/>
                <w:shd w:val="clear" w:color="auto" w:fill="auto"/>
                <w:lang w:eastAsia="zh-CN"/>
              </w:rPr>
              <w:t>；</w:t>
            </w:r>
            <w:r>
              <w:rPr>
                <w:rFonts w:hint="eastAsia" w:ascii="宋体" w:hAnsi="宋体" w:eastAsia="宋体" w:cs="宋体"/>
                <w:color w:val="auto"/>
                <w:szCs w:val="21"/>
                <w:highlight w:val="none"/>
              </w:rPr>
              <w:t>②</w:t>
            </w:r>
            <w:r>
              <w:rPr>
                <w:rFonts w:hint="eastAsia" w:ascii="宋体" w:hAnsi="宋体" w:eastAsia="宋体" w:cs="宋体"/>
                <w:b w:val="0"/>
                <w:bCs w:val="0"/>
                <w:i w:val="0"/>
                <w:iCs w:val="0"/>
                <w:caps w:val="0"/>
                <w:color w:val="auto"/>
                <w:spacing w:val="0"/>
                <w:sz w:val="21"/>
                <w:szCs w:val="21"/>
                <w:highlight w:val="none"/>
                <w:shd w:val="clear" w:color="auto" w:fill="auto"/>
              </w:rPr>
              <w:t>保密措施</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及承诺</w:t>
            </w:r>
          </w:p>
          <w:p w14:paraId="1B9151E6">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以上</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项内容科学合理、完整具体，针对性强，可行性强，完全满足相关规定及采购人实际情况的，每项</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分，共</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分，否则评委根据以下原则对每项内容进行扣分，扣完为止。</w:t>
            </w:r>
          </w:p>
          <w:p w14:paraId="72332620">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①无内容或内容表述与本项目无关或不相符的每项扣</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分；</w:t>
            </w:r>
          </w:p>
          <w:p w14:paraId="092211A5">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②对实际情况表述不明确不具体，内容过于简略不足以支撑项目的每项扣</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36B4A10F">
            <w:pPr>
              <w:kinsoku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③内容缺乏可行性、针对性与项目联系不紧密的每项扣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p>
          <w:p w14:paraId="472004CC">
            <w:pPr>
              <w:rPr>
                <w:rFonts w:hint="eastAsia" w:ascii="宋体" w:hAnsi="宋体" w:cs="宋体"/>
                <w:b/>
                <w:bCs/>
                <w:color w:val="auto"/>
                <w:spacing w:val="0"/>
                <w:sz w:val="21"/>
                <w:szCs w:val="21"/>
                <w:highlight w:val="none"/>
              </w:rPr>
            </w:pPr>
            <w:r>
              <w:rPr>
                <w:rFonts w:hint="eastAsia" w:ascii="宋体" w:hAnsi="宋体" w:eastAsia="宋体" w:cs="宋体"/>
                <w:color w:val="auto"/>
                <w:highlight w:val="none"/>
              </w:rPr>
              <w:t>④内容存在瑕疵的每项扣</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w:t>
            </w:r>
          </w:p>
        </w:tc>
      </w:tr>
      <w:tr w14:paraId="265B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gridSpan w:val="2"/>
            <w:shd w:val="clear" w:color="auto" w:fill="auto"/>
            <w:noWrap w:val="0"/>
            <w:vAlign w:val="center"/>
          </w:tcPr>
          <w:p w14:paraId="7AFC31A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Theme="minorEastAsia" w:cstheme="minorBidi"/>
                <w:b/>
                <w:bCs/>
                <w:color w:val="auto"/>
                <w:spacing w:val="0"/>
                <w:kern w:val="2"/>
                <w:sz w:val="21"/>
                <w:szCs w:val="21"/>
                <w:highlight w:val="none"/>
                <w:lang w:val="en-US" w:eastAsia="zh-CN" w:bidi="ar-SA"/>
              </w:rPr>
            </w:pPr>
            <w:r>
              <w:rPr>
                <w:rFonts w:hint="eastAsia" w:ascii="宋体" w:hAnsi="宋体"/>
                <w:b/>
                <w:bCs/>
                <w:color w:val="auto"/>
                <w:spacing w:val="0"/>
                <w:sz w:val="21"/>
                <w:szCs w:val="21"/>
                <w:highlight w:val="none"/>
                <w:lang w:val="en-US" w:eastAsia="zh-CN"/>
              </w:rPr>
              <w:t>条款号</w:t>
            </w:r>
          </w:p>
        </w:tc>
        <w:tc>
          <w:tcPr>
            <w:tcW w:w="1531" w:type="dxa"/>
            <w:gridSpan w:val="2"/>
            <w:shd w:val="clear" w:color="auto" w:fill="auto"/>
            <w:noWrap w:val="0"/>
            <w:vAlign w:val="center"/>
          </w:tcPr>
          <w:p w14:paraId="1CF8534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Theme="minorEastAsia" w:cstheme="minorBidi"/>
                <w:b/>
                <w:bCs/>
                <w:color w:val="auto"/>
                <w:spacing w:val="0"/>
                <w:kern w:val="2"/>
                <w:sz w:val="21"/>
                <w:szCs w:val="21"/>
                <w:highlight w:val="none"/>
                <w:lang w:val="en-US" w:eastAsia="zh-CN" w:bidi="ar-SA"/>
              </w:rPr>
            </w:pPr>
            <w:r>
              <w:rPr>
                <w:rFonts w:hint="eastAsia" w:ascii="宋体" w:hAnsi="宋体"/>
                <w:b/>
                <w:bCs/>
                <w:color w:val="auto"/>
                <w:spacing w:val="0"/>
                <w:sz w:val="21"/>
                <w:szCs w:val="21"/>
                <w:highlight w:val="none"/>
                <w:lang w:val="en-US" w:eastAsia="zh-CN"/>
              </w:rPr>
              <w:t>评审内容</w:t>
            </w:r>
          </w:p>
        </w:tc>
        <w:tc>
          <w:tcPr>
            <w:tcW w:w="817" w:type="dxa"/>
            <w:gridSpan w:val="2"/>
            <w:shd w:val="clear" w:color="auto" w:fill="auto"/>
            <w:noWrap w:val="0"/>
            <w:vAlign w:val="center"/>
          </w:tcPr>
          <w:p w14:paraId="4DCFE43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cs="宋体" w:eastAsiaTheme="minorEastAsia"/>
                <w:b/>
                <w:bCs/>
                <w:color w:val="auto"/>
                <w:spacing w:val="0"/>
                <w:kern w:val="2"/>
                <w:sz w:val="21"/>
                <w:szCs w:val="21"/>
                <w:highlight w:val="none"/>
                <w:lang w:val="en-US" w:eastAsia="zh-CN" w:bidi="ar-SA"/>
              </w:rPr>
            </w:pPr>
            <w:r>
              <w:rPr>
                <w:rFonts w:hint="eastAsia" w:ascii="宋体" w:hAnsi="宋体" w:cs="宋体"/>
                <w:b/>
                <w:bCs/>
                <w:color w:val="auto"/>
                <w:spacing w:val="0"/>
                <w:sz w:val="21"/>
                <w:szCs w:val="21"/>
                <w:highlight w:val="none"/>
                <w:lang w:val="en-US" w:eastAsia="zh-CN"/>
              </w:rPr>
              <w:t>分值</w:t>
            </w:r>
          </w:p>
        </w:tc>
        <w:tc>
          <w:tcPr>
            <w:tcW w:w="5954" w:type="dxa"/>
            <w:gridSpan w:val="2"/>
            <w:shd w:val="clear" w:color="auto" w:fill="auto"/>
            <w:noWrap w:val="0"/>
            <w:vAlign w:val="center"/>
          </w:tcPr>
          <w:p w14:paraId="66579F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Theme="minorEastAsia" w:cstheme="minorBidi"/>
                <w:b/>
                <w:bCs/>
                <w:color w:val="auto"/>
                <w:spacing w:val="0"/>
                <w:kern w:val="2"/>
                <w:sz w:val="21"/>
                <w:szCs w:val="21"/>
                <w:highlight w:val="none"/>
                <w:lang w:val="en-US" w:eastAsia="zh-CN" w:bidi="ar-SA"/>
              </w:rPr>
            </w:pPr>
            <w:r>
              <w:rPr>
                <w:rFonts w:hint="eastAsia" w:ascii="宋体" w:hAnsi="宋体"/>
                <w:b/>
                <w:bCs/>
                <w:color w:val="auto"/>
                <w:spacing w:val="0"/>
                <w:sz w:val="21"/>
                <w:szCs w:val="21"/>
                <w:highlight w:val="none"/>
                <w:lang w:val="en-US" w:eastAsia="zh-CN"/>
              </w:rPr>
              <w:t>评分标准</w:t>
            </w:r>
          </w:p>
        </w:tc>
      </w:tr>
      <w:tr w14:paraId="67F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shd w:val="clear" w:color="auto" w:fill="auto"/>
            <w:noWrap w:val="0"/>
            <w:vAlign w:val="center"/>
          </w:tcPr>
          <w:p w14:paraId="21B1A27F">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Theme="minorEastAsia" w:cstheme="minorBidi"/>
                <w:color w:val="auto"/>
                <w:spacing w:val="0"/>
                <w:kern w:val="2"/>
                <w:sz w:val="21"/>
                <w:szCs w:val="21"/>
                <w:highlight w:val="none"/>
                <w:lang w:val="en-US" w:eastAsia="zh-CN" w:bidi="ar-SA"/>
              </w:rPr>
            </w:pPr>
            <w:r>
              <w:rPr>
                <w:rFonts w:hint="eastAsia" w:ascii="宋体" w:hAnsi="宋体"/>
                <w:color w:val="auto"/>
                <w:spacing w:val="0"/>
                <w:sz w:val="21"/>
                <w:szCs w:val="21"/>
                <w:highlight w:val="none"/>
              </w:rPr>
              <w:t>2.2</w:t>
            </w:r>
            <w:r>
              <w:rPr>
                <w:rFonts w:hint="eastAsia" w:ascii="宋体" w:hAnsi="宋体"/>
                <w:color w:val="auto"/>
                <w:spacing w:val="0"/>
                <w:sz w:val="21"/>
                <w:szCs w:val="21"/>
                <w:highlight w:val="none"/>
                <w:lang w:val="en-US" w:eastAsia="zh-CN"/>
              </w:rPr>
              <w:t>.3（3）</w:t>
            </w:r>
          </w:p>
        </w:tc>
        <w:tc>
          <w:tcPr>
            <w:tcW w:w="1172" w:type="dxa"/>
            <w:vMerge w:val="restart"/>
            <w:shd w:val="clear" w:color="auto" w:fill="auto"/>
            <w:noWrap w:val="0"/>
            <w:vAlign w:val="center"/>
          </w:tcPr>
          <w:p w14:paraId="08AA784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eastAsiaTheme="minorEastAsia" w:cstheme="minorBidi"/>
                <w:color w:val="auto"/>
                <w:spacing w:val="0"/>
                <w:kern w:val="2"/>
                <w:sz w:val="21"/>
                <w:szCs w:val="21"/>
                <w:highlight w:val="none"/>
                <w:lang w:val="en-US" w:eastAsia="zh-CN" w:bidi="ar-SA"/>
              </w:rPr>
            </w:pPr>
            <w:r>
              <w:rPr>
                <w:rFonts w:hint="eastAsia" w:ascii="宋体" w:hAnsi="宋体"/>
                <w:color w:val="auto"/>
                <w:spacing w:val="0"/>
                <w:sz w:val="21"/>
                <w:szCs w:val="21"/>
                <w:highlight w:val="none"/>
                <w:lang w:val="en-US" w:eastAsia="zh-CN"/>
              </w:rPr>
              <w:t>商务</w:t>
            </w:r>
            <w:r>
              <w:rPr>
                <w:rFonts w:hint="eastAsia" w:ascii="宋体" w:hAnsi="宋体"/>
                <w:color w:val="auto"/>
                <w:spacing w:val="0"/>
                <w:sz w:val="21"/>
                <w:szCs w:val="21"/>
                <w:highlight w:val="none"/>
              </w:rPr>
              <w:t>部分F</w:t>
            </w:r>
            <w:r>
              <w:rPr>
                <w:rFonts w:hint="eastAsia" w:ascii="宋体" w:hAnsi="宋体"/>
                <w:color w:val="auto"/>
                <w:spacing w:val="0"/>
                <w:sz w:val="21"/>
                <w:szCs w:val="21"/>
                <w:highlight w:val="none"/>
                <w:lang w:val="en-US" w:eastAsia="zh-CN"/>
              </w:rPr>
              <w:t>3</w:t>
            </w:r>
            <w:r>
              <w:rPr>
                <w:rFonts w:hint="eastAsia" w:ascii="宋体" w:hAnsi="宋体"/>
                <w:color w:val="auto"/>
                <w:spacing w:val="0"/>
                <w:sz w:val="21"/>
                <w:szCs w:val="21"/>
                <w:highlight w:val="none"/>
              </w:rPr>
              <w:t>评审标准</w:t>
            </w:r>
          </w:p>
        </w:tc>
        <w:tc>
          <w:tcPr>
            <w:tcW w:w="1531" w:type="dxa"/>
            <w:gridSpan w:val="2"/>
            <w:noWrap w:val="0"/>
            <w:vAlign w:val="center"/>
          </w:tcPr>
          <w:p w14:paraId="182DFEB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cs="宋体"/>
                <w:b/>
                <w:bCs w:val="0"/>
                <w:color w:val="auto"/>
                <w:spacing w:val="0"/>
                <w:sz w:val="21"/>
                <w:szCs w:val="21"/>
                <w:highlight w:val="none"/>
                <w:lang w:val="en-US" w:eastAsia="zh-CN"/>
              </w:rPr>
            </w:pPr>
            <w:r>
              <w:rPr>
                <w:rFonts w:hint="eastAsia" w:ascii="宋体" w:hAnsi="宋体" w:cs="宋体"/>
                <w:b/>
                <w:bCs w:val="0"/>
                <w:color w:val="auto"/>
                <w:spacing w:val="0"/>
                <w:sz w:val="21"/>
                <w:szCs w:val="21"/>
                <w:highlight w:val="none"/>
                <w:lang w:val="en-US" w:eastAsia="zh-CN"/>
              </w:rPr>
              <w:t>项目拟派团队人员</w:t>
            </w:r>
          </w:p>
        </w:tc>
        <w:tc>
          <w:tcPr>
            <w:tcW w:w="817" w:type="dxa"/>
            <w:gridSpan w:val="2"/>
            <w:noWrap w:val="0"/>
            <w:vAlign w:val="center"/>
          </w:tcPr>
          <w:p w14:paraId="6C0EAF4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14</w:t>
            </w:r>
          </w:p>
        </w:tc>
        <w:tc>
          <w:tcPr>
            <w:tcW w:w="5954" w:type="dxa"/>
            <w:gridSpan w:val="2"/>
            <w:noWrap w:val="0"/>
            <w:vAlign w:val="top"/>
          </w:tcPr>
          <w:p w14:paraId="48D444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lang w:eastAsia="zh-CN"/>
              </w:rPr>
            </w:pPr>
            <w:r>
              <w:rPr>
                <w:rFonts w:hint="eastAsia" w:ascii="Calibri" w:hAnsi="Calibri" w:eastAsia="宋体" w:cs="Calibri"/>
                <w:color w:val="auto"/>
                <w:szCs w:val="21"/>
                <w:highlight w:val="none"/>
                <w:lang w:val="en-US" w:eastAsia="zh-CN"/>
              </w:rPr>
              <w:t>1）</w:t>
            </w:r>
            <w:r>
              <w:rPr>
                <w:rFonts w:hint="eastAsia" w:ascii="宋体" w:hAnsi="宋体" w:eastAsia="宋体" w:cs="宋体"/>
                <w:color w:val="auto"/>
                <w:szCs w:val="21"/>
                <w:highlight w:val="none"/>
              </w:rPr>
              <w:t>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满分3分</w:t>
            </w:r>
            <w:r>
              <w:rPr>
                <w:rFonts w:hint="eastAsia" w:ascii="宋体" w:hAnsi="宋体" w:eastAsia="宋体" w:cs="宋体"/>
                <w:color w:val="auto"/>
                <w:szCs w:val="21"/>
                <w:highlight w:val="none"/>
                <w:lang w:eastAsia="zh-CN"/>
              </w:rPr>
              <w:t>）</w:t>
            </w:r>
          </w:p>
          <w:p w14:paraId="14E2AB3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拟派项目负责人取得律师执业资格证，执业年限</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年以上，并经年度检审合格的，得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本项最高1分。</w:t>
            </w:r>
          </w:p>
          <w:p w14:paraId="2CA99A7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备注：提供证书、个人社保证明材料并加盖公章，无证明材料或证明材料不明确的，不予认可。</w:t>
            </w:r>
          </w:p>
          <w:p w14:paraId="407A604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拟派项目负责人具有</w:t>
            </w:r>
            <w:r>
              <w:rPr>
                <w:rFonts w:hint="eastAsia" w:ascii="宋体" w:hAnsi="宋体" w:eastAsia="宋体" w:cs="宋体"/>
                <w:color w:val="auto"/>
                <w:szCs w:val="21"/>
                <w:highlight w:val="none"/>
                <w:lang w:val="en-US" w:eastAsia="zh-CN"/>
              </w:rPr>
              <w:t>资产清查及重整或资产处置或国企改制或债权收购尽调等法律咨询服务经验得2分，提供证明材料（业绩证明材料提供合同协议书扫描件或中标（成交）通知书扫描件或业主证明材料等，且能体现项目负责人姓名）加盖公章，</w:t>
            </w:r>
            <w:r>
              <w:rPr>
                <w:rFonts w:hint="eastAsia" w:ascii="宋体" w:hAnsi="宋体" w:eastAsia="宋体" w:cs="宋体"/>
                <w:color w:val="auto"/>
                <w:szCs w:val="21"/>
                <w:highlight w:val="none"/>
              </w:rPr>
              <w:t>无证明材料或证明材料不明确的，不予认可</w:t>
            </w:r>
            <w:r>
              <w:rPr>
                <w:rFonts w:hint="eastAsia" w:ascii="宋体" w:hAnsi="宋体" w:eastAsia="宋体" w:cs="宋体"/>
                <w:color w:val="auto"/>
                <w:szCs w:val="21"/>
                <w:highlight w:val="none"/>
                <w:lang w:eastAsia="zh-CN"/>
              </w:rPr>
              <w:t>。</w:t>
            </w:r>
          </w:p>
          <w:p w14:paraId="251A8ECC">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项目团队</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不含项目负责人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满分5分</w:t>
            </w:r>
            <w:r>
              <w:rPr>
                <w:rFonts w:hint="eastAsia" w:ascii="宋体" w:hAnsi="宋体" w:eastAsia="宋体" w:cs="宋体"/>
                <w:color w:val="auto"/>
                <w:szCs w:val="21"/>
                <w:highlight w:val="none"/>
                <w:lang w:eastAsia="zh-CN"/>
              </w:rPr>
              <w:t>）</w:t>
            </w:r>
          </w:p>
          <w:p w14:paraId="5D709F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拟派项目团队成员</w:t>
            </w:r>
            <w:r>
              <w:rPr>
                <w:rFonts w:hint="eastAsia" w:ascii="宋体" w:hAnsi="宋体" w:eastAsia="宋体" w:cs="宋体"/>
                <w:color w:val="auto"/>
                <w:szCs w:val="21"/>
                <w:highlight w:val="none"/>
                <w:lang w:val="en-US" w:eastAsia="zh-CN"/>
              </w:rPr>
              <w:t>中每有1人取得律师执业资格证</w:t>
            </w:r>
            <w:r>
              <w:rPr>
                <w:rFonts w:hint="eastAsia" w:ascii="宋体" w:hAnsi="宋体" w:eastAsia="宋体" w:cs="宋体"/>
                <w:color w:val="auto"/>
                <w:szCs w:val="21"/>
                <w:highlight w:val="none"/>
              </w:rPr>
              <w:t>，且执业年限</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年以上</w:t>
            </w:r>
            <w:r>
              <w:rPr>
                <w:rFonts w:hint="eastAsia" w:ascii="宋体" w:hAnsi="宋体" w:eastAsia="宋体" w:cs="宋体"/>
                <w:color w:val="auto"/>
                <w:szCs w:val="21"/>
                <w:highlight w:val="none"/>
                <w:lang w:val="en-US" w:eastAsia="zh-CN"/>
              </w:rPr>
              <w:t>的得1分，本项最高2分</w:t>
            </w:r>
            <w:r>
              <w:rPr>
                <w:rFonts w:hint="eastAsia" w:ascii="宋体" w:hAnsi="宋体" w:eastAsia="宋体" w:cs="宋体"/>
                <w:color w:val="auto"/>
                <w:szCs w:val="21"/>
                <w:highlight w:val="none"/>
                <w:lang w:eastAsia="zh-CN"/>
              </w:rPr>
              <w:t>；</w:t>
            </w:r>
          </w:p>
          <w:p w14:paraId="35D291DB">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拟派项目团队成员</w:t>
            </w:r>
            <w:r>
              <w:rPr>
                <w:rFonts w:hint="eastAsia" w:ascii="宋体" w:hAnsi="宋体" w:eastAsia="宋体" w:cs="宋体"/>
                <w:color w:val="auto"/>
                <w:szCs w:val="21"/>
                <w:highlight w:val="none"/>
                <w:lang w:val="en-US" w:eastAsia="zh-CN"/>
              </w:rPr>
              <w:t>中每有1人取得注册会计师证书</w:t>
            </w:r>
            <w:r>
              <w:rPr>
                <w:rFonts w:hint="eastAsia" w:ascii="宋体" w:hAnsi="宋体" w:eastAsia="宋体" w:cs="宋体"/>
                <w:color w:val="auto"/>
                <w:szCs w:val="21"/>
                <w:highlight w:val="none"/>
              </w:rPr>
              <w:t>，且</w:t>
            </w:r>
            <w:r>
              <w:rPr>
                <w:rFonts w:hint="eastAsia" w:ascii="宋体" w:hAnsi="宋体" w:eastAsia="宋体" w:cs="宋体"/>
                <w:color w:val="auto"/>
                <w:szCs w:val="21"/>
                <w:highlight w:val="none"/>
                <w:lang w:val="en-US" w:eastAsia="zh-CN"/>
              </w:rPr>
              <w:t>有3</w:t>
            </w:r>
            <w:r>
              <w:rPr>
                <w:rFonts w:hint="eastAsia" w:ascii="宋体" w:hAnsi="宋体" w:eastAsia="宋体" w:cs="宋体"/>
                <w:color w:val="auto"/>
                <w:szCs w:val="21"/>
                <w:highlight w:val="none"/>
              </w:rPr>
              <w:t>年以上</w:t>
            </w:r>
            <w:r>
              <w:rPr>
                <w:rFonts w:hint="eastAsia" w:ascii="宋体" w:hAnsi="宋体" w:eastAsia="宋体" w:cs="宋体"/>
                <w:color w:val="auto"/>
                <w:szCs w:val="21"/>
                <w:highlight w:val="none"/>
                <w:lang w:val="en-US" w:eastAsia="zh-CN"/>
              </w:rPr>
              <w:t>从业经验的得1分，本项最高1分；</w:t>
            </w:r>
          </w:p>
          <w:p w14:paraId="12A189C9">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拟派项目团队成员</w:t>
            </w:r>
            <w:r>
              <w:rPr>
                <w:rFonts w:hint="eastAsia" w:ascii="宋体" w:hAnsi="宋体" w:eastAsia="宋体" w:cs="宋体"/>
                <w:color w:val="auto"/>
                <w:szCs w:val="21"/>
                <w:highlight w:val="none"/>
                <w:lang w:val="en-US" w:eastAsia="zh-CN"/>
              </w:rPr>
              <w:t>中每有1人具备有效的房地产估价师职业资格或土地估价师资格</w:t>
            </w:r>
            <w:r>
              <w:rPr>
                <w:rFonts w:hint="eastAsia" w:ascii="宋体" w:hAnsi="宋体" w:eastAsia="宋体" w:cs="宋体"/>
                <w:color w:val="auto"/>
                <w:szCs w:val="21"/>
                <w:highlight w:val="none"/>
              </w:rPr>
              <w:t>，且</w:t>
            </w:r>
            <w:r>
              <w:rPr>
                <w:rFonts w:hint="eastAsia" w:ascii="宋体" w:hAnsi="宋体" w:eastAsia="宋体" w:cs="宋体"/>
                <w:color w:val="auto"/>
                <w:szCs w:val="21"/>
                <w:highlight w:val="none"/>
                <w:lang w:val="en-US" w:eastAsia="zh-CN"/>
              </w:rPr>
              <w:t>有3</w:t>
            </w:r>
            <w:r>
              <w:rPr>
                <w:rFonts w:hint="eastAsia" w:ascii="宋体" w:hAnsi="宋体" w:eastAsia="宋体" w:cs="宋体"/>
                <w:color w:val="auto"/>
                <w:szCs w:val="21"/>
                <w:highlight w:val="none"/>
              </w:rPr>
              <w:t>年以上</w:t>
            </w:r>
            <w:r>
              <w:rPr>
                <w:rFonts w:hint="eastAsia" w:ascii="宋体" w:hAnsi="宋体" w:eastAsia="宋体" w:cs="宋体"/>
                <w:color w:val="auto"/>
                <w:szCs w:val="21"/>
                <w:highlight w:val="none"/>
                <w:lang w:val="en-US" w:eastAsia="zh-CN"/>
              </w:rPr>
              <w:t>从业经验的得1分，本项最高1分；</w:t>
            </w:r>
          </w:p>
          <w:p w14:paraId="6EFC7B7B">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拟派项目团队成员</w:t>
            </w:r>
            <w:r>
              <w:rPr>
                <w:rFonts w:hint="eastAsia" w:ascii="宋体" w:hAnsi="宋体" w:eastAsia="宋体" w:cs="宋体"/>
                <w:color w:val="auto"/>
                <w:szCs w:val="21"/>
                <w:highlight w:val="none"/>
                <w:lang w:val="en-US" w:eastAsia="zh-CN"/>
              </w:rPr>
              <w:t>中每有1人具备注册资产评估师资格</w:t>
            </w:r>
            <w:r>
              <w:rPr>
                <w:rFonts w:hint="eastAsia" w:ascii="宋体" w:hAnsi="宋体" w:eastAsia="宋体" w:cs="宋体"/>
                <w:color w:val="auto"/>
                <w:szCs w:val="21"/>
                <w:highlight w:val="none"/>
              </w:rPr>
              <w:t>，且</w:t>
            </w:r>
            <w:r>
              <w:rPr>
                <w:rFonts w:hint="eastAsia" w:ascii="宋体" w:hAnsi="宋体" w:eastAsia="宋体" w:cs="宋体"/>
                <w:color w:val="auto"/>
                <w:szCs w:val="21"/>
                <w:highlight w:val="none"/>
                <w:lang w:val="en-US" w:eastAsia="zh-CN"/>
              </w:rPr>
              <w:t>有3</w:t>
            </w:r>
            <w:r>
              <w:rPr>
                <w:rFonts w:hint="eastAsia" w:ascii="宋体" w:hAnsi="宋体" w:eastAsia="宋体" w:cs="宋体"/>
                <w:color w:val="auto"/>
                <w:szCs w:val="21"/>
                <w:highlight w:val="none"/>
              </w:rPr>
              <w:t>年以上</w:t>
            </w:r>
            <w:r>
              <w:rPr>
                <w:rFonts w:hint="eastAsia" w:ascii="宋体" w:hAnsi="宋体" w:eastAsia="宋体" w:cs="宋体"/>
                <w:color w:val="auto"/>
                <w:szCs w:val="21"/>
                <w:highlight w:val="none"/>
                <w:lang w:val="en-US" w:eastAsia="zh-CN"/>
              </w:rPr>
              <w:t>从业经验的得1分，本项最高1分。</w:t>
            </w:r>
          </w:p>
          <w:p w14:paraId="3A7F243E">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备注：提供证书、个人社保证明材料并加盖公章，无证明材料或证明材料不明确的，不予认可。</w:t>
            </w:r>
          </w:p>
          <w:p w14:paraId="5E4BFBB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人员岗位职责</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满分6分</w:t>
            </w:r>
            <w:r>
              <w:rPr>
                <w:rFonts w:hint="eastAsia" w:ascii="宋体" w:hAnsi="宋体" w:eastAsia="宋体" w:cs="宋体"/>
                <w:color w:val="auto"/>
                <w:szCs w:val="21"/>
                <w:highlight w:val="none"/>
                <w:lang w:eastAsia="zh-CN"/>
              </w:rPr>
              <w:t>）</w:t>
            </w:r>
          </w:p>
          <w:p w14:paraId="7688DFD0">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拟派往本项目的人员配置方案内容完整详细</w:t>
            </w:r>
            <w:r>
              <w:rPr>
                <w:rFonts w:hint="eastAsia" w:ascii="宋体" w:hAnsi="宋体" w:eastAsia="宋体" w:cs="宋体"/>
                <w:color w:val="auto"/>
                <w:szCs w:val="21"/>
                <w:highlight w:val="none"/>
                <w:lang w:eastAsia="zh-CN"/>
              </w:rPr>
              <w:t>明确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有完善且科学严谨的人员管理体系；</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岗位职责分工明确，年龄结构合理</w:t>
            </w:r>
            <w:r>
              <w:rPr>
                <w:rFonts w:hint="eastAsia" w:ascii="宋体" w:hAnsi="宋体" w:eastAsia="宋体" w:cs="宋体"/>
                <w:color w:val="auto"/>
                <w:szCs w:val="21"/>
                <w:highlight w:val="none"/>
                <w:lang w:eastAsia="zh-CN"/>
              </w:rPr>
              <w:t>。</w:t>
            </w:r>
          </w:p>
          <w:p w14:paraId="0E5FD5D0">
            <w:pPr>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w:t>
            </w:r>
            <w:r>
              <w:rPr>
                <w:rFonts w:hint="eastAsia" w:ascii="宋体" w:hAnsi="宋体" w:eastAsia="宋体" w:cs="宋体"/>
                <w:color w:val="auto"/>
                <w:szCs w:val="21"/>
                <w:highlight w:val="none"/>
                <w:lang w:val="en-US" w:eastAsia="zh-CN"/>
              </w:rPr>
              <w:t>①②③共3</w:t>
            </w:r>
            <w:r>
              <w:rPr>
                <w:rFonts w:hint="eastAsia" w:ascii="宋体" w:hAnsi="宋体" w:eastAsia="宋体" w:cs="宋体"/>
                <w:color w:val="auto"/>
                <w:szCs w:val="21"/>
                <w:highlight w:val="none"/>
              </w:rPr>
              <w:t>项内容科学合理、完整具体，针对性强，可行性强，完全满足相关规定及采购人实际情况的，每项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分，共</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分，否则评委根据以下原则对每项内容进行扣分，扣完为止。</w:t>
            </w:r>
          </w:p>
          <w:p w14:paraId="135AFFEA">
            <w:pPr>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不完整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不科学</w:t>
            </w:r>
            <w:r>
              <w:rPr>
                <w:rFonts w:hint="eastAsia" w:ascii="宋体" w:hAnsi="宋体" w:eastAsia="宋体" w:cs="宋体"/>
                <w:color w:val="auto"/>
                <w:szCs w:val="21"/>
                <w:highlight w:val="none"/>
              </w:rPr>
              <w:t>的每项扣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05D15001">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②与本项目不相符</w:t>
            </w:r>
            <w:r>
              <w:rPr>
                <w:rFonts w:hint="eastAsia" w:ascii="宋体" w:hAnsi="宋体" w:eastAsia="宋体" w:cs="宋体"/>
                <w:color w:val="auto"/>
                <w:szCs w:val="21"/>
                <w:highlight w:val="none"/>
                <w:lang w:val="en-US" w:eastAsia="zh-CN"/>
              </w:rPr>
              <w:t>或与项目联系</w:t>
            </w:r>
            <w:r>
              <w:rPr>
                <w:rFonts w:hint="eastAsia" w:ascii="宋体" w:hAnsi="宋体" w:eastAsia="宋体" w:cs="宋体"/>
                <w:color w:val="auto"/>
                <w:szCs w:val="21"/>
                <w:highlight w:val="none"/>
              </w:rPr>
              <w:t>不紧密的每项扣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r>
      <w:tr w14:paraId="4AB2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noWrap w:val="0"/>
            <w:vAlign w:val="center"/>
          </w:tcPr>
          <w:p w14:paraId="28EA0EE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172" w:type="dxa"/>
            <w:vMerge w:val="continue"/>
            <w:noWrap w:val="0"/>
            <w:vAlign w:val="center"/>
          </w:tcPr>
          <w:p w14:paraId="151D109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color w:val="auto"/>
                <w:spacing w:val="0"/>
                <w:sz w:val="21"/>
                <w:szCs w:val="21"/>
                <w:highlight w:val="none"/>
              </w:rPr>
            </w:pPr>
          </w:p>
        </w:tc>
        <w:tc>
          <w:tcPr>
            <w:tcW w:w="1531" w:type="dxa"/>
            <w:gridSpan w:val="2"/>
            <w:noWrap w:val="0"/>
            <w:vAlign w:val="center"/>
          </w:tcPr>
          <w:p w14:paraId="69D6ECB5">
            <w:pPr>
              <w:pageBreakBefore w:val="0"/>
              <w:topLinePunct w:val="0"/>
              <w:bidi w:val="0"/>
              <w:adjustRightInd w:val="0"/>
              <w:snapToGrid w:val="0"/>
              <w:spacing w:line="360" w:lineRule="auto"/>
              <w:jc w:val="center"/>
              <w:rPr>
                <w:rFonts w:hint="eastAsia" w:ascii="宋体" w:hAnsi="宋体" w:cs="宋体"/>
                <w:b/>
                <w:bCs w:val="0"/>
                <w:color w:val="auto"/>
                <w:spacing w:val="0"/>
                <w:sz w:val="21"/>
                <w:szCs w:val="21"/>
                <w:highlight w:val="none"/>
                <w:lang w:val="en-US" w:eastAsia="zh-CN"/>
              </w:rPr>
            </w:pPr>
            <w:r>
              <w:rPr>
                <w:rFonts w:hint="eastAsia" w:ascii="宋体" w:hAnsi="宋体" w:cs="宋体"/>
                <w:b/>
                <w:bCs/>
                <w:color w:val="auto"/>
                <w:szCs w:val="21"/>
                <w:highlight w:val="none"/>
              </w:rPr>
              <w:t>类似项目业绩评审评分</w:t>
            </w:r>
          </w:p>
        </w:tc>
        <w:tc>
          <w:tcPr>
            <w:tcW w:w="817" w:type="dxa"/>
            <w:gridSpan w:val="2"/>
            <w:noWrap w:val="0"/>
            <w:vAlign w:val="center"/>
          </w:tcPr>
          <w:p w14:paraId="6477101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Cs/>
                <w:color w:val="auto"/>
                <w:spacing w:val="0"/>
                <w:sz w:val="21"/>
                <w:szCs w:val="21"/>
                <w:highlight w:val="none"/>
                <w:lang w:val="en-US" w:eastAsia="zh-CN"/>
              </w:rPr>
            </w:pPr>
            <w:r>
              <w:rPr>
                <w:rFonts w:hint="eastAsia" w:ascii="宋体" w:hAnsi="宋体" w:eastAsia="宋体" w:cs="宋体"/>
                <w:bCs/>
                <w:color w:val="auto"/>
                <w:spacing w:val="0"/>
                <w:sz w:val="21"/>
                <w:szCs w:val="21"/>
                <w:highlight w:val="none"/>
                <w:lang w:val="en-US" w:eastAsia="zh-CN"/>
              </w:rPr>
              <w:t>6</w:t>
            </w:r>
          </w:p>
        </w:tc>
        <w:tc>
          <w:tcPr>
            <w:tcW w:w="5954" w:type="dxa"/>
            <w:gridSpan w:val="2"/>
            <w:noWrap w:val="0"/>
            <w:vAlign w:val="top"/>
          </w:tcPr>
          <w:p w14:paraId="176E3352">
            <w:pPr>
              <w:pageBreakBefore w:val="0"/>
              <w:topLinePunct w:val="0"/>
              <w:bidi w:val="0"/>
              <w:adjustRightInd w:val="0"/>
              <w:snapToGrid w:val="0"/>
              <w:spacing w:line="360" w:lineRule="auto"/>
              <w:rPr>
                <w:rFonts w:hint="eastAsia" w:ascii="宋体" w:hAnsi="宋体" w:eastAsia="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3</w:t>
            </w:r>
            <w:r>
              <w:rPr>
                <w:rFonts w:hint="eastAsia" w:ascii="宋体" w:hAnsi="宋体" w:cs="宋体"/>
                <w:color w:val="auto"/>
                <w:highlight w:val="none"/>
              </w:rPr>
              <w:t>年1月1日至今</w:t>
            </w:r>
            <w:r>
              <w:rPr>
                <w:rFonts w:hint="eastAsia"/>
                <w:color w:val="auto"/>
                <w:highlight w:val="none"/>
              </w:rPr>
              <w:t>，供应商具有类似项目业绩，每</w:t>
            </w:r>
            <w:r>
              <w:rPr>
                <w:rFonts w:hint="eastAsia"/>
                <w:color w:val="auto"/>
                <w:highlight w:val="none"/>
                <w:lang w:val="en-US" w:eastAsia="zh-CN"/>
              </w:rPr>
              <w:t>提供</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个得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p w14:paraId="0A2AD259">
            <w:pPr>
              <w:rPr>
                <w:rFonts w:hint="eastAsia" w:ascii="宋体" w:hAnsi="宋体" w:eastAsia="宋体" w:cs="宋体"/>
                <w:color w:val="auto"/>
                <w:highlight w:val="none"/>
              </w:rPr>
            </w:pPr>
            <w:r>
              <w:rPr>
                <w:rFonts w:hint="eastAsia" w:ascii="Times New Roman" w:hAnsi="Times New Roman" w:eastAsia="宋体" w:cs="Times New Roman"/>
                <w:b/>
                <w:color w:val="auto"/>
                <w:highlight w:val="none"/>
              </w:rPr>
              <w:t>注：类似项目业绩指</w:t>
            </w:r>
            <w:r>
              <w:rPr>
                <w:rFonts w:hint="eastAsia" w:ascii="Times New Roman" w:hAnsi="Times New Roman" w:eastAsia="宋体" w:cs="Times New Roman"/>
                <w:b/>
                <w:color w:val="auto"/>
                <w:highlight w:val="none"/>
                <w:lang w:val="en-US" w:eastAsia="zh-CN"/>
              </w:rPr>
              <w:t>资产清查及重整或资产处置或国企改制或债权收购尽调等法律咨询</w:t>
            </w:r>
            <w:r>
              <w:rPr>
                <w:rFonts w:hint="eastAsia" w:ascii="Times New Roman" w:hAnsi="Times New Roman" w:eastAsia="宋体" w:cs="Times New Roman"/>
                <w:b/>
                <w:color w:val="auto"/>
                <w:highlight w:val="none"/>
              </w:rPr>
              <w:t>服务项目。业绩证明材料提供合</w:t>
            </w:r>
            <w:r>
              <w:rPr>
                <w:rFonts w:hint="eastAsia"/>
                <w:b/>
                <w:color w:val="auto"/>
                <w:highlight w:val="none"/>
              </w:rPr>
              <w:t>同</w:t>
            </w:r>
            <w:r>
              <w:rPr>
                <w:rFonts w:hint="eastAsia"/>
                <w:b/>
                <w:color w:val="auto"/>
                <w:highlight w:val="none"/>
                <w:lang w:val="en-US" w:eastAsia="zh-CN"/>
              </w:rPr>
              <w:t>协议书</w:t>
            </w:r>
            <w:r>
              <w:rPr>
                <w:rFonts w:hint="eastAsia"/>
                <w:b/>
                <w:color w:val="auto"/>
                <w:highlight w:val="none"/>
              </w:rPr>
              <w:t>扫描件或中标（成交）通知书扫描件或业主证明材料</w:t>
            </w:r>
            <w:r>
              <w:rPr>
                <w:rFonts w:hint="eastAsia"/>
                <w:b/>
                <w:color w:val="auto"/>
                <w:highlight w:val="none"/>
                <w:lang w:val="en-US" w:eastAsia="zh-CN"/>
              </w:rPr>
              <w:t>等</w:t>
            </w:r>
            <w:r>
              <w:rPr>
                <w:rFonts w:hint="eastAsia"/>
                <w:b/>
                <w:color w:val="auto"/>
                <w:highlight w:val="none"/>
              </w:rPr>
              <w:t>。</w:t>
            </w:r>
          </w:p>
        </w:tc>
      </w:tr>
    </w:tbl>
    <w:p w14:paraId="6FE3430C">
      <w:pPr>
        <w:pStyle w:val="10"/>
        <w:keepNext w:val="0"/>
        <w:keepLines w:val="0"/>
        <w:pageBreakBefore w:val="0"/>
        <w:widowControl w:val="0"/>
        <w:tabs>
          <w:tab w:val="left" w:pos="540"/>
        </w:tabs>
        <w:kinsoku/>
        <w:wordWrap/>
        <w:overflowPunct/>
        <w:topLinePunct w:val="0"/>
        <w:autoSpaceDE/>
        <w:autoSpaceDN/>
        <w:bidi w:val="0"/>
        <w:adjustRightInd w:val="0"/>
        <w:snapToGrid/>
        <w:spacing w:line="360" w:lineRule="auto"/>
        <w:textAlignment w:val="auto"/>
        <w:rPr>
          <w:rFonts w:hint="eastAsia" w:ascii="宋体" w:hAnsi="宋体" w:eastAsia="宋体"/>
          <w:b/>
          <w:color w:val="auto"/>
          <w:spacing w:val="0"/>
          <w:kern w:val="2"/>
          <w:sz w:val="21"/>
          <w:szCs w:val="21"/>
          <w:highlight w:val="none"/>
        </w:rPr>
      </w:pPr>
    </w:p>
    <w:p w14:paraId="57A525EE">
      <w:pPr>
        <w:pStyle w:val="10"/>
        <w:keepNext w:val="0"/>
        <w:keepLines w:val="0"/>
        <w:pageBreakBefore w:val="0"/>
        <w:widowControl w:val="0"/>
        <w:tabs>
          <w:tab w:val="left" w:pos="540"/>
        </w:tabs>
        <w:kinsoku/>
        <w:wordWrap/>
        <w:overflowPunct/>
        <w:topLinePunct w:val="0"/>
        <w:autoSpaceDE/>
        <w:autoSpaceDN/>
        <w:bidi w:val="0"/>
        <w:adjustRightInd w:val="0"/>
        <w:snapToGrid/>
        <w:spacing w:line="360" w:lineRule="auto"/>
        <w:textAlignment w:val="auto"/>
        <w:rPr>
          <w:rFonts w:hint="eastAsia" w:hAnsi="宋体"/>
          <w:b/>
          <w:bCs/>
          <w:color w:val="auto"/>
          <w:spacing w:val="0"/>
          <w:sz w:val="21"/>
          <w:szCs w:val="21"/>
          <w:highlight w:val="none"/>
        </w:rPr>
      </w:pPr>
      <w:r>
        <w:rPr>
          <w:rFonts w:hint="eastAsia" w:ascii="宋体" w:hAnsi="宋体" w:eastAsia="宋体"/>
          <w:b/>
          <w:color w:val="auto"/>
          <w:spacing w:val="0"/>
          <w:kern w:val="2"/>
          <w:sz w:val="21"/>
          <w:szCs w:val="21"/>
          <w:highlight w:val="none"/>
        </w:rPr>
        <w:t>1. 磋商方法：</w:t>
      </w:r>
    </w:p>
    <w:p w14:paraId="137E938D">
      <w:pPr>
        <w:pStyle w:val="10"/>
        <w:keepNext w:val="0"/>
        <w:keepLines w:val="0"/>
        <w:pageBreakBefore w:val="0"/>
        <w:widowControl w:val="0"/>
        <w:tabs>
          <w:tab w:val="left" w:pos="540"/>
        </w:tabs>
        <w:kinsoku/>
        <w:wordWrap/>
        <w:overflowPunct/>
        <w:topLinePunct w:val="0"/>
        <w:bidi w:val="0"/>
        <w:adjustRightInd w:val="0"/>
        <w:snapToGrid/>
        <w:spacing w:line="360" w:lineRule="auto"/>
        <w:ind w:left="0" w:firstLine="422" w:firstLineChars="200"/>
        <w:textAlignment w:val="auto"/>
        <w:rPr>
          <w:rFonts w:hint="eastAsia" w:ascii="宋体" w:hAnsi="宋体" w:eastAsia="宋体"/>
          <w:color w:val="auto"/>
          <w:spacing w:val="0"/>
          <w:sz w:val="21"/>
          <w:szCs w:val="21"/>
          <w:highlight w:val="none"/>
        </w:rPr>
      </w:pPr>
      <w:r>
        <w:rPr>
          <w:rFonts w:hint="eastAsia" w:ascii="宋体" w:hAnsi="宋体" w:eastAsia="宋体"/>
          <w:b/>
          <w:bCs/>
          <w:color w:val="auto"/>
          <w:spacing w:val="0"/>
          <w:sz w:val="21"/>
          <w:szCs w:val="21"/>
          <w:highlight w:val="none"/>
        </w:rPr>
        <w:t>1.1本次磋商采用综合评分法。</w:t>
      </w:r>
      <w:r>
        <w:rPr>
          <w:rFonts w:hint="eastAsia" w:ascii="宋体" w:hAnsi="宋体" w:eastAsia="宋体"/>
          <w:color w:val="auto"/>
          <w:spacing w:val="0"/>
          <w:kern w:val="2"/>
          <w:sz w:val="21"/>
          <w:szCs w:val="21"/>
          <w:highlight w:val="none"/>
        </w:rPr>
        <w:t>磋商小组将根据评审办法计算出各供应商的综合得分，按得分由高到低推荐成交候选人排序；最终磋商小组将根据评审后的总得分由高到低顺序排列推荐不少于3个成交候选人。</w:t>
      </w:r>
    </w:p>
    <w:p w14:paraId="3F112333">
      <w:pPr>
        <w:keepNext w:val="0"/>
        <w:keepLines w:val="0"/>
        <w:pageBreakBefore w:val="0"/>
        <w:widowControl w:val="0"/>
        <w:kinsoku/>
        <w:wordWrap/>
        <w:overflowPunct/>
        <w:topLinePunct w:val="0"/>
        <w:bidi w:val="0"/>
        <w:snapToGrid/>
        <w:spacing w:line="360" w:lineRule="auto"/>
        <w:ind w:left="0"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1.2 关于中小企业：</w:t>
      </w:r>
    </w:p>
    <w:p w14:paraId="21FCD43E">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1.2.1根据《关于印发&lt;政府采购促进中小企业发展管理办法&gt;的通知》（财库【2020】46号）的规定，供应商提供的货物、工程或者服务符合下列情形的，享受评标方法中小企业扶持政策：</w:t>
      </w:r>
    </w:p>
    <w:p w14:paraId="3715E9CD">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（一）在货物采购项目中，货物由中小企业制造，即货物由中小企业生产且使用该中小企业商号或者注册商标；</w:t>
      </w:r>
    </w:p>
    <w:p w14:paraId="67908124">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（二）在工程采购项目中，工程由中小企业承建，即工程施工单位为中小企业；</w:t>
      </w:r>
    </w:p>
    <w:p w14:paraId="71FFEFFA">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（三）在服务采购项目中，服务由中小企业承接，即提供服务的人员为中小企业依照《中华人民共和国劳动合同法》订立劳动合同的从业人员。</w:t>
      </w:r>
    </w:p>
    <w:p w14:paraId="70E235E0">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在货物采购项目中，供应商提供的货物既有中小企业制造货物，也有大型企业制造货物的，不享受评标方法规定的中小企业扶持政策。</w:t>
      </w:r>
    </w:p>
    <w:p w14:paraId="4AA44FEE">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以联合体形式参加政府采购活动，联合体各方均为中小企业的，联合体视同中小企业。其中，联合体各方均为小微企业的，联合体视同小微企业。</w:t>
      </w:r>
    </w:p>
    <w:p w14:paraId="72C25C40">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1.2.2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D1BBBBE">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符合中小企业划分标准的个体工商户，在政府采购活动中视同中小企业。</w:t>
      </w:r>
    </w:p>
    <w:p w14:paraId="2C9A923D">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1.2.3</w:t>
      </w:r>
      <w:r>
        <w:rPr>
          <w:rFonts w:hint="eastAsia" w:ascii="宋体" w:hAnsi="宋体"/>
          <w:b/>
          <w:bCs/>
          <w:color w:val="auto"/>
          <w:sz w:val="21"/>
          <w:szCs w:val="21"/>
          <w:highlight w:val="none"/>
        </w:rPr>
        <w:t>中小企业参加政府采购活动，应当出具《中小企业声明函》（详见《响应文件格式》），否则不得享受相关中小企业扶持政策。</w:t>
      </w:r>
    </w:p>
    <w:p w14:paraId="16793D56">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1.3关于监狱企业：</w:t>
      </w:r>
    </w:p>
    <w:p w14:paraId="50EE8D6B">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1.3.1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设区的市</w:t>
      </w:r>
      <w:r>
        <w:rPr>
          <w:rFonts w:hint="eastAsia" w:ascii="宋体" w:hAnsi="宋体"/>
          <w:color w:val="auto"/>
          <w:sz w:val="21"/>
          <w:szCs w:val="21"/>
          <w:highlight w:val="none"/>
          <w:lang w:eastAsia="zh-CN"/>
        </w:rPr>
        <w:t>）</w:t>
      </w:r>
      <w:r>
        <w:rPr>
          <w:rFonts w:hint="eastAsia" w:ascii="宋体" w:hAnsi="宋体"/>
          <w:color w:val="auto"/>
          <w:sz w:val="21"/>
          <w:szCs w:val="21"/>
          <w:highlight w:val="none"/>
        </w:rPr>
        <w:t>监狱、强制隔离戒毒所、戒毒康复所，以及新疆生产建设兵团监狱管理局、戒毒管理局的企业，监狱企业参加政府采购活动时，应当提供由省级以上监狱管理局、戒毒管理局</w:t>
      </w:r>
      <w:r>
        <w:rPr>
          <w:rFonts w:hint="eastAsia" w:ascii="宋体" w:hAnsi="宋体"/>
          <w:color w:val="auto"/>
          <w:sz w:val="21"/>
          <w:szCs w:val="21"/>
          <w:highlight w:val="none"/>
          <w:lang w:eastAsia="zh-CN"/>
        </w:rPr>
        <w:t>（</w:t>
      </w:r>
      <w:r>
        <w:rPr>
          <w:rFonts w:hint="eastAsia" w:ascii="宋体" w:hAnsi="宋体"/>
          <w:color w:val="auto"/>
          <w:sz w:val="21"/>
          <w:szCs w:val="21"/>
          <w:highlight w:val="none"/>
        </w:rPr>
        <w:t>含新疆生产建设兵团</w:t>
      </w:r>
      <w:r>
        <w:rPr>
          <w:rFonts w:hint="eastAsia" w:ascii="宋体" w:hAnsi="宋体"/>
          <w:color w:val="auto"/>
          <w:sz w:val="21"/>
          <w:szCs w:val="21"/>
          <w:highlight w:val="none"/>
          <w:lang w:eastAsia="zh-CN"/>
        </w:rPr>
        <w:t>）</w:t>
      </w:r>
      <w:r>
        <w:rPr>
          <w:rFonts w:hint="eastAsia" w:ascii="宋体" w:hAnsi="宋体"/>
          <w:color w:val="auto"/>
          <w:sz w:val="21"/>
          <w:szCs w:val="21"/>
          <w:highlight w:val="none"/>
        </w:rPr>
        <w:t>出具的属于监狱企业的证明文件。</w:t>
      </w:r>
    </w:p>
    <w:p w14:paraId="03AD7157">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1.4残疾人福利性单位</w:t>
      </w:r>
    </w:p>
    <w:p w14:paraId="6F764145">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1.4.1根据《财政部 民政部 中国残疾人联合会关于促进残疾人就业政府采购政策的通知》，享受政府采购支持政策的残疾人福利性单位应当同时满足以下条件：</w:t>
      </w:r>
    </w:p>
    <w:p w14:paraId="693457E8">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（1）安置的残疾人占本单位在职职工人数的比例不低于25%（含25%），并且安置的残疾人人数不少于10人（含10人）；</w:t>
      </w:r>
    </w:p>
    <w:p w14:paraId="17F87F35">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（2）依法与安置的每位残疾人签订了一年以上（含一年）的劳动合同或服务协议；</w:t>
      </w:r>
    </w:p>
    <w:p w14:paraId="6B955743">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（3）为安置的每位残疾人按月足额缴纳了基本养老保险、基本医疗保险、失业保险、工伤保险和生育保险等社会保险费；</w:t>
      </w:r>
    </w:p>
    <w:p w14:paraId="28570CF8">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（4）通过银行等金融机构向安置的每位残疾人，按月支付了不低于单位所在区县适用的经省级人民政府批准的月最低工资标准的工资；</w:t>
      </w:r>
    </w:p>
    <w:p w14:paraId="65005296">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14:paraId="11877625">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DA4E32">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1.4.2符合条件的残疾人福利性单位在参加政府采购活动时，应当提供《残疾人福利性单位声明函》，并对声明的真实性负责。</w:t>
      </w:r>
    </w:p>
    <w:p w14:paraId="26C0F453">
      <w:pPr>
        <w:pStyle w:val="9"/>
        <w:keepNext w:val="0"/>
        <w:keepLines w:val="0"/>
        <w:pageBreakBefore w:val="0"/>
        <w:widowControl w:val="0"/>
        <w:tabs>
          <w:tab w:val="left" w:pos="2472"/>
        </w:tabs>
        <w:kinsoku/>
        <w:wordWrap/>
        <w:overflowPunct/>
        <w:topLinePunct w:val="0"/>
        <w:bidi w:val="0"/>
        <w:snapToGrid/>
        <w:spacing w:line="360" w:lineRule="auto"/>
        <w:textAlignment w:val="auto"/>
        <w:rPr>
          <w:rFonts w:hint="eastAsia" w:hAnsi="宋体"/>
          <w:b/>
          <w:bCs/>
          <w:color w:val="auto"/>
          <w:sz w:val="21"/>
          <w:szCs w:val="21"/>
          <w:highlight w:val="none"/>
        </w:rPr>
      </w:pPr>
      <w:r>
        <w:rPr>
          <w:rFonts w:hint="eastAsia" w:hAnsi="宋体"/>
          <w:b/>
          <w:bCs/>
          <w:color w:val="auto"/>
          <w:sz w:val="21"/>
          <w:szCs w:val="21"/>
          <w:highlight w:val="none"/>
        </w:rPr>
        <w:t>2. 评审标准</w:t>
      </w:r>
    </w:p>
    <w:p w14:paraId="41327C8E">
      <w:pPr>
        <w:pStyle w:val="9"/>
        <w:keepNext w:val="0"/>
        <w:keepLines w:val="0"/>
        <w:pageBreakBefore w:val="0"/>
        <w:widowControl w:val="0"/>
        <w:tabs>
          <w:tab w:val="left" w:pos="2472"/>
        </w:tabs>
        <w:kinsoku/>
        <w:wordWrap/>
        <w:overflowPunct/>
        <w:topLinePunct w:val="0"/>
        <w:bidi w:val="0"/>
        <w:snapToGrid/>
        <w:spacing w:line="360" w:lineRule="auto"/>
        <w:ind w:left="0" w:firstLine="422" w:firstLineChars="200"/>
        <w:textAlignment w:val="auto"/>
        <w:rPr>
          <w:rFonts w:hAnsi="宋体"/>
          <w:color w:val="auto"/>
          <w:sz w:val="21"/>
          <w:szCs w:val="21"/>
          <w:highlight w:val="none"/>
        </w:rPr>
      </w:pPr>
      <w:r>
        <w:rPr>
          <w:rFonts w:hint="eastAsia" w:hAnsi="宋体"/>
          <w:b/>
          <w:bCs/>
          <w:color w:val="auto"/>
          <w:sz w:val="21"/>
          <w:szCs w:val="21"/>
          <w:highlight w:val="none"/>
        </w:rPr>
        <w:t>2.1实质性评审标准</w:t>
      </w:r>
    </w:p>
    <w:p w14:paraId="35F7AFE7">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2.1.1资格评审标准：</w:t>
      </w:r>
      <w:r>
        <w:rPr>
          <w:rFonts w:ascii="宋体" w:hAnsi="宋体"/>
          <w:color w:val="auto"/>
          <w:sz w:val="21"/>
          <w:szCs w:val="21"/>
          <w:highlight w:val="none"/>
        </w:rPr>
        <w:t>依据法律法规和</w:t>
      </w:r>
      <w:r>
        <w:rPr>
          <w:rFonts w:hint="eastAsia" w:ascii="宋体" w:hAnsi="宋体"/>
          <w:color w:val="auto"/>
          <w:sz w:val="21"/>
          <w:szCs w:val="21"/>
          <w:highlight w:val="none"/>
        </w:rPr>
        <w:t>磋商</w:t>
      </w:r>
      <w:r>
        <w:rPr>
          <w:rFonts w:ascii="宋体" w:hAnsi="宋体"/>
          <w:color w:val="auto"/>
          <w:sz w:val="21"/>
          <w:szCs w:val="21"/>
          <w:highlight w:val="none"/>
        </w:rPr>
        <w:t>文件的规定，对</w:t>
      </w:r>
      <w:r>
        <w:rPr>
          <w:rFonts w:hint="eastAsia" w:ascii="宋体" w:hAnsi="宋体"/>
          <w:color w:val="auto"/>
          <w:sz w:val="21"/>
          <w:szCs w:val="21"/>
          <w:highlight w:val="none"/>
        </w:rPr>
        <w:t>响应</w:t>
      </w:r>
      <w:r>
        <w:rPr>
          <w:rFonts w:ascii="宋体" w:hAnsi="宋体"/>
          <w:color w:val="auto"/>
          <w:sz w:val="21"/>
          <w:szCs w:val="21"/>
          <w:highlight w:val="none"/>
        </w:rPr>
        <w:t>文件中的资格证明</w:t>
      </w:r>
      <w:r>
        <w:rPr>
          <w:rFonts w:hint="eastAsia" w:ascii="宋体" w:hAnsi="宋体"/>
          <w:color w:val="auto"/>
          <w:sz w:val="21"/>
          <w:szCs w:val="21"/>
          <w:highlight w:val="none"/>
        </w:rPr>
        <w:t>文件</w:t>
      </w:r>
      <w:r>
        <w:rPr>
          <w:rFonts w:ascii="宋体" w:hAnsi="宋体"/>
          <w:color w:val="auto"/>
          <w:sz w:val="21"/>
          <w:szCs w:val="21"/>
          <w:highlight w:val="none"/>
        </w:rPr>
        <w:t>、保证金等进行审查</w:t>
      </w:r>
      <w:r>
        <w:rPr>
          <w:rFonts w:hint="eastAsia" w:ascii="宋体" w:hAnsi="宋体"/>
          <w:color w:val="auto"/>
          <w:sz w:val="21"/>
          <w:szCs w:val="21"/>
          <w:highlight w:val="none"/>
        </w:rPr>
        <w:t>，</w:t>
      </w:r>
      <w:r>
        <w:rPr>
          <w:rFonts w:ascii="宋体" w:hAnsi="宋体"/>
          <w:color w:val="auto"/>
          <w:sz w:val="21"/>
          <w:szCs w:val="21"/>
          <w:highlight w:val="none"/>
        </w:rPr>
        <w:t>见评标方法前附表。</w:t>
      </w:r>
    </w:p>
    <w:p w14:paraId="5104895C">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int="eastAsia" w:hAnsi="宋体"/>
          <w:color w:val="auto"/>
          <w:sz w:val="21"/>
          <w:szCs w:val="21"/>
          <w:highlight w:val="none"/>
        </w:rPr>
      </w:pPr>
      <w:r>
        <w:rPr>
          <w:rFonts w:hint="eastAsia" w:hAnsi="宋体"/>
          <w:color w:val="auto"/>
          <w:sz w:val="21"/>
          <w:szCs w:val="21"/>
          <w:highlight w:val="none"/>
        </w:rPr>
        <w:t>2.1.2符合性评审标准：</w:t>
      </w:r>
      <w:r>
        <w:rPr>
          <w:rFonts w:hAnsi="宋体"/>
          <w:color w:val="auto"/>
          <w:sz w:val="21"/>
          <w:szCs w:val="21"/>
          <w:highlight w:val="none"/>
        </w:rPr>
        <w:t>依据</w:t>
      </w:r>
      <w:r>
        <w:rPr>
          <w:rFonts w:hint="eastAsia" w:hAnsi="宋体"/>
          <w:color w:val="auto"/>
          <w:sz w:val="21"/>
          <w:szCs w:val="21"/>
          <w:highlight w:val="none"/>
        </w:rPr>
        <w:t>磋商</w:t>
      </w:r>
      <w:r>
        <w:rPr>
          <w:rFonts w:hAnsi="宋体"/>
          <w:color w:val="auto"/>
          <w:sz w:val="21"/>
          <w:szCs w:val="21"/>
          <w:highlight w:val="none"/>
        </w:rPr>
        <w:t>文件的规定，从响应文件的有效性、完整性和对</w:t>
      </w:r>
      <w:r>
        <w:rPr>
          <w:rFonts w:hint="eastAsia" w:hAnsi="宋体"/>
          <w:color w:val="auto"/>
          <w:sz w:val="21"/>
          <w:szCs w:val="21"/>
          <w:highlight w:val="none"/>
        </w:rPr>
        <w:t>磋商</w:t>
      </w:r>
      <w:r>
        <w:rPr>
          <w:rFonts w:hAnsi="宋体"/>
          <w:color w:val="auto"/>
          <w:sz w:val="21"/>
          <w:szCs w:val="21"/>
          <w:highlight w:val="none"/>
        </w:rPr>
        <w:t>文件的响应程度进行审查，见评标方法前附表。</w:t>
      </w:r>
    </w:p>
    <w:p w14:paraId="0FAAAE53">
      <w:pPr>
        <w:keepNext w:val="0"/>
        <w:keepLines w:val="0"/>
        <w:pageBreakBefore w:val="0"/>
        <w:widowControl w:val="0"/>
        <w:kinsoku/>
        <w:wordWrap/>
        <w:overflowPunct/>
        <w:topLinePunct w:val="0"/>
        <w:autoSpaceDE/>
        <w:autoSpaceDN/>
        <w:bidi w:val="0"/>
        <w:adjustRightInd/>
        <w:snapToGrid/>
        <w:spacing w:before="0" w:after="0"/>
        <w:ind w:left="0" w:firstLine="420" w:firstLineChars="200"/>
        <w:jc w:val="both"/>
        <w:textAlignment w:val="auto"/>
        <w:outlineLvl w:val="9"/>
        <w:rPr>
          <w:rFonts w:hAnsi="宋体"/>
          <w:color w:val="auto"/>
          <w:sz w:val="21"/>
          <w:szCs w:val="21"/>
          <w:highlight w:val="none"/>
        </w:rPr>
      </w:pPr>
      <w:bookmarkStart w:id="353" w:name="_Toc432194880"/>
      <w:bookmarkStart w:id="354" w:name="_Toc321836408"/>
      <w:bookmarkStart w:id="355" w:name="_Toc8678"/>
      <w:bookmarkStart w:id="356" w:name="_Toc432106530"/>
      <w:bookmarkStart w:id="357" w:name="_Toc19819"/>
      <w:bookmarkStart w:id="358" w:name="_Toc8188"/>
      <w:r>
        <w:rPr>
          <w:rFonts w:hint="eastAsia" w:hAnsi="宋体"/>
          <w:color w:val="auto"/>
          <w:sz w:val="21"/>
          <w:szCs w:val="21"/>
          <w:highlight w:val="none"/>
        </w:rPr>
        <w:t>2</w:t>
      </w:r>
      <w:r>
        <w:rPr>
          <w:rFonts w:hAnsi="宋体"/>
          <w:color w:val="auto"/>
          <w:sz w:val="21"/>
          <w:szCs w:val="21"/>
          <w:highlight w:val="none"/>
        </w:rPr>
        <w:t>.2 分值构成与评分标准</w:t>
      </w:r>
      <w:bookmarkEnd w:id="353"/>
      <w:bookmarkEnd w:id="354"/>
      <w:bookmarkEnd w:id="355"/>
      <w:bookmarkEnd w:id="356"/>
      <w:bookmarkEnd w:id="357"/>
      <w:bookmarkEnd w:id="358"/>
    </w:p>
    <w:p w14:paraId="44382290">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outlineLvl w:val="0"/>
        <w:rPr>
          <w:rFonts w:hAnsi="宋体"/>
          <w:color w:val="auto"/>
          <w:sz w:val="21"/>
          <w:szCs w:val="21"/>
          <w:highlight w:val="none"/>
        </w:rPr>
      </w:pPr>
      <w:bookmarkStart w:id="359" w:name="_Toc29041"/>
      <w:r>
        <w:rPr>
          <w:rFonts w:hint="eastAsia" w:hAnsi="宋体"/>
          <w:color w:val="auto"/>
          <w:sz w:val="21"/>
          <w:szCs w:val="21"/>
          <w:highlight w:val="none"/>
        </w:rPr>
        <w:t>2</w:t>
      </w:r>
      <w:r>
        <w:rPr>
          <w:rFonts w:hAnsi="宋体"/>
          <w:color w:val="auto"/>
          <w:sz w:val="21"/>
          <w:szCs w:val="21"/>
          <w:highlight w:val="none"/>
        </w:rPr>
        <w:t>.2.1 分值构成</w:t>
      </w:r>
      <w:bookmarkEnd w:id="359"/>
    </w:p>
    <w:p w14:paraId="14D2C2F3">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磋商</w:t>
      </w:r>
      <w:r>
        <w:rPr>
          <w:rFonts w:hAnsi="宋体"/>
          <w:color w:val="auto"/>
          <w:sz w:val="21"/>
          <w:szCs w:val="21"/>
          <w:highlight w:val="none"/>
        </w:rPr>
        <w:t>报价：见评标方法前附表；</w:t>
      </w:r>
    </w:p>
    <w:p w14:paraId="5B220B1A">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（2）技术部分：见评标方法前附表；</w:t>
      </w:r>
    </w:p>
    <w:p w14:paraId="4C5319D2">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商务</w:t>
      </w:r>
      <w:r>
        <w:rPr>
          <w:rFonts w:hAnsi="宋体"/>
          <w:color w:val="auto"/>
          <w:sz w:val="21"/>
          <w:szCs w:val="21"/>
          <w:highlight w:val="none"/>
        </w:rPr>
        <w:t>部分：见评标方法前附表。</w:t>
      </w:r>
    </w:p>
    <w:p w14:paraId="7168573E">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.2.2基准价计算方法：见评标方法前附表。</w:t>
      </w:r>
    </w:p>
    <w:p w14:paraId="1C0739F7">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outlineLvl w:val="0"/>
        <w:rPr>
          <w:rFonts w:hint="default" w:hAnsi="宋体" w:eastAsiaTheme="minorEastAsia"/>
          <w:color w:val="auto"/>
          <w:sz w:val="21"/>
          <w:szCs w:val="21"/>
          <w:highlight w:val="none"/>
          <w:lang w:val="en-US" w:eastAsia="zh-CN"/>
        </w:rPr>
      </w:pPr>
      <w:bookmarkStart w:id="360" w:name="_Toc23818"/>
      <w:r>
        <w:rPr>
          <w:rFonts w:hint="eastAsia" w:hAnsi="宋体"/>
          <w:color w:val="auto"/>
          <w:sz w:val="21"/>
          <w:szCs w:val="21"/>
          <w:highlight w:val="none"/>
        </w:rPr>
        <w:t>2</w:t>
      </w:r>
      <w:r>
        <w:rPr>
          <w:rFonts w:hAnsi="宋体"/>
          <w:color w:val="auto"/>
          <w:sz w:val="21"/>
          <w:szCs w:val="21"/>
          <w:highlight w:val="none"/>
        </w:rPr>
        <w:t xml:space="preserve">.2.3 </w:t>
      </w:r>
      <w:bookmarkEnd w:id="360"/>
      <w:r>
        <w:rPr>
          <w:rFonts w:hint="eastAsia" w:hAnsi="宋体"/>
          <w:color w:val="auto"/>
          <w:sz w:val="21"/>
          <w:szCs w:val="21"/>
          <w:highlight w:val="none"/>
          <w:lang w:val="en-US" w:eastAsia="zh-CN"/>
        </w:rPr>
        <w:t>详细评审</w:t>
      </w:r>
    </w:p>
    <w:p w14:paraId="43E35BCE">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按</w:t>
      </w:r>
      <w:r>
        <w:rPr>
          <w:rFonts w:hint="eastAsia" w:hAnsi="宋体"/>
          <w:color w:val="auto"/>
          <w:sz w:val="21"/>
          <w:szCs w:val="21"/>
          <w:highlight w:val="none"/>
        </w:rPr>
        <w:t>磋商</w:t>
      </w:r>
      <w:r>
        <w:rPr>
          <w:rFonts w:hAnsi="宋体"/>
          <w:color w:val="auto"/>
          <w:sz w:val="21"/>
          <w:szCs w:val="21"/>
          <w:highlight w:val="none"/>
        </w:rPr>
        <w:t>文件中规定的评标方法和标准，对资格评审和符合性评审合格的</w:t>
      </w:r>
      <w:r>
        <w:rPr>
          <w:rFonts w:hint="eastAsia" w:hAnsi="宋体"/>
          <w:color w:val="auto"/>
          <w:sz w:val="21"/>
          <w:szCs w:val="21"/>
          <w:highlight w:val="none"/>
        </w:rPr>
        <w:t>响应</w:t>
      </w:r>
      <w:r>
        <w:rPr>
          <w:rFonts w:hAnsi="宋体"/>
          <w:color w:val="auto"/>
          <w:sz w:val="21"/>
          <w:szCs w:val="21"/>
          <w:highlight w:val="none"/>
        </w:rPr>
        <w:t>文件进行商务和技术评估，综合比较与评价。</w:t>
      </w:r>
    </w:p>
    <w:p w14:paraId="5EE2E938">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磋商</w:t>
      </w:r>
      <w:r>
        <w:rPr>
          <w:rFonts w:hAnsi="宋体"/>
          <w:color w:val="auto"/>
          <w:sz w:val="21"/>
          <w:szCs w:val="21"/>
          <w:highlight w:val="none"/>
        </w:rPr>
        <w:t>报价评分标准：见前附表；</w:t>
      </w:r>
    </w:p>
    <w:p w14:paraId="585658EE">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（2）技术部分评分标准：见前附表；</w:t>
      </w:r>
    </w:p>
    <w:p w14:paraId="340389BF">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商务</w:t>
      </w:r>
      <w:r>
        <w:rPr>
          <w:rFonts w:hAnsi="宋体"/>
          <w:color w:val="auto"/>
          <w:sz w:val="21"/>
          <w:szCs w:val="21"/>
          <w:highlight w:val="none"/>
        </w:rPr>
        <w:t>部分评分标准：见前附表。</w:t>
      </w:r>
    </w:p>
    <w:p w14:paraId="466FA874">
      <w:pPr>
        <w:pStyle w:val="4"/>
        <w:keepNext w:val="0"/>
        <w:keepLines w:val="0"/>
        <w:pageBreakBefore w:val="0"/>
        <w:widowControl w:val="0"/>
        <w:kinsoku/>
        <w:wordWrap/>
        <w:overflowPunct/>
        <w:topLinePunct w:val="0"/>
        <w:bidi w:val="0"/>
        <w:snapToGrid/>
        <w:spacing w:before="0" w:after="0"/>
        <w:ind w:left="0" w:leftChars="0" w:firstLine="0" w:firstLineChars="0"/>
        <w:jc w:val="both"/>
        <w:textAlignment w:val="auto"/>
        <w:rPr>
          <w:rFonts w:hAnsi="宋体"/>
          <w:color w:val="auto"/>
          <w:sz w:val="21"/>
          <w:szCs w:val="21"/>
          <w:highlight w:val="none"/>
        </w:rPr>
      </w:pPr>
      <w:bookmarkStart w:id="361" w:name="_Toc15209"/>
      <w:bookmarkStart w:id="362" w:name="_Toc321836409"/>
      <w:bookmarkStart w:id="363" w:name="_Toc432194881"/>
      <w:bookmarkStart w:id="364" w:name="_Toc23129"/>
      <w:bookmarkStart w:id="365" w:name="_Toc23024"/>
      <w:bookmarkStart w:id="366" w:name="_Toc432106531"/>
      <w:r>
        <w:rPr>
          <w:rFonts w:hint="eastAsia" w:hAnsi="宋体"/>
          <w:color w:val="auto"/>
          <w:sz w:val="21"/>
          <w:szCs w:val="21"/>
          <w:highlight w:val="none"/>
        </w:rPr>
        <w:t>3</w:t>
      </w:r>
      <w:r>
        <w:rPr>
          <w:rFonts w:hAnsi="宋体"/>
          <w:color w:val="auto"/>
          <w:sz w:val="21"/>
          <w:szCs w:val="21"/>
          <w:highlight w:val="none"/>
        </w:rPr>
        <w:t>.</w:t>
      </w:r>
      <w:r>
        <w:rPr>
          <w:rFonts w:hint="eastAsia" w:hAnsi="宋体"/>
          <w:color w:val="auto"/>
          <w:sz w:val="21"/>
          <w:szCs w:val="21"/>
          <w:highlight w:val="none"/>
        </w:rPr>
        <w:t>磋商</w:t>
      </w:r>
      <w:r>
        <w:rPr>
          <w:rFonts w:hAnsi="宋体"/>
          <w:color w:val="auto"/>
          <w:sz w:val="21"/>
          <w:szCs w:val="21"/>
          <w:highlight w:val="none"/>
        </w:rPr>
        <w:t>程序</w:t>
      </w:r>
      <w:bookmarkEnd w:id="361"/>
      <w:bookmarkEnd w:id="362"/>
      <w:bookmarkEnd w:id="363"/>
      <w:bookmarkEnd w:id="364"/>
      <w:bookmarkEnd w:id="365"/>
      <w:bookmarkEnd w:id="366"/>
    </w:p>
    <w:p w14:paraId="66F8B58A">
      <w:pPr>
        <w:pStyle w:val="4"/>
        <w:keepNext w:val="0"/>
        <w:keepLines w:val="0"/>
        <w:pageBreakBefore w:val="0"/>
        <w:widowControl w:val="0"/>
        <w:kinsoku/>
        <w:wordWrap/>
        <w:overflowPunct/>
        <w:topLinePunct w:val="0"/>
        <w:bidi w:val="0"/>
        <w:snapToGrid/>
        <w:spacing w:before="0" w:after="0"/>
        <w:ind w:left="0" w:firstLine="422" w:firstLineChars="200"/>
        <w:jc w:val="both"/>
        <w:textAlignment w:val="auto"/>
        <w:rPr>
          <w:rFonts w:hAnsi="宋体"/>
          <w:color w:val="auto"/>
          <w:sz w:val="21"/>
          <w:szCs w:val="21"/>
          <w:highlight w:val="none"/>
        </w:rPr>
      </w:pPr>
      <w:bookmarkStart w:id="367" w:name="_Toc4563"/>
      <w:bookmarkStart w:id="368" w:name="_Toc432194882"/>
      <w:bookmarkStart w:id="369" w:name="_Toc2535"/>
      <w:bookmarkStart w:id="370" w:name="_Toc432106532"/>
      <w:bookmarkStart w:id="371" w:name="_Toc24138"/>
      <w:bookmarkStart w:id="372" w:name="_Toc321836410"/>
      <w:r>
        <w:rPr>
          <w:rFonts w:hint="eastAsia" w:hAnsi="宋体"/>
          <w:color w:val="auto"/>
          <w:sz w:val="21"/>
          <w:szCs w:val="21"/>
          <w:highlight w:val="none"/>
        </w:rPr>
        <w:t>3</w:t>
      </w:r>
      <w:r>
        <w:rPr>
          <w:rFonts w:hAnsi="宋体"/>
          <w:color w:val="auto"/>
          <w:sz w:val="21"/>
          <w:szCs w:val="21"/>
          <w:highlight w:val="none"/>
        </w:rPr>
        <w:t xml:space="preserve">.1 </w:t>
      </w:r>
      <w:r>
        <w:rPr>
          <w:rFonts w:hint="eastAsia" w:hAnsi="宋体"/>
          <w:color w:val="auto"/>
          <w:sz w:val="21"/>
          <w:szCs w:val="21"/>
          <w:highlight w:val="none"/>
        </w:rPr>
        <w:t>实质性</w:t>
      </w:r>
      <w:r>
        <w:rPr>
          <w:rFonts w:hAnsi="宋体"/>
          <w:color w:val="auto"/>
          <w:sz w:val="21"/>
          <w:szCs w:val="21"/>
          <w:highlight w:val="none"/>
        </w:rPr>
        <w:t>评审</w:t>
      </w:r>
      <w:bookmarkEnd w:id="367"/>
      <w:bookmarkEnd w:id="368"/>
      <w:bookmarkEnd w:id="369"/>
      <w:bookmarkEnd w:id="370"/>
      <w:bookmarkEnd w:id="371"/>
      <w:bookmarkEnd w:id="372"/>
    </w:p>
    <w:p w14:paraId="4D409588">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int="eastAsia" w:hAnsi="宋体"/>
          <w:color w:val="auto"/>
          <w:kern w:val="0"/>
          <w:sz w:val="21"/>
          <w:szCs w:val="21"/>
          <w:highlight w:val="none"/>
        </w:rPr>
      </w:pPr>
      <w:r>
        <w:rPr>
          <w:rFonts w:hint="eastAsia" w:hAnsi="宋体"/>
          <w:color w:val="auto"/>
          <w:sz w:val="21"/>
          <w:szCs w:val="21"/>
          <w:highlight w:val="none"/>
        </w:rPr>
        <w:t>3</w:t>
      </w:r>
      <w:r>
        <w:rPr>
          <w:rFonts w:hAnsi="宋体"/>
          <w:color w:val="auto"/>
          <w:sz w:val="21"/>
          <w:szCs w:val="21"/>
          <w:highlight w:val="none"/>
        </w:rPr>
        <w:t>.1.1</w:t>
      </w:r>
      <w:r>
        <w:rPr>
          <w:rFonts w:hint="eastAsia" w:hAnsi="宋体"/>
          <w:color w:val="auto"/>
          <w:sz w:val="21"/>
          <w:szCs w:val="21"/>
          <w:highlight w:val="none"/>
        </w:rPr>
        <w:t>磋商小组依据本章第2</w:t>
      </w:r>
      <w:r>
        <w:rPr>
          <w:rFonts w:hAnsi="宋体"/>
          <w:color w:val="auto"/>
          <w:sz w:val="21"/>
          <w:szCs w:val="21"/>
          <w:highlight w:val="none"/>
        </w:rPr>
        <w:t>.1.1项、第</w:t>
      </w:r>
      <w:r>
        <w:rPr>
          <w:rFonts w:hint="eastAsia" w:hAnsi="宋体"/>
          <w:color w:val="auto"/>
          <w:sz w:val="21"/>
          <w:szCs w:val="21"/>
          <w:highlight w:val="none"/>
        </w:rPr>
        <w:t>2</w:t>
      </w:r>
      <w:r>
        <w:rPr>
          <w:rFonts w:hAnsi="宋体"/>
          <w:color w:val="auto"/>
          <w:sz w:val="21"/>
          <w:szCs w:val="21"/>
          <w:highlight w:val="none"/>
        </w:rPr>
        <w:t>.1.2项规定的标准对</w:t>
      </w:r>
      <w:r>
        <w:rPr>
          <w:rFonts w:hint="eastAsia" w:hAnsi="宋体"/>
          <w:color w:val="auto"/>
          <w:sz w:val="21"/>
          <w:szCs w:val="21"/>
          <w:highlight w:val="none"/>
        </w:rPr>
        <w:t>响应</w:t>
      </w:r>
      <w:r>
        <w:rPr>
          <w:rFonts w:hAnsi="宋体"/>
          <w:color w:val="auto"/>
          <w:sz w:val="21"/>
          <w:szCs w:val="21"/>
          <w:highlight w:val="none"/>
        </w:rPr>
        <w:t>文件进行</w:t>
      </w:r>
      <w:r>
        <w:rPr>
          <w:rFonts w:hint="eastAsia" w:hAnsi="宋体"/>
          <w:color w:val="auto"/>
          <w:sz w:val="21"/>
          <w:szCs w:val="21"/>
          <w:highlight w:val="none"/>
        </w:rPr>
        <w:t>实质性</w:t>
      </w:r>
      <w:r>
        <w:rPr>
          <w:rFonts w:hAnsi="宋体"/>
          <w:color w:val="auto"/>
          <w:sz w:val="21"/>
          <w:szCs w:val="21"/>
          <w:highlight w:val="none"/>
        </w:rPr>
        <w:t>评审。</w:t>
      </w:r>
      <w:r>
        <w:rPr>
          <w:rFonts w:hint="eastAsia" w:hAnsi="宋体"/>
          <w:color w:val="auto"/>
          <w:kern w:val="0"/>
          <w:sz w:val="21"/>
          <w:szCs w:val="21"/>
          <w:highlight w:val="none"/>
        </w:rPr>
        <w:t>有一项不符合磋商标准的，不通过实质性要求审查，不再参与磋商。当响应磋商文件实质性要求的供应商少于3家时，将终止本次竞争性磋商采购活动。</w:t>
      </w:r>
    </w:p>
    <w:p w14:paraId="117B81AC">
      <w:pPr>
        <w:keepNext w:val="0"/>
        <w:keepLines w:val="0"/>
        <w:pageBreakBefore w:val="0"/>
        <w:widowControl w:val="0"/>
        <w:kinsoku/>
        <w:wordWrap/>
        <w:overflowPunct/>
        <w:topLinePunct w:val="0"/>
        <w:bidi w:val="0"/>
        <w:snapToGrid/>
        <w:spacing w:line="360" w:lineRule="auto"/>
        <w:ind w:left="0" w:firstLine="420" w:firstLineChars="200"/>
        <w:textAlignment w:val="auto"/>
        <w:rPr>
          <w:rFonts w:hint="eastAsia"/>
          <w:color w:val="auto"/>
          <w:sz w:val="21"/>
          <w:szCs w:val="21"/>
          <w:highlight w:val="none"/>
        </w:rPr>
      </w:pPr>
      <w:r>
        <w:rPr>
          <w:rFonts w:ascii="宋体" w:hAnsi="宋体"/>
          <w:color w:val="auto"/>
          <w:kern w:val="0"/>
          <w:sz w:val="21"/>
          <w:szCs w:val="21"/>
          <w:highlight w:val="none"/>
        </w:rPr>
        <w:t>3.</w:t>
      </w:r>
      <w:r>
        <w:rPr>
          <w:rFonts w:hint="eastAsia" w:ascii="宋体" w:hAnsi="宋体"/>
          <w:color w:val="auto"/>
          <w:kern w:val="0"/>
          <w:sz w:val="21"/>
          <w:szCs w:val="21"/>
          <w:highlight w:val="none"/>
        </w:rPr>
        <w:t>1</w:t>
      </w:r>
      <w:r>
        <w:rPr>
          <w:rFonts w:ascii="宋体" w:hAnsi="宋体"/>
          <w:color w:val="auto"/>
          <w:kern w:val="0"/>
          <w:sz w:val="21"/>
          <w:szCs w:val="21"/>
          <w:highlight w:val="none"/>
        </w:rPr>
        <w:t>.</w:t>
      </w:r>
      <w:r>
        <w:rPr>
          <w:rFonts w:hint="eastAsia" w:ascii="宋体" w:hAnsi="宋体"/>
          <w:color w:val="auto"/>
          <w:kern w:val="0"/>
          <w:sz w:val="21"/>
          <w:szCs w:val="21"/>
          <w:highlight w:val="none"/>
        </w:rPr>
        <w:t>2磋商小组成员要依法独立审查，并对审查意见承担个人责任。磋商小组成员对需要共同认定的事项存在争议的，按照少数服从多数的原则做出结论。</w:t>
      </w:r>
    </w:p>
    <w:p w14:paraId="0F629ED1">
      <w:pPr>
        <w:pStyle w:val="4"/>
        <w:keepNext w:val="0"/>
        <w:keepLines w:val="0"/>
        <w:pageBreakBefore w:val="0"/>
        <w:widowControl w:val="0"/>
        <w:kinsoku/>
        <w:wordWrap/>
        <w:overflowPunct/>
        <w:topLinePunct w:val="0"/>
        <w:bidi w:val="0"/>
        <w:snapToGrid/>
        <w:spacing w:before="0" w:after="0"/>
        <w:ind w:left="0" w:firstLine="422" w:firstLineChars="200"/>
        <w:jc w:val="both"/>
        <w:textAlignment w:val="auto"/>
        <w:rPr>
          <w:rFonts w:hint="eastAsia" w:hAnsi="宋体"/>
          <w:color w:val="auto"/>
          <w:sz w:val="21"/>
          <w:szCs w:val="21"/>
          <w:highlight w:val="none"/>
        </w:rPr>
      </w:pPr>
      <w:bookmarkStart w:id="373" w:name="_Toc14795"/>
      <w:bookmarkStart w:id="374" w:name="_Toc22423"/>
      <w:bookmarkStart w:id="375" w:name="_Toc12918"/>
      <w:bookmarkStart w:id="376" w:name="_Toc432106533"/>
      <w:bookmarkStart w:id="377" w:name="_Toc432194883"/>
      <w:r>
        <w:rPr>
          <w:rFonts w:hint="eastAsia" w:hAnsi="宋体"/>
          <w:color w:val="auto"/>
          <w:sz w:val="21"/>
          <w:szCs w:val="21"/>
          <w:highlight w:val="none"/>
        </w:rPr>
        <w:t>3.2磋商及最终报价</w:t>
      </w:r>
      <w:bookmarkEnd w:id="373"/>
      <w:bookmarkEnd w:id="374"/>
      <w:bookmarkEnd w:id="375"/>
      <w:bookmarkEnd w:id="376"/>
      <w:bookmarkEnd w:id="377"/>
    </w:p>
    <w:p w14:paraId="508B63BA">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3.2.1</w:t>
      </w:r>
      <w:r>
        <w:rPr>
          <w:rFonts w:hint="eastAsia" w:ascii="宋体" w:hAnsi="宋体"/>
          <w:color w:val="auto"/>
          <w:kern w:val="0"/>
          <w:sz w:val="21"/>
          <w:szCs w:val="21"/>
          <w:highlight w:val="none"/>
        </w:rPr>
        <w:t>磋商小组所有成员集中与通过实质性审查的单一供应商分别进行磋商。在磋商中，磋商的任何一方不得透露与磋商有关的其他供应商的技术资料、价格、折扣和其他信息。</w:t>
      </w:r>
    </w:p>
    <w:p w14:paraId="3F3ABD7C">
      <w:pPr>
        <w:keepNext w:val="0"/>
        <w:keepLines w:val="0"/>
        <w:pageBreakBefore w:val="0"/>
        <w:widowControl w:val="0"/>
        <w:kinsoku/>
        <w:wordWrap/>
        <w:overflowPunct/>
        <w:topLinePunct w:val="0"/>
        <w:bidi w:val="0"/>
        <w:snapToGrid/>
        <w:spacing w:line="360" w:lineRule="auto"/>
        <w:ind w:left="0" w:firstLine="420" w:firstLineChars="200"/>
        <w:textAlignment w:val="auto"/>
        <w:rPr>
          <w:rFonts w:hint="eastAsia" w:ascii="宋体" w:hAnsi="宋体"/>
          <w:color w:val="auto"/>
          <w:kern w:val="0"/>
          <w:sz w:val="21"/>
          <w:szCs w:val="21"/>
          <w:highlight w:val="none"/>
        </w:rPr>
      </w:pPr>
      <w:r>
        <w:rPr>
          <w:rFonts w:ascii="宋体" w:hAnsi="宋体"/>
          <w:color w:val="auto"/>
          <w:kern w:val="0"/>
          <w:sz w:val="21"/>
          <w:szCs w:val="21"/>
          <w:highlight w:val="none"/>
        </w:rPr>
        <w:t>3.2.2</w:t>
      </w:r>
      <w:r>
        <w:rPr>
          <w:rFonts w:hint="eastAsia" w:ascii="宋体" w:hAnsi="宋体"/>
          <w:color w:val="auto"/>
          <w:kern w:val="0"/>
          <w:sz w:val="21"/>
          <w:szCs w:val="21"/>
          <w:highlight w:val="none"/>
        </w:rPr>
        <w:t>磋商文件有实质性变动的，磋商小组将经采购人代表确认后，以书面形式通知所有参加磋商的供应商。但不得对涉及竞争的公平、公正性内容进行修改、变动。</w:t>
      </w:r>
    </w:p>
    <w:p w14:paraId="2744D978">
      <w:pPr>
        <w:keepNext w:val="0"/>
        <w:keepLines w:val="0"/>
        <w:pageBreakBefore w:val="0"/>
        <w:widowControl w:val="0"/>
        <w:kinsoku/>
        <w:wordWrap/>
        <w:overflowPunct/>
        <w:topLinePunct w:val="0"/>
        <w:bidi w:val="0"/>
        <w:snapToGrid/>
        <w:spacing w:line="360" w:lineRule="auto"/>
        <w:ind w:left="0" w:firstLine="420" w:firstLineChars="200"/>
        <w:textAlignment w:val="auto"/>
        <w:rPr>
          <w:rFonts w:hint="eastAsia" w:ascii="宋体" w:hAnsi="宋体"/>
          <w:color w:val="auto"/>
          <w:kern w:val="0"/>
          <w:sz w:val="21"/>
          <w:szCs w:val="21"/>
          <w:highlight w:val="none"/>
        </w:rPr>
      </w:pPr>
      <w:r>
        <w:rPr>
          <w:rFonts w:ascii="宋体" w:hAnsi="宋体"/>
          <w:color w:val="auto"/>
          <w:kern w:val="0"/>
          <w:sz w:val="21"/>
          <w:szCs w:val="21"/>
          <w:highlight w:val="none"/>
        </w:rPr>
        <w:t>3.2.3</w:t>
      </w:r>
      <w:r>
        <w:rPr>
          <w:rFonts w:hint="eastAsia" w:ascii="宋体" w:hAnsi="宋体"/>
          <w:color w:val="auto"/>
          <w:kern w:val="0"/>
          <w:sz w:val="21"/>
          <w:szCs w:val="21"/>
          <w:highlight w:val="none"/>
        </w:rPr>
        <w:t>为有助于对响应文件的详细审查、评价和比较，磋商小组可要求对供应商分别进行技术询问、澄清，有关要求和答复均现场进行。</w:t>
      </w:r>
    </w:p>
    <w:p w14:paraId="698DFDBC">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3.2.4</w:t>
      </w:r>
      <w:r>
        <w:rPr>
          <w:rFonts w:hint="eastAsia" w:ascii="宋体" w:hAnsi="宋体"/>
          <w:color w:val="auto"/>
          <w:kern w:val="0"/>
          <w:sz w:val="21"/>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3EF7155">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3.2.5</w:t>
      </w:r>
      <w:r>
        <w:rPr>
          <w:rFonts w:hint="eastAsia" w:ascii="宋体" w:hAnsi="宋体"/>
          <w:color w:val="auto"/>
          <w:kern w:val="0"/>
          <w:sz w:val="21"/>
          <w:szCs w:val="21"/>
          <w:highlight w:val="none"/>
        </w:rPr>
        <w:t>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14:paraId="1EDE9AC7">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ascii="宋体" w:hAnsi="宋体"/>
          <w:color w:val="auto"/>
          <w:kern w:val="0"/>
          <w:sz w:val="21"/>
          <w:szCs w:val="21"/>
          <w:highlight w:val="none"/>
        </w:rPr>
      </w:pPr>
      <w:r>
        <w:rPr>
          <w:rFonts w:ascii="宋体" w:hAnsi="宋体"/>
          <w:color w:val="auto"/>
          <w:kern w:val="0"/>
          <w:sz w:val="21"/>
          <w:szCs w:val="21"/>
          <w:highlight w:val="none"/>
        </w:rPr>
        <w:t>3.2.6</w:t>
      </w:r>
      <w:r>
        <w:rPr>
          <w:rFonts w:hint="eastAsia" w:ascii="宋体" w:hAnsi="宋体"/>
          <w:color w:val="auto"/>
          <w:kern w:val="0"/>
          <w:sz w:val="21"/>
          <w:szCs w:val="21"/>
          <w:highlight w:val="none"/>
        </w:rPr>
        <w:t>磋商结束后，磋商小组将要求所有继续参加磋商的供应商在规定时间内提交最终报价，提交最终报价的供应商不得少于3家。</w:t>
      </w:r>
    </w:p>
    <w:p w14:paraId="2A54F98C">
      <w:pPr>
        <w:pStyle w:val="4"/>
        <w:keepNext w:val="0"/>
        <w:keepLines w:val="0"/>
        <w:pageBreakBefore w:val="0"/>
        <w:widowControl w:val="0"/>
        <w:kinsoku/>
        <w:wordWrap/>
        <w:overflowPunct/>
        <w:topLinePunct w:val="0"/>
        <w:bidi w:val="0"/>
        <w:snapToGrid/>
        <w:spacing w:before="0" w:after="0"/>
        <w:ind w:left="0" w:firstLine="422" w:firstLineChars="200"/>
        <w:jc w:val="both"/>
        <w:textAlignment w:val="auto"/>
        <w:rPr>
          <w:rFonts w:hint="eastAsia" w:hAnsi="宋体"/>
          <w:color w:val="auto"/>
          <w:sz w:val="21"/>
          <w:szCs w:val="21"/>
          <w:highlight w:val="none"/>
        </w:rPr>
      </w:pPr>
      <w:bookmarkStart w:id="378" w:name="_Toc321836411"/>
      <w:bookmarkStart w:id="379" w:name="_Toc432194884"/>
      <w:bookmarkStart w:id="380" w:name="_Toc3407"/>
      <w:bookmarkStart w:id="381" w:name="_Toc432106534"/>
      <w:bookmarkStart w:id="382" w:name="_Toc27829"/>
      <w:bookmarkStart w:id="383" w:name="_Toc12303"/>
      <w:r>
        <w:rPr>
          <w:rFonts w:hint="eastAsia" w:hAnsi="宋体"/>
          <w:color w:val="auto"/>
          <w:sz w:val="21"/>
          <w:szCs w:val="21"/>
          <w:highlight w:val="none"/>
        </w:rPr>
        <w:t>3</w:t>
      </w:r>
      <w:r>
        <w:rPr>
          <w:rFonts w:hAnsi="宋体"/>
          <w:color w:val="auto"/>
          <w:sz w:val="21"/>
          <w:szCs w:val="21"/>
          <w:highlight w:val="none"/>
        </w:rPr>
        <w:t>.</w:t>
      </w:r>
      <w:bookmarkEnd w:id="378"/>
      <w:r>
        <w:rPr>
          <w:rFonts w:hint="eastAsia" w:hAnsi="宋体"/>
          <w:color w:val="auto"/>
          <w:sz w:val="21"/>
          <w:szCs w:val="21"/>
          <w:highlight w:val="none"/>
        </w:rPr>
        <w:t>3评分</w:t>
      </w:r>
      <w:bookmarkEnd w:id="379"/>
      <w:bookmarkEnd w:id="380"/>
      <w:bookmarkEnd w:id="381"/>
      <w:bookmarkEnd w:id="382"/>
      <w:bookmarkEnd w:id="383"/>
    </w:p>
    <w:p w14:paraId="779C53F0">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outlineLvl w:val="0"/>
        <w:rPr>
          <w:rFonts w:hAnsi="宋体"/>
          <w:color w:val="auto"/>
          <w:sz w:val="21"/>
          <w:szCs w:val="21"/>
          <w:highlight w:val="none"/>
        </w:rPr>
      </w:pPr>
      <w:bookmarkStart w:id="384" w:name="_Toc4738"/>
      <w:r>
        <w:rPr>
          <w:rFonts w:hint="eastAsia" w:hAnsi="宋体"/>
          <w:color w:val="auto"/>
          <w:sz w:val="21"/>
          <w:szCs w:val="21"/>
          <w:highlight w:val="none"/>
        </w:rPr>
        <w:t>3</w:t>
      </w: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 xml:space="preserve">.1 </w:t>
      </w:r>
      <w:r>
        <w:rPr>
          <w:rFonts w:hint="eastAsia" w:hAnsi="宋体"/>
          <w:color w:val="auto"/>
          <w:kern w:val="0"/>
          <w:sz w:val="21"/>
          <w:szCs w:val="21"/>
          <w:highlight w:val="none"/>
        </w:rPr>
        <w:t>磋商小组</w:t>
      </w:r>
      <w:r>
        <w:rPr>
          <w:rFonts w:hAnsi="宋体"/>
          <w:color w:val="auto"/>
          <w:sz w:val="21"/>
          <w:szCs w:val="21"/>
          <w:highlight w:val="none"/>
        </w:rPr>
        <w:t>按本章第2款规定的量化因素和分值进行打分，并计算出</w:t>
      </w:r>
      <w:r>
        <w:rPr>
          <w:rFonts w:hint="eastAsia" w:hAnsi="宋体"/>
          <w:color w:val="auto"/>
          <w:sz w:val="21"/>
          <w:szCs w:val="21"/>
          <w:highlight w:val="none"/>
        </w:rPr>
        <w:t>供应商</w:t>
      </w:r>
      <w:r>
        <w:rPr>
          <w:rFonts w:hAnsi="宋体"/>
          <w:color w:val="auto"/>
          <w:sz w:val="21"/>
          <w:szCs w:val="21"/>
          <w:highlight w:val="none"/>
        </w:rPr>
        <w:t>的</w:t>
      </w:r>
      <w:r>
        <w:rPr>
          <w:rFonts w:hint="eastAsia" w:hAnsi="宋体"/>
          <w:color w:val="auto"/>
          <w:sz w:val="21"/>
          <w:szCs w:val="21"/>
          <w:highlight w:val="none"/>
        </w:rPr>
        <w:t>磋商</w:t>
      </w:r>
      <w:r>
        <w:rPr>
          <w:rFonts w:hAnsi="宋体"/>
          <w:color w:val="auto"/>
          <w:sz w:val="21"/>
          <w:szCs w:val="21"/>
          <w:highlight w:val="none"/>
        </w:rPr>
        <w:t>总得分。</w:t>
      </w:r>
      <w:r>
        <w:rPr>
          <w:rFonts w:hint="eastAsia" w:hAnsi="宋体"/>
          <w:color w:val="auto"/>
          <w:sz w:val="21"/>
          <w:szCs w:val="21"/>
          <w:highlight w:val="none"/>
        </w:rPr>
        <w:t>对其他需要借助专业知识评判的评分项，应当严格按照评分细则公正评分。</w:t>
      </w:r>
      <w:bookmarkEnd w:id="384"/>
    </w:p>
    <w:p w14:paraId="63F7E725">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（1）按本章</w:t>
      </w:r>
      <w:r>
        <w:rPr>
          <w:rFonts w:hint="eastAsia" w:hAnsi="宋体"/>
          <w:color w:val="auto"/>
          <w:sz w:val="21"/>
          <w:szCs w:val="21"/>
          <w:highlight w:val="none"/>
        </w:rPr>
        <w:t>前附表的</w:t>
      </w:r>
      <w:r>
        <w:rPr>
          <w:rFonts w:hAnsi="宋体"/>
          <w:color w:val="auto"/>
          <w:sz w:val="21"/>
          <w:szCs w:val="21"/>
          <w:highlight w:val="none"/>
        </w:rPr>
        <w:t>规定对</w:t>
      </w:r>
      <w:r>
        <w:rPr>
          <w:rFonts w:hint="eastAsia" w:hAnsi="宋体"/>
          <w:color w:val="auto"/>
          <w:sz w:val="21"/>
          <w:szCs w:val="21"/>
          <w:highlight w:val="none"/>
        </w:rPr>
        <w:t>磋商</w:t>
      </w:r>
      <w:r>
        <w:rPr>
          <w:rFonts w:hAnsi="宋体"/>
          <w:color w:val="auto"/>
          <w:sz w:val="21"/>
          <w:szCs w:val="21"/>
          <w:highlight w:val="none"/>
        </w:rPr>
        <w:t>报价计算出得分F1；</w:t>
      </w:r>
    </w:p>
    <w:p w14:paraId="3236496A">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（2）按本章</w:t>
      </w:r>
      <w:r>
        <w:rPr>
          <w:rFonts w:hint="eastAsia" w:hAnsi="宋体"/>
          <w:color w:val="auto"/>
          <w:sz w:val="21"/>
          <w:szCs w:val="21"/>
          <w:highlight w:val="none"/>
        </w:rPr>
        <w:t>前附表的</w:t>
      </w:r>
      <w:r>
        <w:rPr>
          <w:rFonts w:hAnsi="宋体"/>
          <w:color w:val="auto"/>
          <w:sz w:val="21"/>
          <w:szCs w:val="21"/>
          <w:highlight w:val="none"/>
        </w:rPr>
        <w:t>规定对技术部分</w:t>
      </w:r>
      <w:r>
        <w:rPr>
          <w:rFonts w:hint="eastAsia" w:hAnsi="宋体"/>
          <w:color w:val="auto"/>
          <w:sz w:val="21"/>
          <w:szCs w:val="21"/>
          <w:highlight w:val="none"/>
        </w:rPr>
        <w:t>评分，</w:t>
      </w:r>
      <w:r>
        <w:rPr>
          <w:rFonts w:hAnsi="宋体"/>
          <w:color w:val="auto"/>
          <w:sz w:val="21"/>
          <w:szCs w:val="21"/>
          <w:highlight w:val="none"/>
        </w:rPr>
        <w:t>得分F2；</w:t>
      </w:r>
    </w:p>
    <w:p w14:paraId="20B14722">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（3）按本章</w:t>
      </w:r>
      <w:r>
        <w:rPr>
          <w:rFonts w:hint="eastAsia" w:hAnsi="宋体"/>
          <w:color w:val="auto"/>
          <w:sz w:val="21"/>
          <w:szCs w:val="21"/>
          <w:highlight w:val="none"/>
        </w:rPr>
        <w:t>前附表的</w:t>
      </w:r>
      <w:r>
        <w:rPr>
          <w:rFonts w:hAnsi="宋体"/>
          <w:color w:val="auto"/>
          <w:sz w:val="21"/>
          <w:szCs w:val="21"/>
          <w:highlight w:val="none"/>
        </w:rPr>
        <w:t>规定对</w:t>
      </w:r>
      <w:r>
        <w:rPr>
          <w:rFonts w:hint="eastAsia" w:hAnsi="宋体"/>
          <w:color w:val="auto"/>
          <w:sz w:val="21"/>
          <w:szCs w:val="21"/>
          <w:highlight w:val="none"/>
        </w:rPr>
        <w:t>商务</w:t>
      </w:r>
      <w:r>
        <w:rPr>
          <w:rFonts w:hAnsi="宋体"/>
          <w:color w:val="auto"/>
          <w:sz w:val="21"/>
          <w:szCs w:val="21"/>
          <w:highlight w:val="none"/>
        </w:rPr>
        <w:t>部分</w:t>
      </w:r>
      <w:r>
        <w:rPr>
          <w:rFonts w:hint="eastAsia" w:hAnsi="宋体"/>
          <w:color w:val="auto"/>
          <w:sz w:val="21"/>
          <w:szCs w:val="21"/>
          <w:highlight w:val="none"/>
        </w:rPr>
        <w:t>评分，</w:t>
      </w:r>
      <w:r>
        <w:rPr>
          <w:rFonts w:hAnsi="宋体"/>
          <w:color w:val="auto"/>
          <w:sz w:val="21"/>
          <w:szCs w:val="21"/>
          <w:highlight w:val="none"/>
        </w:rPr>
        <w:t>得分F3；</w:t>
      </w:r>
    </w:p>
    <w:p w14:paraId="0F7EECA7">
      <w:pPr>
        <w:pStyle w:val="9"/>
        <w:keepNext w:val="0"/>
        <w:keepLines w:val="0"/>
        <w:pageBreakBefore w:val="0"/>
        <w:widowControl w:val="0"/>
        <w:tabs>
          <w:tab w:val="left" w:pos="2472"/>
        </w:tabs>
        <w:kinsoku/>
        <w:wordWrap/>
        <w:overflowPunct/>
        <w:topLinePunct w:val="0"/>
        <w:bidi w:val="0"/>
        <w:snapToGrid/>
        <w:spacing w:line="360" w:lineRule="auto"/>
        <w:ind w:left="0" w:firstLine="420" w:firstLineChars="200"/>
        <w:textAlignment w:val="auto"/>
        <w:rPr>
          <w:rFonts w:hAnsi="宋体"/>
          <w:color w:val="auto"/>
          <w:sz w:val="21"/>
          <w:szCs w:val="21"/>
          <w:highlight w:val="none"/>
        </w:rPr>
      </w:pPr>
      <w:r>
        <w:rPr>
          <w:rFonts w:hAnsi="宋体"/>
          <w:color w:val="auto"/>
          <w:sz w:val="21"/>
          <w:szCs w:val="21"/>
          <w:highlight w:val="none"/>
        </w:rPr>
        <w:t>（4）按本章</w:t>
      </w:r>
      <w:r>
        <w:rPr>
          <w:rFonts w:hint="eastAsia" w:hAnsi="宋体"/>
          <w:color w:val="auto"/>
          <w:sz w:val="21"/>
          <w:szCs w:val="21"/>
          <w:highlight w:val="none"/>
        </w:rPr>
        <w:t>前附表的</w:t>
      </w:r>
      <w:r>
        <w:rPr>
          <w:rFonts w:hAnsi="宋体"/>
          <w:color w:val="auto"/>
          <w:sz w:val="21"/>
          <w:szCs w:val="21"/>
          <w:highlight w:val="none"/>
        </w:rPr>
        <w:t>规定计算总得分。</w:t>
      </w:r>
    </w:p>
    <w:p w14:paraId="43BDFCDB">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3</w:t>
      </w:r>
      <w:r>
        <w:rPr>
          <w:rFonts w:ascii="宋体" w:hAnsi="宋体"/>
          <w:color w:val="auto"/>
          <w:sz w:val="21"/>
          <w:szCs w:val="21"/>
          <w:highlight w:val="none"/>
        </w:rPr>
        <w:t>.2</w:t>
      </w:r>
      <w:r>
        <w:rPr>
          <w:rFonts w:hint="eastAsia" w:ascii="宋体" w:hAnsi="宋体"/>
          <w:color w:val="auto"/>
          <w:sz w:val="21"/>
          <w:szCs w:val="21"/>
          <w:highlight w:val="none"/>
        </w:rPr>
        <w:t>技术部分（F2）和商务部分（F3）得分由磋商小组成员独立评分，</w:t>
      </w:r>
      <w:r>
        <w:rPr>
          <w:rFonts w:hint="eastAsia" w:ascii="宋体" w:hAnsi="宋体"/>
          <w:bCs/>
          <w:color w:val="auto"/>
          <w:sz w:val="21"/>
          <w:szCs w:val="21"/>
          <w:highlight w:val="none"/>
        </w:rPr>
        <w:t>供应商各项评分因素得分为该项因素各评委评分的算术平均值（保留小数点后两位）</w:t>
      </w:r>
      <w:r>
        <w:rPr>
          <w:rFonts w:ascii="宋体" w:hAnsi="宋体"/>
          <w:color w:val="auto"/>
          <w:sz w:val="21"/>
          <w:szCs w:val="21"/>
          <w:highlight w:val="none"/>
        </w:rPr>
        <w:t>，小数点后第三位“四舍五入”。</w:t>
      </w:r>
    </w:p>
    <w:p w14:paraId="235B9785">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3.3.3磋商小组成员要依法独立评审，并对评审意见承担个人责任。磋商小组成员对需要共同认定的事项存在争议的，按照少数服从多数的原则做出结论。持不同意见的磋商小组成员应当在评标报告上签署不同意见并说明理由，否则视为同意。</w:t>
      </w:r>
    </w:p>
    <w:p w14:paraId="57350671">
      <w:pPr>
        <w:pStyle w:val="4"/>
        <w:keepNext w:val="0"/>
        <w:keepLines w:val="0"/>
        <w:pageBreakBefore w:val="0"/>
        <w:widowControl w:val="0"/>
        <w:kinsoku/>
        <w:wordWrap/>
        <w:overflowPunct/>
        <w:topLinePunct w:val="0"/>
        <w:bidi w:val="0"/>
        <w:snapToGrid/>
        <w:spacing w:before="0" w:after="0"/>
        <w:ind w:left="0" w:firstLine="422" w:firstLineChars="200"/>
        <w:jc w:val="both"/>
        <w:textAlignment w:val="auto"/>
        <w:rPr>
          <w:rFonts w:hAnsi="宋体"/>
          <w:color w:val="auto"/>
          <w:sz w:val="21"/>
          <w:szCs w:val="21"/>
          <w:highlight w:val="none"/>
        </w:rPr>
      </w:pPr>
      <w:bookmarkStart w:id="385" w:name="_Toc321836413"/>
      <w:bookmarkStart w:id="386" w:name="_Toc432106535"/>
      <w:bookmarkStart w:id="387" w:name="_Toc30154"/>
      <w:bookmarkStart w:id="388" w:name="_Toc11167"/>
      <w:bookmarkStart w:id="389" w:name="_Toc20643"/>
      <w:bookmarkStart w:id="390" w:name="_Toc432194885"/>
      <w:r>
        <w:rPr>
          <w:rFonts w:hint="eastAsia" w:hAnsi="宋体"/>
          <w:color w:val="auto"/>
          <w:sz w:val="21"/>
          <w:szCs w:val="21"/>
          <w:highlight w:val="none"/>
        </w:rPr>
        <w:t>3</w:t>
      </w:r>
      <w:r>
        <w:rPr>
          <w:rFonts w:hAnsi="宋体"/>
          <w:color w:val="auto"/>
          <w:sz w:val="21"/>
          <w:szCs w:val="21"/>
          <w:highlight w:val="none"/>
        </w:rPr>
        <w:t xml:space="preserve">.4 </w:t>
      </w:r>
      <w:r>
        <w:rPr>
          <w:rFonts w:hint="eastAsia" w:hAnsi="宋体"/>
          <w:color w:val="auto"/>
          <w:sz w:val="21"/>
          <w:szCs w:val="21"/>
          <w:highlight w:val="none"/>
        </w:rPr>
        <w:t>磋商</w:t>
      </w:r>
      <w:r>
        <w:rPr>
          <w:rFonts w:hAnsi="宋体"/>
          <w:color w:val="auto"/>
          <w:sz w:val="21"/>
          <w:szCs w:val="21"/>
          <w:highlight w:val="none"/>
        </w:rPr>
        <w:t>结果</w:t>
      </w:r>
      <w:bookmarkEnd w:id="385"/>
      <w:bookmarkEnd w:id="386"/>
      <w:bookmarkEnd w:id="387"/>
      <w:bookmarkEnd w:id="388"/>
      <w:bookmarkEnd w:id="389"/>
      <w:bookmarkEnd w:id="390"/>
    </w:p>
    <w:p w14:paraId="76E0E4F8">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.4.1</w:t>
      </w:r>
      <w:r>
        <w:rPr>
          <w:rFonts w:hint="eastAsia" w:ascii="宋体" w:hAnsi="宋体"/>
          <w:color w:val="auto"/>
          <w:sz w:val="21"/>
          <w:szCs w:val="21"/>
          <w:highlight w:val="none"/>
        </w:rPr>
        <w:t>最终磋商小组将根据评审后的总得分由高到低顺序排列推荐不少于3个成交候选人，评标总得分相等时，评标委员会将依次按报价低优先、技术部分得分高优先、商务部分得分高优先的顺序推荐；所有得分均相等的，按优先采购小型或微型企业的原则推荐，若上述条件均相同，由磋商小组通过记名投票的方式推荐，并提出书面评标报告</w:t>
      </w:r>
      <w:r>
        <w:rPr>
          <w:rFonts w:ascii="宋体" w:hAnsi="宋体"/>
          <w:color w:val="auto"/>
          <w:sz w:val="21"/>
          <w:szCs w:val="21"/>
          <w:highlight w:val="none"/>
        </w:rPr>
        <w:t>。</w:t>
      </w:r>
    </w:p>
    <w:p w14:paraId="767E8293">
      <w:pPr>
        <w:keepNext w:val="0"/>
        <w:keepLines w:val="0"/>
        <w:pageBreakBefore w:val="0"/>
        <w:widowControl w:val="0"/>
        <w:kinsoku/>
        <w:wordWrap/>
        <w:overflowPunct/>
        <w:topLinePunct w:val="0"/>
        <w:bidi w:val="0"/>
        <w:snapToGrid/>
        <w:spacing w:line="360" w:lineRule="auto"/>
        <w:ind w:left="0" w:firstLine="420" w:firstLineChars="200"/>
        <w:jc w:val="left"/>
        <w:textAlignment w:val="auto"/>
        <w:outlineLvl w:val="0"/>
        <w:rPr>
          <w:rFonts w:hint="eastAsia" w:ascii="宋体" w:hAnsi="宋体"/>
          <w:color w:val="auto"/>
          <w:sz w:val="21"/>
          <w:szCs w:val="21"/>
          <w:highlight w:val="none"/>
        </w:rPr>
      </w:pPr>
      <w:bookmarkStart w:id="391" w:name="_Toc14523"/>
      <w:r>
        <w:rPr>
          <w:rFonts w:hint="eastAsia" w:ascii="宋体" w:hAnsi="宋体"/>
          <w:color w:val="auto"/>
          <w:sz w:val="21"/>
          <w:szCs w:val="21"/>
          <w:highlight w:val="none"/>
        </w:rPr>
        <w:t>3</w:t>
      </w:r>
      <w:r>
        <w:rPr>
          <w:rFonts w:ascii="宋体" w:hAnsi="宋体"/>
          <w:color w:val="auto"/>
          <w:sz w:val="21"/>
          <w:szCs w:val="21"/>
          <w:highlight w:val="none"/>
        </w:rPr>
        <w:t>.4.2 采购人根据磋商小组提出的书面评标报告和推荐的</w:t>
      </w:r>
      <w:r>
        <w:rPr>
          <w:rFonts w:hint="eastAsia" w:ascii="宋体" w:hAnsi="宋体"/>
          <w:color w:val="auto"/>
          <w:sz w:val="21"/>
          <w:szCs w:val="21"/>
          <w:highlight w:val="none"/>
        </w:rPr>
        <w:t>成交</w:t>
      </w:r>
      <w:r>
        <w:rPr>
          <w:rFonts w:ascii="宋体" w:hAnsi="宋体"/>
          <w:color w:val="auto"/>
          <w:sz w:val="21"/>
          <w:szCs w:val="21"/>
          <w:highlight w:val="none"/>
        </w:rPr>
        <w:t>候选人名单，确定</w:t>
      </w:r>
      <w:r>
        <w:rPr>
          <w:rFonts w:hint="eastAsia" w:ascii="宋体" w:hAnsi="宋体"/>
          <w:color w:val="auto"/>
          <w:sz w:val="21"/>
          <w:szCs w:val="21"/>
          <w:highlight w:val="none"/>
        </w:rPr>
        <w:t>成交</w:t>
      </w:r>
      <w:r>
        <w:rPr>
          <w:rFonts w:ascii="宋体" w:hAnsi="宋体"/>
          <w:color w:val="auto"/>
          <w:sz w:val="21"/>
          <w:szCs w:val="21"/>
          <w:highlight w:val="none"/>
        </w:rPr>
        <w:t>人。</w:t>
      </w:r>
      <w:bookmarkEnd w:id="391"/>
    </w:p>
    <w:p w14:paraId="2818E3BB">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.4.</w:t>
      </w:r>
      <w:r>
        <w:rPr>
          <w:rFonts w:hint="eastAsia" w:ascii="宋体" w:hAnsi="宋体"/>
          <w:color w:val="auto"/>
          <w:sz w:val="21"/>
          <w:szCs w:val="21"/>
          <w:highlight w:val="none"/>
        </w:rPr>
        <w:t>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3FCF4DE2">
      <w:pPr>
        <w:keepNext w:val="0"/>
        <w:keepLines w:val="0"/>
        <w:pageBreakBefore w:val="0"/>
        <w:widowControl w:val="0"/>
        <w:kinsoku/>
        <w:wordWrap/>
        <w:overflowPunct/>
        <w:topLinePunct w:val="0"/>
        <w:bidi w:val="0"/>
        <w:snapToGrid/>
        <w:spacing w:line="360" w:lineRule="auto"/>
        <w:ind w:left="0" w:firstLine="422" w:firstLineChars="200"/>
        <w:jc w:val="lef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rPr>
        <w:t>.异常低价审查</w:t>
      </w:r>
    </w:p>
    <w:p w14:paraId="029E21EC">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按照财库〔2026〕2 号《关于推动解决政府采购异常低价问题的通知》的规定：</w:t>
      </w:r>
    </w:p>
    <w:p w14:paraId="6CCFCA1D">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（一）政府采购评审中出现下列情形之一的，评审委员会应当启动异常低价投标（响应）审查程序：</w:t>
      </w:r>
    </w:p>
    <w:p w14:paraId="35A76A28">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1.投标（响应）报价低于全部通过符合性审查供应商投标（响应）报价平均值65%的，即投标（响应）报价&lt;全部通过符合性审查供应商投标（响应）报价平均值×65%；</w:t>
      </w:r>
    </w:p>
    <w:p w14:paraId="1742FC97">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2.投标（响应）报价低于通过符合性审查的次低报价供应商投标（响应）报价65%的，即投标（响应）报价&lt;通过符合性审查的次低报价供应商投标（响应）报价×65%；</w:t>
      </w:r>
    </w:p>
    <w:p w14:paraId="67605466">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3.投标（响应）报价低于采购项目最高限价50%的，即投标（响应）报价&lt;采购项目最高限价×50%；</w:t>
      </w:r>
    </w:p>
    <w:p w14:paraId="011E53C3">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4.评审委员会基于专业判断，认为供应商报价过低，有可能影响产品质量或者不能诚信履约的其他情形。</w:t>
      </w:r>
    </w:p>
    <w:p w14:paraId="418E929F">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相关法律法规对供应商报价有规定的，从其规定。</w:t>
      </w:r>
    </w:p>
    <w:p w14:paraId="355AE7FC">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B79226">
      <w:pPr>
        <w:keepNext w:val="0"/>
        <w:keepLines w:val="0"/>
        <w:pageBreakBefore w:val="0"/>
        <w:widowControl w:val="0"/>
        <w:kinsoku/>
        <w:wordWrap/>
        <w:overflowPunct/>
        <w:topLinePunct w:val="0"/>
        <w:bidi w:val="0"/>
        <w:snapToGrid/>
        <w:spacing w:line="360" w:lineRule="auto"/>
        <w:ind w:left="0" w:firstLine="420" w:firstLineChars="200"/>
        <w:jc w:val="left"/>
        <w:textAlignment w:val="auto"/>
        <w:rPr>
          <w:color w:val="auto"/>
          <w:highlight w:val="none"/>
        </w:rPr>
      </w:pPr>
      <w:r>
        <w:rPr>
          <w:rFonts w:hint="eastAsia" w:ascii="宋体" w:hAnsi="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color w:val="auto"/>
          <w:highlight w:val="none"/>
        </w:rPr>
        <w:br w:type="page"/>
      </w:r>
    </w:p>
    <w:p w14:paraId="7BD20BB9">
      <w:pPr>
        <w:pStyle w:val="5"/>
        <w:rPr>
          <w:rFonts w:hint="eastAsia"/>
          <w:color w:val="auto"/>
          <w:highlight w:val="none"/>
          <w:lang w:val="en-US" w:eastAsia="zh-CN"/>
        </w:rPr>
      </w:pPr>
      <w:r>
        <w:rPr>
          <w:rFonts w:hint="eastAsia"/>
          <w:color w:val="auto"/>
          <w:highlight w:val="none"/>
          <w:lang w:val="en-US" w:eastAsia="zh-CN"/>
        </w:rPr>
        <w:t>附：</w:t>
      </w:r>
    </w:p>
    <w:p w14:paraId="7AD49F60">
      <w:pPr>
        <w:keepNext/>
        <w:keepLines/>
        <w:spacing w:after="120" w:line="360" w:lineRule="auto"/>
        <w:jc w:val="center"/>
        <w:outlineLvl w:val="1"/>
        <w:rPr>
          <w:b/>
          <w:color w:val="auto"/>
          <w:sz w:val="28"/>
          <w:szCs w:val="28"/>
          <w:highlight w:val="none"/>
        </w:rPr>
      </w:pPr>
      <w:r>
        <w:rPr>
          <w:rFonts w:hint="eastAsia"/>
          <w:b/>
          <w:color w:val="auto"/>
          <w:sz w:val="28"/>
          <w:szCs w:val="32"/>
          <w:highlight w:val="none"/>
          <w:lang w:val="en-US" w:eastAsia="zh-CN"/>
        </w:rPr>
        <w:t>最后报价</w:t>
      </w:r>
      <w:r>
        <w:rPr>
          <w:rFonts w:hint="eastAsia"/>
          <w:b/>
          <w:color w:val="auto"/>
          <w:sz w:val="28"/>
          <w:szCs w:val="28"/>
          <w:highlight w:val="none"/>
        </w:rPr>
        <w:t>表</w:t>
      </w:r>
    </w:p>
    <w:p w14:paraId="2A1FA96E">
      <w:pPr>
        <w:spacing w:before="267" w:line="228" w:lineRule="auto"/>
        <w:ind w:left="12"/>
        <w:rPr>
          <w:rFonts w:ascii="宋体" w:hAnsi="宋体" w:eastAsia="宋体" w:cs="宋体"/>
          <w:color w:val="auto"/>
          <w:spacing w:val="0"/>
          <w:sz w:val="20"/>
          <w:szCs w:val="20"/>
          <w:highlight w:val="none"/>
        </w:rPr>
      </w:pPr>
      <w:r>
        <w:rPr>
          <w:rFonts w:ascii="宋体" w:hAnsi="宋体" w:eastAsia="宋体" w:cs="宋体"/>
          <w:b/>
          <w:bCs/>
          <w:color w:val="auto"/>
          <w:spacing w:val="4"/>
          <w:sz w:val="20"/>
          <w:szCs w:val="20"/>
          <w:highlight w:val="none"/>
        </w:rPr>
        <w:t>项</w:t>
      </w:r>
      <w:r>
        <w:rPr>
          <w:rFonts w:ascii="宋体" w:hAnsi="宋体" w:eastAsia="宋体" w:cs="宋体"/>
          <w:b/>
          <w:bCs/>
          <w:color w:val="auto"/>
          <w:spacing w:val="0"/>
          <w:sz w:val="20"/>
          <w:szCs w:val="20"/>
          <w:highlight w:val="none"/>
        </w:rPr>
        <w:t>目名称：</w:t>
      </w:r>
    </w:p>
    <w:p w14:paraId="497CF881">
      <w:pPr>
        <w:spacing w:before="64" w:line="228" w:lineRule="auto"/>
        <w:ind w:left="12"/>
        <w:rPr>
          <w:rFonts w:ascii="宋体" w:hAnsi="宋体" w:eastAsia="宋体" w:cs="宋体"/>
          <w:color w:val="auto"/>
          <w:spacing w:val="0"/>
          <w:sz w:val="20"/>
          <w:szCs w:val="20"/>
          <w:highlight w:val="none"/>
        </w:rPr>
      </w:pPr>
      <w:r>
        <w:rPr>
          <w:rFonts w:ascii="宋体" w:hAnsi="宋体" w:eastAsia="宋体" w:cs="宋体"/>
          <w:b/>
          <w:bCs/>
          <w:color w:val="auto"/>
          <w:spacing w:val="0"/>
          <w:sz w:val="20"/>
          <w:szCs w:val="20"/>
          <w:highlight w:val="none"/>
        </w:rPr>
        <w:t>项目编号：</w:t>
      </w:r>
    </w:p>
    <w:p w14:paraId="78E53748">
      <w:pPr>
        <w:spacing w:line="139" w:lineRule="auto"/>
        <w:rPr>
          <w:rFonts w:ascii="Arial"/>
          <w:color w:val="auto"/>
          <w:spacing w:val="0"/>
          <w:sz w:val="2"/>
          <w:highlight w:val="none"/>
        </w:rPr>
      </w:pPr>
    </w:p>
    <w:tbl>
      <w:tblPr>
        <w:tblStyle w:val="26"/>
        <w:tblW w:w="8657"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1"/>
        <w:gridCol w:w="6186"/>
      </w:tblGrid>
      <w:tr w14:paraId="03CB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2471" w:type="dxa"/>
            <w:noWrap w:val="0"/>
            <w:vAlign w:val="top"/>
          </w:tcPr>
          <w:p w14:paraId="6C73C316">
            <w:pPr>
              <w:spacing w:line="384" w:lineRule="auto"/>
              <w:rPr>
                <w:rFonts w:ascii="Arial"/>
                <w:color w:val="auto"/>
                <w:spacing w:val="0"/>
                <w:sz w:val="21"/>
                <w:highlight w:val="none"/>
              </w:rPr>
            </w:pPr>
          </w:p>
          <w:p w14:paraId="2CC87814">
            <w:pPr>
              <w:pStyle w:val="25"/>
              <w:spacing w:before="65" w:line="226" w:lineRule="auto"/>
              <w:ind w:left="506"/>
              <w:rPr>
                <w:color w:val="auto"/>
                <w:spacing w:val="0"/>
                <w:highlight w:val="none"/>
              </w:rPr>
            </w:pPr>
            <w:r>
              <w:rPr>
                <w:color w:val="auto"/>
                <w:spacing w:val="0"/>
                <w:highlight w:val="none"/>
              </w:rPr>
              <w:t>磋商报价（元）</w:t>
            </w:r>
          </w:p>
        </w:tc>
        <w:tc>
          <w:tcPr>
            <w:tcW w:w="6186" w:type="dxa"/>
            <w:noWrap w:val="0"/>
            <w:vAlign w:val="top"/>
          </w:tcPr>
          <w:p w14:paraId="24C10CD9">
            <w:pPr>
              <w:pStyle w:val="25"/>
              <w:spacing w:before="247" w:line="230" w:lineRule="auto"/>
              <w:ind w:left="117"/>
              <w:rPr>
                <w:color w:val="auto"/>
                <w:spacing w:val="0"/>
                <w:highlight w:val="none"/>
              </w:rPr>
            </w:pPr>
            <w:r>
              <w:rPr>
                <w:color w:val="auto"/>
                <w:spacing w:val="0"/>
                <w:highlight w:val="none"/>
              </w:rPr>
              <w:t>小写：</w:t>
            </w:r>
          </w:p>
          <w:p w14:paraId="64D47CA8">
            <w:pPr>
              <w:pStyle w:val="25"/>
              <w:spacing w:before="43" w:line="369" w:lineRule="auto"/>
              <w:ind w:left="115" w:right="148" w:firstLine="1"/>
              <w:jc w:val="left"/>
              <w:rPr>
                <w:color w:val="auto"/>
                <w:spacing w:val="0"/>
                <w:highlight w:val="none"/>
              </w:rPr>
            </w:pPr>
            <w:r>
              <w:rPr>
                <w:color w:val="auto"/>
                <w:spacing w:val="0"/>
                <w:highlight w:val="none"/>
              </w:rPr>
              <w:t>大写：</w:t>
            </w:r>
          </w:p>
        </w:tc>
      </w:tr>
      <w:tr w14:paraId="6AFF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trPr>
        <w:tc>
          <w:tcPr>
            <w:tcW w:w="2471" w:type="dxa"/>
            <w:noWrap w:val="0"/>
            <w:vAlign w:val="center"/>
          </w:tcPr>
          <w:p w14:paraId="3291DD3E">
            <w:pPr>
              <w:pStyle w:val="25"/>
              <w:keepNext w:val="0"/>
              <w:keepLines w:val="0"/>
              <w:pageBreakBefore w:val="0"/>
              <w:widowControl w:val="0"/>
              <w:kinsoku/>
              <w:wordWrap/>
              <w:overflowPunct/>
              <w:topLinePunct w:val="0"/>
              <w:autoSpaceDE/>
              <w:autoSpaceDN/>
              <w:bidi w:val="0"/>
              <w:adjustRightInd/>
              <w:snapToGrid/>
              <w:spacing w:before="235" w:line="228" w:lineRule="auto"/>
              <w:ind w:left="0"/>
              <w:jc w:val="center"/>
              <w:textAlignment w:val="auto"/>
              <w:rPr>
                <w:rFonts w:hint="default" w:eastAsia="宋体"/>
                <w:color w:val="auto"/>
                <w:spacing w:val="0"/>
                <w:highlight w:val="none"/>
                <w:lang w:val="en-US" w:eastAsia="zh-CN"/>
              </w:rPr>
            </w:pPr>
            <w:r>
              <w:rPr>
                <w:rFonts w:hint="eastAsia"/>
                <w:color w:val="auto"/>
                <w:spacing w:val="0"/>
                <w:highlight w:val="none"/>
                <w:lang w:val="en-US" w:eastAsia="zh-CN"/>
              </w:rPr>
              <w:t>其他承诺</w:t>
            </w:r>
          </w:p>
        </w:tc>
        <w:tc>
          <w:tcPr>
            <w:tcW w:w="6186" w:type="dxa"/>
            <w:noWrap w:val="0"/>
            <w:vAlign w:val="top"/>
          </w:tcPr>
          <w:p w14:paraId="5E3379BB">
            <w:pPr>
              <w:rPr>
                <w:rFonts w:ascii="Arial"/>
                <w:color w:val="auto"/>
                <w:spacing w:val="0"/>
                <w:sz w:val="21"/>
                <w:highlight w:val="none"/>
              </w:rPr>
            </w:pPr>
          </w:p>
        </w:tc>
      </w:tr>
    </w:tbl>
    <w:p w14:paraId="2DDF4E58">
      <w:pPr>
        <w:keepNext w:val="0"/>
        <w:keepLines w:val="0"/>
        <w:pageBreakBefore w:val="0"/>
        <w:widowControl w:val="0"/>
        <w:kinsoku/>
        <w:wordWrap/>
        <w:overflowPunct/>
        <w:topLinePunct w:val="0"/>
        <w:autoSpaceDE/>
        <w:autoSpaceDN/>
        <w:bidi w:val="0"/>
        <w:adjustRightInd/>
        <w:snapToGrid/>
        <w:spacing w:before="50" w:line="288" w:lineRule="auto"/>
        <w:ind w:left="0" w:right="0"/>
        <w:textAlignment w:val="auto"/>
        <w:rPr>
          <w:rFonts w:ascii="宋体" w:hAnsi="宋体" w:eastAsia="宋体" w:cs="宋体"/>
          <w:color w:val="auto"/>
          <w:spacing w:val="0"/>
          <w:sz w:val="20"/>
          <w:szCs w:val="20"/>
          <w:highlight w:val="none"/>
        </w:rPr>
      </w:pPr>
      <w:r>
        <w:rPr>
          <w:rFonts w:ascii="宋体" w:hAnsi="宋体" w:eastAsia="宋体" w:cs="宋体"/>
          <w:color w:val="auto"/>
          <w:spacing w:val="0"/>
          <w:sz w:val="20"/>
          <w:szCs w:val="20"/>
          <w:highlight w:val="none"/>
        </w:rPr>
        <w:t>注：本表</w:t>
      </w:r>
      <w:r>
        <w:rPr>
          <w:rFonts w:hint="eastAsia" w:ascii="宋体" w:hAnsi="宋体" w:eastAsia="宋体" w:cs="宋体"/>
          <w:color w:val="auto"/>
          <w:spacing w:val="0"/>
          <w:sz w:val="20"/>
          <w:szCs w:val="20"/>
          <w:highlight w:val="none"/>
          <w:lang w:val="en-US" w:eastAsia="zh-CN"/>
        </w:rPr>
        <w:t>供磋商时使用，不须装入响应文件中</w:t>
      </w:r>
      <w:r>
        <w:rPr>
          <w:rFonts w:ascii="宋体" w:hAnsi="宋体" w:eastAsia="宋体" w:cs="宋体"/>
          <w:color w:val="auto"/>
          <w:spacing w:val="0"/>
          <w:sz w:val="20"/>
          <w:szCs w:val="20"/>
          <w:highlight w:val="none"/>
        </w:rPr>
        <w:t>。</w:t>
      </w:r>
    </w:p>
    <w:p w14:paraId="71B98FC7">
      <w:pPr>
        <w:spacing w:before="66" w:line="227" w:lineRule="auto"/>
        <w:ind w:left="9"/>
        <w:rPr>
          <w:rFonts w:ascii="宋体" w:hAnsi="宋体" w:eastAsia="宋体" w:cs="宋体"/>
          <w:color w:val="auto"/>
          <w:spacing w:val="8"/>
          <w:sz w:val="20"/>
          <w:szCs w:val="20"/>
          <w:highlight w:val="none"/>
        </w:rPr>
      </w:pPr>
    </w:p>
    <w:p w14:paraId="2B1B98FD">
      <w:pPr>
        <w:spacing w:line="360" w:lineRule="auto"/>
        <w:rPr>
          <w:rFonts w:ascii="宋体" w:hAnsi="宋体"/>
          <w:color w:val="auto"/>
          <w:sz w:val="21"/>
          <w:szCs w:val="21"/>
          <w:highlight w:val="none"/>
        </w:rPr>
      </w:pPr>
      <w:r>
        <w:rPr>
          <w:rFonts w:hint="eastAsia" w:ascii="宋体" w:hAnsi="宋体"/>
          <w:color w:val="auto"/>
          <w:sz w:val="21"/>
          <w:szCs w:val="21"/>
          <w:highlight w:val="none"/>
        </w:rPr>
        <w:t>供应商：</w:t>
      </w:r>
      <w:r>
        <w:rPr>
          <w:rFonts w:ascii="宋体" w:hAnsi="宋体"/>
          <w:color w:val="auto"/>
          <w:sz w:val="21"/>
          <w:szCs w:val="21"/>
          <w:highlight w:val="none"/>
          <w:u w:val="single"/>
        </w:rPr>
        <w:t xml:space="preserve">                                 </w:t>
      </w:r>
      <w:r>
        <w:rPr>
          <w:rFonts w:hint="eastAsia" w:ascii="宋体" w:hAnsi="宋体"/>
          <w:color w:val="auto"/>
          <w:sz w:val="21"/>
          <w:szCs w:val="21"/>
          <w:highlight w:val="none"/>
        </w:rPr>
        <w:t>（电子签章）</w:t>
      </w:r>
    </w:p>
    <w:p w14:paraId="266A57B3">
      <w:pPr>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rPr>
        <w:t>（电子签章或签字）</w:t>
      </w:r>
    </w:p>
    <w:p w14:paraId="63D51DBD">
      <w:pPr>
        <w:pStyle w:val="7"/>
        <w:spacing w:line="477" w:lineRule="auto"/>
        <w:rPr>
          <w:color w:val="auto"/>
          <w:sz w:val="21"/>
          <w:szCs w:val="21"/>
          <w:highlight w:val="none"/>
        </w:rPr>
      </w:pPr>
      <w:r>
        <w:rPr>
          <w:rFonts w:hint="eastAsia" w:ascii="宋体" w:hAnsi="宋体"/>
          <w:color w:val="auto"/>
          <w:sz w:val="21"/>
          <w:szCs w:val="21"/>
          <w:highlight w:val="none"/>
        </w:rPr>
        <w:t>时  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CEE70FF">
      <w:pPr>
        <w:rPr>
          <w:rFonts w:hint="eastAsia"/>
          <w:color w:val="auto"/>
          <w:highlight w:val="none"/>
          <w:lang w:val="en-US" w:eastAsia="zh-CN"/>
        </w:rPr>
      </w:pPr>
    </w:p>
    <w:p w14:paraId="47CE826D">
      <w:pPr>
        <w:ind w:firstLine="2520" w:firstLineChars="900"/>
        <w:rPr>
          <w:rFonts w:hint="eastAsia"/>
          <w:color w:val="auto"/>
          <w:sz w:val="28"/>
          <w:szCs w:val="28"/>
          <w:highlight w:val="none"/>
        </w:rPr>
      </w:pPr>
    </w:p>
    <w:sectPr>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C64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0A592">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D0A592">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1F7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2156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72156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FF8A">
    <w:pPr>
      <w:pBdr>
        <w:bottom w:val="none" w:color="auto" w:sz="0" w:space="0"/>
      </w:pBdr>
      <w:spacing w:before="48" w:line="219" w:lineRule="auto"/>
      <w:ind w:left="9"/>
      <w:rPr>
        <w:rFonts w:ascii="宋体" w:hAnsi="宋体" w:eastAsia="宋体" w:cs="宋体"/>
        <w:sz w:val="18"/>
        <w:szCs w:val="18"/>
      </w:rPr>
    </w:pPr>
    <w:r>
      <w:rPr>
        <w:rFonts w:ascii="宋体" w:hAnsi="宋体" w:eastAsia="宋体" w:cs="宋体"/>
        <w:sz w:val="18"/>
        <w:szCs w:val="18"/>
      </w:rPr>
      <w:t xml:space="preserve">                  </w:t>
    </w:r>
    <w:r>
      <w:rPr>
        <w:rFonts w:ascii="宋体" w:hAnsi="宋体" w:eastAsia="宋体" w:cs="宋体"/>
        <w:spacing w:val="-1"/>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E7EFD"/>
    <w:multiLevelType w:val="singleLevel"/>
    <w:tmpl w:val="F57E7EFD"/>
    <w:lvl w:ilvl="0" w:tentative="0">
      <w:start w:val="1"/>
      <w:numFmt w:val="chineseCounting"/>
      <w:suff w:val="nothing"/>
      <w:lvlText w:val="（%1）"/>
      <w:lvlJc w:val="left"/>
      <w:rPr>
        <w:rFonts w:hint="eastAsia"/>
      </w:rPr>
    </w:lvl>
  </w:abstractNum>
  <w:abstractNum w:abstractNumId="1">
    <w:nsid w:val="254B395A"/>
    <w:multiLevelType w:val="singleLevel"/>
    <w:tmpl w:val="254B395A"/>
    <w:lvl w:ilvl="0" w:tentative="0">
      <w:start w:val="2"/>
      <w:numFmt w:val="decimal"/>
      <w:suff w:val="nothing"/>
      <w:lvlText w:val="%1）"/>
      <w:lvlJc w:val="left"/>
    </w:lvl>
  </w:abstractNum>
  <w:abstractNum w:abstractNumId="2">
    <w:nsid w:val="458B36FD"/>
    <w:multiLevelType w:val="multilevel"/>
    <w:tmpl w:val="458B36FD"/>
    <w:lvl w:ilvl="0" w:tentative="0">
      <w:start w:val="1"/>
      <w:numFmt w:val="decimal"/>
      <w:lvlText w:val="%1."/>
      <w:lvlJc w:val="left"/>
      <w:pPr>
        <w:tabs>
          <w:tab w:val="left" w:pos="786"/>
        </w:tabs>
        <w:ind w:left="786" w:hanging="360"/>
      </w:pPr>
      <w:rPr>
        <w:rFonts w:hint="default" w:cs="Times New Roman"/>
        <w:lang w:val="en-US"/>
      </w:rPr>
    </w:lvl>
    <w:lvl w:ilvl="1" w:tentative="0">
      <w:start w:val="1"/>
      <w:numFmt w:val="decimal"/>
      <w:isLgl/>
      <w:lvlText w:val="%1.%2"/>
      <w:lvlJc w:val="left"/>
      <w:pPr>
        <w:ind w:left="1335" w:hanging="915"/>
      </w:pPr>
      <w:rPr>
        <w:rFonts w:hint="default" w:cs="Times New Roman"/>
      </w:rPr>
    </w:lvl>
    <w:lvl w:ilvl="2" w:tentative="0">
      <w:start w:val="1"/>
      <w:numFmt w:val="decimal"/>
      <w:isLgl/>
      <w:lvlText w:val="%1.%2.%3"/>
      <w:lvlJc w:val="left"/>
      <w:pPr>
        <w:ind w:left="1613" w:hanging="915"/>
      </w:pPr>
      <w:rPr>
        <w:rFonts w:hint="default" w:cs="Times New Roman"/>
      </w:rPr>
    </w:lvl>
    <w:lvl w:ilvl="3" w:tentative="0">
      <w:start w:val="1"/>
      <w:numFmt w:val="decimal"/>
      <w:isLgl/>
      <w:lvlText w:val="%1.%2.%3.%4"/>
      <w:lvlJc w:val="left"/>
      <w:pPr>
        <w:ind w:left="1891" w:hanging="915"/>
      </w:pPr>
      <w:rPr>
        <w:rFonts w:hint="default" w:cs="Times New Roman"/>
      </w:rPr>
    </w:lvl>
    <w:lvl w:ilvl="4" w:tentative="0">
      <w:start w:val="1"/>
      <w:numFmt w:val="decimal"/>
      <w:isLgl/>
      <w:lvlText w:val="%1.%2.%3.%4.%5"/>
      <w:lvlJc w:val="left"/>
      <w:pPr>
        <w:ind w:left="2334" w:hanging="1080"/>
      </w:pPr>
      <w:rPr>
        <w:rFonts w:hint="default" w:cs="Times New Roman"/>
      </w:rPr>
    </w:lvl>
    <w:lvl w:ilvl="5" w:tentative="0">
      <w:start w:val="1"/>
      <w:numFmt w:val="decimal"/>
      <w:isLgl/>
      <w:lvlText w:val="%1.%2.%3.%4.%5.%6"/>
      <w:lvlJc w:val="left"/>
      <w:pPr>
        <w:ind w:left="2612" w:hanging="1080"/>
      </w:pPr>
      <w:rPr>
        <w:rFonts w:hint="default" w:cs="Times New Roman"/>
      </w:rPr>
    </w:lvl>
    <w:lvl w:ilvl="6" w:tentative="0">
      <w:start w:val="1"/>
      <w:numFmt w:val="decimal"/>
      <w:isLgl/>
      <w:lvlText w:val="%1.%2.%3.%4.%5.%6.%7"/>
      <w:lvlJc w:val="left"/>
      <w:pPr>
        <w:ind w:left="2890" w:hanging="1080"/>
      </w:pPr>
      <w:rPr>
        <w:rFonts w:hint="default" w:cs="Times New Roman"/>
      </w:rPr>
    </w:lvl>
    <w:lvl w:ilvl="7" w:tentative="0">
      <w:start w:val="1"/>
      <w:numFmt w:val="decimal"/>
      <w:isLgl/>
      <w:lvlText w:val="%1.%2.%3.%4.%5.%6.%7.%8"/>
      <w:lvlJc w:val="left"/>
      <w:pPr>
        <w:ind w:left="3528" w:hanging="1440"/>
      </w:pPr>
      <w:rPr>
        <w:rFonts w:hint="default" w:cs="Times New Roman"/>
      </w:rPr>
    </w:lvl>
    <w:lvl w:ilvl="8" w:tentative="0">
      <w:start w:val="1"/>
      <w:numFmt w:val="decimal"/>
      <w:isLgl/>
      <w:lvlText w:val="%1.%2.%3.%4.%5.%6.%7.%8.%9"/>
      <w:lvlJc w:val="left"/>
      <w:pPr>
        <w:ind w:left="3806" w:hanging="1440"/>
      </w:pPr>
      <w:rPr>
        <w:rFonts w:hint="default"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212AB"/>
    <w:rsid w:val="024408DF"/>
    <w:rsid w:val="03023987"/>
    <w:rsid w:val="03D05300"/>
    <w:rsid w:val="07C30DA3"/>
    <w:rsid w:val="0E4A72BD"/>
    <w:rsid w:val="11537839"/>
    <w:rsid w:val="121E62E8"/>
    <w:rsid w:val="1301664F"/>
    <w:rsid w:val="13AD2870"/>
    <w:rsid w:val="13B567D8"/>
    <w:rsid w:val="13C212AB"/>
    <w:rsid w:val="1627013E"/>
    <w:rsid w:val="17292082"/>
    <w:rsid w:val="1750389F"/>
    <w:rsid w:val="18D5590A"/>
    <w:rsid w:val="18F33E01"/>
    <w:rsid w:val="1AFD3FCD"/>
    <w:rsid w:val="1DAE7E38"/>
    <w:rsid w:val="2076438D"/>
    <w:rsid w:val="22451851"/>
    <w:rsid w:val="233A2855"/>
    <w:rsid w:val="27494925"/>
    <w:rsid w:val="2AAF2D8C"/>
    <w:rsid w:val="2C8D0B2B"/>
    <w:rsid w:val="2D5B3D3B"/>
    <w:rsid w:val="32427D38"/>
    <w:rsid w:val="371829FB"/>
    <w:rsid w:val="38C465CA"/>
    <w:rsid w:val="3A5D0BC3"/>
    <w:rsid w:val="3A7000D7"/>
    <w:rsid w:val="3B437F04"/>
    <w:rsid w:val="3B70321C"/>
    <w:rsid w:val="3C09460C"/>
    <w:rsid w:val="3D416E55"/>
    <w:rsid w:val="3DC90C03"/>
    <w:rsid w:val="40AC03DF"/>
    <w:rsid w:val="41750820"/>
    <w:rsid w:val="430F22F3"/>
    <w:rsid w:val="438E2C22"/>
    <w:rsid w:val="43EA5401"/>
    <w:rsid w:val="45BB5620"/>
    <w:rsid w:val="47E86474"/>
    <w:rsid w:val="4AE801F4"/>
    <w:rsid w:val="4D7A5286"/>
    <w:rsid w:val="4D7B4FC5"/>
    <w:rsid w:val="4DB01C3A"/>
    <w:rsid w:val="50E002FF"/>
    <w:rsid w:val="516628C7"/>
    <w:rsid w:val="523B2D51"/>
    <w:rsid w:val="57871169"/>
    <w:rsid w:val="5BC6775E"/>
    <w:rsid w:val="5C124875"/>
    <w:rsid w:val="5D79560C"/>
    <w:rsid w:val="5F064635"/>
    <w:rsid w:val="628C5075"/>
    <w:rsid w:val="64034852"/>
    <w:rsid w:val="656A6EB9"/>
    <w:rsid w:val="6BB31A52"/>
    <w:rsid w:val="6BE97D97"/>
    <w:rsid w:val="715F4E00"/>
    <w:rsid w:val="752F606D"/>
    <w:rsid w:val="75AB0ED3"/>
    <w:rsid w:val="76972A9E"/>
    <w:rsid w:val="77B8260D"/>
    <w:rsid w:val="7BCE0AE7"/>
    <w:rsid w:val="7C2C4303"/>
    <w:rsid w:val="7D6226A4"/>
    <w:rsid w:val="7E4554E8"/>
    <w:rsid w:val="7F04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utoSpaceDE w:val="0"/>
      <w:autoSpaceDN w:val="0"/>
      <w:adjustRightInd w:val="0"/>
      <w:jc w:val="left"/>
      <w:outlineLvl w:val="0"/>
    </w:pPr>
    <w:rPr>
      <w:rFonts w:ascii="仿宋_GB2312" w:eastAsia="仿宋_GB2312"/>
      <w:b/>
      <w:bCs/>
      <w:color w:val="000000"/>
      <w:kern w:val="0"/>
      <w:sz w:val="20"/>
      <w:szCs w:val="20"/>
    </w:rPr>
  </w:style>
  <w:style w:type="paragraph" w:styleId="3">
    <w:name w:val="heading 2"/>
    <w:basedOn w:val="1"/>
    <w:next w:val="1"/>
    <w:link w:val="30"/>
    <w:qFormat/>
    <w:uiPriority w:val="9"/>
    <w:pPr>
      <w:keepNext/>
      <w:keepLines/>
      <w:spacing w:before="120" w:after="120" w:line="360" w:lineRule="auto"/>
      <w:jc w:val="center"/>
      <w:outlineLvl w:val="1"/>
    </w:pPr>
    <w:rPr>
      <w:rFonts w:ascii="Arial" w:hAnsi="Arial"/>
      <w:b/>
      <w:bCs/>
      <w:kern w:val="0"/>
      <w:sz w:val="32"/>
      <w:szCs w:val="32"/>
    </w:rPr>
  </w:style>
  <w:style w:type="paragraph" w:styleId="4">
    <w:name w:val="heading 3"/>
    <w:basedOn w:val="1"/>
    <w:next w:val="1"/>
    <w:qFormat/>
    <w:uiPriority w:val="0"/>
    <w:pPr>
      <w:keepNext/>
      <w:keepLines/>
      <w:spacing w:before="120" w:after="120" w:line="360" w:lineRule="auto"/>
      <w:ind w:firstLine="200" w:firstLineChars="200"/>
      <w:jc w:val="center"/>
      <w:outlineLvl w:val="2"/>
    </w:pPr>
    <w:rPr>
      <w:rFonts w:ascii="宋体"/>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snapToGrid/>
      <w:kern w:val="2"/>
      <w:szCs w:val="20"/>
    </w:rPr>
  </w:style>
  <w:style w:type="paragraph" w:styleId="6">
    <w:name w:val="toa heading"/>
    <w:basedOn w:val="1"/>
    <w:next w:val="1"/>
    <w:qFormat/>
    <w:uiPriority w:val="0"/>
    <w:pPr>
      <w:spacing w:before="120"/>
    </w:pPr>
    <w:rPr>
      <w:rFonts w:ascii="Arial" w:hAnsi="Arial"/>
      <w:sz w:val="24"/>
      <w:szCs w:val="20"/>
    </w:rPr>
  </w:style>
  <w:style w:type="paragraph" w:styleId="7">
    <w:name w:val="Body Text"/>
    <w:basedOn w:val="1"/>
    <w:next w:val="1"/>
    <w:unhideWhenUsed/>
    <w:qFormat/>
    <w:uiPriority w:val="0"/>
    <w:pPr>
      <w:spacing w:after="120"/>
    </w:pPr>
    <w:rPr>
      <w:kern w:val="0"/>
      <w:sz w:val="24"/>
    </w:rPr>
  </w:style>
  <w:style w:type="paragraph" w:styleId="8">
    <w:name w:val="Body Text Indent"/>
    <w:basedOn w:val="1"/>
    <w:qFormat/>
    <w:uiPriority w:val="0"/>
    <w:pPr>
      <w:ind w:firstLine="200" w:firstLineChars="200"/>
      <w:jc w:val="left"/>
    </w:pPr>
    <w:rPr>
      <w:rFonts w:ascii="仿宋_GB2312" w:eastAsia="仿宋_GB2312"/>
      <w:kern w:val="0"/>
      <w:sz w:val="24"/>
    </w:rPr>
  </w:style>
  <w:style w:type="paragraph" w:styleId="9">
    <w:name w:val="Plain Text"/>
    <w:basedOn w:val="1"/>
    <w:qFormat/>
    <w:uiPriority w:val="0"/>
    <w:pPr>
      <w:autoSpaceDE w:val="0"/>
      <w:autoSpaceDN w:val="0"/>
      <w:adjustRightInd w:val="0"/>
      <w:jc w:val="left"/>
    </w:pPr>
    <w:rPr>
      <w:rFonts w:ascii="宋体" w:hAnsi="Courier New"/>
      <w:szCs w:val="21"/>
    </w:rPr>
  </w:style>
  <w:style w:type="paragraph" w:styleId="10">
    <w:name w:val="Body Text Indent 2"/>
    <w:basedOn w:val="1"/>
    <w:qFormat/>
    <w:uiPriority w:val="0"/>
    <w:pPr>
      <w:spacing w:line="60" w:lineRule="auto"/>
      <w:ind w:firstLine="128" w:firstLineChars="128"/>
    </w:pPr>
    <w:rPr>
      <w:rFonts w:ascii="仿宋_GB2312" w:eastAsia="仿宋_GB2312"/>
      <w:kern w:val="0"/>
      <w:sz w:val="24"/>
    </w:rPr>
  </w:style>
  <w:style w:type="paragraph" w:styleId="11">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semiHidden/>
    <w:unhideWhenUsed/>
    <w:qFormat/>
    <w:uiPriority w:val="99"/>
    <w:pPr>
      <w:snapToGrid w:val="0"/>
    </w:pPr>
    <w:rPr>
      <w:sz w:val="18"/>
      <w:szCs w:val="18"/>
    </w:rPr>
  </w:style>
  <w:style w:type="paragraph" w:styleId="15">
    <w:name w:val="Body Text 2"/>
    <w:basedOn w:val="1"/>
    <w:qFormat/>
    <w:uiPriority w:val="0"/>
    <w:rPr>
      <w:rFonts w:ascii="宋体"/>
      <w:kern w:val="0"/>
      <w:sz w:val="20"/>
      <w:szCs w:val="20"/>
    </w:rPr>
  </w:style>
  <w:style w:type="paragraph" w:styleId="16">
    <w:name w:val="Body Text First Indent 2"/>
    <w:basedOn w:val="8"/>
    <w:next w:val="1"/>
    <w:qFormat/>
    <w:uiPriority w:val="0"/>
    <w:pPr>
      <w:spacing w:after="120"/>
      <w:ind w:left="420" w:leftChars="200" w:firstLine="420"/>
      <w:jc w:val="both"/>
    </w:pPr>
    <w:rPr>
      <w:kern w:val="2"/>
      <w:sz w:val="28"/>
    </w:rPr>
  </w:style>
  <w:style w:type="table" w:styleId="18">
    <w:name w:val="Table Grid"/>
    <w:basedOn w:val="17"/>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qFormat/>
    <w:uiPriority w:val="99"/>
    <w:rPr>
      <w:color w:val="333333"/>
      <w:u w:val="none"/>
    </w:rPr>
  </w:style>
  <w:style w:type="character" w:styleId="22">
    <w:name w:val="footnote reference"/>
    <w:basedOn w:val="19"/>
    <w:semiHidden/>
    <w:unhideWhenUsed/>
    <w:qFormat/>
    <w:uiPriority w:val="99"/>
    <w:rPr>
      <w:vertAlign w:val="superscript"/>
    </w:rPr>
  </w:style>
  <w:style w:type="paragraph" w:customStyle="1" w:styleId="23">
    <w:name w:val="正文首行缩进 21"/>
    <w:basedOn w:val="24"/>
    <w:qFormat/>
    <w:uiPriority w:val="99"/>
    <w:pPr>
      <w:ind w:firstLine="420" w:firstLineChars="200"/>
    </w:pPr>
    <w:rPr>
      <w:szCs w:val="24"/>
    </w:rPr>
  </w:style>
  <w:style w:type="paragraph" w:customStyle="1" w:styleId="24">
    <w:name w:val="正文文本缩进1"/>
    <w:basedOn w:val="1"/>
    <w:qFormat/>
    <w:uiPriority w:val="99"/>
    <w:pPr>
      <w:spacing w:after="120" w:line="360" w:lineRule="auto"/>
      <w:ind w:left="420" w:leftChars="200" w:firstLine="196" w:firstLineChars="196"/>
    </w:pPr>
    <w:rPr>
      <w:szCs w:val="21"/>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m-正文"/>
    <w:basedOn w:val="1"/>
    <w:qFormat/>
    <w:uiPriority w:val="0"/>
    <w:pPr>
      <w:spacing w:line="12" w:lineRule="auto"/>
      <w:ind w:firstLine="560" w:firstLineChars="200"/>
    </w:pPr>
    <w:rPr>
      <w:rFonts w:ascii="宋体" w:hAnsi="宋体"/>
      <w:kern w:val="0"/>
      <w:sz w:val="28"/>
      <w:szCs w:val="28"/>
    </w:rPr>
  </w:style>
  <w:style w:type="character" w:customStyle="1" w:styleId="28">
    <w:name w:val="标题 2 Char2"/>
    <w:link w:val="3"/>
    <w:qFormat/>
    <w:locked/>
    <w:uiPriority w:val="9"/>
    <w:rPr>
      <w:rFonts w:ascii="Arial" w:hAnsi="Arial"/>
      <w:b/>
      <w:bCs/>
      <w:kern w:val="0"/>
      <w:sz w:val="32"/>
      <w:szCs w:val="32"/>
    </w:rPr>
  </w:style>
  <w:style w:type="character" w:customStyle="1" w:styleId="29">
    <w:name w:val="标题 2 Char"/>
    <w:link w:val="3"/>
    <w:qFormat/>
    <w:locked/>
    <w:uiPriority w:val="0"/>
    <w:rPr>
      <w:rFonts w:ascii="Arial" w:hAnsi="Arial" w:eastAsia="宋体" w:cs="Times New Roman"/>
      <w:b/>
      <w:bCs/>
      <w:sz w:val="32"/>
      <w:szCs w:val="32"/>
    </w:rPr>
  </w:style>
  <w:style w:type="character" w:customStyle="1" w:styleId="30">
    <w:name w:val="标题 2 Char1"/>
    <w:link w:val="3"/>
    <w:qFormat/>
    <w:locked/>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22101</Words>
  <Characters>23698</Characters>
  <Lines>0</Lines>
  <Paragraphs>0</Paragraphs>
  <TotalTime>600</TotalTime>
  <ScaleCrop>false</ScaleCrop>
  <LinksUpToDate>false</LinksUpToDate>
  <CharactersWithSpaces>24686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2025-06-30T08:23:00Z</dcterms:created>
  <dc:creator>PC</dc:creator>
  <cp:lastModifiedBy>'</cp:lastModifiedBy>
  <dcterms:modified xsi:type="dcterms:W3CDTF">2026-06-12T12:01:02Z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2DC608014E2B4531ABAC2BEA02904960_13</vt:lpwstr>
  </property>
  <property fmtid="{D5CDD505-2E9C-101B-9397-08002B2CF9AE}" pid="4" name="KSOTemplateDocerSaveRecord">
    <vt:lpwstr>eyJoZGlkIjoiZjhlYjdmYWU4MDI1MDQ2ZGRhNTljMTc5Zjk4MTY3Y2EiLCJ1c2VySWQiOiI5MjYzMTkzNDEifQ==</vt:lpwstr>
  </property>
</Properties>
</file>