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0CC34">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48"/>
          <w:szCs w:val="48"/>
          <w:highlight w:val="none"/>
          <w:lang w:eastAsia="zh-CN"/>
        </w:rPr>
      </w:pPr>
    </w:p>
    <w:p w14:paraId="7163344B">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新疆维吾尔自治区2026年度动物疫苗采购项目-布鲁氏菌病活疫苗(BA0711株)</w:t>
      </w:r>
    </w:p>
    <w:p w14:paraId="51E88D92">
      <w:pPr>
        <w:pageBreakBefore w:val="0"/>
        <w:wordWrap/>
        <w:topLinePunct w:val="0"/>
        <w:bidi w:val="0"/>
        <w:spacing w:beforeAutospacing="0" w:line="240" w:lineRule="auto"/>
        <w:jc w:val="center"/>
        <w:rPr>
          <w:rFonts w:hint="eastAsia" w:ascii="宋体" w:hAnsi="宋体" w:eastAsia="宋体" w:cs="宋体"/>
          <w:b/>
          <w:bCs/>
          <w:color w:val="auto"/>
          <w:sz w:val="48"/>
          <w:szCs w:val="48"/>
          <w:highlight w:val="none"/>
          <w:lang w:val="en-US" w:eastAsia="zh-CN"/>
        </w:rPr>
      </w:pPr>
    </w:p>
    <w:p w14:paraId="40913083">
      <w:pPr>
        <w:pageBreakBefore w:val="0"/>
        <w:wordWrap/>
        <w:topLinePunct w:val="0"/>
        <w:bidi w:val="0"/>
        <w:spacing w:beforeAutospacing="0" w:line="240" w:lineRule="auto"/>
        <w:jc w:val="center"/>
        <w:rPr>
          <w:rFonts w:hint="eastAsia" w:ascii="宋体" w:hAnsi="宋体" w:eastAsia="宋体" w:cs="宋体"/>
          <w:b/>
          <w:bCs/>
          <w:color w:val="auto"/>
          <w:sz w:val="48"/>
          <w:szCs w:val="48"/>
          <w:highlight w:val="none"/>
          <w:lang w:val="en-US" w:eastAsia="zh-CN"/>
        </w:rPr>
      </w:pPr>
    </w:p>
    <w:p w14:paraId="79AAC7A4">
      <w:pPr>
        <w:pageBreakBefore w:val="0"/>
        <w:wordWrap/>
        <w:topLinePunct w:val="0"/>
        <w:bidi w:val="0"/>
        <w:spacing w:beforeAutospacing="0" w:line="240" w:lineRule="auto"/>
        <w:jc w:val="center"/>
        <w:rPr>
          <w:rFonts w:hint="eastAsia" w:ascii="宋体" w:hAnsi="宋体" w:eastAsia="宋体" w:cs="宋体"/>
          <w:b/>
          <w:bCs/>
          <w:color w:val="auto"/>
          <w:sz w:val="48"/>
          <w:szCs w:val="48"/>
          <w:highlight w:val="none"/>
          <w:lang w:val="en-US" w:eastAsia="zh-CN"/>
        </w:rPr>
      </w:pPr>
    </w:p>
    <w:p w14:paraId="45DF798E">
      <w:pPr>
        <w:pageBreakBefore w:val="0"/>
        <w:wordWrap/>
        <w:topLinePunct w:val="0"/>
        <w:bidi w:val="0"/>
        <w:spacing w:beforeAutospacing="0" w:line="240" w:lineRule="auto"/>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竞争性谈判文件</w:t>
      </w:r>
    </w:p>
    <w:p w14:paraId="255EFB89">
      <w:pPr>
        <w:pageBreakBefore w:val="0"/>
        <w:wordWrap/>
        <w:topLinePunct w:val="0"/>
        <w:bidi w:val="0"/>
        <w:spacing w:beforeAutospacing="0" w:line="240" w:lineRule="auto"/>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项目编号：XJCY2026-ZB-101</w:t>
      </w:r>
    </w:p>
    <w:p w14:paraId="59ED85ED">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p>
    <w:p w14:paraId="1CD88D68">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p>
    <w:p w14:paraId="6DF5007D">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采购人（盖章）：新疆维吾尔自治区动物疫病预防控制中心（新疆维吾尔自治区动物检疫所）</w:t>
      </w:r>
    </w:p>
    <w:p w14:paraId="11E1F046">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val="en-US" w:eastAsia="zh-CN"/>
        </w:rPr>
        <w:t>张老师</w:t>
      </w:r>
    </w:p>
    <w:p w14:paraId="1F908C25">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联系电话：0991-4650169</w:t>
      </w:r>
    </w:p>
    <w:p w14:paraId="26AADA25">
      <w:pPr>
        <w:keepNext w:val="0"/>
        <w:keepLines w:val="0"/>
        <w:pageBreakBefore w:val="0"/>
        <w:widowControl w:val="0"/>
        <w:kinsoku/>
        <w:wordWrap/>
        <w:overflowPunct/>
        <w:topLinePunct w:val="0"/>
        <w:autoSpaceDE/>
        <w:autoSpaceDN/>
        <w:bidi w:val="0"/>
        <w:adjustRightInd/>
        <w:spacing w:line="480" w:lineRule="auto"/>
        <w:ind w:right="-158" w:rightChars="-75"/>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地址：乌鲁木齐市新市区蓝天路268号</w:t>
      </w:r>
    </w:p>
    <w:p w14:paraId="512F6A05">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6019800" cy="0"/>
                <wp:effectExtent l="0" t="6350" r="0" b="6350"/>
                <wp:wrapNone/>
                <wp:docPr id="11" name="直接连接符 1"/>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直接连接符 1" o:spid="_x0000_s1026" o:spt="20" style="position:absolute;left:0pt;margin-left:-9pt;margin-top:0pt;height:0pt;width:474pt;z-index:251660288;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8WO4PTAAAABQEAAA8AAAAAAAAAAQAgAAAAIgAAAGRycy9kb3ducmV2LnhtbFBLAQIUABQAAAAI&#10;AIdO4kCCU1A18gEAAOkDAAAOAAAAAAAAAAEAIAAAACIBAABkcnMvZTJvRG9jLnhtbFBLBQYAAAAA&#10;BgAGAFkBAACGBQAAAAA=&#10;">
                <v:fill on="f" focussize="0,0"/>
                <v:stroke weight="1pt" color="#000000" joinstyle="round" dashstyle="1 1"/>
                <v:imagedata o:title=""/>
                <o:lock v:ext="edit" aspectratio="f"/>
              </v:line>
            </w:pict>
          </mc:Fallback>
        </mc:AlternateContent>
      </w:r>
      <w:r>
        <w:rPr>
          <w:rFonts w:hint="eastAsia" w:ascii="宋体" w:hAnsi="宋体" w:eastAsia="宋体" w:cs="宋体"/>
          <w:b/>
          <w:bCs/>
          <w:color w:val="auto"/>
          <w:sz w:val="30"/>
          <w:szCs w:val="30"/>
          <w:highlight w:val="none"/>
        </w:rPr>
        <w:t>招标代理机构（盖章）：新疆诚誉工程项目管理有限公司</w:t>
      </w:r>
    </w:p>
    <w:p w14:paraId="4528EB4C">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val="en-US"/>
        </w:rPr>
      </w:pPr>
      <w:r>
        <w:rPr>
          <w:rFonts w:hint="eastAsia" w:ascii="宋体" w:hAnsi="宋体" w:eastAsia="宋体" w:cs="宋体"/>
          <w:b/>
          <w:bCs/>
          <w:color w:val="auto"/>
          <w:sz w:val="30"/>
          <w:szCs w:val="30"/>
          <w:highlight w:val="none"/>
        </w:rPr>
        <w:t>联系人：赵箭</w:t>
      </w:r>
    </w:p>
    <w:p w14:paraId="3F07E8D9">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val="en-US" w:eastAsia="zh-CN"/>
        </w:rPr>
        <w:t>18690180651</w:t>
      </w:r>
    </w:p>
    <w:p w14:paraId="0CC43FD2">
      <w:pPr>
        <w:keepNext w:val="0"/>
        <w:keepLines w:val="0"/>
        <w:pageBreakBefore w:val="0"/>
        <w:widowControl w:val="0"/>
        <w:kinsoku/>
        <w:wordWrap/>
        <w:overflowPunct/>
        <w:topLinePunct w:val="0"/>
        <w:autoSpaceDE/>
        <w:autoSpaceDN/>
        <w:bidi w:val="0"/>
        <w:adjustRightInd/>
        <w:spacing w:line="480" w:lineRule="auto"/>
        <w:ind w:right="-378" w:rightChars="-180"/>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联系地址：乌鲁木齐市会展大道599号新疆财富中心C座6楼601室</w:t>
      </w:r>
    </w:p>
    <w:p w14:paraId="57D6FAB5">
      <w:pPr>
        <w:keepNext w:val="0"/>
        <w:keepLines w:val="0"/>
        <w:pageBreakBefore w:val="0"/>
        <w:widowControl w:val="0"/>
        <w:kinsoku/>
        <w:wordWrap/>
        <w:overflowPunct/>
        <w:topLinePunct w:val="0"/>
        <w:autoSpaceDE/>
        <w:autoSpaceDN/>
        <w:bidi w:val="0"/>
        <w:adjustRightInd/>
        <w:spacing w:line="480" w:lineRule="auto"/>
        <w:ind w:right="-378" w:rightChars="-180"/>
        <w:jc w:val="center"/>
        <w:textAlignment w:val="auto"/>
        <w:rPr>
          <w:rFonts w:hint="eastAsia" w:ascii="宋体" w:hAnsi="宋体" w:eastAsia="宋体" w:cs="宋体"/>
          <w:b/>
          <w:bCs/>
          <w:color w:val="auto"/>
          <w:sz w:val="30"/>
          <w:szCs w:val="30"/>
          <w:highlight w:val="none"/>
          <w:lang w:val="en-US" w:eastAsia="zh-CN"/>
        </w:rPr>
      </w:pPr>
    </w:p>
    <w:p w14:paraId="72374D2F">
      <w:pPr>
        <w:keepNext w:val="0"/>
        <w:keepLines w:val="0"/>
        <w:pageBreakBefore w:val="0"/>
        <w:widowControl w:val="0"/>
        <w:kinsoku/>
        <w:wordWrap/>
        <w:overflowPunct/>
        <w:topLinePunct w:val="0"/>
        <w:autoSpaceDE/>
        <w:autoSpaceDN/>
        <w:bidi w:val="0"/>
        <w:adjustRightInd/>
        <w:spacing w:line="480" w:lineRule="auto"/>
        <w:ind w:right="-378" w:rightChars="-180"/>
        <w:jc w:val="center"/>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2026年5月</w:t>
      </w:r>
    </w:p>
    <w:p w14:paraId="0F8C5007">
      <w:pPr>
        <w:rPr>
          <w:rFonts w:hint="eastAsia" w:ascii="宋体" w:hAnsi="宋体" w:eastAsia="宋体" w:cs="宋体"/>
          <w:color w:val="auto"/>
          <w:lang w:val="en-US" w:eastAsia="zh-CN"/>
        </w:rPr>
      </w:pPr>
      <w:r>
        <w:rPr>
          <w:rFonts w:hint="eastAsia" w:ascii="宋体" w:hAnsi="宋体" w:eastAsia="宋体" w:cs="宋体"/>
          <w:b/>
          <w:bCs/>
          <w:color w:val="auto"/>
          <w:sz w:val="30"/>
          <w:szCs w:val="30"/>
          <w:highlight w:val="none"/>
          <w:lang w:val="en-US" w:eastAsia="zh-CN"/>
        </w:rPr>
        <w:br w:type="page"/>
      </w:r>
    </w:p>
    <w:sdt>
      <w:sdtPr>
        <w:rPr>
          <w:rFonts w:ascii="宋体" w:hAnsi="宋体" w:eastAsia="宋体" w:cstheme="minorBidi"/>
          <w:color w:val="auto"/>
          <w:kern w:val="2"/>
          <w:sz w:val="21"/>
          <w:szCs w:val="22"/>
          <w:lang w:val="en-US" w:eastAsia="zh-CN" w:bidi="ar-SA"/>
        </w:rPr>
        <w:id w:val="147463408"/>
        <w15:color w:val="DBDBDB"/>
        <w:docPartObj>
          <w:docPartGallery w:val="Table of Contents"/>
          <w:docPartUnique/>
        </w:docPartObj>
      </w:sdtPr>
      <w:sdtEndPr>
        <w:rPr>
          <w:rFonts w:asciiTheme="minorHAnsi" w:hAnsiTheme="minorHAnsi" w:eastAsiaTheme="minorEastAsia" w:cstheme="minorBidi"/>
          <w:color w:val="auto"/>
          <w:kern w:val="2"/>
          <w:sz w:val="21"/>
          <w:szCs w:val="22"/>
          <w:lang w:val="en-US" w:eastAsia="zh-CN" w:bidi="ar-SA"/>
        </w:rPr>
      </w:sdtEndPr>
      <w:sdtContent>
        <w:p w14:paraId="533AE4B1">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目录</w:t>
          </w:r>
        </w:p>
        <w:p w14:paraId="12B4D328">
          <w:pPr>
            <w:pStyle w:val="18"/>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"1-2" \h \u </w:instrText>
          </w:r>
          <w:r>
            <w:rPr>
              <w:rFonts w:hint="eastAsia" w:ascii="宋体" w:hAnsi="宋体" w:eastAsia="宋体" w:cs="宋体"/>
              <w:color w:val="auto"/>
              <w:sz w:val="24"/>
              <w:szCs w:val="24"/>
            </w:rPr>
            <w:fldChar w:fldCharType="separate"/>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_Toc28217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lang w:val="en-US" w:eastAsia="zh-CN"/>
            </w:rPr>
            <w:t>第一章 谈判邀请</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_Toc28217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1</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5EC887B5">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_Toc4219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一、项目基本情况</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_Toc4219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0D400AF">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的资格要求：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7F41A6E">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_Toc607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_Toc607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058BA97">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_Toc16152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lang w:val="en-US" w:eastAsia="zh-CN"/>
            </w:rPr>
            <w:t>四、获取竞争性谈判文件的时间、地点、方式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_Toc16152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6EDB6EC">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_Toc22928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lang w:val="en-US" w:eastAsia="zh-CN"/>
            </w:rPr>
            <w:t>五、响应文件提交截止时间、采购时间及地点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_Toc22928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F6C928D">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_Toc6313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2"/>
              <w:sz w:val="24"/>
              <w:szCs w:val="24"/>
              <w:highlight w:val="none"/>
              <w:lang w:val="en-US" w:eastAsia="zh-CN" w:bidi="ar-SA"/>
            </w:rPr>
            <w:t>六、公告期限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_Toc6313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F474B4E">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_Toc28304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2"/>
              <w:sz w:val="24"/>
              <w:szCs w:val="24"/>
              <w:highlight w:val="none"/>
              <w:lang w:val="en-US" w:eastAsia="zh-CN" w:bidi="ar-SA"/>
            </w:rPr>
            <w:t>七、其他补充事宜</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_Toc28304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6CE3F63">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_Toc14137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lang w:val="en-US" w:eastAsia="zh-CN"/>
            </w:rPr>
            <w:t>八、对本次招标提出询问，请按以下方式联系</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_Toc14137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0515627">
          <w:pPr>
            <w:pStyle w:val="18"/>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_Toc12881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lang w:val="en-US" w:eastAsia="zh-CN"/>
            </w:rPr>
            <w:t>第二章 供应商须知</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_Toc12881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4</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3FB07D93">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_Toc25921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2"/>
              <w:sz w:val="24"/>
              <w:szCs w:val="24"/>
              <w:highlight w:val="none"/>
              <w:lang w:val="en-US" w:eastAsia="zh-CN" w:bidi="ar-SA"/>
            </w:rPr>
            <w:t>一、供应商须知前附表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_Toc25921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60BACBC">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_Toc13684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2"/>
              <w:sz w:val="24"/>
              <w:szCs w:val="24"/>
              <w:highlight w:val="none"/>
              <w:lang w:val="en-US" w:eastAsia="zh-CN" w:bidi="ar-SA"/>
            </w:rPr>
            <w:t>二、供应商须知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_Toc13684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5B0A94D">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_Toc18627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2"/>
              <w:sz w:val="24"/>
              <w:szCs w:val="24"/>
              <w:highlight w:val="none"/>
              <w:lang w:val="en-US" w:eastAsia="zh-CN" w:bidi="ar-SA"/>
            </w:rPr>
            <w:t>三、说明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_Toc18627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50CAA24">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_Toc1618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2"/>
              <w:sz w:val="24"/>
              <w:szCs w:val="24"/>
              <w:highlight w:val="none"/>
              <w:lang w:val="en-US" w:eastAsia="zh-CN" w:bidi="ar-SA"/>
            </w:rPr>
            <w:t>四、谈判文件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_Toc1618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0636347">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_Toc7588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2"/>
              <w:sz w:val="24"/>
              <w:szCs w:val="24"/>
              <w:highlight w:val="none"/>
              <w:lang w:val="en-US" w:eastAsia="zh-CN" w:bidi="ar-SA"/>
            </w:rPr>
            <w:t>五、谈判文件的澄清或者修改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_Toc7588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BBBCA9E">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_Toc1120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2"/>
              <w:sz w:val="24"/>
              <w:szCs w:val="24"/>
              <w:highlight w:val="none"/>
              <w:lang w:val="en-US" w:eastAsia="zh-CN" w:bidi="ar-SA"/>
            </w:rPr>
            <w:t>六、响应文件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_Toc1120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5136761">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_Toc13317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2"/>
              <w:sz w:val="24"/>
              <w:szCs w:val="24"/>
              <w:highlight w:val="none"/>
              <w:lang w:val="en-US" w:eastAsia="zh-CN" w:bidi="ar-SA"/>
            </w:rPr>
            <w:t>七、开标、评标、成交公告、成交通知书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_Toc13317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CC73E60">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_Toc31671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2"/>
              <w:sz w:val="24"/>
              <w:szCs w:val="24"/>
              <w:highlight w:val="none"/>
              <w:lang w:val="en-US" w:eastAsia="zh-CN" w:bidi="ar-SA"/>
            </w:rPr>
            <w:t>八、询问、质疑与投诉</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_Toc31671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EF545BB">
          <w:pPr>
            <w:pStyle w:val="18"/>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_Toc23090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lang w:val="en-US" w:eastAsia="zh-CN"/>
            </w:rPr>
            <w:t>第三章 采购需求及参数</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_Toc23090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28</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3E862220">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_Toc12733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lang w:val="en-US" w:eastAsia="zh-CN"/>
            </w:rPr>
            <w:t>一、采购清单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_Toc12733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6853C61">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_Toc22295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lang w:val="en-US" w:eastAsia="zh-CN"/>
            </w:rPr>
            <w:t>二、商务要求（实质性要求）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_Toc22295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4069D33">
          <w:pPr>
            <w:pStyle w:val="18"/>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_Toc5193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lang w:val="en-US" w:eastAsia="zh-CN"/>
            </w:rPr>
            <w:t>第四章 供应商应当提交的资格、资信证明文件</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_Toc5193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30</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691AB1D9">
          <w:pPr>
            <w:pStyle w:val="18"/>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_Toc355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lang w:val="en-US" w:eastAsia="zh-CN"/>
            </w:rPr>
            <w:t>第五章  评标</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_Toc355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33</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4614A733">
          <w:pPr>
            <w:pStyle w:val="18"/>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_Toc1720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lang w:val="en-US" w:eastAsia="zh-CN"/>
            </w:rPr>
            <w:t xml:space="preserve">第六章 </w:t>
          </w:r>
          <w:r>
            <w:rPr>
              <w:rFonts w:hint="eastAsia" w:ascii="宋体" w:hAnsi="宋体" w:eastAsia="宋体" w:cs="宋体"/>
              <w:b/>
              <w:bCs/>
              <w:color w:val="auto"/>
              <w:sz w:val="24"/>
              <w:szCs w:val="24"/>
            </w:rPr>
            <w:t>拟签订的合同文本</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_Toc1720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39</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252EDE9C">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_Toc8382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lang w:val="en-US" w:eastAsia="zh-CN"/>
            </w:rPr>
            <w:t>一、项目信息</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_Toc8382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66A9000">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_Toc25801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lang w:val="en-US" w:eastAsia="zh-CN"/>
            </w:rPr>
            <w:t>二、合同金额</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_Toc25801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96509E5">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_Toc29123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2"/>
              <w:sz w:val="24"/>
              <w:szCs w:val="24"/>
              <w:lang w:val="en-US" w:eastAsia="zh-CN" w:bidi="ar-SA"/>
            </w:rPr>
            <w:t>三</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kern w:val="2"/>
              <w:sz w:val="24"/>
              <w:szCs w:val="24"/>
              <w:lang w:val="en-US" w:eastAsia="zh-CN" w:bidi="ar-SA"/>
            </w:rPr>
            <w:t>供货时间及地点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_Toc29123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635658A">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_Toc20794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2"/>
              <w:sz w:val="24"/>
              <w:szCs w:val="24"/>
              <w:highlight w:val="none"/>
              <w:lang w:val="en-US" w:eastAsia="zh-CN" w:bidi="ar-SA"/>
            </w:rPr>
            <w:t>四、付款方式（本项目无预付款）：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_Toc20794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E1E586C">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_Toc10897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lang w:val="en-US" w:eastAsia="zh-CN"/>
            </w:rPr>
            <w:t>五、合同履行</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_Toc10897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5DC0CA1">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_Toc22148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lang w:val="en-US" w:eastAsia="zh-CN"/>
            </w:rPr>
            <w:t>六、合同内容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_Toc22148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D05A8C1">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_Toc3386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lang w:val="en-US" w:eastAsia="zh-CN"/>
            </w:rPr>
            <w:t>七、经济责任</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_Toc3386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0285C13">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_Toc21019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lang w:val="en-US" w:eastAsia="zh-CN"/>
            </w:rPr>
            <w:t>八、特殊条款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_Toc21019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98B6A6C">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_Toc15962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lang w:val="en-US" w:eastAsia="zh-CN"/>
            </w:rPr>
            <w:t>九、违约责任</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_Toc15962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BC2B75A">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_Toc10023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lang w:val="en-US" w:eastAsia="zh-CN"/>
            </w:rPr>
            <w:t>十、合同的变更和终止</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_Toc10023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205C0A3">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_Toc2449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lang w:val="en-US" w:eastAsia="zh-CN"/>
            </w:rPr>
            <w:t>十一、争议的解决</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_Toc2449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1239FD5">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_Toc23443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lang w:val="en-US" w:eastAsia="zh-CN"/>
            </w:rPr>
            <w:t>十二、合同生效</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_Toc23443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A169C59">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_Toc19135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lang w:val="en-US" w:eastAsia="zh-CN"/>
            </w:rPr>
            <w:t>十三、合同生效及其他</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_Toc19135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7294428">
          <w:pPr>
            <w:pStyle w:val="18"/>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_Toc6869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lang w:val="en-US" w:eastAsia="zh-CN"/>
            </w:rPr>
            <w:t>第七章 响应文件格式</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_Toc6869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47</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673278CF">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_Toc10802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lang w:eastAsia="zh-CN"/>
            </w:rPr>
            <w:t>第一节</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资格证明文件格式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_Toc10802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49103C0">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_Toc13297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lang w:eastAsia="zh-CN"/>
            </w:rPr>
            <w:t>第二节</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报价文件格式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_Toc13297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1CDFB6D">
          <w:pPr>
            <w:pStyle w:val="20"/>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_Toc2850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lang w:eastAsia="zh-CN"/>
            </w:rPr>
            <w:t>第三节</w:t>
          </w:r>
          <w:r>
            <w:rPr>
              <w:rFonts w:hint="eastAsia" w:ascii="宋体" w:hAnsi="宋体" w:eastAsia="宋体" w:cs="宋体"/>
              <w:color w:val="auto"/>
              <w:sz w:val="24"/>
              <w:szCs w:val="24"/>
              <w:highlight w:val="none"/>
              <w:lang w:val="en-US" w:eastAsia="zh-CN"/>
            </w:rPr>
            <w:t xml:space="preserve"> 商务、技术</w:t>
          </w:r>
          <w:r>
            <w:rPr>
              <w:rFonts w:hint="eastAsia" w:ascii="宋体" w:hAnsi="宋体" w:eastAsia="宋体" w:cs="宋体"/>
              <w:color w:val="auto"/>
              <w:sz w:val="24"/>
              <w:szCs w:val="24"/>
              <w:highlight w:val="none"/>
              <w:lang w:eastAsia="zh-CN"/>
            </w:rPr>
            <w:t>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_Toc2850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C086463">
          <w:pPr>
            <w:pStyle w:val="18"/>
            <w:keepNext w:val="0"/>
            <w:keepLines w:val="0"/>
            <w:pageBreakBefore w:val="0"/>
            <w:tabs>
              <w:tab w:val="right" w:leader="dot" w:pos="9746"/>
            </w:tabs>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p>
        <w:p w14:paraId="3411250F">
          <w:pPr>
            <w:keepNext w:val="0"/>
            <w:keepLines w:val="0"/>
            <w:pageBreakBefore w:val="0"/>
            <w:kinsoku/>
            <w:wordWrap/>
            <w:overflowPunct/>
            <w:topLinePunct w:val="0"/>
            <w:autoSpaceDE/>
            <w:autoSpaceDN/>
            <w:bidi w:val="0"/>
            <w:adjustRightInd/>
            <w:snapToGrid/>
            <w:spacing w:line="320" w:lineRule="exact"/>
            <w:textAlignment w:val="auto"/>
            <w:rPr>
              <w:rFonts w:asciiTheme="minorHAnsi" w:hAnsiTheme="minorHAnsi" w:eastAsiaTheme="minorEastAsia" w:cstheme="minorBidi"/>
              <w:color w:val="auto"/>
              <w:kern w:val="2"/>
              <w:sz w:val="21"/>
              <w:szCs w:val="22"/>
              <w:lang w:val="en-US" w:eastAsia="zh-CN" w:bidi="ar-SA"/>
            </w:rPr>
          </w:pPr>
          <w:r>
            <w:rPr>
              <w:rFonts w:hint="eastAsia" w:ascii="宋体" w:hAnsi="宋体" w:eastAsia="宋体" w:cs="宋体"/>
              <w:color w:val="auto"/>
              <w:sz w:val="24"/>
              <w:szCs w:val="24"/>
            </w:rPr>
            <w:fldChar w:fldCharType="end"/>
          </w:r>
        </w:p>
      </w:sdtContent>
    </w:sdt>
    <w:p w14:paraId="25F0DD22">
      <w:pPr>
        <w:rPr>
          <w:rFonts w:asciiTheme="minorHAnsi" w:hAnsiTheme="minorHAnsi" w:eastAsiaTheme="minorEastAsia" w:cstheme="minorBidi"/>
          <w:color w:val="auto"/>
          <w:kern w:val="2"/>
          <w:sz w:val="21"/>
          <w:szCs w:val="22"/>
          <w:lang w:val="en-US" w:eastAsia="zh-CN" w:bidi="ar-SA"/>
        </w:rPr>
      </w:pPr>
    </w:p>
    <w:p w14:paraId="18D5CA94">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sectPr>
          <w:footerReference r:id="rId3" w:type="default"/>
          <w:pgSz w:w="11906" w:h="16838"/>
          <w:pgMar w:top="1440" w:right="1080" w:bottom="1440" w:left="1080" w:header="851" w:footer="992" w:gutter="0"/>
          <w:pgNumType w:start="0"/>
          <w:cols w:space="425" w:num="1"/>
          <w:titlePg/>
          <w:docGrid w:type="lines" w:linePitch="312" w:charSpace="0"/>
        </w:sectPr>
      </w:pPr>
      <w:bookmarkStart w:id="0" w:name="_Toc21263"/>
      <w:bookmarkStart w:id="1" w:name="_Toc25627"/>
      <w:bookmarkStart w:id="2" w:name="_Toc8245"/>
    </w:p>
    <w:p w14:paraId="19ECB118">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pPr>
      <w:bookmarkStart w:id="3" w:name="_Toc28217"/>
      <w:r>
        <w:rPr>
          <w:rFonts w:hint="eastAsia" w:ascii="宋体" w:hAnsi="宋体" w:eastAsia="宋体" w:cs="宋体"/>
          <w:b/>
          <w:bCs/>
          <w:color w:val="auto"/>
          <w:sz w:val="44"/>
          <w:szCs w:val="44"/>
          <w:lang w:val="en-US" w:eastAsia="zh-CN"/>
        </w:rPr>
        <w:t>第一章 谈判邀请</w:t>
      </w:r>
      <w:bookmarkEnd w:id="0"/>
      <w:bookmarkEnd w:id="1"/>
      <w:bookmarkEnd w:id="2"/>
      <w:bookmarkEnd w:id="3"/>
    </w:p>
    <w:p w14:paraId="303DD811">
      <w:pPr>
        <w:adjustRightInd w:val="0"/>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u w:val="single"/>
          <w:lang w:val="en-US" w:eastAsia="zh-CN"/>
        </w:rPr>
        <w:t>新疆诚誉工程项目管理有限公司</w:t>
      </w:r>
      <w:r>
        <w:rPr>
          <w:rFonts w:hint="eastAsia" w:ascii="宋体" w:hAnsi="宋体" w:eastAsia="宋体" w:cs="宋体"/>
          <w:color w:val="auto"/>
          <w:sz w:val="24"/>
          <w:szCs w:val="24"/>
        </w:rPr>
        <w:t>受</w:t>
      </w:r>
      <w:r>
        <w:rPr>
          <w:rFonts w:hint="eastAsia" w:ascii="宋体" w:hAnsi="宋体" w:eastAsia="宋体" w:cs="宋体"/>
          <w:color w:val="auto"/>
          <w:sz w:val="24"/>
          <w:szCs w:val="24"/>
          <w:u w:val="single"/>
          <w:lang w:val="en-US" w:eastAsia="zh-CN"/>
        </w:rPr>
        <w:t>新疆维吾尔自治区动物疫病预防控制中心（新疆维吾尔自治区动物检疫所）</w:t>
      </w:r>
      <w:r>
        <w:rPr>
          <w:rFonts w:hint="eastAsia" w:ascii="宋体" w:hAnsi="宋体" w:eastAsia="宋体" w:cs="宋体"/>
          <w:color w:val="auto"/>
          <w:sz w:val="24"/>
          <w:szCs w:val="24"/>
          <w:lang w:val="en-US" w:eastAsia="zh-CN"/>
        </w:rPr>
        <w:t>委托</w:t>
      </w:r>
      <w:r>
        <w:rPr>
          <w:rFonts w:hint="eastAsia" w:ascii="宋体" w:hAnsi="宋体" w:eastAsia="宋体" w:cs="宋体"/>
          <w:color w:val="auto"/>
          <w:sz w:val="24"/>
          <w:szCs w:val="24"/>
        </w:rPr>
        <w:t>，拟对</w:t>
      </w:r>
      <w:r>
        <w:rPr>
          <w:rFonts w:hint="eastAsia" w:ascii="宋体" w:hAnsi="宋体" w:eastAsia="宋体" w:cs="宋体"/>
          <w:color w:val="auto"/>
          <w:sz w:val="24"/>
          <w:szCs w:val="24"/>
          <w:u w:val="single"/>
          <w:lang w:eastAsia="zh-CN"/>
        </w:rPr>
        <w:t>新疆维吾尔自治区2026年度动物疫苗采购项目-布鲁氏菌病活疫苗(BA0711株)</w:t>
      </w:r>
      <w:r>
        <w:rPr>
          <w:rFonts w:hint="eastAsia" w:ascii="宋体" w:hAnsi="宋体" w:eastAsia="宋体" w:cs="宋体"/>
          <w:color w:val="auto"/>
          <w:sz w:val="24"/>
          <w:szCs w:val="24"/>
        </w:rPr>
        <w:t>采用竞争性谈判方式进行采购，特邀请</w:t>
      </w:r>
      <w:bookmarkStart w:id="4" w:name="_Hlk130746551"/>
      <w:bookmarkStart w:id="5" w:name="_Hlk127738497"/>
      <w:r>
        <w:rPr>
          <w:rFonts w:hint="eastAsia" w:ascii="宋体" w:hAnsi="宋体" w:eastAsia="宋体" w:cs="宋体"/>
          <w:color w:val="auto"/>
          <w:kern w:val="0"/>
          <w:sz w:val="24"/>
          <w:szCs w:val="24"/>
        </w:rPr>
        <w:t>潜在供应商在政采云平台https://www.zcygov.cn/获取谈判文件，并于</w:t>
      </w:r>
      <w:bookmarkStart w:id="6" w:name="_Hlk162285429"/>
      <w:r>
        <w:rPr>
          <w:rFonts w:hint="eastAsia" w:ascii="宋体" w:hAnsi="宋体" w:eastAsia="宋体" w:cs="宋体"/>
          <w:color w:val="auto"/>
          <w:kern w:val="0"/>
          <w:sz w:val="24"/>
          <w:szCs w:val="24"/>
        </w:rPr>
        <w:t>202</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val="en-US" w:eastAsia="zh-CN"/>
        </w:rPr>
        <w:t>16</w:t>
      </w:r>
      <w:r>
        <w:rPr>
          <w:rFonts w:hint="eastAsia" w:ascii="宋体" w:hAnsi="宋体" w:eastAsia="宋体" w:cs="宋体"/>
          <w:color w:val="auto"/>
          <w:kern w:val="0"/>
          <w:sz w:val="24"/>
          <w:szCs w:val="24"/>
        </w:rPr>
        <w:t>点</w:t>
      </w:r>
      <w:r>
        <w:rPr>
          <w:rFonts w:hint="eastAsia" w:ascii="宋体" w:hAnsi="宋体" w:eastAsia="宋体" w:cs="宋体"/>
          <w:color w:val="auto"/>
          <w:kern w:val="0"/>
          <w:sz w:val="24"/>
          <w:szCs w:val="24"/>
          <w:lang w:val="en-US" w:eastAsia="zh-CN"/>
        </w:rPr>
        <w:t>00</w:t>
      </w:r>
      <w:r>
        <w:rPr>
          <w:rFonts w:hint="eastAsia" w:ascii="宋体" w:hAnsi="宋体" w:eastAsia="宋体" w:cs="宋体"/>
          <w:color w:val="auto"/>
          <w:kern w:val="0"/>
          <w:sz w:val="24"/>
          <w:szCs w:val="24"/>
        </w:rPr>
        <w:t>分</w:t>
      </w:r>
      <w:bookmarkEnd w:id="6"/>
      <w:r>
        <w:rPr>
          <w:rFonts w:hint="eastAsia" w:ascii="宋体" w:hAnsi="宋体" w:eastAsia="宋体" w:cs="宋体"/>
          <w:color w:val="auto"/>
          <w:kern w:val="0"/>
          <w:sz w:val="24"/>
          <w:szCs w:val="24"/>
        </w:rPr>
        <w:t>（北京时间）前提交</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w:t>
      </w:r>
      <w:bookmarkEnd w:id="4"/>
      <w:bookmarkEnd w:id="5"/>
    </w:p>
    <w:p w14:paraId="76C8723E">
      <w:pPr>
        <w:pStyle w:val="4"/>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rPr>
      </w:pPr>
      <w:bookmarkStart w:id="7" w:name="_Toc5912"/>
      <w:bookmarkStart w:id="8" w:name="_Toc4219"/>
      <w:bookmarkStart w:id="9" w:name="_Toc21176"/>
      <w:bookmarkStart w:id="10" w:name="_Toc21974"/>
      <w:bookmarkStart w:id="11" w:name="_Toc19624"/>
      <w:r>
        <w:rPr>
          <w:rFonts w:hint="eastAsia" w:ascii="宋体" w:hAnsi="宋体" w:eastAsia="宋体" w:cs="宋体"/>
          <w:color w:val="auto"/>
          <w:sz w:val="28"/>
          <w:szCs w:val="28"/>
          <w:highlight w:val="none"/>
        </w:rPr>
        <w:t>一、项目基本情况</w:t>
      </w:r>
      <w:bookmarkEnd w:id="7"/>
      <w:bookmarkEnd w:id="8"/>
      <w:bookmarkEnd w:id="9"/>
      <w:bookmarkEnd w:id="10"/>
      <w:bookmarkEnd w:id="11"/>
    </w:p>
    <w:p w14:paraId="29CC5DD8">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1、项目编号：XJCY2026-ZB-101</w:t>
      </w:r>
    </w:p>
    <w:p w14:paraId="2D79828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2、项目名称：新疆维吾尔自治区2026年度动物疫苗采购项目-布鲁氏菌病活疫苗(BA0711株)</w:t>
      </w:r>
    </w:p>
    <w:p w14:paraId="76FB1371">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3、预算金额：840000.00元；</w:t>
      </w:r>
    </w:p>
    <w:p w14:paraId="3874C8CB">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4、采购需求：采购布鲁氏菌病活疫苗(BA0711株)</w:t>
      </w:r>
    </w:p>
    <w:p w14:paraId="2834E85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5、采购方式：竞争性谈判</w:t>
      </w:r>
    </w:p>
    <w:p w14:paraId="57AEE148">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6、合同履约期限：本合同履约期限为合同生效之日起，至疫苗供货及售后服务全部履行完毕之日止。</w:t>
      </w:r>
    </w:p>
    <w:p w14:paraId="633BA555">
      <w:pPr>
        <w:pStyle w:val="62"/>
        <w:adjustRightInd w:val="0"/>
        <w:snapToGrid w:val="0"/>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b w:val="0"/>
          <w:bCs w:val="0"/>
          <w:color w:val="auto"/>
          <w:sz w:val="24"/>
          <w:szCs w:val="24"/>
          <w:highlight w:val="none"/>
          <w:lang w:val="en-US" w:eastAsia="zh-CN"/>
        </w:rPr>
        <w:t>7、本项目不接受联合体投标；</w:t>
      </w:r>
    </w:p>
    <w:p w14:paraId="525FD867">
      <w:pPr>
        <w:pStyle w:val="4"/>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rPr>
      </w:pPr>
      <w:bookmarkStart w:id="12" w:name="_Toc10771"/>
      <w:bookmarkStart w:id="13" w:name="_Toc4942"/>
      <w:bookmarkStart w:id="14" w:name="_Toc28359003"/>
      <w:bookmarkStart w:id="15" w:name="_Toc5094"/>
      <w:bookmarkStart w:id="16" w:name="_Toc14387"/>
      <w:bookmarkStart w:id="17" w:name="_Toc21106"/>
      <w:bookmarkStart w:id="18" w:name="_Toc35393622"/>
      <w:bookmarkStart w:id="19" w:name="_Toc22340"/>
      <w:bookmarkStart w:id="20" w:name="_Toc198"/>
      <w:bookmarkStart w:id="21" w:name="_Toc28359080"/>
      <w:bookmarkStart w:id="22" w:name="_Toc35393791"/>
      <w:bookmarkStart w:id="23" w:name="_Toc6768"/>
      <w:bookmarkStart w:id="24" w:name="_Toc20904"/>
      <w:bookmarkStart w:id="25" w:name="_Hlk127738734"/>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的资格要求：</w:t>
      </w:r>
      <w:bookmarkEnd w:id="12"/>
      <w:bookmarkEnd w:id="13"/>
      <w:bookmarkEnd w:id="14"/>
      <w:bookmarkEnd w:id="15"/>
      <w:bookmarkEnd w:id="16"/>
      <w:bookmarkEnd w:id="17"/>
      <w:bookmarkEnd w:id="18"/>
      <w:bookmarkEnd w:id="19"/>
      <w:bookmarkEnd w:id="20"/>
      <w:bookmarkEnd w:id="21"/>
      <w:bookmarkEnd w:id="22"/>
      <w:bookmarkEnd w:id="23"/>
      <w:bookmarkEnd w:id="24"/>
    </w:p>
    <w:p w14:paraId="0550C91C">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14:paraId="515804F8">
      <w:pPr>
        <w:keepNext w:val="0"/>
        <w:keepLines w:val="0"/>
        <w:pageBreakBefore w:val="0"/>
        <w:widowControl w:val="0"/>
        <w:kinsoku/>
        <w:wordWrap/>
        <w:overflowPunct/>
        <w:topLinePunct w:val="0"/>
        <w:autoSpaceDE/>
        <w:autoSpaceDN/>
        <w:bidi w:val="0"/>
        <w:adjustRightInd/>
        <w:snapToGrid/>
        <w:spacing w:beforeAutospacing="0" w:line="360" w:lineRule="auto"/>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（1）具有独立承担民事责任的能力；</w:t>
      </w:r>
    </w:p>
    <w:p w14:paraId="7B03A1DE">
      <w:pPr>
        <w:keepNext w:val="0"/>
        <w:keepLines w:val="0"/>
        <w:pageBreakBefore w:val="0"/>
        <w:widowControl w:val="0"/>
        <w:kinsoku/>
        <w:wordWrap/>
        <w:overflowPunct/>
        <w:topLinePunct w:val="0"/>
        <w:autoSpaceDE/>
        <w:autoSpaceDN/>
        <w:bidi w:val="0"/>
        <w:adjustRightInd/>
        <w:snapToGrid/>
        <w:spacing w:beforeAutospacing="0" w:line="360" w:lineRule="auto"/>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（2）具有良好的商业信誉和健全的财务会计制度；</w:t>
      </w:r>
    </w:p>
    <w:p w14:paraId="6421BA49">
      <w:pPr>
        <w:keepNext w:val="0"/>
        <w:keepLines w:val="0"/>
        <w:pageBreakBefore w:val="0"/>
        <w:widowControl w:val="0"/>
        <w:kinsoku/>
        <w:wordWrap/>
        <w:overflowPunct/>
        <w:topLinePunct w:val="0"/>
        <w:autoSpaceDE/>
        <w:autoSpaceDN/>
        <w:bidi w:val="0"/>
        <w:adjustRightInd/>
        <w:snapToGrid/>
        <w:spacing w:beforeAutospacing="0" w:line="360" w:lineRule="auto"/>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（3）具有履行合同所必需的设备和专业技术能力；</w:t>
      </w:r>
    </w:p>
    <w:p w14:paraId="506FA3A1">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（4）有依法缴纳税收和社会保障资金的良好记录；</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（5）参加政府采购活动前三年内，在经营活动中没有重大违法记录；</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（6）法律、行政法规规定的其他条件。</w:t>
      </w:r>
    </w:p>
    <w:p w14:paraId="340BC024">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2、落实政府采购政策需满足的资格要求：</w:t>
      </w:r>
      <w:r>
        <w:rPr>
          <w:rFonts w:hint="eastAsia" w:ascii="宋体" w:hAnsi="宋体" w:eastAsia="宋体" w:cs="宋体"/>
          <w:b w:val="0"/>
          <w:bCs w:val="0"/>
          <w:color w:val="auto"/>
          <w:sz w:val="24"/>
          <w:highlight w:val="none"/>
          <w:lang w:val="en-US" w:eastAsia="zh-CN" w:bidi="ar-SA"/>
        </w:rPr>
        <w:t>本项目</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eastAsia="zh-CN"/>
        </w:rPr>
        <w:t>专门面向中小企业。</w:t>
      </w:r>
    </w:p>
    <w:p w14:paraId="349298F9">
      <w:pPr>
        <w:pStyle w:val="4"/>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rPr>
      </w:pPr>
      <w:bookmarkStart w:id="26" w:name="_Toc8046"/>
      <w:bookmarkStart w:id="27" w:name="_Toc607"/>
      <w:bookmarkStart w:id="28" w:name="_Toc816"/>
      <w:bookmarkStart w:id="29" w:name="_Toc32669"/>
      <w:bookmarkStart w:id="30" w:name="_Toc4801"/>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本项目的特定资格要求：</w:t>
      </w:r>
      <w:bookmarkEnd w:id="26"/>
      <w:bookmarkEnd w:id="27"/>
      <w:bookmarkEnd w:id="28"/>
      <w:bookmarkEnd w:id="29"/>
      <w:bookmarkEnd w:id="30"/>
    </w:p>
    <w:p w14:paraId="773D7777">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若为生产厂家则需提供有效期内的GMP证书和兽药生产许可证；（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12C834D5">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若非生产厂家则需提供兽药经营许可证（经营范围包含本项目产品）及生产厂家有效期内的GMP 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49F0AD0A">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（3）所投产品具有有效的兽药产品批准文号批件；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004EAA32">
      <w:pPr>
        <w:pStyle w:val="4"/>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31" w:name="_Toc15061"/>
      <w:bookmarkStart w:id="32" w:name="_Toc19927"/>
      <w:bookmarkStart w:id="33" w:name="_Toc7719"/>
      <w:bookmarkStart w:id="34" w:name="_Toc17457"/>
      <w:bookmarkStart w:id="35" w:name="_Toc16152"/>
      <w:r>
        <w:rPr>
          <w:rFonts w:hint="eastAsia" w:ascii="宋体" w:hAnsi="宋体" w:eastAsia="宋体" w:cs="宋体"/>
          <w:color w:val="auto"/>
          <w:sz w:val="28"/>
          <w:szCs w:val="28"/>
          <w:highlight w:val="none"/>
          <w:lang w:val="en-US" w:eastAsia="zh-CN"/>
        </w:rPr>
        <w:t>四、获取竞争性谈判文件的时间、地点、方式</w:t>
      </w:r>
      <w:bookmarkEnd w:id="31"/>
      <w:bookmarkEnd w:id="32"/>
      <w:bookmarkEnd w:id="33"/>
      <w:bookmarkEnd w:id="34"/>
      <w:bookmarkEnd w:id="35"/>
      <w:r>
        <w:rPr>
          <w:rFonts w:hint="eastAsia" w:ascii="宋体" w:hAnsi="宋体" w:eastAsia="宋体" w:cs="宋体"/>
          <w:color w:val="auto"/>
          <w:sz w:val="28"/>
          <w:szCs w:val="28"/>
          <w:highlight w:val="none"/>
          <w:lang w:val="en-US" w:eastAsia="zh-CN"/>
        </w:rPr>
        <w:t xml:space="preserve"> </w:t>
      </w:r>
    </w:p>
    <w:p w14:paraId="0C4CE29C">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时间：</w:t>
      </w:r>
      <w:r>
        <w:rPr>
          <w:rFonts w:hint="eastAsia" w:ascii="宋体" w:hAnsi="宋体" w:eastAsia="宋体" w:cs="宋体"/>
          <w:b/>
          <w:bCs/>
          <w:color w:val="auto"/>
          <w:sz w:val="24"/>
          <w:szCs w:val="24"/>
          <w:highlight w:val="none"/>
          <w:u w:val="single"/>
          <w:lang w:eastAsia="zh-CN"/>
        </w:rPr>
        <w:t>2026年</w:t>
      </w:r>
      <w:r>
        <w:rPr>
          <w:rFonts w:hint="eastAsia" w:ascii="宋体" w:hAnsi="宋体" w:eastAsia="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u w:val="single"/>
          <w:lang w:eastAsia="zh-CN"/>
        </w:rPr>
        <w:t>月</w:t>
      </w:r>
      <w:r>
        <w:rPr>
          <w:rFonts w:hint="eastAsia" w:ascii="宋体" w:hAnsi="宋体" w:eastAsia="宋体" w:cs="宋体"/>
          <w:b/>
          <w:bCs/>
          <w:color w:val="auto"/>
          <w:sz w:val="24"/>
          <w:szCs w:val="24"/>
          <w:highlight w:val="none"/>
          <w:u w:val="single"/>
          <w:lang w:val="en-US" w:eastAsia="zh-CN"/>
        </w:rPr>
        <w:t>22</w:t>
      </w:r>
      <w:r>
        <w:rPr>
          <w:rFonts w:hint="eastAsia" w:ascii="宋体" w:hAnsi="宋体" w:eastAsia="宋体" w:cs="宋体"/>
          <w:b/>
          <w:bCs/>
          <w:color w:val="auto"/>
          <w:sz w:val="24"/>
          <w:szCs w:val="24"/>
          <w:highlight w:val="none"/>
          <w:u w:val="single"/>
          <w:lang w:eastAsia="zh-CN"/>
        </w:rPr>
        <w:t>日至2026年</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lang w:eastAsia="zh-CN"/>
        </w:rPr>
        <w:t>月</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lang w:eastAsia="zh-CN"/>
        </w:rPr>
        <w:t>日</w:t>
      </w:r>
      <w:r>
        <w:rPr>
          <w:rFonts w:hint="eastAsia" w:ascii="宋体" w:hAnsi="宋体" w:eastAsia="宋体" w:cs="宋体"/>
          <w:color w:val="auto"/>
          <w:sz w:val="24"/>
          <w:szCs w:val="24"/>
          <w:highlight w:val="none"/>
          <w:lang w:eastAsia="zh-CN"/>
        </w:rPr>
        <w:t>，每天上午10:00至13:30，下午15:30至19:00（北京时间，法定节假日除外）</w:t>
      </w:r>
    </w:p>
    <w:p w14:paraId="6BB5970C">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地点：政采云平台http://www.zcygov.cn</w:t>
      </w:r>
    </w:p>
    <w:p w14:paraId="7A8ABE79">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免费获取，供应商登陆政采云账户（网址：https://www.zcygov.cn/）,在线申请获取采购文件（登录政府采购云平台→采购项目→获取采购文件→申请，审核通过后可下载采购文件，如有操作性问题，可与政采云在线客服进行咨询，咨询电话95763）</w:t>
      </w:r>
    </w:p>
    <w:p w14:paraId="70113526">
      <w:pPr>
        <w:pStyle w:val="4"/>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36" w:name="_Toc15463"/>
      <w:bookmarkStart w:id="37" w:name="_Toc10521"/>
      <w:bookmarkStart w:id="38" w:name="_Toc1542"/>
      <w:bookmarkStart w:id="39" w:name="_Toc20191"/>
      <w:bookmarkStart w:id="40" w:name="_Toc22928"/>
      <w:r>
        <w:rPr>
          <w:rFonts w:hint="eastAsia" w:ascii="宋体" w:hAnsi="宋体" w:eastAsia="宋体" w:cs="宋体"/>
          <w:color w:val="auto"/>
          <w:sz w:val="28"/>
          <w:szCs w:val="28"/>
          <w:highlight w:val="none"/>
          <w:lang w:val="en-US" w:eastAsia="zh-CN"/>
        </w:rPr>
        <w:t>五、响应文件提交截止时间、采购时间及地点</w:t>
      </w:r>
      <w:bookmarkEnd w:id="36"/>
      <w:bookmarkEnd w:id="37"/>
      <w:bookmarkEnd w:id="38"/>
      <w:bookmarkEnd w:id="39"/>
      <w:bookmarkEnd w:id="40"/>
    </w:p>
    <w:p w14:paraId="45E6A4E5">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提交响应文件截止时间：</w:t>
      </w:r>
      <w:r>
        <w:rPr>
          <w:rFonts w:hint="eastAsia" w:ascii="宋体" w:hAnsi="宋体" w:eastAsia="宋体" w:cs="宋体"/>
          <w:b/>
          <w:bCs/>
          <w:color w:val="auto"/>
          <w:sz w:val="24"/>
          <w:szCs w:val="24"/>
          <w:highlight w:val="none"/>
          <w:u w:val="single"/>
          <w:lang w:val="en-US" w:eastAsia="zh-CN"/>
        </w:rPr>
        <w:t>2026年6月3日16点00分（北京时间）</w:t>
      </w:r>
    </w:p>
    <w:p w14:paraId="5C51D955">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投标地点：将响应文件上传至政采云平台https://www.zcygov.cn/对应位置（逾期未上传的或不符合规定的响应文件将被拒绝接收）</w:t>
      </w:r>
    </w:p>
    <w:p w14:paraId="7FB4435D">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谈判时间：</w:t>
      </w:r>
      <w:r>
        <w:rPr>
          <w:rFonts w:hint="eastAsia" w:ascii="宋体" w:hAnsi="宋体" w:eastAsia="宋体" w:cs="宋体"/>
          <w:b/>
          <w:bCs/>
          <w:color w:val="auto"/>
          <w:sz w:val="24"/>
          <w:szCs w:val="24"/>
          <w:highlight w:val="none"/>
          <w:u w:val="single"/>
          <w:lang w:val="en-US" w:eastAsia="zh-CN"/>
        </w:rPr>
        <w:t>2026年6月3日16点00分（北京时间）</w:t>
      </w:r>
    </w:p>
    <w:p w14:paraId="62D86317">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val="en-US" w:eastAsia="zh-CN"/>
        </w:rPr>
        <w:t>谈判地点：政采云平台https://www.zcygov.cn/不见面开标大厅</w:t>
      </w:r>
    </w:p>
    <w:p w14:paraId="2546E118">
      <w:pPr>
        <w:pStyle w:val="23"/>
        <w:spacing w:before="0" w:beforeAutospacing="0" w:after="0" w:afterAutospacing="0"/>
        <w:jc w:val="both"/>
        <w:outlineLvl w:val="1"/>
        <w:rPr>
          <w:rFonts w:hint="eastAsia" w:ascii="宋体" w:hAnsi="宋体" w:eastAsia="宋体" w:cs="宋体"/>
          <w:b/>
          <w:bCs/>
          <w:color w:val="auto"/>
          <w:kern w:val="2"/>
          <w:sz w:val="28"/>
          <w:szCs w:val="28"/>
          <w:highlight w:val="none"/>
          <w:lang w:val="en-US" w:eastAsia="zh-CN" w:bidi="ar-SA"/>
        </w:rPr>
      </w:pPr>
      <w:bookmarkStart w:id="41" w:name="_Toc6313"/>
      <w:bookmarkStart w:id="42" w:name="_Toc1563"/>
      <w:r>
        <w:rPr>
          <w:rFonts w:hint="eastAsia" w:ascii="宋体" w:hAnsi="宋体" w:eastAsia="宋体" w:cs="宋体"/>
          <w:b/>
          <w:bCs/>
          <w:color w:val="auto"/>
          <w:kern w:val="2"/>
          <w:sz w:val="28"/>
          <w:szCs w:val="28"/>
          <w:highlight w:val="none"/>
          <w:lang w:val="en-US" w:eastAsia="zh-CN" w:bidi="ar-SA"/>
        </w:rPr>
        <w:t>六、公告期限</w:t>
      </w:r>
      <w:bookmarkEnd w:id="41"/>
      <w:bookmarkEnd w:id="42"/>
    </w:p>
    <w:p w14:paraId="5F27FC9B">
      <w:pPr>
        <w:pStyle w:val="23"/>
        <w:spacing w:before="0" w:beforeAutospacing="0" w:after="0" w:afterAutospacing="0"/>
        <w:ind w:left="0" w:leftChars="0" w:firstLine="420" w:firstLineChars="175"/>
        <w:jc w:val="both"/>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自本公告发布之日起3个工作日。</w:t>
      </w:r>
    </w:p>
    <w:p w14:paraId="225E5DA5">
      <w:pPr>
        <w:bidi w:val="0"/>
        <w:outlineLvl w:val="1"/>
        <w:rPr>
          <w:rFonts w:hint="eastAsia" w:ascii="宋体" w:hAnsi="宋体" w:eastAsia="宋体" w:cs="宋体"/>
          <w:b/>
          <w:bCs/>
          <w:color w:val="auto"/>
          <w:kern w:val="2"/>
          <w:sz w:val="28"/>
          <w:szCs w:val="28"/>
          <w:highlight w:val="none"/>
          <w:lang w:val="en-US" w:eastAsia="zh-CN" w:bidi="ar-SA"/>
        </w:rPr>
      </w:pPr>
      <w:bookmarkStart w:id="43" w:name="_Toc6230"/>
      <w:bookmarkStart w:id="44" w:name="_Toc28304"/>
      <w:r>
        <w:rPr>
          <w:rFonts w:hint="eastAsia" w:ascii="宋体" w:hAnsi="宋体" w:eastAsia="宋体" w:cs="宋体"/>
          <w:b/>
          <w:bCs/>
          <w:color w:val="auto"/>
          <w:kern w:val="2"/>
          <w:sz w:val="28"/>
          <w:szCs w:val="28"/>
          <w:highlight w:val="none"/>
          <w:lang w:val="en-US" w:eastAsia="zh-CN" w:bidi="ar-SA"/>
        </w:rPr>
        <w:t>七、其他补充事宜</w:t>
      </w:r>
      <w:bookmarkEnd w:id="43"/>
      <w:bookmarkEnd w:id="44"/>
    </w:p>
    <w:p w14:paraId="2389AF3E">
      <w:pPr>
        <w:widowControl/>
        <w:spacing w:line="46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公告方式：本次竞争性谈判邀请在新疆政府采购网（www.ccgp-xinjiang.gov.cn）上以公告形式发布。</w:t>
      </w:r>
    </w:p>
    <w:p w14:paraId="14D93C8A">
      <w:pPr>
        <w:widowControl/>
        <w:spacing w:line="46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请各供应商随时关注本项目的变更、答疑、澄清文件。</w:t>
      </w:r>
    </w:p>
    <w:p w14:paraId="705F40BE">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1.本项目实行网上投标，采用电子投标文件； </w:t>
      </w:r>
    </w:p>
    <w:p w14:paraId="1143BD6D">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6EC6B093">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5770D729">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4.供应商应当在投标截止时间前,将生成的“电子加密投标文件”上传递交至“政府采购云平台”,投标截止时间以后上传递交的投标文件将被“政府采购云平台”拒收；</w:t>
      </w:r>
    </w:p>
    <w:p w14:paraId="1EFB1F21">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109A2AE0">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6、供应商登录政采云平台，在开标时间后30分钟内用“项目采购-开标评标”功能进行解密投标文件。若供应商在规定时间内未按时解密的，视为无效投标。解密与加密投标文件须使用同一个 CA。</w:t>
      </w:r>
    </w:p>
    <w:p w14:paraId="2733E2E2">
      <w:pPr>
        <w:widowControl/>
        <w:spacing w:line="460" w:lineRule="exact"/>
        <w:ind w:firstLine="482" w:firstLineChars="200"/>
        <w:rPr>
          <w:rFonts w:hint="eastAsia" w:ascii="宋体" w:hAnsi="宋体" w:eastAsia="宋体" w:cs="宋体"/>
          <w:b/>
          <w:bCs/>
          <w:color w:val="auto"/>
          <w:kern w:val="0"/>
          <w:sz w:val="24"/>
        </w:rPr>
      </w:pPr>
    </w:p>
    <w:bookmarkEnd w:id="25"/>
    <w:p w14:paraId="6AA3C52A">
      <w:pPr>
        <w:pStyle w:val="4"/>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45" w:name="_Toc21799"/>
      <w:bookmarkStart w:id="46" w:name="_Toc14137"/>
      <w:bookmarkStart w:id="47" w:name="_Toc30825"/>
      <w:bookmarkStart w:id="48" w:name="_Toc12580"/>
      <w:bookmarkStart w:id="49" w:name="_Toc17380"/>
      <w:r>
        <w:rPr>
          <w:rFonts w:hint="eastAsia" w:ascii="宋体" w:hAnsi="宋体" w:eastAsia="宋体" w:cs="宋体"/>
          <w:color w:val="auto"/>
          <w:sz w:val="28"/>
          <w:szCs w:val="28"/>
          <w:highlight w:val="none"/>
          <w:lang w:val="en-US" w:eastAsia="zh-CN"/>
        </w:rPr>
        <w:t>八、对本次招标提出询问，请按以下方式联系</w:t>
      </w:r>
      <w:bookmarkEnd w:id="45"/>
      <w:bookmarkEnd w:id="46"/>
      <w:bookmarkEnd w:id="47"/>
      <w:bookmarkEnd w:id="48"/>
      <w:bookmarkEnd w:id="49"/>
    </w:p>
    <w:p w14:paraId="4E8C6CB6">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bookmarkStart w:id="50" w:name="_Toc35393806"/>
      <w:bookmarkStart w:id="51" w:name="_Toc28359096"/>
      <w:bookmarkStart w:id="52" w:name="_Toc138610882"/>
      <w:bookmarkStart w:id="53" w:name="_Toc35393637"/>
      <w:bookmarkStart w:id="54" w:name="_Toc140741970"/>
      <w:bookmarkStart w:id="55" w:name="_Toc140742515"/>
      <w:bookmarkStart w:id="56" w:name="_Toc28359019"/>
      <w:bookmarkStart w:id="57" w:name="_Toc103813448"/>
      <w:r>
        <w:rPr>
          <w:rFonts w:hint="eastAsia" w:ascii="宋体" w:hAnsi="宋体" w:eastAsia="宋体" w:cs="宋体"/>
          <w:color w:val="auto"/>
          <w:sz w:val="24"/>
          <w:szCs w:val="24"/>
          <w:highlight w:val="none"/>
        </w:rPr>
        <w:t>1.采购人信息</w:t>
      </w:r>
      <w:bookmarkEnd w:id="50"/>
      <w:bookmarkEnd w:id="51"/>
      <w:bookmarkEnd w:id="52"/>
      <w:bookmarkEnd w:id="53"/>
      <w:bookmarkEnd w:id="54"/>
      <w:bookmarkEnd w:id="55"/>
      <w:bookmarkEnd w:id="56"/>
      <w:bookmarkEnd w:id="57"/>
    </w:p>
    <w:p w14:paraId="2B24893B">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新疆维吾尔自治区动物疫病预防控制中心（新疆维吾尔自治区动物检疫所）</w:t>
      </w:r>
    </w:p>
    <w:p w14:paraId="11004729">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乌鲁木齐市新市区蓝天路268号</w:t>
      </w:r>
    </w:p>
    <w:p w14:paraId="4811D6EB">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联系人：</w:t>
      </w:r>
      <w:r>
        <w:rPr>
          <w:rFonts w:hint="eastAsia" w:ascii="宋体" w:hAnsi="宋体" w:eastAsia="宋体" w:cs="宋体"/>
          <w:color w:val="auto"/>
          <w:sz w:val="24"/>
          <w:szCs w:val="24"/>
          <w:highlight w:val="none"/>
          <w:u w:val="single"/>
          <w:lang w:val="en-US" w:eastAsia="zh-CN"/>
        </w:rPr>
        <w:t xml:space="preserve">  张老师  </w:t>
      </w:r>
    </w:p>
    <w:p w14:paraId="38AF680F">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val="en-US" w:eastAsia="zh-CN"/>
        </w:rPr>
        <w:t>0991-4650169</w:t>
      </w:r>
    </w:p>
    <w:p w14:paraId="59EF424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bookmarkStart w:id="58" w:name="_Toc140741971"/>
      <w:bookmarkStart w:id="59" w:name="_Toc138610883"/>
      <w:bookmarkStart w:id="60" w:name="_Toc28359097"/>
      <w:bookmarkStart w:id="61" w:name="_Toc35393807"/>
      <w:bookmarkStart w:id="62" w:name="_Toc35393638"/>
      <w:bookmarkStart w:id="63" w:name="_Toc103813449"/>
      <w:bookmarkStart w:id="64" w:name="_Toc28359020"/>
      <w:bookmarkStart w:id="65" w:name="_Toc140742516"/>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rPr>
        <w:t>采购代理机构信息</w:t>
      </w:r>
      <w:bookmarkEnd w:id="58"/>
      <w:bookmarkEnd w:id="59"/>
      <w:bookmarkEnd w:id="60"/>
      <w:bookmarkEnd w:id="61"/>
      <w:bookmarkEnd w:id="62"/>
      <w:bookmarkEnd w:id="63"/>
      <w:bookmarkEnd w:id="64"/>
      <w:bookmarkEnd w:id="65"/>
    </w:p>
    <w:p w14:paraId="604838C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新疆诚誉工程项目管理有限公司</w:t>
      </w:r>
    </w:p>
    <w:p w14:paraId="322C6B7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eastAsia="zh-CN"/>
        </w:rPr>
        <w:t>乌鲁木齐市会展大道599号新疆财富中心C座6楼601室</w:t>
      </w:r>
    </w:p>
    <w:p w14:paraId="792F92F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single"/>
          <w:lang w:val="en-US" w:eastAsia="zh-CN"/>
        </w:rPr>
        <w:t xml:space="preserve"> 赵箭 </w:t>
      </w:r>
      <w:r>
        <w:rPr>
          <w:rFonts w:hint="eastAsia" w:ascii="宋体" w:hAnsi="宋体" w:eastAsia="宋体" w:cs="宋体"/>
          <w:color w:val="auto"/>
          <w:sz w:val="24"/>
          <w:szCs w:val="24"/>
          <w:highlight w:val="none"/>
          <w:u w:val="none"/>
          <w:lang w:val="en-US" w:eastAsia="zh-CN"/>
        </w:rPr>
        <w:t xml:space="preserve"> </w:t>
      </w:r>
    </w:p>
    <w:p w14:paraId="7D449EA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18690180651</w:t>
      </w:r>
    </w:p>
    <w:p w14:paraId="381FB195">
      <w:pPr>
        <w:pageBreakBefore w:val="0"/>
        <w:widowControl w:val="0"/>
        <w:kinsoku/>
        <w:wordWrap/>
        <w:overflowPunct/>
        <w:topLinePunct w:val="0"/>
        <w:autoSpaceDE/>
        <w:autoSpaceDN/>
        <w:bidi w:val="0"/>
        <w:adjustRightInd/>
        <w:snapToGrid/>
        <w:spacing w:beforeAutospacing="0" w:line="360" w:lineRule="auto"/>
        <w:ind w:left="19" w:leftChars="9" w:firstLine="460" w:firstLineChars="191"/>
        <w:jc w:val="righ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2026年5月</w:t>
      </w:r>
    </w:p>
    <w:p w14:paraId="22E6834B">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047A1F3">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pPr>
      <w:bookmarkStart w:id="66" w:name="_Toc10316"/>
      <w:bookmarkStart w:id="67" w:name="_Toc3433"/>
      <w:bookmarkStart w:id="68" w:name="_Toc12881"/>
      <w:r>
        <w:rPr>
          <w:rFonts w:hint="eastAsia" w:ascii="宋体" w:hAnsi="宋体" w:eastAsia="宋体" w:cs="宋体"/>
          <w:b/>
          <w:bCs/>
          <w:color w:val="auto"/>
          <w:sz w:val="44"/>
          <w:szCs w:val="44"/>
          <w:lang w:val="en-US" w:eastAsia="zh-CN"/>
        </w:rPr>
        <w:t>第二章 供应商须知</w:t>
      </w:r>
      <w:bookmarkEnd w:id="66"/>
      <w:bookmarkEnd w:id="67"/>
      <w:bookmarkEnd w:id="68"/>
    </w:p>
    <w:p w14:paraId="571CA89D">
      <w:pPr>
        <w:bidi w:val="0"/>
        <w:outlineLvl w:val="1"/>
        <w:rPr>
          <w:rFonts w:hint="eastAsia" w:ascii="宋体" w:hAnsi="宋体" w:eastAsia="宋体" w:cs="宋体"/>
          <w:b/>
          <w:bCs/>
          <w:color w:val="auto"/>
          <w:kern w:val="2"/>
          <w:sz w:val="28"/>
          <w:szCs w:val="28"/>
          <w:highlight w:val="none"/>
          <w:lang w:val="en-US" w:eastAsia="zh-CN" w:bidi="ar-SA"/>
        </w:rPr>
      </w:pPr>
      <w:bookmarkStart w:id="69" w:name="_Toc5000"/>
      <w:bookmarkStart w:id="70" w:name="_Toc25921"/>
      <w:bookmarkStart w:id="71" w:name="_Toc13178"/>
      <w:r>
        <w:rPr>
          <w:rFonts w:hint="eastAsia" w:ascii="宋体" w:hAnsi="宋体" w:eastAsia="宋体" w:cs="宋体"/>
          <w:b/>
          <w:bCs/>
          <w:color w:val="auto"/>
          <w:kern w:val="2"/>
          <w:sz w:val="28"/>
          <w:szCs w:val="28"/>
          <w:highlight w:val="none"/>
          <w:lang w:val="en-US" w:eastAsia="zh-CN" w:bidi="ar-SA"/>
        </w:rPr>
        <w:t>一、供应商须知前附表</w:t>
      </w:r>
      <w:bookmarkEnd w:id="69"/>
      <w:bookmarkEnd w:id="70"/>
      <w:bookmarkEnd w:id="71"/>
    </w:p>
    <w:tbl>
      <w:tblPr>
        <w:tblStyle w:val="26"/>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965"/>
        <w:gridCol w:w="7396"/>
      </w:tblGrid>
      <w:tr w14:paraId="109D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18" w:type="dxa"/>
            <w:vAlign w:val="center"/>
          </w:tcPr>
          <w:p w14:paraId="017D77DE">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1965" w:type="dxa"/>
            <w:vAlign w:val="center"/>
          </w:tcPr>
          <w:p w14:paraId="456C1F9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w:t>
            </w:r>
          </w:p>
        </w:tc>
        <w:tc>
          <w:tcPr>
            <w:tcW w:w="7396" w:type="dxa"/>
            <w:vAlign w:val="center"/>
          </w:tcPr>
          <w:p w14:paraId="6003E60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说明及要求</w:t>
            </w:r>
          </w:p>
        </w:tc>
      </w:tr>
      <w:tr w14:paraId="5F74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18" w:type="dxa"/>
            <w:vAlign w:val="center"/>
          </w:tcPr>
          <w:p w14:paraId="01854285">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7055A1C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7396" w:type="dxa"/>
            <w:vAlign w:val="center"/>
          </w:tcPr>
          <w:p w14:paraId="6686E10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XJCY2026-ZB-101</w:t>
            </w:r>
          </w:p>
        </w:tc>
      </w:tr>
      <w:tr w14:paraId="66F3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18" w:type="dxa"/>
            <w:vAlign w:val="center"/>
          </w:tcPr>
          <w:p w14:paraId="17662D1D">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45DD6BA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396" w:type="dxa"/>
            <w:vAlign w:val="center"/>
          </w:tcPr>
          <w:p w14:paraId="5A78CA4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新疆维吾尔自治区2026年度动物疫苗采购项目-布鲁氏菌病活疫苗(BA0711株)</w:t>
            </w:r>
          </w:p>
        </w:tc>
      </w:tr>
      <w:tr w14:paraId="75E5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1E73A7D2">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55F9E90C">
            <w:pPr>
              <w:tabs>
                <w:tab w:val="center" w:pos="1206"/>
                <w:tab w:val="right" w:pos="2293"/>
              </w:tabs>
              <w:overflowPunct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采购人</w:t>
            </w:r>
          </w:p>
        </w:tc>
        <w:tc>
          <w:tcPr>
            <w:tcW w:w="7396" w:type="dxa"/>
            <w:shd w:val="clear" w:color="auto" w:fill="auto"/>
            <w:vAlign w:val="center"/>
          </w:tcPr>
          <w:p w14:paraId="0198AF32">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rPr>
              <w:t>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新疆维吾尔自治区动物疫病预防控制中心（新疆维吾尔自治区动物检疫所）</w:t>
            </w:r>
          </w:p>
          <w:p w14:paraId="45357EEB">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乌鲁木齐市新市区蓝天路268号</w:t>
            </w:r>
          </w:p>
          <w:p w14:paraId="404C497A">
            <w:pPr>
              <w:pageBreakBefore w:val="0"/>
              <w:widowControl w:val="0"/>
              <w:kinsoku/>
              <w:wordWrap/>
              <w:overflowPunct/>
              <w:topLinePunct w:val="0"/>
              <w:autoSpaceDE/>
              <w:autoSpaceDN/>
              <w:bidi w:val="0"/>
              <w:adjustRightInd/>
              <w:snapToGrid/>
              <w:spacing w:beforeAutospacing="0" w:line="360" w:lineRule="auto"/>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联系人：</w:t>
            </w:r>
            <w:r>
              <w:rPr>
                <w:rFonts w:hint="eastAsia" w:ascii="宋体" w:hAnsi="宋体" w:eastAsia="宋体" w:cs="宋体"/>
                <w:color w:val="auto"/>
                <w:sz w:val="24"/>
                <w:szCs w:val="24"/>
                <w:highlight w:val="none"/>
                <w:u w:val="single"/>
                <w:lang w:val="en-US" w:eastAsia="zh-CN"/>
              </w:rPr>
              <w:t xml:space="preserve"> 张老师 </w:t>
            </w:r>
          </w:p>
          <w:p w14:paraId="01434C68">
            <w:pPr>
              <w:overflowPunct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val="en-US" w:eastAsia="zh-CN"/>
              </w:rPr>
              <w:t>0991-4650169</w:t>
            </w:r>
          </w:p>
        </w:tc>
      </w:tr>
      <w:tr w14:paraId="14E6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0C1FFEFB">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4285A6B2">
            <w:pPr>
              <w:overflowPunct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采购代理机构</w:t>
            </w:r>
          </w:p>
        </w:tc>
        <w:tc>
          <w:tcPr>
            <w:tcW w:w="7396" w:type="dxa"/>
            <w:shd w:val="clear" w:color="auto" w:fill="auto"/>
            <w:vAlign w:val="center"/>
          </w:tcPr>
          <w:p w14:paraId="1A3BAD97">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rPr>
              <w:t>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新疆诚誉工程项目管理有限公司</w:t>
            </w:r>
          </w:p>
          <w:p w14:paraId="750EFC05">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乌鲁木齐市会展大道599号新疆财富中心C座6楼601室</w:t>
            </w:r>
          </w:p>
          <w:p w14:paraId="462ED9F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single"/>
                <w:lang w:val="en-US" w:eastAsia="zh-CN"/>
              </w:rPr>
              <w:t>赵箭</w:t>
            </w:r>
          </w:p>
          <w:p w14:paraId="16EAD61B">
            <w:pPr>
              <w:overflowPunct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18690180651</w:t>
            </w:r>
          </w:p>
        </w:tc>
      </w:tr>
      <w:tr w14:paraId="0A6D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5B93404B">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3B1656A3">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采购方式</w:t>
            </w:r>
          </w:p>
        </w:tc>
        <w:tc>
          <w:tcPr>
            <w:tcW w:w="7396" w:type="dxa"/>
            <w:shd w:val="clear" w:color="auto" w:fill="auto"/>
            <w:vAlign w:val="center"/>
          </w:tcPr>
          <w:p w14:paraId="63067970">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竞争性谈判</w:t>
            </w:r>
          </w:p>
        </w:tc>
      </w:tr>
      <w:tr w14:paraId="0597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568C8C5A">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6E67CB3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谈判报价轮数</w:t>
            </w:r>
          </w:p>
        </w:tc>
        <w:tc>
          <w:tcPr>
            <w:tcW w:w="7396" w:type="dxa"/>
            <w:shd w:val="clear" w:color="auto" w:fill="auto"/>
            <w:vAlign w:val="center"/>
          </w:tcPr>
          <w:p w14:paraId="374DDE5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本项目不事先确定谈判报价轮次，谈判评审小组根据项目情况确定，并在最后一轮谈判报价前告知供应商。</w:t>
            </w:r>
          </w:p>
        </w:tc>
      </w:tr>
      <w:tr w14:paraId="017D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2858A3C1">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2AAD1A8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参与谈判家数</w:t>
            </w:r>
          </w:p>
        </w:tc>
        <w:tc>
          <w:tcPr>
            <w:tcW w:w="7396" w:type="dxa"/>
            <w:shd w:val="clear" w:color="auto" w:fill="auto"/>
            <w:vAlign w:val="center"/>
          </w:tcPr>
          <w:p w14:paraId="1421739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根据政府采购非招标采购方式管理办法》（财政部令第74号）相关规定：公开招标的货物、服务采购项目，招标过程中提交投标文件或者经评审实质性响应招标文件要求的供应商只有两家时，经本级财政部门批准后，可以与该两家供应商进行竞争性谈判采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本项目符合以上法规，故参与谈判家数为两家</w:t>
            </w:r>
            <w:r>
              <w:rPr>
                <w:rFonts w:hint="eastAsia" w:ascii="宋体" w:hAnsi="宋体" w:eastAsia="宋体" w:cs="宋体"/>
                <w:color w:val="auto"/>
                <w:sz w:val="24"/>
                <w:szCs w:val="24"/>
              </w:rPr>
              <w:t>。</w:t>
            </w:r>
          </w:p>
        </w:tc>
      </w:tr>
      <w:tr w14:paraId="7BB4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61BBAC6C">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30963572">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采购内容</w:t>
            </w:r>
          </w:p>
        </w:tc>
        <w:tc>
          <w:tcPr>
            <w:tcW w:w="7396" w:type="dxa"/>
            <w:shd w:val="clear" w:color="auto" w:fill="auto"/>
            <w:vAlign w:val="center"/>
          </w:tcPr>
          <w:p w14:paraId="0D8D2AF0">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详见谈判文件第</w:t>
            </w:r>
            <w:r>
              <w:rPr>
                <w:rFonts w:hint="eastAsia" w:ascii="宋体" w:hAnsi="宋体" w:eastAsia="宋体" w:cs="宋体"/>
                <w:color w:val="auto"/>
                <w:sz w:val="24"/>
                <w:szCs w:val="24"/>
                <w:lang w:val="en-US" w:eastAsia="zh-CN"/>
              </w:rPr>
              <w:t>三章</w:t>
            </w:r>
            <w:r>
              <w:rPr>
                <w:rFonts w:hint="eastAsia" w:ascii="宋体" w:hAnsi="宋体" w:eastAsia="宋体" w:cs="宋体"/>
                <w:color w:val="auto"/>
                <w:sz w:val="24"/>
                <w:szCs w:val="24"/>
              </w:rPr>
              <w:t>“采购需求</w:t>
            </w:r>
            <w:r>
              <w:rPr>
                <w:rFonts w:hint="eastAsia" w:ascii="宋体" w:hAnsi="宋体" w:eastAsia="宋体" w:cs="宋体"/>
                <w:color w:val="auto"/>
                <w:sz w:val="24"/>
                <w:szCs w:val="24"/>
                <w:lang w:val="en-US" w:eastAsia="zh-CN"/>
              </w:rPr>
              <w:t>及参数</w:t>
            </w:r>
            <w:r>
              <w:rPr>
                <w:rFonts w:hint="eastAsia" w:ascii="宋体" w:hAnsi="宋体" w:eastAsia="宋体" w:cs="宋体"/>
                <w:color w:val="auto"/>
                <w:sz w:val="24"/>
                <w:szCs w:val="24"/>
              </w:rPr>
              <w:t>”</w:t>
            </w:r>
          </w:p>
        </w:tc>
      </w:tr>
      <w:tr w14:paraId="0230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66470EAB">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39D0A51A">
            <w:pPr>
              <w:overflowPunct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最高限价</w:t>
            </w:r>
          </w:p>
        </w:tc>
        <w:tc>
          <w:tcPr>
            <w:tcW w:w="7396" w:type="dxa"/>
            <w:shd w:val="clear" w:color="auto" w:fill="auto"/>
            <w:vAlign w:val="center"/>
          </w:tcPr>
          <w:p w14:paraId="68EE78C4">
            <w:p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84.00万元</w:t>
            </w:r>
          </w:p>
          <w:p w14:paraId="31840C9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1、报价以单价为准，签订合同的供货量=该项目预算金额÷成交单价；</w:t>
            </w:r>
          </w:p>
          <w:p w14:paraId="6A53353C">
            <w:pPr>
              <w:keepNext w:val="0"/>
              <w:keepLines w:val="0"/>
              <w:pageBreakBefore w:val="0"/>
              <w:numPr>
                <w:ilvl w:val="0"/>
                <w:numId w:val="0"/>
              </w:numPr>
              <w:kinsoku/>
              <w:wordWrap/>
              <w:overflowPunct/>
              <w:topLinePunct w:val="0"/>
              <w:bidi w:val="0"/>
              <w:adjustRightInd/>
              <w:snapToGrid/>
              <w:spacing w:beforeAutospacing="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lang w:val="en-US" w:eastAsia="zh-CN" w:bidi="ar-SA"/>
              </w:rPr>
              <w:t>2、</w:t>
            </w:r>
            <w:r>
              <w:rPr>
                <w:rFonts w:hint="eastAsia" w:ascii="宋体" w:hAnsi="宋体" w:eastAsia="宋体" w:cs="宋体"/>
                <w:b/>
                <w:bCs/>
                <w:color w:val="auto"/>
                <w:sz w:val="24"/>
                <w:szCs w:val="24"/>
                <w:highlight w:val="none"/>
                <w:lang w:val="en-US" w:eastAsia="zh-CN"/>
              </w:rPr>
              <w:t>限价以单价为准，</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投标报价超出</w:t>
            </w:r>
            <w:r>
              <w:rPr>
                <w:rFonts w:hint="eastAsia" w:ascii="宋体" w:hAnsi="宋体" w:eastAsia="宋体" w:cs="宋体"/>
                <w:b/>
                <w:bCs/>
                <w:color w:val="auto"/>
                <w:sz w:val="24"/>
                <w:szCs w:val="24"/>
                <w:highlight w:val="none"/>
                <w:lang w:val="en-US" w:eastAsia="zh-CN"/>
              </w:rPr>
              <w:t>单价的</w:t>
            </w:r>
            <w:r>
              <w:rPr>
                <w:rFonts w:hint="eastAsia" w:ascii="宋体" w:hAnsi="宋体" w:eastAsia="宋体" w:cs="宋体"/>
                <w:b/>
                <w:bCs/>
                <w:color w:val="auto"/>
                <w:sz w:val="24"/>
                <w:szCs w:val="24"/>
                <w:highlight w:val="none"/>
              </w:rPr>
              <w:t>，作为不实质性响应</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lang w:eastAsia="zh-CN"/>
              </w:rPr>
              <w:t>文件</w:t>
            </w:r>
            <w:r>
              <w:rPr>
                <w:rFonts w:hint="eastAsia" w:ascii="宋体" w:hAnsi="宋体" w:eastAsia="宋体" w:cs="宋体"/>
                <w:b/>
                <w:bCs/>
                <w:color w:val="auto"/>
                <w:sz w:val="24"/>
                <w:szCs w:val="24"/>
                <w:highlight w:val="none"/>
              </w:rPr>
              <w:t>，按无效</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处理。</w:t>
            </w:r>
          </w:p>
          <w:p w14:paraId="36A7080A">
            <w:pPr>
              <w:keepNext w:val="0"/>
              <w:keepLines w:val="0"/>
              <w:pageBreakBefore w:val="0"/>
              <w:numPr>
                <w:ilvl w:val="0"/>
                <w:numId w:val="0"/>
              </w:numPr>
              <w:kinsoku/>
              <w:wordWrap/>
              <w:overflowPunct/>
              <w:topLinePunct w:val="0"/>
              <w:bidi w:val="0"/>
              <w:adjustRightInd/>
              <w:snapToGrid/>
              <w:spacing w:beforeAutospacing="0"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yellow"/>
                <w:lang w:val="en-US" w:eastAsia="zh-CN"/>
              </w:rPr>
              <w:t>3、若投标供应商通过资格性审查、符合性审查后，在最终报价环节报价相同，则由评标委员会根据评分标准对各供应商进行综合打分并排序，排名按得分从高到低依次确定，具体详见附件 1。</w:t>
            </w:r>
          </w:p>
        </w:tc>
      </w:tr>
      <w:tr w14:paraId="3CA2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735891BE">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59E42069">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是否接受联合体投标</w:t>
            </w:r>
          </w:p>
        </w:tc>
        <w:tc>
          <w:tcPr>
            <w:tcW w:w="7396" w:type="dxa"/>
            <w:shd w:val="clear" w:color="auto" w:fill="auto"/>
            <w:vAlign w:val="center"/>
          </w:tcPr>
          <w:p w14:paraId="7AE6D0F4">
            <w:pPr>
              <w:pStyle w:val="8"/>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不允许联合体投标。</w:t>
            </w:r>
          </w:p>
        </w:tc>
      </w:tr>
      <w:tr w14:paraId="6C38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582D6BE5">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0C61E107">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联合体投标要求</w:t>
            </w:r>
          </w:p>
        </w:tc>
        <w:tc>
          <w:tcPr>
            <w:tcW w:w="7396" w:type="dxa"/>
            <w:shd w:val="clear" w:color="auto" w:fill="auto"/>
            <w:vAlign w:val="center"/>
          </w:tcPr>
          <w:p w14:paraId="7AF1F62B">
            <w:pPr>
              <w:pStyle w:val="8"/>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无</w:t>
            </w:r>
          </w:p>
        </w:tc>
      </w:tr>
      <w:tr w14:paraId="5196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0DACA6A1">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79FBB8C6">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是否允许转包/分包</w:t>
            </w:r>
          </w:p>
        </w:tc>
        <w:tc>
          <w:tcPr>
            <w:tcW w:w="7396" w:type="dxa"/>
            <w:shd w:val="clear" w:color="auto" w:fill="auto"/>
            <w:vAlign w:val="center"/>
          </w:tcPr>
          <w:p w14:paraId="1850DA21">
            <w:pPr>
              <w:pStyle w:val="8"/>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w:t>
            </w:r>
          </w:p>
        </w:tc>
      </w:tr>
      <w:tr w14:paraId="619E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787919B5">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2D5E0650">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媒体发布渠道</w:t>
            </w:r>
          </w:p>
        </w:tc>
        <w:tc>
          <w:tcPr>
            <w:tcW w:w="7396" w:type="dxa"/>
            <w:shd w:val="clear" w:color="auto" w:fill="auto"/>
            <w:vAlign w:val="center"/>
          </w:tcPr>
          <w:p w14:paraId="55E8562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新疆政府采购网（http://www.ccgp-xinjiang.gov.cn）</w:t>
            </w:r>
          </w:p>
        </w:tc>
      </w:tr>
      <w:tr w14:paraId="078A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432C4921">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6706B1D7">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是否组织标前答疑会</w:t>
            </w:r>
          </w:p>
        </w:tc>
        <w:tc>
          <w:tcPr>
            <w:tcW w:w="7396" w:type="dxa"/>
            <w:shd w:val="clear" w:color="auto" w:fill="auto"/>
            <w:vAlign w:val="center"/>
          </w:tcPr>
          <w:p w14:paraId="6E08B81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不组织召开</w:t>
            </w:r>
          </w:p>
        </w:tc>
      </w:tr>
      <w:tr w14:paraId="13AB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49D0FB49">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376B5B7E">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资格证明文件</w:t>
            </w:r>
          </w:p>
          <w:p w14:paraId="36A7A828">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组成</w:t>
            </w:r>
          </w:p>
        </w:tc>
        <w:tc>
          <w:tcPr>
            <w:tcW w:w="7396" w:type="dxa"/>
            <w:shd w:val="clear" w:color="auto" w:fill="auto"/>
            <w:vAlign w:val="center"/>
          </w:tcPr>
          <w:p w14:paraId="0AD3AE64">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1、具有独立承担民事责任的能力；（提供合法有效的法人营业执照）</w:t>
            </w:r>
          </w:p>
          <w:p w14:paraId="50F92759">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2、具有良好的商业信誉和健全的财务会计制度；（提供202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任意一年的完整审计报告或财务报表（应包括资产负债表、现金流量表、利润表）或提交近一年内银行出具的资信证明，本年度新成立或成立不满一年的无法提供财务审计报告或财务状况报告表的可提供在工商备案的公司章程（复印件））</w:t>
            </w:r>
          </w:p>
          <w:p w14:paraId="18F71629">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3、具有履行合同所必需的设备和专业技术能力；（根据项目需求提供履行合同所必需的设备和专业技术能力的加盖单位公章的书面承诺函）</w:t>
            </w:r>
          </w:p>
          <w:p w14:paraId="639D0E46">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4、有依法缴纳税收和社会保障资金的良好记录；（提供</w:t>
            </w:r>
            <w:r>
              <w:rPr>
                <w:rFonts w:hint="eastAsia" w:ascii="宋体" w:hAnsi="宋体" w:eastAsia="宋体" w:cs="宋体"/>
                <w:color w:val="auto"/>
                <w:sz w:val="24"/>
                <w:szCs w:val="24"/>
                <w:highlight w:val="none"/>
                <w:lang w:val="en-US" w:eastAsia="zh-CN"/>
              </w:rPr>
              <w:t>开标时间</w:t>
            </w:r>
            <w:r>
              <w:rPr>
                <w:rFonts w:hint="eastAsia" w:ascii="宋体" w:hAnsi="宋体" w:eastAsia="宋体" w:cs="宋体"/>
                <w:color w:val="auto"/>
                <w:sz w:val="24"/>
                <w:szCs w:val="24"/>
                <w:highlight w:val="none"/>
              </w:rPr>
              <w:t>前近半年任意一个月的依法缴纳税收和社会保障资金的相关材料）</w:t>
            </w:r>
          </w:p>
          <w:p w14:paraId="7794AB57">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5、参加政府采购活动前三年内，在经营活动中没有重大违法记录；（提供参加本次政府采购活动前</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年内在经营活动中没有重大违法记录的书面承诺函并加盖单位公章）</w:t>
            </w:r>
          </w:p>
          <w:p w14:paraId="161C502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r>
              <w:rPr>
                <w:rFonts w:hint="eastAsia" w:ascii="宋体" w:hAnsi="宋体" w:eastAsia="宋体" w:cs="宋体"/>
                <w:color w:val="auto"/>
                <w:sz w:val="24"/>
                <w:szCs w:val="24"/>
                <w:highlight w:val="none"/>
                <w:lang w:eastAsia="zh-CN"/>
              </w:rPr>
              <w:t>（提供信用信誉承诺函</w:t>
            </w:r>
            <w:r>
              <w:rPr>
                <w:rFonts w:hint="eastAsia" w:ascii="宋体" w:hAnsi="宋体" w:eastAsia="宋体" w:cs="宋体"/>
                <w:color w:val="auto"/>
                <w:sz w:val="24"/>
                <w:szCs w:val="24"/>
                <w:highlight w:val="none"/>
                <w:lang w:val="en-US" w:eastAsia="zh-CN"/>
              </w:rPr>
              <w:t>以及供应商提供信用中国网站（https://www.creditchina.gov.cn）查询截图（共需“失信被执行人”、“重大税收违法失信主体)和中国政府采购网网站（http://www.ccgp.gov.cn）查询截图（政府采购严重违法失信行为记录名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DAA76A6">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7、有效的投标保证金凭证</w:t>
            </w:r>
            <w:r>
              <w:rPr>
                <w:rFonts w:hint="eastAsia" w:ascii="宋体" w:hAnsi="宋体" w:eastAsia="宋体" w:cs="宋体"/>
                <w:color w:val="auto"/>
                <w:sz w:val="24"/>
                <w:szCs w:val="24"/>
                <w:highlight w:val="none"/>
              </w:rPr>
              <w:t>；</w:t>
            </w:r>
          </w:p>
          <w:p w14:paraId="5161871D">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8、（1）供应商若为生产厂家则需提供有效期内的GMP证书和兽药生产许可证；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69D92BC7">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（2）供应商若非生产厂家则需提供兽药经营许可证（经营范围包含本项目产品）及生产厂家有效期内的GMP 证书和兽药生产许可证。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726F56D3">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highlight w:val="none"/>
                <w:lang w:val="en-US" w:eastAsia="zh-CN"/>
              </w:rPr>
              <w:t>（3）所投产品具有有效的兽药产品批准文号批件；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tc>
      </w:tr>
      <w:tr w14:paraId="1A43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2FEDD296">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0DD6EDFB">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报价文件组成</w:t>
            </w:r>
          </w:p>
        </w:tc>
        <w:tc>
          <w:tcPr>
            <w:tcW w:w="7396" w:type="dxa"/>
            <w:shd w:val="clear" w:color="auto" w:fill="auto"/>
            <w:vAlign w:val="center"/>
          </w:tcPr>
          <w:p w14:paraId="3DDEE141">
            <w:pPr>
              <w:keepNext w:val="0"/>
              <w:keepLines w:val="0"/>
              <w:pageBreakBefore w:val="0"/>
              <w:tabs>
                <w:tab w:val="left" w:pos="459"/>
              </w:tabs>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1、投标函；</w:t>
            </w:r>
          </w:p>
          <w:p w14:paraId="637C56DA">
            <w:pPr>
              <w:keepNext w:val="0"/>
              <w:keepLines w:val="0"/>
              <w:pageBreakBefore w:val="0"/>
              <w:tabs>
                <w:tab w:val="left" w:pos="459"/>
              </w:tabs>
              <w:kinsoku/>
              <w:wordWrap/>
              <w:overflowPunct/>
              <w:topLinePunct w:val="0"/>
              <w:bidi w:val="0"/>
              <w:adjustRightInd/>
              <w:snapToGrid/>
              <w:spacing w:beforeAutospacing="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2、开标一览表；</w:t>
            </w:r>
          </w:p>
        </w:tc>
      </w:tr>
      <w:tr w14:paraId="771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6D2B2741">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1A0E461B">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文件组成</w:t>
            </w:r>
          </w:p>
          <w:p w14:paraId="0C63AD78">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p>
        </w:tc>
        <w:tc>
          <w:tcPr>
            <w:tcW w:w="7396" w:type="dxa"/>
            <w:shd w:val="clear" w:color="auto" w:fill="auto"/>
            <w:vAlign w:val="center"/>
          </w:tcPr>
          <w:p w14:paraId="23B9AF00">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1、无串通投标行为的承诺函；</w:t>
            </w:r>
          </w:p>
          <w:p w14:paraId="59E3F5B3">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w:t>
            </w:r>
          </w:p>
          <w:p w14:paraId="3B2EE769">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3、法定代表人授权委托书（如有委托时）；</w:t>
            </w:r>
          </w:p>
          <w:p w14:paraId="5B6FC855">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、技术需求偏离表</w:t>
            </w:r>
            <w:r>
              <w:rPr>
                <w:rFonts w:hint="eastAsia" w:ascii="宋体" w:hAnsi="宋体" w:eastAsia="宋体" w:cs="宋体"/>
                <w:color w:val="auto"/>
                <w:sz w:val="24"/>
                <w:szCs w:val="24"/>
                <w:highlight w:val="none"/>
                <w:lang w:eastAsia="zh-CN"/>
              </w:rPr>
              <w:t>；</w:t>
            </w:r>
          </w:p>
          <w:p w14:paraId="71369B07">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、商务条款偏离表；</w:t>
            </w:r>
          </w:p>
          <w:p w14:paraId="11BD6316">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情况介绍；</w:t>
            </w:r>
          </w:p>
          <w:p w14:paraId="1E557669">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所投产品</w:t>
            </w:r>
            <w:r>
              <w:rPr>
                <w:rFonts w:hint="eastAsia" w:ascii="宋体" w:hAnsi="宋体" w:eastAsia="宋体" w:cs="宋体"/>
                <w:color w:val="auto"/>
                <w:sz w:val="24"/>
                <w:szCs w:val="24"/>
                <w:highlight w:val="none"/>
              </w:rPr>
              <w:t>类似业绩的证明文件；</w:t>
            </w:r>
          </w:p>
          <w:p w14:paraId="65ABC7BF">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、拟投入项目人员情况表；</w:t>
            </w:r>
          </w:p>
          <w:p w14:paraId="70836C61">
            <w:pPr>
              <w:pStyle w:val="69"/>
              <w:spacing w:line="360" w:lineRule="auto"/>
              <w:rPr>
                <w:rFonts w:hint="eastAsia" w:ascii="宋体" w:hAnsi="宋体" w:eastAsia="宋体" w:cs="宋体"/>
                <w:color w:val="auto"/>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中小企业声明函</w:t>
            </w:r>
            <w:r>
              <w:rPr>
                <w:rFonts w:hint="eastAsia" w:cs="宋体"/>
                <w:color w:val="auto"/>
                <w:sz w:val="24"/>
                <w:szCs w:val="24"/>
                <w:highlight w:val="none"/>
                <w:lang w:eastAsia="zh-CN"/>
              </w:rPr>
              <w:t>（</w:t>
            </w:r>
            <w:r>
              <w:rPr>
                <w:rFonts w:hint="eastAsia" w:cs="宋体"/>
                <w:color w:val="auto"/>
                <w:sz w:val="24"/>
                <w:szCs w:val="24"/>
                <w:highlight w:val="none"/>
                <w:lang w:val="en-US" w:eastAsia="zh-CN"/>
              </w:rPr>
              <w:t>如涉及</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3D8B79FF">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产品及性能</w:t>
            </w:r>
          </w:p>
          <w:p w14:paraId="4859F1E2">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技术方案</w:t>
            </w:r>
          </w:p>
          <w:p w14:paraId="170A6E61">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12、关于符合本国产品标准的声明函（如涉及）</w:t>
            </w:r>
          </w:p>
          <w:p w14:paraId="30AE52BA">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认为需要提供的其他</w:t>
            </w:r>
            <w:r>
              <w:rPr>
                <w:rFonts w:hint="eastAsia" w:ascii="宋体" w:hAnsi="宋体" w:eastAsia="宋体" w:cs="宋体"/>
                <w:color w:val="auto"/>
                <w:sz w:val="24"/>
                <w:szCs w:val="24"/>
                <w:highlight w:val="none"/>
                <w:lang w:val="en-US" w:eastAsia="zh-CN"/>
              </w:rPr>
              <w:t>证明</w:t>
            </w:r>
            <w:r>
              <w:rPr>
                <w:rFonts w:hint="eastAsia" w:ascii="宋体" w:hAnsi="宋体" w:eastAsia="宋体" w:cs="宋体"/>
                <w:color w:val="auto"/>
                <w:sz w:val="24"/>
                <w:szCs w:val="24"/>
                <w:highlight w:val="none"/>
              </w:rPr>
              <w:t>材料。</w:t>
            </w:r>
          </w:p>
        </w:tc>
      </w:tr>
      <w:tr w14:paraId="3FD9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326CC0EA">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3B29FF9C">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编制</w:t>
            </w:r>
          </w:p>
          <w:p w14:paraId="40591C69">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要求</w:t>
            </w:r>
          </w:p>
        </w:tc>
        <w:tc>
          <w:tcPr>
            <w:tcW w:w="7396" w:type="dxa"/>
            <w:shd w:val="clear" w:color="auto" w:fill="auto"/>
            <w:vAlign w:val="center"/>
          </w:tcPr>
          <w:p w14:paraId="77A7D7AF">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eastAsia="zh-CN"/>
              </w:rPr>
              <w:t>响应文件</w:t>
            </w:r>
            <w:r>
              <w:rPr>
                <w:rFonts w:hint="eastAsia" w:ascii="宋体" w:hAnsi="宋体" w:eastAsia="宋体" w:cs="宋体"/>
                <w:b w:val="0"/>
                <w:bCs/>
                <w:color w:val="auto"/>
                <w:sz w:val="24"/>
                <w:szCs w:val="24"/>
                <w:highlight w:val="none"/>
                <w:u w:val="none"/>
              </w:rPr>
              <w:t>应</w:t>
            </w:r>
            <w:r>
              <w:rPr>
                <w:rFonts w:hint="eastAsia" w:ascii="宋体" w:hAnsi="宋体" w:eastAsia="宋体" w:cs="宋体"/>
                <w:b w:val="0"/>
                <w:bCs/>
                <w:color w:val="auto"/>
                <w:sz w:val="24"/>
                <w:szCs w:val="24"/>
                <w:highlight w:val="none"/>
                <w:u w:val="none"/>
                <w:lang w:val="en-US" w:eastAsia="zh-CN"/>
              </w:rPr>
              <w:t>按</w:t>
            </w:r>
            <w:r>
              <w:rPr>
                <w:rFonts w:hint="eastAsia" w:ascii="宋体" w:hAnsi="宋体" w:eastAsia="宋体" w:cs="宋体"/>
                <w:b w:val="0"/>
                <w:bCs/>
                <w:color w:val="auto"/>
                <w:sz w:val="24"/>
                <w:szCs w:val="24"/>
                <w:highlight w:val="none"/>
                <w:u w:val="none"/>
              </w:rPr>
              <w:t>资格证明文件、报价文件、</w:t>
            </w:r>
            <w:r>
              <w:rPr>
                <w:rFonts w:hint="eastAsia" w:ascii="宋体" w:hAnsi="宋体" w:eastAsia="宋体" w:cs="宋体"/>
                <w:b w:val="0"/>
                <w:bCs/>
                <w:color w:val="auto"/>
                <w:sz w:val="24"/>
                <w:szCs w:val="24"/>
                <w:highlight w:val="none"/>
                <w:u w:val="none"/>
                <w:lang w:val="en-US" w:eastAsia="zh-CN"/>
              </w:rPr>
              <w:t>商务</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技术</w:t>
            </w:r>
            <w:r>
              <w:rPr>
                <w:rFonts w:hint="eastAsia" w:ascii="宋体" w:hAnsi="宋体" w:eastAsia="宋体" w:cs="宋体"/>
                <w:b w:val="0"/>
                <w:bCs/>
                <w:color w:val="auto"/>
                <w:sz w:val="24"/>
                <w:szCs w:val="24"/>
                <w:highlight w:val="none"/>
                <w:u w:val="none"/>
              </w:rPr>
              <w:t>文件分别编制，资格证明</w:t>
            </w:r>
            <w:r>
              <w:rPr>
                <w:rFonts w:hint="eastAsia" w:ascii="宋体" w:hAnsi="宋体" w:eastAsia="宋体" w:cs="宋体"/>
                <w:b w:val="0"/>
                <w:bCs/>
                <w:color w:val="auto"/>
                <w:sz w:val="24"/>
                <w:szCs w:val="24"/>
                <w:highlight w:val="none"/>
                <w:u w:val="none"/>
                <w:lang w:val="en-US" w:eastAsia="zh-CN"/>
              </w:rPr>
              <w:t>文件</w:t>
            </w:r>
            <w:r>
              <w:rPr>
                <w:rFonts w:hint="eastAsia" w:ascii="宋体" w:hAnsi="宋体" w:eastAsia="宋体" w:cs="宋体"/>
                <w:b w:val="0"/>
                <w:bCs/>
                <w:color w:val="auto"/>
                <w:sz w:val="24"/>
                <w:szCs w:val="24"/>
                <w:highlight w:val="none"/>
                <w:u w:val="none"/>
              </w:rPr>
              <w:t>、报价文件</w:t>
            </w:r>
            <w:r>
              <w:rPr>
                <w:rFonts w:hint="eastAsia" w:ascii="宋体" w:hAnsi="宋体" w:eastAsia="宋体" w:cs="宋体"/>
                <w:b w:val="0"/>
                <w:bCs/>
                <w:color w:val="auto"/>
                <w:sz w:val="24"/>
                <w:szCs w:val="24"/>
                <w:highlight w:val="none"/>
                <w:u w:val="none"/>
                <w:lang w:val="en-US" w:eastAsia="zh-CN"/>
              </w:rPr>
              <w:t>以及商务</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技术</w:t>
            </w:r>
            <w:r>
              <w:rPr>
                <w:rFonts w:hint="eastAsia" w:ascii="宋体" w:hAnsi="宋体" w:eastAsia="宋体" w:cs="宋体"/>
                <w:b w:val="0"/>
                <w:bCs/>
                <w:color w:val="auto"/>
                <w:sz w:val="24"/>
                <w:szCs w:val="24"/>
                <w:highlight w:val="none"/>
                <w:u w:val="none"/>
                <w:lang w:eastAsia="zh-CN"/>
              </w:rPr>
              <w:t>文件</w:t>
            </w:r>
            <w:r>
              <w:rPr>
                <w:rFonts w:hint="eastAsia" w:ascii="宋体" w:hAnsi="宋体" w:eastAsia="宋体" w:cs="宋体"/>
                <w:b w:val="0"/>
                <w:bCs/>
                <w:color w:val="auto"/>
                <w:sz w:val="24"/>
                <w:szCs w:val="24"/>
                <w:highlight w:val="none"/>
                <w:u w:val="none"/>
              </w:rPr>
              <w:t>文件按顺序合并生成电子文件。电子版</w:t>
            </w:r>
            <w:r>
              <w:rPr>
                <w:rFonts w:hint="eastAsia" w:ascii="宋体" w:hAnsi="宋体" w:eastAsia="宋体" w:cs="宋体"/>
                <w:b w:val="0"/>
                <w:bCs/>
                <w:color w:val="auto"/>
                <w:sz w:val="24"/>
                <w:szCs w:val="24"/>
                <w:highlight w:val="none"/>
                <w:u w:val="none"/>
                <w:lang w:eastAsia="zh-CN"/>
              </w:rPr>
              <w:t>响应文件</w:t>
            </w:r>
            <w:r>
              <w:rPr>
                <w:rFonts w:hint="eastAsia" w:ascii="宋体" w:hAnsi="宋体" w:eastAsia="宋体" w:cs="宋体"/>
                <w:b w:val="0"/>
                <w:bCs/>
                <w:color w:val="auto"/>
                <w:sz w:val="24"/>
                <w:szCs w:val="24"/>
                <w:highlight w:val="none"/>
                <w:u w:val="none"/>
              </w:rPr>
              <w:t>制作方式见招标公告。</w:t>
            </w:r>
          </w:p>
          <w:p w14:paraId="48C6BF4F">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color w:val="auto"/>
                <w:kern w:val="2"/>
                <w:sz w:val="24"/>
                <w:szCs w:val="24"/>
                <w:highlight w:val="none"/>
                <w:u w:val="single"/>
                <w:lang w:val="en-US" w:eastAsia="zh-CN" w:bidi="ar-SA"/>
              </w:rPr>
            </w:pPr>
            <w:r>
              <w:rPr>
                <w:rFonts w:hint="eastAsia" w:ascii="宋体" w:hAnsi="宋体" w:eastAsia="宋体" w:cs="宋体"/>
                <w:b/>
                <w:bCs w:val="0"/>
                <w:color w:val="auto"/>
                <w:sz w:val="24"/>
                <w:szCs w:val="24"/>
                <w:highlight w:val="none"/>
                <w:u w:val="none"/>
              </w:rPr>
              <w:t>在开标结束后</w:t>
            </w:r>
            <w:r>
              <w:rPr>
                <w:rFonts w:hint="eastAsia" w:ascii="宋体" w:hAnsi="宋体" w:eastAsia="宋体" w:cs="宋体"/>
                <w:b/>
                <w:bCs w:val="0"/>
                <w:color w:val="auto"/>
                <w:sz w:val="24"/>
                <w:szCs w:val="24"/>
                <w:highlight w:val="none"/>
                <w:u w:val="none"/>
                <w:lang w:val="en-US" w:eastAsia="zh-CN"/>
              </w:rPr>
              <w:t>成交</w:t>
            </w:r>
            <w:r>
              <w:rPr>
                <w:rFonts w:hint="eastAsia" w:ascii="宋体" w:hAnsi="宋体" w:eastAsia="宋体" w:cs="宋体"/>
                <w:b/>
                <w:bCs w:val="0"/>
                <w:color w:val="auto"/>
                <w:sz w:val="24"/>
                <w:szCs w:val="24"/>
                <w:highlight w:val="none"/>
                <w:u w:val="none"/>
              </w:rPr>
              <w:t>单位须向采购代理机构递交纸质响应文件</w:t>
            </w:r>
            <w:r>
              <w:rPr>
                <w:rFonts w:hint="eastAsia" w:ascii="宋体" w:hAnsi="宋体" w:eastAsia="宋体" w:cs="宋体"/>
                <w:b/>
                <w:bCs w:val="0"/>
                <w:color w:val="auto"/>
                <w:sz w:val="24"/>
                <w:szCs w:val="24"/>
                <w:highlight w:val="none"/>
                <w:u w:val="none"/>
                <w:lang w:eastAsia="zh-CN"/>
              </w:rPr>
              <w:t>一</w:t>
            </w:r>
            <w:r>
              <w:rPr>
                <w:rFonts w:hint="eastAsia" w:ascii="宋体" w:hAnsi="宋体" w:eastAsia="宋体" w:cs="宋体"/>
                <w:b/>
                <w:bCs w:val="0"/>
                <w:color w:val="auto"/>
                <w:sz w:val="24"/>
                <w:szCs w:val="24"/>
                <w:highlight w:val="none"/>
                <w:u w:val="none"/>
              </w:rPr>
              <w:t>份，印章齐全。</w:t>
            </w:r>
          </w:p>
        </w:tc>
      </w:tr>
      <w:tr w14:paraId="77ED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438676DB">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4F0AB69F">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备份</w:t>
            </w:r>
            <w:r>
              <w:rPr>
                <w:rFonts w:hint="eastAsia" w:ascii="宋体" w:hAnsi="宋体" w:eastAsia="宋体" w:cs="宋体"/>
                <w:color w:val="auto"/>
                <w:sz w:val="24"/>
                <w:szCs w:val="24"/>
                <w:highlight w:val="none"/>
                <w:lang w:eastAsia="zh-CN"/>
              </w:rPr>
              <w:t>响应文件</w:t>
            </w:r>
          </w:p>
        </w:tc>
        <w:tc>
          <w:tcPr>
            <w:tcW w:w="7396" w:type="dxa"/>
            <w:shd w:val="clear" w:color="auto" w:fill="auto"/>
            <w:vAlign w:val="center"/>
          </w:tcPr>
          <w:p w14:paraId="526B42C6">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本项目不接受备份</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tc>
      </w:tr>
      <w:tr w14:paraId="6A4F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6D11FCD3">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149F92D4">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构成采购文件的</w:t>
            </w:r>
          </w:p>
          <w:p w14:paraId="0373CE9E">
            <w:pPr>
              <w:spacing w:line="360" w:lineRule="auto"/>
              <w:jc w:val="center"/>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其他文件</w:t>
            </w:r>
          </w:p>
        </w:tc>
        <w:tc>
          <w:tcPr>
            <w:tcW w:w="7396" w:type="dxa"/>
            <w:shd w:val="clear" w:color="auto" w:fill="auto"/>
            <w:vAlign w:val="center"/>
          </w:tcPr>
          <w:p w14:paraId="0F41CC85">
            <w:pPr>
              <w:spacing w:line="360" w:lineRule="auto"/>
              <w:jc w:val="left"/>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采购文件的澄清、修改书及有关补充通知为</w:t>
            </w:r>
            <w:r>
              <w:rPr>
                <w:rFonts w:hint="eastAsia" w:ascii="宋体" w:hAnsi="宋体" w:eastAsia="宋体" w:cs="宋体"/>
                <w:color w:val="auto"/>
                <w:sz w:val="24"/>
                <w:szCs w:val="24"/>
              </w:rPr>
              <w:t>采购</w:t>
            </w:r>
            <w:r>
              <w:rPr>
                <w:rFonts w:hint="eastAsia" w:ascii="宋体" w:hAnsi="宋体" w:eastAsia="宋体" w:cs="宋体"/>
                <w:color w:val="auto"/>
                <w:sz w:val="24"/>
                <w:szCs w:val="24"/>
                <w:lang w:val="zh-CN"/>
              </w:rPr>
              <w:t>文件的有效组成部分。</w:t>
            </w:r>
          </w:p>
        </w:tc>
      </w:tr>
      <w:tr w14:paraId="180C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133343C3">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30BB4AF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评审方式</w:t>
            </w:r>
          </w:p>
        </w:tc>
        <w:tc>
          <w:tcPr>
            <w:tcW w:w="7396" w:type="dxa"/>
            <w:vAlign w:val="center"/>
          </w:tcPr>
          <w:p w14:paraId="1C377EE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政采云评标系统评标</w:t>
            </w:r>
          </w:p>
        </w:tc>
      </w:tr>
      <w:tr w14:paraId="3BEA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3FDA1706">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64F35B74">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信用查询渠道</w:t>
            </w:r>
          </w:p>
        </w:tc>
        <w:tc>
          <w:tcPr>
            <w:tcW w:w="7396" w:type="dxa"/>
            <w:shd w:val="clear" w:color="auto" w:fill="auto"/>
            <w:vAlign w:val="center"/>
          </w:tcPr>
          <w:p w14:paraId="60818ED2">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sz w:val="24"/>
                <w:szCs w:val="24"/>
                <w:highlight w:val="none"/>
              </w:rPr>
              <w:t>查询渠道：“信用中国”网站(www.creditchina.gov.cn)、中国政府采购网(www.ccgp.gov.cn)。</w:t>
            </w:r>
          </w:p>
        </w:tc>
      </w:tr>
      <w:tr w14:paraId="35FB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58AB55B4">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20D4B44A">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信用信息</w:t>
            </w:r>
          </w:p>
          <w:p w14:paraId="1793F854">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sz w:val="24"/>
                <w:szCs w:val="24"/>
                <w:highlight w:val="none"/>
              </w:rPr>
              <w:t>使用规则</w:t>
            </w:r>
          </w:p>
        </w:tc>
        <w:tc>
          <w:tcPr>
            <w:tcW w:w="7396" w:type="dxa"/>
            <w:shd w:val="clear" w:color="auto" w:fill="auto"/>
            <w:vAlign w:val="center"/>
          </w:tcPr>
          <w:p w14:paraId="0DB33249">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、根据《关于在政府采购活动中查询及使用信用记录有关问题的通知》(财库(2016)125号)的规定，对被列入“失信被执行人”“重大税收违法失信主体”的供应商，拒绝参与本项目政府采购活动。</w:t>
            </w:r>
          </w:p>
          <w:p w14:paraId="23B67315">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、供应商存在不良信用记录的，其响应将按无效处理</w:t>
            </w:r>
            <w:r>
              <w:rPr>
                <w:rFonts w:hint="eastAsia" w:ascii="宋体" w:hAnsi="宋体" w:eastAsia="宋体" w:cs="宋体"/>
                <w:color w:val="auto"/>
                <w:sz w:val="24"/>
                <w:szCs w:val="24"/>
                <w:highlight w:val="none"/>
                <w:lang w:eastAsia="zh-CN"/>
              </w:rPr>
              <w:t>。</w:t>
            </w:r>
          </w:p>
        </w:tc>
      </w:tr>
      <w:tr w14:paraId="10C0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2DABDFCB">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75E5A402">
            <w:pPr>
              <w:overflowPunct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投标保证金金额</w:t>
            </w:r>
          </w:p>
        </w:tc>
        <w:tc>
          <w:tcPr>
            <w:tcW w:w="7396" w:type="dxa"/>
            <w:shd w:val="clear" w:color="auto" w:fill="auto"/>
            <w:vAlign w:val="center"/>
          </w:tcPr>
          <w:p w14:paraId="4A8B8D62">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投标保证金</w:t>
            </w:r>
            <w:r>
              <w:rPr>
                <w:rFonts w:hint="eastAsia" w:ascii="宋体" w:hAnsi="宋体" w:eastAsia="宋体" w:cs="宋体"/>
                <w:b/>
                <w:bCs/>
                <w:color w:val="auto"/>
                <w:sz w:val="24"/>
                <w:szCs w:val="24"/>
                <w:highlight w:val="none"/>
                <w:lang w:val="en-US" w:eastAsia="zh-CN"/>
              </w:rPr>
              <w:t>缴纳方式：电汇、网银转账、保函等非现金形式缴纳</w:t>
            </w:r>
          </w:p>
          <w:p w14:paraId="1BF869F4">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保证金金额：7900.00元（大写：柒仟玖佰元整）</w:t>
            </w:r>
          </w:p>
          <w:p w14:paraId="72043EDB">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开户银行:乌鲁木齐银行营业部</w:t>
            </w:r>
          </w:p>
          <w:p w14:paraId="71886C41">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账号:0000020080110023481768</w:t>
            </w:r>
          </w:p>
          <w:p w14:paraId="2E686575">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行号:313881000019</w:t>
            </w:r>
          </w:p>
          <w:p w14:paraId="7103AAF3">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注：1、保证金必须从企业基本帐户缴纳至采购代理机构给定的基本账户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以个人、企业的办事处、分公司、子公司名义或从他人帐户、供应商企业的其他账户缴纳的保证金无效。</w:t>
            </w:r>
          </w:p>
          <w:p w14:paraId="7AB963C0">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eastAsia="zh-CN"/>
              </w:rPr>
              <w:t>打款时须注明项目名称（可简写）。</w:t>
            </w:r>
          </w:p>
          <w:p w14:paraId="042527B1">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2、保证金必须在投标截止时间（</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时间）前缴纳至招标代理公司账户。供应商需自行评估因异地、跨行、公休日等因素造成的保证金到账延迟风险，并承担相应责任。</w:t>
            </w:r>
          </w:p>
          <w:p w14:paraId="5699675E">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3、到账截止时间：</w:t>
            </w:r>
            <w:r>
              <w:rPr>
                <w:rFonts w:hint="eastAsia" w:ascii="宋体" w:hAnsi="宋体" w:eastAsia="宋体" w:cs="宋体"/>
                <w:b/>
                <w:bCs/>
                <w:color w:val="auto"/>
                <w:sz w:val="24"/>
                <w:szCs w:val="24"/>
                <w:highlight w:val="none"/>
                <w:u w:val="single"/>
              </w:rPr>
              <w:t>2026年</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月</w:t>
            </w:r>
            <w:r>
              <w:rPr>
                <w:rFonts w:hint="eastAsia" w:ascii="宋体" w:hAnsi="宋体" w:eastAsia="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日1</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点00分（北京时间）</w:t>
            </w:r>
            <w:r>
              <w:rPr>
                <w:rFonts w:hint="eastAsia" w:ascii="宋体" w:hAnsi="宋体" w:eastAsia="宋体" w:cs="宋体"/>
                <w:color w:val="auto"/>
                <w:sz w:val="24"/>
                <w:szCs w:val="24"/>
                <w:highlight w:val="none"/>
              </w:rPr>
              <w:t>（以银行记录确认到账为准）。</w:t>
            </w:r>
          </w:p>
          <w:p w14:paraId="41335893">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4、为简化手续，优化流程，采用电子支付方式提交保证金的，在退还时，按原路退回，收取时不开具收据，退还时也不要求提交收据。</w:t>
            </w:r>
          </w:p>
          <w:p w14:paraId="335D94D1">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5、采用电子保函形式应按以下要求办理：</w:t>
            </w:r>
          </w:p>
          <w:p w14:paraId="563F5171">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（1）电子保函按照“一标段一保函”的原则。</w:t>
            </w:r>
          </w:p>
          <w:p w14:paraId="1881DDE1">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（2）电子保函须在招标文件规定的投标截止时间前办理完成。</w:t>
            </w:r>
          </w:p>
          <w:p w14:paraId="0E31AC09">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（3）具体办理流程详见新疆政府采购网《新疆政府采购电子保函操作流程》。</w:t>
            </w:r>
          </w:p>
          <w:p w14:paraId="43C55626">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（4）供应商以保函形式缴纳投标保证金的，将电子投标保单作为电子响应文件组成部分在投标时一并提交。</w:t>
            </w:r>
          </w:p>
          <w:p w14:paraId="51F957FE">
            <w:pPr>
              <w:pageBreakBefore w:val="0"/>
              <w:wordWrap/>
              <w:topLinePunct w:val="0"/>
              <w:bidi w:val="0"/>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（备注：如采用电子保函形式缴纳的，在投标截止日之前须从新疆电子保函服务管理平台中确认是否生效。电子保函服务管理平台技术人员联系方式：95763。）</w:t>
            </w:r>
          </w:p>
          <w:p w14:paraId="6B4859A8">
            <w:pPr>
              <w:keepNext w:val="0"/>
              <w:keepLines w:val="0"/>
              <w:pageBreakBefore w:val="0"/>
              <w:kinsoku/>
              <w:wordWrap/>
              <w:topLinePunct w:val="0"/>
              <w:bidi w:val="0"/>
              <w:adjustRightInd/>
              <w:spacing w:line="50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注：1、如果发现供应商有围标、串标行为，其</w:t>
            </w:r>
            <w:r>
              <w:rPr>
                <w:rFonts w:hint="eastAsia" w:ascii="宋体" w:hAnsi="宋体" w:eastAsia="宋体" w:cs="宋体"/>
                <w:color w:val="auto"/>
                <w:sz w:val="24"/>
                <w:highlight w:val="none"/>
                <w:lang w:val="en-US" w:eastAsia="zh-CN"/>
              </w:rPr>
              <w:t>磋商响应</w:t>
            </w:r>
            <w:r>
              <w:rPr>
                <w:rFonts w:hint="eastAsia" w:ascii="宋体" w:hAnsi="宋体" w:eastAsia="宋体" w:cs="宋体"/>
                <w:color w:val="auto"/>
                <w:sz w:val="24"/>
                <w:highlight w:val="none"/>
              </w:rPr>
              <w:t>无效，且磋商保证金将被没收，不予退还；</w:t>
            </w:r>
          </w:p>
          <w:p w14:paraId="163F00B5">
            <w:pPr>
              <w:keepNext w:val="0"/>
              <w:keepLines w:val="0"/>
              <w:pageBreakBefore w:val="0"/>
              <w:kinsoku/>
              <w:wordWrap/>
              <w:topLinePunct w:val="0"/>
              <w:bidi w:val="0"/>
              <w:adjustRightIn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2、磋商保证金未按规定时间缴纳或提交金额不足的，其响应将被否决，供应商应充分考虑资金在途时间；</w:t>
            </w:r>
          </w:p>
          <w:p w14:paraId="32F7D0A2">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highlight w:val="none"/>
              </w:rPr>
              <w:t>3、磋商保证金以电汇或网银转账形式递交的必须由投标供应商的账户汇出（个体工商户、自然人除外），缴纳至采购代理机构指定账户。</w:t>
            </w:r>
          </w:p>
        </w:tc>
      </w:tr>
      <w:tr w14:paraId="2C7E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5BA04568">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176D925C">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yellow"/>
                <w:lang w:eastAsia="zh-CN"/>
              </w:rPr>
              <w:t>履约</w:t>
            </w:r>
            <w:r>
              <w:rPr>
                <w:rFonts w:hint="eastAsia" w:ascii="宋体" w:hAnsi="宋体" w:eastAsia="宋体" w:cs="宋体"/>
                <w:color w:val="auto"/>
                <w:sz w:val="24"/>
                <w:szCs w:val="24"/>
                <w:highlight w:val="yellow"/>
                <w:lang w:val="en-US" w:eastAsia="zh-CN"/>
              </w:rPr>
              <w:t>保证金</w:t>
            </w:r>
          </w:p>
        </w:tc>
        <w:tc>
          <w:tcPr>
            <w:tcW w:w="7396" w:type="dxa"/>
            <w:shd w:val="clear" w:color="auto" w:fill="auto"/>
            <w:vAlign w:val="bottom"/>
          </w:tcPr>
          <w:p w14:paraId="6C8A8C1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金    额：</w:t>
            </w:r>
            <w:r>
              <w:rPr>
                <w:rFonts w:hint="eastAsia" w:ascii="宋体" w:hAnsi="宋体" w:eastAsia="宋体" w:cs="宋体"/>
                <w:color w:val="auto"/>
                <w:sz w:val="24"/>
                <w:szCs w:val="24"/>
                <w:u w:val="single"/>
              </w:rPr>
              <w:t>合同总金额的 10 %</w:t>
            </w:r>
          </w:p>
          <w:p w14:paraId="3931E97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交款方式：保函</w:t>
            </w:r>
          </w:p>
          <w:p w14:paraId="4491097C">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备    注：</w:t>
            </w:r>
            <w:r>
              <w:rPr>
                <w:rFonts w:hint="eastAsia" w:ascii="宋体" w:hAnsi="宋体" w:eastAsia="宋体" w:cs="宋体"/>
                <w:color w:val="auto"/>
                <w:sz w:val="24"/>
                <w:szCs w:val="24"/>
                <w:lang w:val="en-US" w:eastAsia="zh-CN"/>
              </w:rPr>
              <w:t>项目名称（可简写）</w:t>
            </w:r>
          </w:p>
          <w:p w14:paraId="21F4C7F0">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交款时间：成交通知书发放后15个工作日；</w:t>
            </w:r>
          </w:p>
          <w:p w14:paraId="50EC732E">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备注：1、成交人须在合同签订前提供有效的履约保函；</w:t>
            </w:r>
          </w:p>
          <w:p w14:paraId="43EBE51E">
            <w:pPr>
              <w:spacing w:line="360" w:lineRule="auto"/>
              <w:ind w:firstLine="720" w:firstLineChars="300"/>
              <w:rPr>
                <w:rFonts w:hint="eastAsia" w:ascii="宋体" w:hAnsi="宋体" w:eastAsia="宋体" w:cs="宋体"/>
                <w:b/>
                <w:bCs/>
                <w:color w:val="auto"/>
                <w:kern w:val="2"/>
                <w:szCs w:val="24"/>
                <w:lang w:val="en-US" w:eastAsia="zh-CN" w:bidi="ar-SA"/>
              </w:rPr>
            </w:pPr>
            <w:r>
              <w:rPr>
                <w:rFonts w:hint="eastAsia" w:ascii="宋体" w:hAnsi="宋体" w:eastAsia="宋体" w:cs="宋体"/>
                <w:color w:val="auto"/>
                <w:sz w:val="24"/>
                <w:szCs w:val="24"/>
                <w:lang w:val="en-US" w:eastAsia="zh-CN"/>
              </w:rPr>
              <w:t>2、成交人未按采购文件规定提供履约保函的，视为成交人拒绝与采购人签订合同。</w:t>
            </w:r>
          </w:p>
        </w:tc>
      </w:tr>
      <w:tr w14:paraId="2427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1581C04A">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1001AA7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成交原则</w:t>
            </w:r>
          </w:p>
        </w:tc>
        <w:tc>
          <w:tcPr>
            <w:tcW w:w="7396" w:type="dxa"/>
            <w:vAlign w:val="center"/>
          </w:tcPr>
          <w:p w14:paraId="2AF56B7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最低评标价法，是指</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文件满足谈判文件全部实质性要求且投标报价最低的供应商为成交候选人的评标方法。</w:t>
            </w:r>
          </w:p>
        </w:tc>
      </w:tr>
      <w:tr w14:paraId="17E5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2CD19835">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7FC901B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获取谈判文件时间</w:t>
            </w:r>
          </w:p>
        </w:tc>
        <w:tc>
          <w:tcPr>
            <w:tcW w:w="7396" w:type="dxa"/>
            <w:vAlign w:val="center"/>
          </w:tcPr>
          <w:p w14:paraId="5D54C3B8">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u w:val="single"/>
                <w:lang w:eastAsia="zh-CN"/>
              </w:rPr>
              <w:t>2026年</w:t>
            </w:r>
            <w:r>
              <w:rPr>
                <w:rFonts w:hint="eastAsia" w:ascii="宋体" w:hAnsi="宋体" w:eastAsia="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u w:val="single"/>
                <w:lang w:eastAsia="zh-CN"/>
              </w:rPr>
              <w:t>月</w:t>
            </w:r>
            <w:r>
              <w:rPr>
                <w:rFonts w:hint="eastAsia" w:ascii="宋体" w:hAnsi="宋体" w:eastAsia="宋体" w:cs="宋体"/>
                <w:b/>
                <w:bCs/>
                <w:color w:val="auto"/>
                <w:sz w:val="24"/>
                <w:szCs w:val="24"/>
                <w:highlight w:val="none"/>
                <w:u w:val="single"/>
                <w:lang w:val="en-US" w:eastAsia="zh-CN"/>
              </w:rPr>
              <w:t>22</w:t>
            </w:r>
            <w:r>
              <w:rPr>
                <w:rFonts w:hint="eastAsia" w:ascii="宋体" w:hAnsi="宋体" w:eastAsia="宋体" w:cs="宋体"/>
                <w:b/>
                <w:bCs/>
                <w:color w:val="auto"/>
                <w:sz w:val="24"/>
                <w:szCs w:val="24"/>
                <w:highlight w:val="none"/>
                <w:u w:val="single"/>
                <w:lang w:eastAsia="zh-CN"/>
              </w:rPr>
              <w:t>日至2026年</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lang w:eastAsia="zh-CN"/>
              </w:rPr>
              <w:t>月</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lang w:eastAsia="zh-CN"/>
              </w:rPr>
              <w:t>日</w:t>
            </w:r>
            <w:r>
              <w:rPr>
                <w:rFonts w:hint="eastAsia" w:ascii="宋体" w:hAnsi="宋体" w:eastAsia="宋体" w:cs="宋体"/>
                <w:color w:val="auto"/>
                <w:sz w:val="24"/>
                <w:szCs w:val="24"/>
              </w:rPr>
              <w:t>，每天上午00:00至12:00，下午12:00至23:59。（北京时间，法定节假日除外）</w:t>
            </w:r>
          </w:p>
        </w:tc>
      </w:tr>
      <w:tr w14:paraId="0CFA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50EF676B">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0B5F58A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保证金缴纳截止时间（同响应文件提交截止时间）</w:t>
            </w:r>
          </w:p>
        </w:tc>
        <w:tc>
          <w:tcPr>
            <w:tcW w:w="7396" w:type="dxa"/>
            <w:vAlign w:val="center"/>
          </w:tcPr>
          <w:p w14:paraId="63D8BDE8">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u w:val="single"/>
              </w:rPr>
              <w:t>2026年</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月</w:t>
            </w:r>
            <w:r>
              <w:rPr>
                <w:rFonts w:hint="eastAsia" w:ascii="宋体" w:hAnsi="宋体" w:eastAsia="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日1</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点00分（北京时间）</w:t>
            </w:r>
          </w:p>
        </w:tc>
      </w:tr>
      <w:tr w14:paraId="50AB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7A47ADC1">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2AE1CE2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电子响应文件提交</w:t>
            </w:r>
          </w:p>
        </w:tc>
        <w:tc>
          <w:tcPr>
            <w:tcW w:w="7396" w:type="dxa"/>
            <w:vAlign w:val="center"/>
          </w:tcPr>
          <w:p w14:paraId="33AEB6E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政采云平台不见面开标大厅（网址：https://www.zcygov.cn/）对应位置（逾期未上传的或不符合规定的响应文件将被拒绝接收）</w:t>
            </w:r>
          </w:p>
        </w:tc>
      </w:tr>
      <w:tr w14:paraId="5F42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6FF3BFFF">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7519929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响应文件数量</w:t>
            </w:r>
          </w:p>
        </w:tc>
        <w:tc>
          <w:tcPr>
            <w:tcW w:w="7396" w:type="dxa"/>
            <w:vAlign w:val="center"/>
          </w:tcPr>
          <w:p w14:paraId="7118CB7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政采云平台上传电子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1份。</w:t>
            </w:r>
          </w:p>
        </w:tc>
      </w:tr>
      <w:tr w14:paraId="5920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67CC3BFD">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0E501B4E">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接收</w:t>
            </w: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lang w:val="en-US" w:eastAsia="zh-CN"/>
              </w:rPr>
              <w:t>方式</w:t>
            </w:r>
          </w:p>
        </w:tc>
        <w:tc>
          <w:tcPr>
            <w:tcW w:w="7396" w:type="dxa"/>
            <w:shd w:val="clear" w:color="auto" w:fill="auto"/>
            <w:vAlign w:val="center"/>
          </w:tcPr>
          <w:p w14:paraId="3153671D">
            <w:pPr>
              <w:keepNext w:val="0"/>
              <w:keepLines w:val="0"/>
              <w:pageBreakBefore w:val="0"/>
              <w:kinsoku/>
              <w:wordWrap/>
              <w:overflowPunct/>
              <w:topLinePunct w:val="0"/>
              <w:bidi w:val="0"/>
              <w:adjustRightInd/>
              <w:snapToGrid/>
              <w:spacing w:before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1、对采购文件提出质疑的，应当在获取采购文件或者采购文件公告期限届满之日起7个工作日内提出。</w:t>
            </w:r>
          </w:p>
          <w:p w14:paraId="694CC67D">
            <w:pPr>
              <w:keepNext w:val="0"/>
              <w:keepLines w:val="0"/>
              <w:pageBreakBefore w:val="0"/>
              <w:kinsoku/>
              <w:wordWrap/>
              <w:overflowPunct/>
              <w:topLinePunct w:val="0"/>
              <w:bidi w:val="0"/>
              <w:adjustRightInd/>
              <w:snapToGrid/>
              <w:spacing w:before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对采购过程提出质疑时间：为各采购程序环节结束之日起七个工作日内。</w:t>
            </w:r>
          </w:p>
          <w:p w14:paraId="1A0858D2">
            <w:pPr>
              <w:keepNext w:val="0"/>
              <w:keepLines w:val="0"/>
              <w:pageBreakBefore w:val="0"/>
              <w:kinsoku/>
              <w:wordWrap/>
              <w:overflowPunct/>
              <w:topLinePunct w:val="0"/>
              <w:bidi w:val="0"/>
              <w:adjustRightInd/>
              <w:snapToGrid/>
              <w:spacing w:before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对采购结果提出质疑时间：为中标结果公告发布次日后七个工作日内。</w:t>
            </w:r>
          </w:p>
          <w:p w14:paraId="4F0DDFAB">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备注：1、采购单位无正当理由不按照依法推荐的中标候选供应商顺序确定中标供应商，或者在评标委员会依法推荐的中标候选供应商以外确定中标供应商的质疑由采购单位受理。</w:t>
            </w:r>
          </w:p>
          <w:p w14:paraId="5FFA377C">
            <w:pPr>
              <w:keepNext w:val="0"/>
              <w:keepLines w:val="0"/>
              <w:pageBreakBefore w:val="0"/>
              <w:numPr>
                <w:ilvl w:val="0"/>
                <w:numId w:val="0"/>
              </w:numPr>
              <w:kinsoku/>
              <w:wordWrap/>
              <w:overflowPunct/>
              <w:topLinePunct w:val="0"/>
              <w:bidi w:val="0"/>
              <w:adjustRightInd/>
              <w:snapToGrid/>
              <w:spacing w:beforeAutospacing="0" w:line="360" w:lineRule="auto"/>
              <w:ind w:left="0" w:leftChars="0" w:firstLine="720" w:firstLineChars="3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供应商应当在法定质疑期内</w:t>
            </w:r>
            <w:r>
              <w:rPr>
                <w:rFonts w:hint="eastAsia" w:ascii="宋体" w:hAnsi="宋体" w:eastAsia="宋体" w:cs="宋体"/>
                <w:color w:val="auto"/>
                <w:sz w:val="24"/>
                <w:szCs w:val="24"/>
                <w:highlight w:val="none"/>
                <w:lang w:val="en-US" w:eastAsia="zh-CN"/>
              </w:rPr>
              <w:t>以书面形式递交并</w:t>
            </w:r>
            <w:r>
              <w:rPr>
                <w:rFonts w:hint="eastAsia" w:ascii="宋体" w:hAnsi="宋体" w:eastAsia="宋体" w:cs="宋体"/>
                <w:color w:val="auto"/>
                <w:sz w:val="24"/>
                <w:szCs w:val="24"/>
                <w:highlight w:val="none"/>
              </w:rPr>
              <w:t>一次性提出针对统一采购程序环节的质疑。</w:t>
            </w:r>
          </w:p>
        </w:tc>
      </w:tr>
      <w:tr w14:paraId="3818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7CB28539">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20E2EE3E">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质疑联系部门及联系方式</w:t>
            </w:r>
          </w:p>
        </w:tc>
        <w:tc>
          <w:tcPr>
            <w:tcW w:w="7396" w:type="dxa"/>
            <w:shd w:val="clear" w:color="auto" w:fill="auto"/>
            <w:vAlign w:val="center"/>
          </w:tcPr>
          <w:p w14:paraId="4074A387">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eastAsia="zh-CN"/>
              </w:rPr>
              <w:t>新疆诚誉工程项目管理有限公司</w:t>
            </w:r>
            <w:r>
              <w:rPr>
                <w:rFonts w:hint="eastAsia" w:ascii="宋体" w:hAnsi="宋体" w:eastAsia="宋体" w:cs="宋体"/>
                <w:color w:val="auto"/>
                <w:sz w:val="24"/>
                <w:szCs w:val="24"/>
                <w:highlight w:val="none"/>
              </w:rPr>
              <w:t>；</w:t>
            </w:r>
          </w:p>
          <w:p w14:paraId="5586A7D9">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18690180651</w:t>
            </w:r>
          </w:p>
          <w:p w14:paraId="59626211">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lang w:eastAsia="zh-CN"/>
              </w:rPr>
              <w:t>乌鲁木齐市会展大道599号新疆财富中心C座6楼601室</w:t>
            </w:r>
          </w:p>
          <w:p w14:paraId="0A4D80C5">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u w:val="single"/>
                <w:lang w:eastAsia="zh-CN"/>
              </w:rPr>
              <w:t>新疆维吾尔自治区动物疫病预防控制中心（新疆维吾尔自治区动物检疫所）</w:t>
            </w:r>
            <w:r>
              <w:rPr>
                <w:rFonts w:hint="eastAsia" w:ascii="宋体" w:hAnsi="宋体" w:eastAsia="宋体" w:cs="宋体"/>
                <w:color w:val="auto"/>
                <w:sz w:val="24"/>
                <w:szCs w:val="24"/>
                <w:highlight w:val="none"/>
              </w:rPr>
              <w:t>；</w:t>
            </w:r>
          </w:p>
          <w:p w14:paraId="0B0E0AA8">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0991-4650169</w:t>
            </w:r>
          </w:p>
          <w:p w14:paraId="68E70DE5">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lang w:eastAsia="zh-CN"/>
              </w:rPr>
              <w:t>乌鲁木齐市新市区蓝天路268号</w:t>
            </w:r>
          </w:p>
        </w:tc>
      </w:tr>
      <w:tr w14:paraId="00AF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5AB76CFD">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1BCF49B4">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现场提交质疑办理业务时间</w:t>
            </w:r>
          </w:p>
        </w:tc>
        <w:tc>
          <w:tcPr>
            <w:tcW w:w="7396" w:type="dxa"/>
            <w:shd w:val="clear" w:color="auto" w:fill="auto"/>
            <w:vAlign w:val="center"/>
          </w:tcPr>
          <w:p w14:paraId="08FD5CD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质疑期内每个工作日</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分到</w:t>
            </w:r>
            <w:r>
              <w:rPr>
                <w:rFonts w:hint="eastAsia" w:ascii="宋体" w:hAnsi="宋体" w:eastAsia="宋体" w:cs="宋体"/>
                <w:color w:val="auto"/>
                <w:sz w:val="24"/>
                <w:szCs w:val="24"/>
                <w:highlight w:val="none"/>
                <w:u w:val="single"/>
              </w:rPr>
              <w:t>13</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分到</w:t>
            </w:r>
            <w:r>
              <w:rPr>
                <w:rFonts w:hint="eastAsia" w:ascii="宋体" w:hAnsi="宋体" w:eastAsia="宋体" w:cs="宋体"/>
                <w:color w:val="auto"/>
                <w:sz w:val="24"/>
                <w:szCs w:val="24"/>
                <w:highlight w:val="none"/>
                <w:u w:val="single"/>
                <w:lang w:val="en-US" w:eastAsia="zh-CN"/>
              </w:rPr>
              <w:t>19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tc>
      </w:tr>
      <w:tr w14:paraId="322A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5BB89F4F">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08BCBFBA">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供应商投诉</w:t>
            </w:r>
          </w:p>
        </w:tc>
        <w:tc>
          <w:tcPr>
            <w:tcW w:w="7396" w:type="dxa"/>
            <w:shd w:val="clear" w:color="auto" w:fill="auto"/>
            <w:vAlign w:val="center"/>
          </w:tcPr>
          <w:p w14:paraId="10043A78">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投诉受理单位：本项目同级财政部门</w:t>
            </w:r>
          </w:p>
          <w:p w14:paraId="52E940FC">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受理方式：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纸质方式受理，投诉书正、副本（经过质疑的事项才可投诉）。</w:t>
            </w:r>
          </w:p>
          <w:p w14:paraId="49A0C099">
            <w:pPr>
              <w:keepNext w:val="0"/>
              <w:keepLines w:val="0"/>
              <w:pageBreakBefore w:val="0"/>
              <w:kinsoku/>
              <w:wordWrap/>
              <w:overflowPunct/>
              <w:topLinePunct w:val="0"/>
              <w:bidi w:val="0"/>
              <w:adjustRightInd/>
              <w:snapToGrid/>
              <w:spacing w:beforeAutospacing="0"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质疑答复不满意后 15 个工作日内向财政部门投诉。</w:t>
            </w:r>
          </w:p>
          <w:p w14:paraId="717821DF">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注：根据《中华人民共和国政府采购法实施条例》的规定，供应商投诉事项不得超出已质疑事项的范围。</w:t>
            </w:r>
          </w:p>
        </w:tc>
      </w:tr>
      <w:tr w14:paraId="6F65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1AB47A54">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1BF75397">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采购代理费支付方式</w:t>
            </w:r>
          </w:p>
        </w:tc>
        <w:tc>
          <w:tcPr>
            <w:tcW w:w="7396" w:type="dxa"/>
            <w:shd w:val="clear" w:color="auto" w:fill="auto"/>
            <w:vAlign w:val="center"/>
          </w:tcPr>
          <w:p w14:paraId="3E0FF2AF">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本项目代理费由</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人在领取中标通知书前，一次性向采购代理机构支付。</w:t>
            </w:r>
          </w:p>
        </w:tc>
      </w:tr>
      <w:tr w14:paraId="4ECB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105A377F">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04205919">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采购代理费收取</w:t>
            </w:r>
          </w:p>
        </w:tc>
        <w:tc>
          <w:tcPr>
            <w:tcW w:w="7396" w:type="dxa"/>
            <w:shd w:val="clear" w:color="auto" w:fill="auto"/>
            <w:vAlign w:val="center"/>
          </w:tcPr>
          <w:p w14:paraId="431E8C8E">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代理服务费以预算金额为基数，参照国家发展改革委员会发改价格〔2015〕299号）文件及《招标代理服务收费管理暂行办法》（计价格〔2002〕1980号）标准下浮50%计取。由成交单位领取成交通知书前一次性支付。</w:t>
            </w:r>
          </w:p>
        </w:tc>
      </w:tr>
      <w:tr w14:paraId="15E2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635AD720">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5483293B">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代理服务费收款账户信息</w:t>
            </w:r>
          </w:p>
        </w:tc>
        <w:tc>
          <w:tcPr>
            <w:tcW w:w="7396" w:type="dxa"/>
            <w:shd w:val="clear" w:color="auto" w:fill="auto"/>
            <w:vAlign w:val="center"/>
          </w:tcPr>
          <w:p w14:paraId="79326708">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单位名称:新疆诚誉工程项目管理有限公司</w:t>
            </w:r>
          </w:p>
          <w:p w14:paraId="15772DFA">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lang w:eastAsia="zh-CN"/>
              </w:rPr>
              <w:t>中国农业银行股份有限公司乌鲁木齐安居南路（兵团）支行</w:t>
            </w:r>
          </w:p>
          <w:p w14:paraId="0CAD3EE3">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lang w:eastAsia="zh-CN"/>
              </w:rPr>
              <w:t>30704701040007728</w:t>
            </w:r>
          </w:p>
          <w:p w14:paraId="2EFC5F20">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w:t>
            </w:r>
            <w:r>
              <w:rPr>
                <w:rFonts w:hint="eastAsia" w:ascii="宋体" w:hAnsi="宋体" w:eastAsia="宋体" w:cs="宋体"/>
                <w:color w:val="auto"/>
                <w:sz w:val="24"/>
                <w:szCs w:val="24"/>
                <w:highlight w:val="none"/>
                <w:lang w:eastAsia="zh-CN"/>
              </w:rPr>
              <w:t>103881070473</w:t>
            </w:r>
          </w:p>
          <w:p w14:paraId="0D0AB5BE">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打款时须注明项目名称（可简写）</w:t>
            </w:r>
            <w:r>
              <w:rPr>
                <w:rFonts w:hint="eastAsia" w:ascii="宋体" w:hAnsi="宋体" w:eastAsia="宋体" w:cs="宋体"/>
                <w:color w:val="auto"/>
                <w:sz w:val="24"/>
                <w:szCs w:val="24"/>
                <w:highlight w:val="none"/>
                <w:lang w:val="en-US" w:eastAsia="zh-CN"/>
              </w:rPr>
              <w:t>。</w:t>
            </w:r>
          </w:p>
        </w:tc>
      </w:tr>
      <w:tr w14:paraId="7D3D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7DCFA554">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6CC5C2CB">
            <w:pPr>
              <w:overflowPunct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质保期</w:t>
            </w:r>
          </w:p>
        </w:tc>
        <w:tc>
          <w:tcPr>
            <w:tcW w:w="7396" w:type="dxa"/>
            <w:shd w:val="clear" w:color="auto" w:fill="auto"/>
            <w:vAlign w:val="center"/>
          </w:tcPr>
          <w:p w14:paraId="32E88A3A">
            <w:pPr>
              <w:spacing w:line="360" w:lineRule="auto"/>
              <w:rPr>
                <w:rFonts w:hint="eastAsia" w:ascii="宋体" w:hAnsi="宋体" w:eastAsia="宋体" w:cs="宋体"/>
                <w:color w:val="auto"/>
                <w:kern w:val="2"/>
                <w:sz w:val="24"/>
                <w:szCs w:val="24"/>
                <w:lang w:val="en-US" w:eastAsia="zh-CN" w:bidi="ar-SA"/>
              </w:rPr>
            </w:pPr>
            <w:r>
              <w:rPr>
                <w:rStyle w:val="70"/>
                <w:rFonts w:hint="eastAsia" w:ascii="宋体" w:hAnsi="宋体" w:eastAsia="宋体" w:cs="宋体"/>
                <w:color w:val="auto"/>
                <w:sz w:val="24"/>
                <w:szCs w:val="24"/>
              </w:rPr>
              <w:t>自供货之日起质保期不少于8个月。</w:t>
            </w:r>
          </w:p>
        </w:tc>
      </w:tr>
      <w:tr w14:paraId="7271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61BEDB02">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2C642B7A">
            <w:pPr>
              <w:overflowPunct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供货</w:t>
            </w:r>
            <w:r>
              <w:rPr>
                <w:rFonts w:hint="eastAsia" w:ascii="宋体" w:hAnsi="宋体" w:eastAsia="宋体" w:cs="宋体"/>
                <w:color w:val="auto"/>
                <w:sz w:val="24"/>
                <w:szCs w:val="24"/>
                <w:lang w:val="en-US" w:eastAsia="zh-CN"/>
              </w:rPr>
              <w:t>时间</w:t>
            </w:r>
          </w:p>
        </w:tc>
        <w:tc>
          <w:tcPr>
            <w:tcW w:w="7396" w:type="dxa"/>
            <w:shd w:val="clear" w:color="auto" w:fill="auto"/>
            <w:vAlign w:val="center"/>
          </w:tcPr>
          <w:p w14:paraId="2E69BA3D">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接到采购方供货通知，须在15个日历日内（特殊情况下24小时送达）全程冷链条件下运达至甲方指定地点</w:t>
            </w:r>
            <w:r>
              <w:rPr>
                <w:rFonts w:hint="eastAsia" w:ascii="宋体" w:hAnsi="宋体" w:eastAsia="宋体" w:cs="宋体"/>
                <w:color w:val="auto"/>
                <w:sz w:val="24"/>
                <w:szCs w:val="24"/>
                <w:highlight w:val="none"/>
                <w:lang w:val="en-US" w:eastAsia="zh-CN"/>
              </w:rPr>
              <w:t>（分春季、秋季供货使用的疫苗， 按甲方通知要求分批供应）</w:t>
            </w:r>
            <w:r>
              <w:rPr>
                <w:rFonts w:hint="eastAsia" w:ascii="宋体" w:hAnsi="宋体" w:eastAsia="宋体" w:cs="宋体"/>
                <w:color w:val="auto"/>
                <w:sz w:val="24"/>
                <w:szCs w:val="24"/>
                <w:lang w:val="en-US" w:eastAsia="zh-CN"/>
              </w:rPr>
              <w:t>。</w:t>
            </w:r>
          </w:p>
        </w:tc>
      </w:tr>
      <w:tr w14:paraId="5A65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3EF2AE3D">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0E5733F9">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sz w:val="24"/>
                <w:szCs w:val="24"/>
                <w:highlight w:val="none"/>
              </w:rPr>
              <w:t>付款方式</w:t>
            </w:r>
          </w:p>
        </w:tc>
        <w:tc>
          <w:tcPr>
            <w:tcW w:w="7396" w:type="dxa"/>
            <w:shd w:val="clear" w:color="auto" w:fill="auto"/>
            <w:vAlign w:val="center"/>
          </w:tcPr>
          <w:p w14:paraId="5B01CA18">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本项目无预付款：</w:t>
            </w:r>
          </w:p>
          <w:p w14:paraId="51ADAEF8">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1、按供应的疫苗物资量，分春防、秋防进行结算。</w:t>
            </w:r>
          </w:p>
          <w:p w14:paraId="78DF2A91">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(1)春防期供应疫苗物资，到货验收合格后30个工作日内启动专项资金支付程序，按照实际供货量结算付款。</w:t>
            </w:r>
          </w:p>
          <w:p w14:paraId="7DFA13D0">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(2)秋防期供应疫苗物资，到货验收合格后30个工作日内启动专项资金支付程序，按照实际供货量结算付款。</w:t>
            </w:r>
          </w:p>
          <w:p w14:paraId="686963F2">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sz w:val="24"/>
                <w:szCs w:val="24"/>
                <w:highlight w:val="none"/>
                <w:lang w:eastAsia="zh-CN"/>
              </w:rPr>
              <w:t>2、协议储备的货物在甲乙双方签订《代储协议》后，10个工作日内启动专项资金支付程序，按代储疫苗物资量一次性结算付款</w:t>
            </w:r>
            <w:r>
              <w:rPr>
                <w:rFonts w:hint="eastAsia" w:ascii="宋体" w:hAnsi="宋体" w:eastAsia="宋体" w:cs="宋体"/>
                <w:b w:val="0"/>
                <w:bCs w:val="0"/>
                <w:color w:val="auto"/>
                <w:sz w:val="24"/>
                <w:szCs w:val="24"/>
                <w:lang w:val="en-US" w:eastAsia="zh-CN"/>
              </w:rPr>
              <w:t>。</w:t>
            </w:r>
          </w:p>
        </w:tc>
      </w:tr>
      <w:tr w14:paraId="17F7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66B011A1">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00ABCFCC">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b w:val="0"/>
                <w:bCs w:val="0"/>
                <w:color w:val="auto"/>
                <w:kern w:val="2"/>
                <w:sz w:val="24"/>
                <w:szCs w:val="21"/>
                <w:highlight w:val="none"/>
                <w:lang w:val="en-US" w:eastAsia="zh-CN" w:bidi="ar-SA"/>
              </w:rPr>
            </w:pPr>
            <w:r>
              <w:rPr>
                <w:rFonts w:hint="eastAsia" w:ascii="宋体" w:hAnsi="宋体" w:eastAsia="宋体" w:cs="宋体"/>
                <w:b w:val="0"/>
                <w:bCs w:val="0"/>
                <w:color w:val="auto"/>
                <w:sz w:val="24"/>
                <w:szCs w:val="24"/>
                <w:highlight w:val="none"/>
              </w:rPr>
              <w:t>小微企业（监狱企业视同小微企业）价格扣除</w:t>
            </w:r>
          </w:p>
        </w:tc>
        <w:tc>
          <w:tcPr>
            <w:tcW w:w="7396" w:type="dxa"/>
            <w:shd w:val="clear" w:color="auto" w:fill="auto"/>
            <w:vAlign w:val="center"/>
          </w:tcPr>
          <w:p w14:paraId="4B838DC3">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本项目为非专门面向中小企业采购项目</w:t>
            </w:r>
          </w:p>
          <w:p w14:paraId="14E0B9A0">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小微企业（监狱企业、残疾人福利性单位视同小微企业）价格扣除</w:t>
            </w:r>
          </w:p>
          <w:p w14:paraId="52A38E23">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1、根据《政府采购促进中小企业发展管理办法》（财库[2020]46 号）的规定，对小型和微型企业产品的价格给予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%的价格扣除，用扣除后的价格参与评标。</w:t>
            </w:r>
          </w:p>
          <w:p w14:paraId="11C2EF48">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2、参加政府采购活动的中小企业应当提供《中小企业声明函》原件。</w:t>
            </w:r>
          </w:p>
          <w:p w14:paraId="25B0EEA4">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3、提供由省级以上监狱管理局、戒毒管理局（含新疆生产建设兵团）出具的属于监狱企业证明文件的原件，视同为小型和微型企业。</w:t>
            </w:r>
          </w:p>
          <w:p w14:paraId="63FCFAC6">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4、符合享受政府采购支持政策的残疾人福利性单位条件且提供《残疾人福利性单位声明函》的原件，视同为小型和微型企业。</w:t>
            </w:r>
          </w:p>
          <w:p w14:paraId="0BEFA3FD">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注：1、供应商根据自身实际情况据实提供上述材料原件，未提供的，视为放弃享受小微企业价格扣除优惠政策。</w:t>
            </w:r>
          </w:p>
          <w:p w14:paraId="16E187FB">
            <w:pPr>
              <w:spacing w:line="360" w:lineRule="auto"/>
              <w:ind w:firstLine="964" w:firstLineChars="400"/>
              <w:rPr>
                <w:rFonts w:hint="eastAsia" w:ascii="宋体" w:hAnsi="宋体" w:eastAsia="宋体" w:cs="宋体"/>
                <w:b w:val="0"/>
                <w:bCs w:val="0"/>
                <w:color w:val="auto"/>
                <w:kern w:val="2"/>
                <w:szCs w:val="21"/>
                <w:highlight w:val="none"/>
                <w:lang w:val="en-US" w:eastAsia="zh-CN" w:bidi="ar-SA"/>
              </w:rPr>
            </w:pPr>
            <w:r>
              <w:rPr>
                <w:rFonts w:hint="eastAsia" w:ascii="宋体" w:hAnsi="宋体" w:eastAsia="宋体" w:cs="宋体"/>
                <w:b/>
                <w:bCs/>
                <w:color w:val="auto"/>
                <w:sz w:val="24"/>
                <w:szCs w:val="24"/>
                <w:highlight w:val="none"/>
                <w:lang w:val="en-US" w:eastAsia="zh-CN"/>
              </w:rPr>
              <w:t>2、本项目采购相关活动中，中小企业划型标准统一以《关于落实好政府采购支持中小企业发展的通知》(新财购〔2022〕22号)文件中的明确要求为准。</w:t>
            </w:r>
          </w:p>
        </w:tc>
      </w:tr>
      <w:tr w14:paraId="252D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5FE11BA2">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5EF0776F">
            <w:pPr>
              <w:keepNext w:val="0"/>
              <w:keepLines w:val="0"/>
              <w:pageBreakBefore w:val="0"/>
              <w:kinsoku/>
              <w:wordWrap/>
              <w:topLinePunct w:val="0"/>
              <w:bidi w:val="0"/>
              <w:adjustRightInd/>
              <w:spacing w:line="5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本项目采购标的所属行业</w:t>
            </w:r>
          </w:p>
        </w:tc>
        <w:tc>
          <w:tcPr>
            <w:tcW w:w="7396" w:type="dxa"/>
            <w:shd w:val="clear" w:color="auto" w:fill="auto"/>
            <w:vAlign w:val="center"/>
          </w:tcPr>
          <w:p w14:paraId="35DEE234">
            <w:pPr>
              <w:keepNext w:val="0"/>
              <w:keepLines w:val="0"/>
              <w:pageBreakBefore w:val="0"/>
              <w:kinsoku/>
              <w:wordWrap/>
              <w:topLinePunct w:val="0"/>
              <w:bidi w:val="0"/>
              <w:adjustRightInd/>
              <w:spacing w:line="500" w:lineRule="exact"/>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本项目标的所属行业：根据《关于印发中小企业划型标准规定的通知》工信部联企业〔2011〕300号规定，本项目采购标的对应的中小企业划分标准所属行业如下：</w:t>
            </w:r>
          </w:p>
          <w:tbl>
            <w:tblPr>
              <w:tblStyle w:val="26"/>
              <w:tblW w:w="6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4"/>
            </w:tblGrid>
            <w:tr w14:paraId="563C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164" w:type="dxa"/>
                  <w:tcBorders>
                    <w:top w:val="single" w:color="auto" w:sz="4" w:space="0"/>
                    <w:left w:val="single" w:color="auto" w:sz="4" w:space="0"/>
                    <w:bottom w:val="single" w:color="auto" w:sz="4" w:space="0"/>
                    <w:right w:val="single" w:color="auto" w:sz="4" w:space="0"/>
                  </w:tcBorders>
                  <w:noWrap w:val="0"/>
                  <w:vAlign w:val="center"/>
                </w:tcPr>
                <w:p w14:paraId="4F255333">
                  <w:pPr>
                    <w:keepNext w:val="0"/>
                    <w:keepLines w:val="0"/>
                    <w:pageBreakBefore w:val="0"/>
                    <w:kinsoku/>
                    <w:wordWrap/>
                    <w:topLinePunct w:val="0"/>
                    <w:bidi w:val="0"/>
                    <w:adjustRightInd/>
                    <w:spacing w:line="5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中小企业划分标准所属行业</w:t>
                  </w:r>
                </w:p>
              </w:tc>
            </w:tr>
            <w:tr w14:paraId="61CB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64" w:type="dxa"/>
                  <w:tcBorders>
                    <w:top w:val="single" w:color="auto" w:sz="4" w:space="0"/>
                    <w:left w:val="single" w:color="auto" w:sz="4" w:space="0"/>
                    <w:bottom w:val="single" w:color="auto" w:sz="4" w:space="0"/>
                    <w:right w:val="single" w:color="auto" w:sz="4" w:space="0"/>
                  </w:tcBorders>
                  <w:noWrap w:val="0"/>
                  <w:vAlign w:val="center"/>
                </w:tcPr>
                <w:p w14:paraId="36530939">
                  <w:pPr>
                    <w:keepNext w:val="0"/>
                    <w:keepLines w:val="0"/>
                    <w:pageBreakBefore w:val="0"/>
                    <w:kinsoku/>
                    <w:wordWrap/>
                    <w:topLinePunct w:val="0"/>
                    <w:bidi w:val="0"/>
                    <w:adjustRightInd/>
                    <w:spacing w:line="5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工业</w:t>
                  </w:r>
                </w:p>
              </w:tc>
            </w:tr>
          </w:tbl>
          <w:p w14:paraId="06063565">
            <w:pPr>
              <w:keepNext w:val="0"/>
              <w:keepLines w:val="0"/>
              <w:pageBreakBefore w:val="0"/>
              <w:kinsoku/>
              <w:wordWrap/>
              <w:topLinePunct w:val="0"/>
              <w:bidi w:val="0"/>
              <w:adjustRightInd/>
              <w:spacing w:line="500" w:lineRule="exact"/>
              <w:textAlignment w:val="auto"/>
              <w:rPr>
                <w:rFonts w:hint="eastAsia" w:ascii="宋体" w:hAnsi="宋体" w:eastAsia="宋体" w:cs="宋体"/>
                <w:b w:val="0"/>
                <w:bCs w:val="0"/>
                <w:color w:val="auto"/>
                <w:kern w:val="2"/>
                <w:sz w:val="24"/>
                <w:szCs w:val="22"/>
                <w:highlight w:val="none"/>
                <w:lang w:val="en-US" w:eastAsia="zh-CN" w:bidi="ar-SA"/>
              </w:rPr>
            </w:pPr>
          </w:p>
        </w:tc>
      </w:tr>
      <w:tr w14:paraId="7FF3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2883DEF5">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3786D0CA">
            <w:pPr>
              <w:pStyle w:val="71"/>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jc w:val="center"/>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小组的组建及确定方式</w:t>
            </w:r>
          </w:p>
        </w:tc>
        <w:tc>
          <w:tcPr>
            <w:tcW w:w="7396" w:type="dxa"/>
            <w:shd w:val="clear" w:color="auto" w:fill="auto"/>
            <w:vAlign w:val="center"/>
          </w:tcPr>
          <w:p w14:paraId="37C01FA0">
            <w:pPr>
              <w:pStyle w:val="71"/>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采购人依法组建评审小组，人数为</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人以上单数，由采购人代表（如有）和专家评委组成。</w:t>
            </w:r>
          </w:p>
          <w:p w14:paraId="30FA3B37">
            <w:pPr>
              <w:pStyle w:val="71"/>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sz w:val="24"/>
                <w:szCs w:val="24"/>
                <w:highlight w:val="none"/>
              </w:rPr>
              <w:t>评审小组确定方式：</w:t>
            </w:r>
            <w:r>
              <w:rPr>
                <w:rFonts w:hint="eastAsia" w:ascii="宋体" w:hAnsi="宋体" w:eastAsia="宋体" w:cs="宋体"/>
                <w:color w:val="auto"/>
                <w:sz w:val="24"/>
                <w:szCs w:val="24"/>
                <w:highlight w:val="none"/>
                <w:u w:val="single"/>
              </w:rPr>
              <w:t>新疆政府采购网专家库中随机抽取确定</w:t>
            </w:r>
          </w:p>
        </w:tc>
      </w:tr>
      <w:tr w14:paraId="5961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6AE2524E">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20CA48A5">
            <w:pPr>
              <w:pStyle w:val="71"/>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 xml:space="preserve">是否允许采购进口产品  </w:t>
            </w:r>
          </w:p>
        </w:tc>
        <w:tc>
          <w:tcPr>
            <w:tcW w:w="7396" w:type="dxa"/>
            <w:shd w:val="clear" w:color="auto" w:fill="auto"/>
            <w:vAlign w:val="center"/>
          </w:tcPr>
          <w:p w14:paraId="081FE1B9">
            <w:pPr>
              <w:pStyle w:val="71"/>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否</w:t>
            </w:r>
          </w:p>
        </w:tc>
      </w:tr>
      <w:tr w14:paraId="01A0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03B93E9D">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27768B55">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本国产品优惠政策</w:t>
            </w:r>
          </w:p>
        </w:tc>
        <w:tc>
          <w:tcPr>
            <w:tcW w:w="7396" w:type="dxa"/>
            <w:shd w:val="clear" w:color="auto" w:fill="auto"/>
            <w:vAlign w:val="top"/>
          </w:tcPr>
          <w:p w14:paraId="791EAF3C">
            <w:pPr>
              <w:pageBreakBefore w:val="0"/>
              <w:numPr>
                <w:ilvl w:val="0"/>
                <w:numId w:val="2"/>
              </w:numPr>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根据国务院办公厅印发的《关于在政府采购中实施 本国产品标准及相关政策的通知》（国办发〔2025〕34号）及财政部、工业和信息化部发布的关于贯彻落实《国务院办公厅关于在政府采购中实施本国产品标准及相关政策的通知》的意见，本项目对本国产品进行支持政策采购。</w:t>
            </w:r>
          </w:p>
          <w:p w14:paraId="19D0B6BB">
            <w:pPr>
              <w:pageBreakBefore w:val="0"/>
              <w:shd w:val="clear" w:color="auto" w:fill="auto"/>
              <w:kinsoku/>
              <w:wordWrap/>
              <w:overflowPunct/>
              <w:topLinePunct w:val="0"/>
              <w:bidi w:val="0"/>
              <w:snapToGrid/>
              <w:spacing w:before="0" w:beforeAutospacing="0" w:after="0" w:afterAutospacing="0" w:line="440" w:lineRule="exact"/>
              <w:ind w:left="0" w:right="0" w:firstLine="420" w:firstLineChars="20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符合以下条件的本国产品应按照采购文件格式要求提供《声明函》，未提供或不符合要求的则不被认定，不予价格优惠评审。</w:t>
            </w:r>
          </w:p>
          <w:p w14:paraId="483E397C">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（一）在中国境内生产</w:t>
            </w:r>
          </w:p>
          <w:p w14:paraId="522AD855">
            <w:pPr>
              <w:pageBreakBefore w:val="0"/>
              <w:shd w:val="clear" w:color="auto" w:fill="auto"/>
              <w:kinsoku/>
              <w:wordWrap/>
              <w:overflowPunct/>
              <w:topLinePunct w:val="0"/>
              <w:bidi w:val="0"/>
              <w:snapToGrid/>
              <w:spacing w:before="0" w:beforeAutospacing="0" w:after="0" w:afterAutospacing="0" w:line="440" w:lineRule="exact"/>
              <w:ind w:left="0" w:right="0" w:firstLine="420" w:firstLineChars="20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产品应当在中国境内生产，即在中华人民共和国关境内实现从原材料、组件到产品的属性改变。</w:t>
            </w:r>
          </w:p>
          <w:p w14:paraId="2BB11F39">
            <w:pPr>
              <w:pageBreakBefore w:val="0"/>
              <w:shd w:val="clear" w:color="auto" w:fill="auto"/>
              <w:kinsoku/>
              <w:wordWrap/>
              <w:overflowPunct/>
              <w:topLinePunct w:val="0"/>
              <w:bidi w:val="0"/>
              <w:snapToGrid/>
              <w:spacing w:before="0" w:beforeAutospacing="0" w:after="0" w:afterAutospacing="0" w:line="440" w:lineRule="exact"/>
              <w:ind w:left="0" w:right="0" w:firstLine="420" w:firstLineChars="20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属性改变是指经过制造、加工或者组装等工序，产生完全不同于原材料、组件的新产品，并具有新的名称和特征（用途）。属性改变不包括以下细微操作：</w:t>
            </w:r>
          </w:p>
          <w:p w14:paraId="5D545C4A">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1.为确保产品在运输或者储存期间保持某种状态而进行的操作；</w:t>
            </w:r>
          </w:p>
          <w:p w14:paraId="2A32AA78">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2.为产品运输或者销售进行的包装或者展示；</w:t>
            </w:r>
          </w:p>
          <w:p w14:paraId="1D073B7F">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3.在产品或者其包装上粘贴或者印刷品牌、标志、标识以及其他用于区别的标记；</w:t>
            </w:r>
          </w:p>
          <w:p w14:paraId="5BFCAFCD">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4.简单的上漆、磨光和分装；</w:t>
            </w:r>
          </w:p>
          <w:p w14:paraId="3AF7E63F">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5.其他不属于属性改变的情形。</w:t>
            </w:r>
          </w:p>
          <w:p w14:paraId="2ADAC222">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（二）在中国境内生产的组件成本占比达到规定比例</w:t>
            </w:r>
          </w:p>
          <w:p w14:paraId="1258DFB0">
            <w:pPr>
              <w:pageBreakBefore w:val="0"/>
              <w:shd w:val="clear" w:color="auto" w:fill="auto"/>
              <w:kinsoku/>
              <w:wordWrap/>
              <w:overflowPunct/>
              <w:topLinePunct w:val="0"/>
              <w:bidi w:val="0"/>
              <w:snapToGrid/>
              <w:spacing w:before="0" w:beforeAutospacing="0" w:after="0" w:afterAutospacing="0" w:line="440" w:lineRule="exact"/>
              <w:ind w:left="0" w:right="0" w:firstLine="420" w:firstLineChars="20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产品在中国境内生产的组件成本占比应当达到规定比例，计算公式为：</w:t>
            </w:r>
          </w:p>
          <w:p w14:paraId="501537FC">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drawing>
                <wp:anchor distT="0" distB="0" distL="114300" distR="114300" simplePos="0" relativeHeight="251661312" behindDoc="1" locked="0" layoutInCell="1" allowOverlap="1">
                  <wp:simplePos x="0" y="0"/>
                  <wp:positionH relativeFrom="column">
                    <wp:posOffset>162560</wp:posOffset>
                  </wp:positionH>
                  <wp:positionV relativeFrom="paragraph">
                    <wp:posOffset>56515</wp:posOffset>
                  </wp:positionV>
                  <wp:extent cx="3286125" cy="535305"/>
                  <wp:effectExtent l="0" t="0" r="9525" b="17145"/>
                  <wp:wrapNone/>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8"/>
                          <a:stretch>
                            <a:fillRect/>
                          </a:stretch>
                        </pic:blipFill>
                        <pic:spPr>
                          <a:xfrm>
                            <a:off x="0" y="0"/>
                            <a:ext cx="3286125" cy="535305"/>
                          </a:xfrm>
                          <a:prstGeom prst="rect">
                            <a:avLst/>
                          </a:prstGeom>
                          <a:noFill/>
                          <a:ln>
                            <a:noFill/>
                          </a:ln>
                        </pic:spPr>
                      </pic:pic>
                    </a:graphicData>
                  </a:graphic>
                </wp:anchor>
              </w:drawing>
            </w:r>
          </w:p>
          <w:p w14:paraId="3AFE5213">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p>
          <w:p w14:paraId="331F7C84">
            <w:pPr>
              <w:pageBreakBefore w:val="0"/>
              <w:shd w:val="clear" w:color="auto" w:fill="auto"/>
              <w:kinsoku/>
              <w:wordWrap/>
              <w:overflowPunct/>
              <w:topLinePunct w:val="0"/>
              <w:bidi w:val="0"/>
              <w:snapToGrid/>
              <w:spacing w:before="0" w:beforeAutospacing="0" w:after="0" w:afterAutospacing="0" w:line="440" w:lineRule="exact"/>
              <w:ind w:left="0" w:right="0" w:firstLine="420" w:firstLineChars="20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43458DD">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（三）特定产品的关键组件、关键工序符合相关要求</w:t>
            </w:r>
          </w:p>
          <w:p w14:paraId="1330B884">
            <w:pPr>
              <w:pageBreakBefore w:val="0"/>
              <w:shd w:val="clear" w:color="auto" w:fill="auto"/>
              <w:kinsoku/>
              <w:wordWrap/>
              <w:overflowPunct/>
              <w:topLinePunct w:val="0"/>
              <w:bidi w:val="0"/>
              <w:snapToGrid/>
              <w:spacing w:before="0" w:beforeAutospacing="0" w:after="0" w:afterAutospacing="0" w:line="440" w:lineRule="exact"/>
              <w:ind w:left="0" w:right="0" w:firstLine="420" w:firstLineChars="20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对特定产品，在符合本通知第一条第（一）项和第（二）项条件的基础上，应当符合财政部会同有关行业主管部门确定的其关键组件、关键工序在中国境内生产、完成等要求。</w:t>
            </w:r>
          </w:p>
          <w:p w14:paraId="6B8B1478">
            <w:pPr>
              <w:shd w:val="clear" w:color="auto" w:fill="auto"/>
              <w:ind w:firstLine="420" w:firstLineChars="200"/>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564DBDBA">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（四）医疗器械本国产品认证标准</w:t>
            </w:r>
          </w:p>
          <w:p w14:paraId="63337DA5">
            <w:pPr>
              <w:pageBreakBefore w:val="0"/>
              <w:shd w:val="clear" w:color="auto" w:fill="auto"/>
              <w:kinsoku/>
              <w:wordWrap/>
              <w:overflowPunct/>
              <w:topLinePunct w:val="0"/>
              <w:bidi w:val="0"/>
              <w:snapToGrid/>
              <w:spacing w:before="0" w:beforeAutospacing="0" w:after="0" w:afterAutospacing="0" w:line="440" w:lineRule="exact"/>
              <w:ind w:left="0" w:right="0" w:firstLine="420" w:firstLineChars="20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对医疗器械产品，取得药品监督管理部门授予的准字号医疗器械注册证的，属于在中国境内生产的产品；</w:t>
            </w:r>
          </w:p>
          <w:p w14:paraId="428DAE7A">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三、支持政策</w:t>
            </w:r>
          </w:p>
          <w:p w14:paraId="5FAE811B">
            <w:pPr>
              <w:pageBreakBefore w:val="0"/>
              <w:shd w:val="clear" w:color="auto" w:fill="auto"/>
              <w:kinsoku/>
              <w:wordWrap/>
              <w:overflowPunct/>
              <w:topLinePunct w:val="0"/>
              <w:bidi w:val="0"/>
              <w:snapToGrid/>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根据上述规定，对满足上述条件的企业的本国产品的报价给予20%的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14A3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25C0AD3D">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7706F6AA">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异常低价投标（响应）审查</w:t>
            </w:r>
          </w:p>
        </w:tc>
        <w:tc>
          <w:tcPr>
            <w:tcW w:w="7396" w:type="dxa"/>
            <w:shd w:val="clear" w:color="auto" w:fill="auto"/>
            <w:vAlign w:val="center"/>
          </w:tcPr>
          <w:p w14:paraId="56135349">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异常低价投标（响应）审查</w:t>
            </w:r>
          </w:p>
          <w:p w14:paraId="3993F563">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1、审查依据</w:t>
            </w:r>
          </w:p>
          <w:p w14:paraId="50DA6359">
            <w:pPr>
              <w:keepNext w:val="0"/>
              <w:keepLines w:val="0"/>
              <w:pageBreakBefore w:val="0"/>
              <w:kinsoku/>
              <w:wordWrap/>
              <w:overflowPunct/>
              <w:topLinePunct w:val="0"/>
              <w:bidi w:val="0"/>
              <w:adjustRightInd/>
              <w:snapToGrid/>
              <w:spacing w:beforeAutospacing="0"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疫苗报价包含生产成本、技术培训、应激死亡赔付、冷链运输、储存等涉及所有相关费用，投标企业应充分核算成本，合理报价，杜绝以“牺牲质量、扰乱市场、威胁安全”为代价的恶性低价竞争。出现明显异常偏低报价的，将按照《中华人民共和国政府采购法》《中华人民共和国政府采购法实施条例》及《关于推动解决政府采购异常低价问题的通知》（财库〔2026〕2号）内容，启动异常低价投标（响应）审查。</w:t>
            </w:r>
          </w:p>
          <w:p w14:paraId="47DFB38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2、异常低价情形认定</w:t>
            </w:r>
          </w:p>
          <w:p w14:paraId="4C857CA3">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投标（响应）供应商出现下列情形之一的，评审委员会将启动异常低价审查程序：</w:t>
            </w:r>
          </w:p>
          <w:p w14:paraId="74CBF998">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（1）投标（响应）报价低于全部通过符合性审查供应商报价平均值的 65%；</w:t>
            </w:r>
          </w:p>
          <w:p w14:paraId="39419CD5">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（2）投标（响应）报价低于通过符合性审查次低报价的 65%；</w:t>
            </w:r>
          </w:p>
          <w:p w14:paraId="74DCAB2D">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（3）投标（响应）报价低于本项目最高限价的 65%；</w:t>
            </w:r>
          </w:p>
          <w:p w14:paraId="4D8BDA86">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（4）评审委员会基于专业判断，认为报价过低可能影响项目履约质量、不能满足采购需求或无法诚信履约的其他情形。</w:t>
            </w:r>
          </w:p>
          <w:p w14:paraId="4914E45A">
            <w:pPr>
              <w:keepNext w:val="0"/>
              <w:keepLines w:val="0"/>
              <w:pageBreakBefore w:val="0"/>
              <w:kinsoku/>
              <w:wordWrap/>
              <w:overflowPunct/>
              <w:topLinePunct w:val="0"/>
              <w:bidi w:val="0"/>
              <w:adjustRightInd/>
              <w:snapToGrid/>
              <w:spacing w:beforeAutospacing="0"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采购人可以结合具体项目实际情况，提高上述第1项至第3项中启动异常低价投标（响应）审查的数值标准，但是最高不得超过65%。</w:t>
            </w:r>
          </w:p>
          <w:p w14:paraId="089ABB09">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3、审查要求及处理</w:t>
            </w:r>
          </w:p>
          <w:p w14:paraId="693BF0C2">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被启动审查的供应商，须在合理时间内（ 30分钟-150分钟），就报价合理性提交书面说明，并提供项目成本测算明细、原材料采购意向协议、人工成本核算依据等可核验的证明材料。</w:t>
            </w:r>
          </w:p>
          <w:p w14:paraId="01742F3F">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供应商未按要求提交说明及证明材料，或提交的材料无法有效证明报价合理性的，评审委员会将其投标（响应）作无效处理。</w:t>
            </w:r>
          </w:p>
          <w:p w14:paraId="7A75BC6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sz w:val="24"/>
                <w:szCs w:val="24"/>
                <w:highlight w:val="none"/>
                <w:lang w:val="en-US" w:eastAsia="zh-CN"/>
              </w:rPr>
              <w:t>异常低价审查的全过程及结论，由评审委员会如实记入评审报告，随采购项目档案一并存档备查。</w:t>
            </w:r>
          </w:p>
        </w:tc>
      </w:tr>
      <w:tr w14:paraId="6242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18" w:type="dxa"/>
            <w:vAlign w:val="center"/>
          </w:tcPr>
          <w:p w14:paraId="45A7B78D">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37545F5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电子响应文件签字、盖章要求</w:t>
            </w:r>
          </w:p>
        </w:tc>
        <w:tc>
          <w:tcPr>
            <w:tcW w:w="7396" w:type="dxa"/>
            <w:vAlign w:val="center"/>
          </w:tcPr>
          <w:p w14:paraId="3AD9C7F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应按照第</w:t>
            </w: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章“响应文件格式与要求”，使用单位电子签章（CA）进行签字、加盖公章。</w:t>
            </w:r>
          </w:p>
          <w:p w14:paraId="4FD9669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说明：若涉及到授权代表签字的可将文件签字页先进行签字、扫描后导入加密电子</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p>
        </w:tc>
      </w:tr>
      <w:tr w14:paraId="5E20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18" w:type="dxa"/>
            <w:vAlign w:val="center"/>
          </w:tcPr>
          <w:p w14:paraId="24F5AEFA">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00467E5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投标客户端</w:t>
            </w:r>
          </w:p>
        </w:tc>
        <w:tc>
          <w:tcPr>
            <w:tcW w:w="7396" w:type="dxa"/>
            <w:vAlign w:val="center"/>
          </w:tcPr>
          <w:p w14:paraId="2B69C16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投标客户端需要供应商登录“新疆政府采购网-下载专区”自行下载。</w:t>
            </w:r>
          </w:p>
          <w:p w14:paraId="132E22B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下载地址：</w:t>
            </w:r>
          </w:p>
          <w:p w14:paraId="6BF62CC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http://www.ccgp-xinjiang.gov.cn/luban/detail?categoryCode=xjcgdownloadarea&amp;articleId=2413305&amp;utm=sites_group_front.7f23f967.0.0.be039b90d3cc11ed88c75572e825db3a</w:t>
            </w:r>
          </w:p>
        </w:tc>
      </w:tr>
      <w:tr w14:paraId="0720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8" w:type="dxa"/>
            <w:vAlign w:val="center"/>
          </w:tcPr>
          <w:p w14:paraId="5E27EE3F">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3CEBCDD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7396" w:type="dxa"/>
            <w:vAlign w:val="center"/>
          </w:tcPr>
          <w:p w14:paraId="3D447A9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90个日历日</w:t>
            </w:r>
          </w:p>
        </w:tc>
      </w:tr>
      <w:tr w14:paraId="3297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18" w:type="dxa"/>
            <w:vAlign w:val="center"/>
          </w:tcPr>
          <w:p w14:paraId="299A32C2">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1B99FF2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响应文件澄清和修改发出</w:t>
            </w:r>
          </w:p>
        </w:tc>
        <w:tc>
          <w:tcPr>
            <w:tcW w:w="7396" w:type="dxa"/>
            <w:vAlign w:val="center"/>
          </w:tcPr>
          <w:p w14:paraId="55A5362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时间：从谈判文件发出之日起至供应商提交首次响应文件截止之日止不得少于3个工作日。</w:t>
            </w:r>
          </w:p>
          <w:p w14:paraId="62185937">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形式：澄清或者修改应当在原公告发布媒体上发布澄清公告。澄清或者修改的内容为响应文件、资格预审文件、投标邀请书的组成部分</w:t>
            </w:r>
            <w:r>
              <w:rPr>
                <w:rFonts w:hint="eastAsia" w:ascii="宋体" w:hAnsi="宋体" w:eastAsia="宋体" w:cs="宋体"/>
                <w:color w:val="auto"/>
                <w:sz w:val="24"/>
                <w:szCs w:val="24"/>
                <w:lang w:eastAsia="zh-CN"/>
              </w:rPr>
              <w:t>。</w:t>
            </w:r>
          </w:p>
          <w:p w14:paraId="1E70408D">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澄清、修改文件发出后，供应商必须使用最新的澄清文件制作电子响应文件，否则将无法完成上传</w:t>
            </w:r>
            <w:r>
              <w:rPr>
                <w:rFonts w:hint="eastAsia" w:ascii="宋体" w:hAnsi="宋体" w:eastAsia="宋体" w:cs="宋体"/>
                <w:color w:val="auto"/>
                <w:sz w:val="24"/>
                <w:szCs w:val="24"/>
                <w:lang w:eastAsia="zh-CN"/>
              </w:rPr>
              <w:t>。</w:t>
            </w:r>
          </w:p>
          <w:p w14:paraId="6B43F09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 xml:space="preserve">  2、</w:t>
            </w:r>
            <w:r>
              <w:rPr>
                <w:rFonts w:hint="eastAsia" w:ascii="宋体" w:hAnsi="宋体" w:eastAsia="宋体" w:cs="宋体"/>
                <w:color w:val="auto"/>
                <w:sz w:val="24"/>
                <w:szCs w:val="24"/>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tc>
      </w:tr>
      <w:tr w14:paraId="692F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18" w:type="dxa"/>
            <w:vAlign w:val="center"/>
          </w:tcPr>
          <w:p w14:paraId="025705D9">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5F880C7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成交候选人公示媒介及期限</w:t>
            </w:r>
          </w:p>
        </w:tc>
        <w:tc>
          <w:tcPr>
            <w:tcW w:w="7396" w:type="dxa"/>
            <w:vAlign w:val="center"/>
          </w:tcPr>
          <w:p w14:paraId="0152A7F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公示媒介：新疆政府采购网</w:t>
            </w:r>
          </w:p>
          <w:p w14:paraId="5B01A55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公示期限：1个工作日</w:t>
            </w:r>
          </w:p>
        </w:tc>
      </w:tr>
      <w:tr w14:paraId="6367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18" w:type="dxa"/>
            <w:vAlign w:val="center"/>
          </w:tcPr>
          <w:p w14:paraId="2AF71A30">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64B46F4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无效标条款</w:t>
            </w:r>
          </w:p>
        </w:tc>
        <w:tc>
          <w:tcPr>
            <w:tcW w:w="7396" w:type="dxa"/>
            <w:vAlign w:val="center"/>
          </w:tcPr>
          <w:p w14:paraId="499353C7">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有下列情况之一的，其投标视为响应无效：</w:t>
            </w:r>
          </w:p>
          <w:p w14:paraId="2F07B7F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不具备《中华人民共和国政府采购法》第二十二条规定条件；</w:t>
            </w:r>
          </w:p>
          <w:p w14:paraId="57ABBBD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2.响应文件没有按谈判文件的要求盖章或签名；</w:t>
            </w:r>
          </w:p>
          <w:p w14:paraId="55D014B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不符合资格条件；</w:t>
            </w:r>
          </w:p>
          <w:p w14:paraId="438FB9E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4.响应文件提供虚假材料；</w:t>
            </w:r>
          </w:p>
          <w:p w14:paraId="34B1940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5.响应文件未完全满足谈判文件中带“☆”号的实质性条款或指标；</w:t>
            </w:r>
          </w:p>
          <w:p w14:paraId="4BF9164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报价不确定或超过谈判文件中列出的采购预算(最高限价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单价限价</w:t>
            </w:r>
            <w:r>
              <w:rPr>
                <w:rFonts w:hint="eastAsia" w:ascii="宋体" w:hAnsi="宋体" w:eastAsia="宋体" w:cs="宋体"/>
                <w:color w:val="auto"/>
                <w:sz w:val="24"/>
                <w:szCs w:val="24"/>
              </w:rPr>
              <w:t>)；</w:t>
            </w:r>
          </w:p>
          <w:p w14:paraId="2B3BC15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未按谈判文件要求交纳投标保证金；</w:t>
            </w:r>
          </w:p>
          <w:p w14:paraId="21A5BFA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响应文件填报的内容不详，或没有提供竞争性谈判文件中所要求的全部资料及数据的；</w:t>
            </w:r>
          </w:p>
          <w:p w14:paraId="14DBFC7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11.响应文件须严格按照竞争性谈判文件规定的格式提交，并按规定的统一格式逐项填写，不准有空项；无相应内容可填的项，应填写“无”、“未测试”、“没有相应指标”等明确的回答文字。由于编排混乱导致响应文件被误读或查找不到，其责任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承担。响应文件未按规定提交或留有空项，将被视为不完整响应的响应文件，其投标有可能被拒绝；</w:t>
            </w:r>
          </w:p>
          <w:p w14:paraId="02BB7E5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12.评审期间，</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没有按谈判小组的要求提交经授权代表签字的澄清、说明、补正或改变了</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文件的实质性内容；</w:t>
            </w:r>
          </w:p>
          <w:p w14:paraId="01CB123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对采购人、采购代理机构、谈判小组及其工作人员施加影响，有碍公平、公正；</w:t>
            </w:r>
          </w:p>
          <w:p w14:paraId="459C3CB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14.法律、法规、规章及竞争性谈判文件中规定属于响应无效的其他情形</w:t>
            </w:r>
          </w:p>
        </w:tc>
      </w:tr>
      <w:tr w14:paraId="341B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18" w:type="dxa"/>
            <w:vAlign w:val="center"/>
          </w:tcPr>
          <w:p w14:paraId="39BDC0B3">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3F965AA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电子响应文件提交</w:t>
            </w:r>
          </w:p>
        </w:tc>
        <w:tc>
          <w:tcPr>
            <w:tcW w:w="7396" w:type="dxa"/>
            <w:vAlign w:val="center"/>
          </w:tcPr>
          <w:p w14:paraId="0620D1C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政采云平台不见面开标大厅（网址：https://www.zcygov.cn/）对应位置（逾期未上传的或不符合规定的响应文件将被拒绝接收）</w:t>
            </w:r>
          </w:p>
        </w:tc>
      </w:tr>
      <w:tr w14:paraId="1E8C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18" w:type="dxa"/>
            <w:vAlign w:val="center"/>
          </w:tcPr>
          <w:p w14:paraId="1AB4AAAB">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w:t>
            </w:r>
          </w:p>
        </w:tc>
        <w:tc>
          <w:tcPr>
            <w:tcW w:w="9361" w:type="dxa"/>
            <w:gridSpan w:val="2"/>
            <w:vAlign w:val="center"/>
          </w:tcPr>
          <w:p w14:paraId="20041347">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1、无论何种原因，即使供应商开标时携带了</w:t>
            </w:r>
            <w:r>
              <w:rPr>
                <w:rFonts w:hint="eastAsia" w:ascii="宋体" w:hAnsi="宋体" w:eastAsia="宋体" w:cs="宋体"/>
                <w:color w:val="auto"/>
                <w:sz w:val="24"/>
                <w:szCs w:val="24"/>
                <w:lang w:val="en-US" w:eastAsia="zh-CN"/>
              </w:rPr>
              <w:t>证明</w:t>
            </w:r>
            <w:r>
              <w:rPr>
                <w:rFonts w:hint="eastAsia" w:ascii="宋体" w:hAnsi="宋体" w:eastAsia="宋体" w:cs="宋体"/>
                <w:color w:val="auto"/>
                <w:sz w:val="24"/>
                <w:szCs w:val="24"/>
              </w:rPr>
              <w:t>材料的原件，但在响应文件中未提供与之内容完全一致的扫描件的，评标委员会可以视同其未提供。</w:t>
            </w:r>
          </w:p>
          <w:p w14:paraId="57644443">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2、响应文件格式文件要求盖单位章和（或）签字的地方，供应商均应使用CA。数字证书加盖供应商的单位电子印章和（或）法定代表人的个人电子印章或电子签名章。</w:t>
            </w:r>
          </w:p>
          <w:p w14:paraId="3C9BA465">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根据“响应文件格式”中的全部内容进行响应文件的编制，在评标过程中若发现供应商的响应文件内容未按照谈判文件编制，编制内容存在缺失或提供无效资料的，将导致投标被拒绝。所有资料均不允许在投标截止时间后补正。</w:t>
            </w:r>
          </w:p>
          <w:p w14:paraId="39FE794E">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4、谈判文件中部分加“*”、加粗、加下划线、废标、无效标、投标被拒绝字样的</w:t>
            </w:r>
          </w:p>
          <w:p w14:paraId="72806B2B">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条款，为招标的实质性要求和条件，着重提醒各供应商注意，并认真查看谈判文件</w:t>
            </w:r>
          </w:p>
          <w:p w14:paraId="439C358D">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中的每一个条款及要求，因误读谈判文件而造成的后果，采购人概不负责。</w:t>
            </w:r>
          </w:p>
          <w:p w14:paraId="5ABF2F79">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5、响应文件中有弄虚作假的内容，其响应文件作废。（如假证书、假业绩、隐瞒不良行为记录、夸大荣誉、使用非本单位在职员工的相关证件及不符合谈判文件规定的条款等）；在签订合同之前，如发现供应商的响应文件有弄虚作假内容，</w:t>
            </w:r>
          </w:p>
          <w:p w14:paraId="738D1935">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采购人可拒绝与其签订合同。并将其列入政府采购黑名单库。</w:t>
            </w:r>
          </w:p>
          <w:p w14:paraId="070D07CF">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14:paraId="19F145ED">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7、供应商如欲在项目实施过程中采用自有知识成果，须在响应文件中声明，并提供相关知识产权证明文件。使用该知识成果后，供应商须提供开发接口和开发手册等技术文档。</w:t>
            </w:r>
          </w:p>
          <w:p w14:paraId="581451A3">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8、本表内容与谈判文件其它内容不一致的，应当以本表内容为准。</w:t>
            </w:r>
          </w:p>
        </w:tc>
      </w:tr>
    </w:tbl>
    <w:p w14:paraId="1B4B1C11">
      <w:pPr>
        <w:bidi w:val="0"/>
        <w:outlineLvl w:val="1"/>
        <w:rPr>
          <w:rFonts w:hint="eastAsia" w:ascii="宋体" w:hAnsi="宋体" w:eastAsia="宋体" w:cs="宋体"/>
          <w:b/>
          <w:bCs/>
          <w:color w:val="auto"/>
          <w:kern w:val="2"/>
          <w:sz w:val="28"/>
          <w:szCs w:val="28"/>
          <w:highlight w:val="none"/>
          <w:lang w:val="en-US" w:eastAsia="zh-CN" w:bidi="ar-SA"/>
        </w:rPr>
      </w:pPr>
      <w:bookmarkStart w:id="72" w:name="_Toc17368"/>
      <w:bookmarkStart w:id="73" w:name="_Toc7642"/>
      <w:bookmarkStart w:id="74" w:name="_Toc13684"/>
      <w:r>
        <w:rPr>
          <w:rFonts w:hint="eastAsia" w:ascii="宋体" w:hAnsi="宋体" w:eastAsia="宋体" w:cs="宋体"/>
          <w:b/>
          <w:bCs/>
          <w:color w:val="auto"/>
          <w:kern w:val="2"/>
          <w:sz w:val="28"/>
          <w:szCs w:val="28"/>
          <w:highlight w:val="none"/>
          <w:lang w:val="en-US" w:eastAsia="zh-CN" w:bidi="ar-SA"/>
        </w:rPr>
        <w:t>二、供应商须知</w:t>
      </w:r>
      <w:bookmarkEnd w:id="72"/>
      <w:bookmarkEnd w:id="73"/>
      <w:bookmarkEnd w:id="74"/>
    </w:p>
    <w:p w14:paraId="2B806702">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1、投标方式采用网上投标，操作流程如下：</w:t>
      </w:r>
    </w:p>
    <w:p w14:paraId="77FC7F5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供应商应当在新疆政府采购云平台申请或注册账号，完善信息后，才可进行网上投标，办理流程请登录</w:t>
      </w:r>
      <w:bookmarkStart w:id="75" w:name="_Hlk131635993"/>
      <w:r>
        <w:rPr>
          <w:rFonts w:hint="eastAsia" w:ascii="宋体" w:hAnsi="宋体" w:eastAsia="宋体" w:cs="宋体"/>
          <w:color w:val="auto"/>
          <w:sz w:val="24"/>
          <w:szCs w:val="24"/>
        </w:rPr>
        <w:t>新疆政府采购</w:t>
      </w:r>
      <w:bookmarkEnd w:id="75"/>
      <w:r>
        <w:rPr>
          <w:rFonts w:hint="eastAsia" w:ascii="宋体" w:hAnsi="宋体" w:eastAsia="宋体" w:cs="宋体"/>
          <w:color w:val="auto"/>
          <w:sz w:val="24"/>
          <w:szCs w:val="24"/>
        </w:rPr>
        <w:t>网（http://www.ccgp-xinjiang.gov.cn/）进行查询。</w:t>
      </w:r>
    </w:p>
    <w:p w14:paraId="2CAEB8C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登录新疆政府采购网页面，点击“政府采购云平台”，输入用户名、密码、验证码完成登录后，点击左侧“交易执行—应标—项目应标”，在未参与项目列表中选择要投标的项目，点击项目的“未参与项目”按钮，进入项目投标信息页面，在右侧选择要投标的采购包，填写“联系人姓名”、“联系人手机号”、“联系人邮箱”等信息，点击“确认参与”按钮后，获取所投标项目谈判文件，并按照谈判文件的要求制作、上传电子</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p>
    <w:p w14:paraId="45F3615D">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2、投标保证金</w:t>
      </w:r>
    </w:p>
    <w:p w14:paraId="24EB1A0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2.1投标保证金缴纳（如需缴纳保证金）</w:t>
      </w:r>
    </w:p>
    <w:p w14:paraId="6A52784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本采购项目支持“电子保函”和“虚拟子账户”两种方式收取投标保证金，同时允许供应商按照相关法律法规自主选择以支票、汇票、本票、保函等非现金形式缴纳保证金。</w:t>
      </w:r>
    </w:p>
    <w:p w14:paraId="78DE022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2.1.1供应商选择以支票、汇票、本票、保函等非现金形式缴纳保证金的，供应商将相关证明材料原件扫描添加至</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中，同时在开标时提供证明材料。</w:t>
      </w:r>
    </w:p>
    <w:p w14:paraId="7806813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2.1.2缴纳保证金时间以保证金到账时间为准，由于投标保证金到账需要一定时间，请供应商在投标截止前尽早缴纳。</w:t>
      </w:r>
    </w:p>
    <w:p w14:paraId="2C98FBF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2.2投标保证金的退还</w:t>
      </w:r>
    </w:p>
    <w:p w14:paraId="040727D9">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在投标截止时间前放弃投标的，自所投采购包结果公告发出后5个工作日内退还，但因供应商自身原因导致无法及时退还的除外。未成交人投标保证金，自成交通知书发出之日起5个工作日内退还；成交人投标保证金，自政府采购合同签订之日起5个工作日内退还。</w:t>
      </w:r>
    </w:p>
    <w:p w14:paraId="21905FA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2.1.2有下列情形之一的，投标保证金将不予退还：</w:t>
      </w:r>
    </w:p>
    <w:p w14:paraId="3AB1C5B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（1）成交后，无正当理由放弃成交资格的；</w:t>
      </w:r>
    </w:p>
    <w:p w14:paraId="50FA9442">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（2）成交后，无正当理由不与采购人签订合同的；</w:t>
      </w:r>
    </w:p>
    <w:p w14:paraId="38168A3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（3）在签订合同时，向采购人提出附加条件的；</w:t>
      </w:r>
    </w:p>
    <w:p w14:paraId="53C0F21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（4）不按照谈判文件要求提交履约保证金的；</w:t>
      </w:r>
    </w:p>
    <w:p w14:paraId="2C151AB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（5）在签订合同时，供应商要求修改、补充和撤销</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的实质性内容的；</w:t>
      </w:r>
    </w:p>
    <w:p w14:paraId="40AF236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中提供虚假材料的；</w:t>
      </w:r>
    </w:p>
    <w:p w14:paraId="19ED9AA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（7）与采购人、其他供应商或者采购代理机构恶意串通的；</w:t>
      </w:r>
    </w:p>
    <w:p w14:paraId="4B52E50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（8）供应商在提交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截止时间后，撤回</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w:t>
      </w:r>
    </w:p>
    <w:p w14:paraId="462896F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（9）法律法规和谈判文件规定的其他情形。</w:t>
      </w:r>
    </w:p>
    <w:p w14:paraId="1E33F9F1">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3、全流程电子化交易</w:t>
      </w:r>
    </w:p>
    <w:p w14:paraId="4B084A39">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各供应商应当在新疆政府云平台开展与本项目有关的政府采购活动。</w:t>
      </w:r>
    </w:p>
    <w:p w14:paraId="181444F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各供应商应当在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开启时间前上传加密的最终版电子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至“政采云平台不见面开标大厅（网址：https://www.zcygov.cn/）”，未在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开启时间前上传电子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的，视为自动放弃。供应商因系统问题无法上传电子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时，请在工作时间及时拨打联系电话400-881-7190。</w:t>
      </w:r>
    </w:p>
    <w:p w14:paraId="5CA6DD3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各供应商应当使用数字证书或者政府采购云平台生成的账号密码登录电子交易系统进行系统操作，并对其操作行为和电子签名、电子印章确认的事项承担法律责任。</w:t>
      </w:r>
    </w:p>
    <w:p w14:paraId="08829D1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3.1远程不见面方式（供应商无需到现场）</w:t>
      </w:r>
    </w:p>
    <w:p w14:paraId="15D1681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供应商使用“投标客户端”编制、签章、生成加密</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，同时生成“备用标书”，供应商自行留存，涉及“加盖公章”的内容应使用单位电子公章完成。</w:t>
      </w:r>
    </w:p>
    <w:p w14:paraId="1D92904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供应商的法定代表人或其授权代表应当按照本项目谈判公告载明的时间等要求参加投标，在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开启时间前30分钟，应当提前登录电子交易系统确认联系人姓名与联系电话。</w:t>
      </w:r>
    </w:p>
    <w:p w14:paraId="1AB4979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开启时，供应商应当使用CA证书在开始解密后30分钟内完成全部已响应采购包的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在线解密，若出现系统异常情况，工作人员可适当延长解密时长。如在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开启过程中出现意外情况导致无法继续进行时，由代理机构会同采购人决定是否允许供应商导入“备用标书”继续进行。本项目采用电子评审，只对开启环节验证通过的电子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进行评审。供应商在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开启前自行对使用电脑的网络环境、驱动安装、客户端安装以及CA证书的有效性等进行检测，保证可以正常使用。具体要求请通过“新疆政府采购网”查询相关操作手册。</w:t>
      </w:r>
    </w:p>
    <w:p w14:paraId="1D27E8A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文件开启时出现下列情况的，采购人、采购代理机构应当视为供应商不再参与政府采购活动：</w:t>
      </w:r>
    </w:p>
    <w:p w14:paraId="1F15FB82">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（1）供应商未在规定时间内完成电子</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文件在线解密的；</w:t>
      </w:r>
    </w:p>
    <w:p w14:paraId="295E68B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（2）CA证书无法解密</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w:t>
      </w:r>
    </w:p>
    <w:p w14:paraId="25E4210E">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（3）供应商自身原因造成电子</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文件未能解密的。</w:t>
      </w:r>
    </w:p>
    <w:p w14:paraId="3BD4D121">
      <w:pPr>
        <w:bidi w:val="0"/>
        <w:outlineLvl w:val="1"/>
        <w:rPr>
          <w:rFonts w:hint="eastAsia" w:ascii="宋体" w:hAnsi="宋体" w:eastAsia="宋体" w:cs="宋体"/>
          <w:b/>
          <w:bCs/>
          <w:color w:val="auto"/>
          <w:kern w:val="2"/>
          <w:sz w:val="28"/>
          <w:szCs w:val="28"/>
          <w:highlight w:val="none"/>
          <w:lang w:val="en-US" w:eastAsia="zh-CN" w:bidi="ar-SA"/>
        </w:rPr>
      </w:pPr>
      <w:bookmarkStart w:id="76" w:name="_Toc11196"/>
      <w:bookmarkStart w:id="77" w:name="_Toc18627"/>
      <w:bookmarkStart w:id="78" w:name="_Toc19012"/>
      <w:r>
        <w:rPr>
          <w:rFonts w:hint="eastAsia" w:ascii="宋体" w:hAnsi="宋体" w:eastAsia="宋体" w:cs="宋体"/>
          <w:b/>
          <w:bCs/>
          <w:color w:val="auto"/>
          <w:kern w:val="2"/>
          <w:sz w:val="28"/>
          <w:szCs w:val="28"/>
          <w:highlight w:val="none"/>
          <w:lang w:val="en-US" w:eastAsia="zh-CN" w:bidi="ar-SA"/>
        </w:rPr>
        <w:t>三、说明</w:t>
      </w:r>
      <w:bookmarkEnd w:id="76"/>
      <w:bookmarkEnd w:id="77"/>
      <w:bookmarkEnd w:id="78"/>
    </w:p>
    <w:p w14:paraId="6E67BDEB">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1、总则</w:t>
      </w:r>
    </w:p>
    <w:p w14:paraId="1CEDE5E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本谈判文件依据《中华人民共和国政府采购法》《中华人民共和国政府采购法实施条例》和《政府采购货物和服务招标投标管理办法》（财政部令第87号）及国家和自治区有关法律、法规、规章制度编制。</w:t>
      </w:r>
    </w:p>
    <w:p w14:paraId="6D99500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供应商应仔细阅读本项目信息公告及谈判文件的所有内容（包括澄清或者修改），按照谈判文件要求以及格式编制</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文件，并保证其真实性，否则一切后果自负。</w:t>
      </w:r>
    </w:p>
    <w:p w14:paraId="2DA0854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本次竞争性谈判项目，是以谈判公告的方式邀请非特定的供应商参加投标。</w:t>
      </w:r>
    </w:p>
    <w:p w14:paraId="022588CE">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2、适用范围</w:t>
      </w:r>
    </w:p>
    <w:p w14:paraId="74FDE70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本谈判文件仅适用于本次谈判公告中所涉及的项目和内容。</w:t>
      </w:r>
    </w:p>
    <w:p w14:paraId="4B95E1F9">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3、相关费用</w:t>
      </w:r>
    </w:p>
    <w:p w14:paraId="500AEEC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供应商应自行承担所有与准备、参加投标有关的费用。不论投标结果如何，采购人或采购代理机构均无义务和责任承担相关费用。</w:t>
      </w:r>
    </w:p>
    <w:p w14:paraId="4E779359">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4、各参与方</w:t>
      </w:r>
    </w:p>
    <w:p w14:paraId="5C5CA09C">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4.1“采购人”是指依法进行政府采购的国家机关、事业单位、团体组织。本谈判文件的采购人特指</w:t>
      </w:r>
      <w:r>
        <w:rPr>
          <w:rFonts w:hint="eastAsia" w:ascii="宋体" w:hAnsi="宋体" w:eastAsia="宋体" w:cs="宋体"/>
          <w:color w:val="auto"/>
          <w:sz w:val="24"/>
          <w:szCs w:val="24"/>
          <w:u w:val="single"/>
        </w:rPr>
        <w:t>新疆维吾尔自治区动物疫病预防控制中心（新疆维吾尔自治区动物检疫所）</w:t>
      </w:r>
      <w:r>
        <w:rPr>
          <w:rFonts w:hint="eastAsia" w:ascii="宋体" w:hAnsi="宋体" w:eastAsia="宋体" w:cs="宋体"/>
          <w:color w:val="auto"/>
          <w:sz w:val="24"/>
          <w:szCs w:val="24"/>
        </w:rPr>
        <w:t>。</w:t>
      </w:r>
    </w:p>
    <w:p w14:paraId="688A745C">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4.2“采购代理机构”是指集中采购机构和集中采购机构以外的采购代理机构。本谈判文件的采购代理机构特指新</w:t>
      </w:r>
      <w:r>
        <w:rPr>
          <w:rFonts w:hint="eastAsia" w:ascii="宋体" w:hAnsi="宋体" w:eastAsia="宋体" w:cs="宋体"/>
          <w:color w:val="auto"/>
          <w:sz w:val="24"/>
          <w:szCs w:val="24"/>
          <w:u w:val="single"/>
        </w:rPr>
        <w:t>疆诚誉工程项目管理有限公司</w:t>
      </w:r>
      <w:r>
        <w:rPr>
          <w:rFonts w:hint="eastAsia" w:ascii="宋体" w:hAnsi="宋体" w:eastAsia="宋体" w:cs="宋体"/>
          <w:color w:val="auto"/>
          <w:sz w:val="24"/>
          <w:szCs w:val="24"/>
        </w:rPr>
        <w:t>。</w:t>
      </w:r>
    </w:p>
    <w:p w14:paraId="229ED8A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4.3“供应商”是指向采购人提供货物、工程或者服务的法人、其他组织或者自然人。</w:t>
      </w:r>
    </w:p>
    <w:p w14:paraId="42EA0902">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4.4“评标委员会”由采购人代表和评审专家组成。</w:t>
      </w:r>
    </w:p>
    <w:p w14:paraId="27686E1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4.5“成交人”是指取得与采购人签订合同资格的供应商。</w:t>
      </w:r>
    </w:p>
    <w:p w14:paraId="6C5526F3">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5、合格的供应商</w:t>
      </w:r>
    </w:p>
    <w:p w14:paraId="19C41F02">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5.1符合本谈判文件规定的资格要求，并按照要求提供相关证明材料。</w:t>
      </w:r>
    </w:p>
    <w:p w14:paraId="13E6446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5.2单位负责人为同一人或者存在直接控股、管理关系的不同供应商，不得参加同一合同项下的政府采购活动。</w:t>
      </w:r>
    </w:p>
    <w:p w14:paraId="03DAF17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5.3为采购项目提供整体设计、规范编制或者项目管理、监理、检测等服务的供应商，不得再参加该采购项目的其他采购活动。</w:t>
      </w:r>
    </w:p>
    <w:p w14:paraId="016F52F5">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6、以联合体形式进行政府采购的，应符合以下规定：</w:t>
      </w:r>
    </w:p>
    <w:p w14:paraId="26CE2ED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6.1联合体各方应签订联合体协议书，明确联合体牵头人和各方权利义务，并作为</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文件组成部分。</w:t>
      </w:r>
    </w:p>
    <w:p w14:paraId="4EE88E0E">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6.2联合体各方均应当具备《中华人民共和国政府采购法》第二十二条规定的条件，并在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文件中提供联合体各方的相关证明材料。</w:t>
      </w:r>
    </w:p>
    <w:p w14:paraId="4A9E962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6.3联合体成员存在不良信用记录的，视同联合体存在不良信用记录。</w:t>
      </w:r>
    </w:p>
    <w:p w14:paraId="40F316E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6.4联合体中有同类资质的供应商按照联合体分工承担相同工作的，应当按照资质等级较低的供应商确定资质等级。</w:t>
      </w:r>
    </w:p>
    <w:p w14:paraId="48C299B9">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6.5以联合体形式参加政府采购活动的，联合体各方不得再单独参加或者与其他供应商另外组成联合体参加同一合同项下的政府采购活动。</w:t>
      </w:r>
    </w:p>
    <w:p w14:paraId="6C902712">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6.6联合体各方应当共同与采购人签订采购合同，就采购合同约定的事项对采购人承担连带责任。</w:t>
      </w:r>
    </w:p>
    <w:p w14:paraId="7137C7B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6.7如要求缴纳保证金，以联合体牵头人名义缴纳，对联合体各方均具有约束力。</w:t>
      </w:r>
    </w:p>
    <w:p w14:paraId="03F579CC">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7、语言文字以及计量单位</w:t>
      </w:r>
    </w:p>
    <w:p w14:paraId="7B4E312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7.1所有文件使用的语言文字为简体中文。专用术语使用外文的，应附有简体中文注释，否则视为无效。</w:t>
      </w:r>
    </w:p>
    <w:p w14:paraId="01C02E7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7.2所有计量均采用中华人民共和国法定的计量单位。</w:t>
      </w:r>
    </w:p>
    <w:p w14:paraId="44C32C6C">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7.3所有报价一律使用人民币，货币单位：元。</w:t>
      </w:r>
    </w:p>
    <w:p w14:paraId="0E8C16FD">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8、现场踏勘</w:t>
      </w:r>
    </w:p>
    <w:p w14:paraId="2F5A93A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8.1谈判文件规定组织踏勘现场的，采购人或者采购代理机构按谈判文件规定的时间、地点组织潜在供应商踏勘项目现场。</w:t>
      </w:r>
    </w:p>
    <w:p w14:paraId="40DFE3F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8.2供应商自行承担踏勘现场发生的责任、风险和自身费用。</w:t>
      </w:r>
    </w:p>
    <w:p w14:paraId="6F3C57A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8.3采购人在踏勘现场中介绍的资料和数据等，不构成对谈判文件的修改或不作为供应商编制</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文件的依据。</w:t>
      </w:r>
    </w:p>
    <w:p w14:paraId="78FB5883">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9、其他条款</w:t>
      </w:r>
    </w:p>
    <w:p w14:paraId="5D7F984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无论成交与否，供应商递交的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文件均不予退还。</w:t>
      </w:r>
    </w:p>
    <w:p w14:paraId="0864C13B">
      <w:pPr>
        <w:bidi w:val="0"/>
        <w:outlineLvl w:val="1"/>
        <w:rPr>
          <w:rFonts w:hint="eastAsia" w:ascii="宋体" w:hAnsi="宋体" w:eastAsia="宋体" w:cs="宋体"/>
          <w:b/>
          <w:bCs/>
          <w:color w:val="auto"/>
          <w:kern w:val="2"/>
          <w:sz w:val="28"/>
          <w:szCs w:val="28"/>
          <w:highlight w:val="none"/>
          <w:lang w:val="en-US" w:eastAsia="zh-CN" w:bidi="ar-SA"/>
        </w:rPr>
      </w:pPr>
      <w:bookmarkStart w:id="79" w:name="_Toc509843541"/>
      <w:bookmarkStart w:id="80" w:name="_Toc25403"/>
      <w:bookmarkStart w:id="81" w:name="_Toc1797"/>
      <w:bookmarkStart w:id="82" w:name="_Toc1618"/>
      <w:bookmarkStart w:id="83" w:name="_Toc535240212"/>
      <w:bookmarkStart w:id="84" w:name="_Toc535240461"/>
      <w:bookmarkStart w:id="85" w:name="_Toc5268"/>
      <w:r>
        <w:rPr>
          <w:rFonts w:hint="eastAsia" w:ascii="宋体" w:hAnsi="宋体" w:eastAsia="宋体" w:cs="宋体"/>
          <w:b/>
          <w:bCs/>
          <w:color w:val="auto"/>
          <w:kern w:val="2"/>
          <w:sz w:val="28"/>
          <w:szCs w:val="28"/>
          <w:highlight w:val="none"/>
          <w:lang w:val="en-US" w:eastAsia="zh-CN" w:bidi="ar-SA"/>
        </w:rPr>
        <w:t>四、谈判文件</w:t>
      </w:r>
      <w:bookmarkEnd w:id="79"/>
      <w:bookmarkEnd w:id="80"/>
      <w:bookmarkEnd w:id="81"/>
      <w:bookmarkEnd w:id="82"/>
      <w:bookmarkEnd w:id="83"/>
      <w:bookmarkEnd w:id="84"/>
    </w:p>
    <w:p w14:paraId="7C687ED9">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．谈判文件的构成（实质性要求）</w:t>
      </w:r>
    </w:p>
    <w:p w14:paraId="73AFA40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谈判文件是供应商准备响应文件和参加谈判的依据，同时也是谈判的重要依据。谈判文件用以阐明谈判项目所需的资质、技术、服务及报价等要求、谈判程序、有关规定和注意事项以及合同主要条款等。</w:t>
      </w:r>
    </w:p>
    <w:p w14:paraId="5056C8D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14:paraId="08BA6D7E">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 谈判文件的澄清和修改</w:t>
      </w:r>
    </w:p>
    <w:p w14:paraId="4C4A23A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在递交响应文件截止时间前，采购人、采购代理机构可以对谈判文件进行澄清或者修改。</w:t>
      </w:r>
    </w:p>
    <w:p w14:paraId="41C895B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 采购代理机构对已发出的谈判文件进行澄清或者修改，应当以书面形式将澄清或者修改的内容通知所有购买了谈判文件的供应商，同时在新疆政府采购网上发布更正公告。该澄清或者修改的内容为谈判文件的组成部分，澄清或者修改的内容可能影响响应文件编制的，采购人或者采购代理机构发布公告并书面通知供应商的时间，应当在提交首次响应文件截止之日起3个工作日前；不足上述时间的，应当顺延递交响应文件的截止时间。</w:t>
      </w:r>
    </w:p>
    <w:p w14:paraId="354BDAE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.3供应商认为采购代理机构需要对谈判文件进行澄清或者修改的，可以在响应文件递交截止时间前以书面形式向采购代理机构提出申请，由采购代理机构决定是否采纳供应商的申请事项。</w:t>
      </w:r>
    </w:p>
    <w:p w14:paraId="6BC5B121">
      <w:pPr>
        <w:snapToGrid w:val="0"/>
        <w:spacing w:line="440" w:lineRule="exact"/>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 答疑会和现场考察</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如涉及</w:t>
      </w:r>
      <w:r>
        <w:rPr>
          <w:rFonts w:hint="eastAsia" w:ascii="宋体" w:hAnsi="宋体" w:eastAsia="宋体" w:cs="宋体"/>
          <w:b/>
          <w:bCs/>
          <w:color w:val="auto"/>
          <w:sz w:val="24"/>
          <w:szCs w:val="24"/>
          <w:lang w:eastAsia="zh-CN"/>
        </w:rPr>
        <w:t>）</w:t>
      </w:r>
    </w:p>
    <w:p w14:paraId="5A08F431">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 根据采购项目和具体情况，采购人、采购代理机构认为有必要，可以在谈判文件提供期限截止后响应文件提交截止前，组织已获取谈判文件的潜在供应商现场考察或者召开答疑会。</w:t>
      </w:r>
    </w:p>
    <w:p w14:paraId="61BCAB3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采购人、采购代理机构组织现场考察或者召开答疑会的，将以书面形式通知所有获取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14093F5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 供应商自行承担参加答疑会和现场考察的一切费用。</w:t>
      </w:r>
    </w:p>
    <w:p w14:paraId="03025515">
      <w:pPr>
        <w:bidi w:val="0"/>
        <w:outlineLvl w:val="1"/>
        <w:rPr>
          <w:rFonts w:hint="eastAsia" w:ascii="宋体" w:hAnsi="宋体" w:eastAsia="宋体" w:cs="宋体"/>
          <w:b/>
          <w:bCs/>
          <w:color w:val="auto"/>
          <w:kern w:val="2"/>
          <w:sz w:val="28"/>
          <w:szCs w:val="28"/>
          <w:highlight w:val="none"/>
          <w:lang w:val="en-US" w:eastAsia="zh-CN" w:bidi="ar-SA"/>
        </w:rPr>
      </w:pPr>
      <w:bookmarkStart w:id="86" w:name="_Toc25215"/>
      <w:bookmarkStart w:id="87" w:name="_Toc7588"/>
      <w:r>
        <w:rPr>
          <w:rFonts w:hint="eastAsia" w:ascii="宋体" w:hAnsi="宋体" w:eastAsia="宋体" w:cs="宋体"/>
          <w:b/>
          <w:bCs/>
          <w:color w:val="auto"/>
          <w:kern w:val="2"/>
          <w:sz w:val="28"/>
          <w:szCs w:val="28"/>
          <w:highlight w:val="none"/>
          <w:lang w:val="en-US" w:eastAsia="zh-CN" w:bidi="ar-SA"/>
        </w:rPr>
        <w:t>五、谈判文件的澄清或者修改</w:t>
      </w:r>
      <w:bookmarkEnd w:id="85"/>
      <w:bookmarkEnd w:id="86"/>
      <w:bookmarkEnd w:id="87"/>
    </w:p>
    <w:p w14:paraId="0B86C652">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采购人或采购代理机构对已发出的谈判文件进行必要的澄清或修改的，澄清或者修改的内容可能影响</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文件编制的，采购人或者采购代理机构应当在投标截止时间至少3个工作日</w:t>
      </w:r>
      <w:r>
        <w:rPr>
          <w:rFonts w:hint="eastAsia" w:ascii="宋体" w:hAnsi="宋体" w:eastAsia="宋体" w:cs="宋体"/>
          <w:color w:val="auto"/>
          <w:sz w:val="24"/>
          <w:szCs w:val="24"/>
          <w:lang w:val="en-US" w:eastAsia="zh-CN"/>
        </w:rPr>
        <w:t>前</w:t>
      </w:r>
      <w:r>
        <w:rPr>
          <w:rFonts w:hint="eastAsia" w:ascii="宋体" w:hAnsi="宋体" w:eastAsia="宋体" w:cs="宋体"/>
          <w:color w:val="auto"/>
          <w:sz w:val="24"/>
          <w:szCs w:val="24"/>
        </w:rPr>
        <w:t>，在“新疆政府采购网”上发布更正公告进行通知；不足3个工作日的，采购人或者采购代理机构应当顺延提交</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文件截止时间，更正公告的内容为谈判文件的组成部分，供应商应自行上网查询，采购人或采购代理机构不承担供应商未及时关注相关信息的责任。</w:t>
      </w:r>
    </w:p>
    <w:p w14:paraId="4C72FA67">
      <w:pPr>
        <w:bidi w:val="0"/>
        <w:outlineLvl w:val="1"/>
        <w:rPr>
          <w:rFonts w:hint="eastAsia" w:ascii="宋体" w:hAnsi="宋体" w:eastAsia="宋体" w:cs="宋体"/>
          <w:b/>
          <w:bCs/>
          <w:color w:val="auto"/>
          <w:kern w:val="2"/>
          <w:sz w:val="28"/>
          <w:szCs w:val="28"/>
          <w:highlight w:val="none"/>
          <w:lang w:val="en-US" w:eastAsia="zh-CN" w:bidi="ar-SA"/>
        </w:rPr>
      </w:pPr>
      <w:bookmarkStart w:id="88" w:name="_Toc21890"/>
      <w:bookmarkStart w:id="89" w:name="_Toc1120"/>
      <w:bookmarkStart w:id="90" w:name="_Toc29164"/>
      <w:r>
        <w:rPr>
          <w:rFonts w:hint="eastAsia" w:ascii="宋体" w:hAnsi="宋体" w:eastAsia="宋体" w:cs="宋体"/>
          <w:b/>
          <w:bCs/>
          <w:color w:val="auto"/>
          <w:kern w:val="2"/>
          <w:sz w:val="28"/>
          <w:szCs w:val="28"/>
          <w:highlight w:val="none"/>
          <w:lang w:val="en-US" w:eastAsia="zh-CN" w:bidi="ar-SA"/>
        </w:rPr>
        <w:t>六、响应文件</w:t>
      </w:r>
      <w:bookmarkEnd w:id="88"/>
      <w:bookmarkEnd w:id="89"/>
      <w:bookmarkEnd w:id="90"/>
    </w:p>
    <w:p w14:paraId="71FD1E3E">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1、响应文件的构成</w:t>
      </w:r>
    </w:p>
    <w:p w14:paraId="167E237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文件应按照谈判文件 “</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文件格式与要求”进行编写，可以增加附页，并作为</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文件的组成部分。</w:t>
      </w:r>
    </w:p>
    <w:p w14:paraId="00235849">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2、投标报价</w:t>
      </w:r>
    </w:p>
    <w:p w14:paraId="66FEAA01">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2.1供应商应按照“招标内容与技术要求”进行报价。投标总价中不得包含谈判文件要求以外的内容，否则，在评审时不予核减。</w:t>
      </w:r>
    </w:p>
    <w:p w14:paraId="52CCDF2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kern w:val="0"/>
          <w:sz w:val="24"/>
          <w:szCs w:val="24"/>
          <w:highlight w:val="none"/>
          <w:lang w:val="zh-CN"/>
        </w:rPr>
        <w:t>本项目报价需包含完成本项目所需的全部费用（包括但不限于各</w:t>
      </w:r>
      <w:r>
        <w:rPr>
          <w:rFonts w:hint="eastAsia" w:ascii="宋体" w:hAnsi="宋体" w:eastAsia="宋体" w:cs="宋体"/>
          <w:color w:val="auto"/>
          <w:kern w:val="0"/>
          <w:sz w:val="24"/>
          <w:szCs w:val="24"/>
          <w:highlight w:val="none"/>
          <w:lang w:val="en-US" w:eastAsia="zh-CN"/>
        </w:rPr>
        <w:t>疫苗运输</w:t>
      </w:r>
      <w:r>
        <w:rPr>
          <w:rFonts w:hint="eastAsia" w:ascii="宋体" w:hAnsi="宋体" w:eastAsia="宋体" w:cs="宋体"/>
          <w:color w:val="auto"/>
          <w:kern w:val="0"/>
          <w:sz w:val="24"/>
          <w:szCs w:val="24"/>
          <w:highlight w:val="none"/>
          <w:lang w:val="zh-CN"/>
        </w:rPr>
        <w:t>费、备件、耗材、税金等、</w:t>
      </w:r>
      <w:r>
        <w:rPr>
          <w:rFonts w:hint="eastAsia" w:ascii="宋体" w:hAnsi="宋体" w:eastAsia="宋体" w:cs="宋体"/>
          <w:color w:val="auto"/>
          <w:kern w:val="0"/>
          <w:sz w:val="24"/>
          <w:szCs w:val="24"/>
          <w:highlight w:val="none"/>
          <w:lang w:val="zh-CN" w:eastAsia="zh-CN" w:bidi="ar-SA"/>
        </w:rPr>
        <w:t>购置费（货款）、包装费、运杂费（含装卸费）、人工费、保险费、检测费（含各类特殊检测费用）、技术培训费、各种税费、利润、资料费、</w:t>
      </w:r>
      <w:r>
        <w:rPr>
          <w:rFonts w:hint="eastAsia" w:ascii="宋体" w:hAnsi="宋体" w:eastAsia="宋体" w:cs="宋体"/>
          <w:color w:val="auto"/>
          <w:kern w:val="0"/>
          <w:sz w:val="24"/>
          <w:szCs w:val="24"/>
          <w:highlight w:val="none"/>
          <w:lang w:val="en-US" w:eastAsia="zh-CN" w:bidi="ar-SA"/>
        </w:rPr>
        <w:t>应激死亡赔付</w:t>
      </w:r>
      <w:r>
        <w:rPr>
          <w:rFonts w:hint="eastAsia" w:ascii="宋体" w:hAnsi="宋体" w:eastAsia="宋体" w:cs="宋体"/>
          <w:color w:val="auto"/>
          <w:kern w:val="0"/>
          <w:sz w:val="24"/>
          <w:szCs w:val="24"/>
          <w:highlight w:val="none"/>
          <w:lang w:val="zh-CN" w:eastAsia="zh-CN" w:bidi="ar-SA"/>
        </w:rPr>
        <w:t>、售后服务开支及完成项目应有的全部费用。</w:t>
      </w:r>
    </w:p>
    <w:p w14:paraId="1898B30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2.3投标报价不得有选择性报价和附加条件的报价。</w:t>
      </w:r>
    </w:p>
    <w:p w14:paraId="3518FCA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文件报价出现前后不一致的，按下列规定修正：</w:t>
      </w:r>
    </w:p>
    <w:p w14:paraId="1AA1FFE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文件中开标一览表（报价表）内容与</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文件中相应内容不一致的，以开标一览表（报价表）为准；</w:t>
      </w:r>
    </w:p>
    <w:p w14:paraId="53E2AA8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（2）大写金额和小写金额不一致的，以大写金额为准；</w:t>
      </w:r>
    </w:p>
    <w:p w14:paraId="39B457E1">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（3）单价金额小数点或者百分比有明显错位的，以开标一览表（报价表）的总价为准，并修改单价。</w:t>
      </w:r>
    </w:p>
    <w:p w14:paraId="569C28F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（4）总价金额与按单价汇总金额不一致的，以单价金额计算结果为准。修正后的报价供应商应当采用书面形式，并加盖公章，或者由法定代表人或其授权的代表签字确认后产生约束力，但不得超出</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文件的范围或者改变</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文件的实质性内容，供应商不确认的，其投标无效。</w:t>
      </w:r>
    </w:p>
    <w:p w14:paraId="3FDD01A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2.5供应商应在“投标客户端”对【报价部分】进行填写，“投标客户端”软件将自动根据供应商填写信息在线生成“开标一览表（报价表）”、“分项报价表”，若在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出现非系统生成的“开标一览表（报价表）”、“分项报价表”，且与“投标客户端”生成的“开标一览表（报价表）”、“分项报价表”信息内容不一致，以“投标客户端”在线填写报价并生成的内容为准。</w:t>
      </w:r>
    </w:p>
    <w:p w14:paraId="1C94F654">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3、投标有效期</w:t>
      </w:r>
    </w:p>
    <w:p w14:paraId="19BAB0C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3.1投标有效期从提交</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文件的截止之日起算。</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文件中承诺的投标有效期应当不少于谈判文件中载明的投标有效期。</w:t>
      </w:r>
    </w:p>
    <w:p w14:paraId="2A1BDDD1">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出现特殊情况需要延长投标有效期的，采购人以书面形式通知所有供应商延长投标有效期。同意延长投标有效期的供应商少于3个的，采购人应当重新招标。供应商同意延长的，应相应延长其投标保证金的有效期，但不得要求或被允许修改或撤销其</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文件；供应商拒绝延长的，其投标失效，但供应商有权收回其投标保证金。</w:t>
      </w:r>
    </w:p>
    <w:p w14:paraId="0A195E84">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文件的递交</w:t>
      </w:r>
    </w:p>
    <w:p w14:paraId="0A4B9B4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供应商应当在投标截止时间前递交</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文件，否则视为自动放弃投标。</w:t>
      </w:r>
    </w:p>
    <w:p w14:paraId="1191153E">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文件的修改和撤回</w:t>
      </w:r>
    </w:p>
    <w:p w14:paraId="05E8973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供应商在投标截止时间前，可以对所递交的响应文件进行补充、修改或者撤回。供应商应当在投标截止时间前上传加密的最终版电子</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文件至“新疆政府采购网-政府采购云平台”。在提交投标截止时间后，供应商不得补充、修改、替代或者撤回其</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p>
    <w:p w14:paraId="46610B7D">
      <w:pPr>
        <w:snapToGrid w:val="0"/>
        <w:spacing w:line="500" w:lineRule="exact"/>
        <w:ind w:firstLine="482" w:firstLineChars="200"/>
        <w:rPr>
          <w:rFonts w:hint="eastAsia" w:ascii="宋体" w:hAnsi="宋体" w:eastAsia="宋体" w:cs="宋体"/>
          <w:b/>
          <w:bCs/>
          <w:color w:val="auto"/>
          <w:sz w:val="24"/>
          <w:szCs w:val="24"/>
        </w:rPr>
      </w:pPr>
      <w:bookmarkStart w:id="91" w:name="_Toc25666"/>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.响应文件有效期（实质性要求）</w:t>
      </w:r>
    </w:p>
    <w:p w14:paraId="7E6975DE">
      <w:pPr>
        <w:shd w:val="clear" w:color="auto" w:fill="auto"/>
        <w:tabs>
          <w:tab w:val="left" w:pos="7665"/>
        </w:tabs>
        <w:spacing w:line="440" w:lineRule="exact"/>
        <w:ind w:left="13" w:leftChars="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本项目响应文件有效期为递交响应文件截止之日起90天</w:t>
      </w:r>
      <w:r>
        <w:rPr>
          <w:rFonts w:hint="eastAsia" w:ascii="宋体" w:hAnsi="宋体" w:eastAsia="宋体" w:cs="宋体"/>
          <w:color w:val="auto"/>
          <w:sz w:val="24"/>
          <w:highlight w:val="none"/>
        </w:rPr>
        <w:t>。供应商响应文件中必须载明</w:t>
      </w:r>
      <w:r>
        <w:rPr>
          <w:rFonts w:hint="eastAsia" w:ascii="宋体" w:hAnsi="宋体" w:eastAsia="宋体" w:cs="宋体"/>
          <w:color w:val="auto"/>
          <w:sz w:val="24"/>
          <w:szCs w:val="24"/>
          <w:highlight w:val="none"/>
        </w:rPr>
        <w:t>响应文件</w:t>
      </w:r>
      <w:r>
        <w:rPr>
          <w:rFonts w:hint="eastAsia" w:ascii="宋体" w:hAnsi="宋体" w:eastAsia="宋体" w:cs="宋体"/>
          <w:color w:val="auto"/>
          <w:sz w:val="24"/>
          <w:highlight w:val="none"/>
        </w:rPr>
        <w:t>有效期，响应文件中载明的有效期可以长于采购文件规定的期限，但不得短于采购文件规定的期限。否则，其响应文件将作为无效投标处理。</w:t>
      </w:r>
    </w:p>
    <w:p w14:paraId="16B03E1F">
      <w:pPr>
        <w:shd w:val="clear" w:color="auto" w:fill="auto"/>
        <w:spacing w:before="0" w:after="0" w:line="440" w:lineRule="exact"/>
        <w:ind w:firstLine="482" w:firstLineChars="200"/>
        <w:outlineLvl w:val="9"/>
        <w:rPr>
          <w:rFonts w:hint="eastAsia" w:ascii="宋体" w:hAnsi="宋体" w:eastAsia="宋体" w:cs="宋体"/>
          <w:b/>
          <w:bCs/>
          <w:color w:val="auto"/>
          <w:kern w:val="2"/>
          <w:sz w:val="24"/>
          <w:szCs w:val="24"/>
          <w:lang w:val="en-US" w:eastAsia="zh-CN" w:bidi="ar-SA"/>
        </w:rPr>
      </w:pPr>
      <w:bookmarkStart w:id="92" w:name="_Toc8293"/>
      <w:bookmarkStart w:id="93" w:name="_Toc472604602"/>
      <w:bookmarkStart w:id="94" w:name="_Toc472599557"/>
      <w:bookmarkStart w:id="95" w:name="_Toc466298053"/>
      <w:bookmarkStart w:id="96" w:name="_Toc183682362"/>
      <w:bookmarkStart w:id="97" w:name="_Toc183582225"/>
      <w:bookmarkStart w:id="98" w:name="_Toc9112"/>
      <w:bookmarkStart w:id="99" w:name="_Toc217446052"/>
      <w:bookmarkStart w:id="100" w:name="_Toc465085355"/>
      <w:bookmarkStart w:id="101" w:name="_Toc26640"/>
      <w:r>
        <w:rPr>
          <w:rFonts w:hint="eastAsia" w:ascii="宋体" w:hAnsi="宋体" w:eastAsia="宋体" w:cs="宋体"/>
          <w:b/>
          <w:bCs/>
          <w:color w:val="auto"/>
          <w:kern w:val="2"/>
          <w:sz w:val="24"/>
          <w:szCs w:val="24"/>
          <w:lang w:val="en-US" w:eastAsia="zh-CN" w:bidi="ar-SA"/>
        </w:rPr>
        <w:t>7. 响应文件的印制和签署</w:t>
      </w:r>
      <w:bookmarkEnd w:id="92"/>
      <w:bookmarkEnd w:id="93"/>
      <w:bookmarkEnd w:id="94"/>
      <w:bookmarkEnd w:id="95"/>
      <w:bookmarkEnd w:id="96"/>
      <w:bookmarkEnd w:id="97"/>
      <w:bookmarkEnd w:id="98"/>
      <w:bookmarkEnd w:id="99"/>
      <w:bookmarkEnd w:id="100"/>
      <w:bookmarkEnd w:id="101"/>
    </w:p>
    <w:p w14:paraId="5FD4A0E2">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 在政采云平台上传电子响应文件1份（加密）为正本。</w:t>
      </w:r>
    </w:p>
    <w:p w14:paraId="24055CC9">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 上传电子响应文件需要在规定签章处签字和盖章。</w:t>
      </w:r>
    </w:p>
    <w:p w14:paraId="52436B34">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 上传电子响应文件需要逐页编目编码。</w:t>
      </w:r>
    </w:p>
    <w:p w14:paraId="3F06FAE5">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 响应文件应根据</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的要求制作，签署、盖章、上传。</w:t>
      </w:r>
    </w:p>
    <w:p w14:paraId="5584718D">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 响应文件统一需要使用CA加密设备进行投标。</w:t>
      </w:r>
    </w:p>
    <w:p w14:paraId="3EE07A91">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 xml:space="preserve">.6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因自身原因导致电子响应文件无法导入电子评标系统的，该响应文件视为无效文件。</w:t>
      </w:r>
    </w:p>
    <w:p w14:paraId="0F9EA182">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.7响应文件的书写应清楚工整，任何行间插字、涂改或增删，必须由供应商的法定代表人或其授权代表签字并盖供应商公章。</w:t>
      </w:r>
    </w:p>
    <w:p w14:paraId="1B298349">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8（实质性要求）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E37E901">
      <w:pPr>
        <w:shd w:val="clear" w:color="auto" w:fill="auto"/>
        <w:spacing w:before="0" w:after="0" w:line="360" w:lineRule="auto"/>
        <w:ind w:firstLine="482" w:firstLineChars="200"/>
        <w:outlineLvl w:val="9"/>
        <w:rPr>
          <w:rFonts w:hint="eastAsia" w:ascii="宋体" w:hAnsi="宋体" w:eastAsia="宋体" w:cs="宋体"/>
          <w:b/>
          <w:bCs/>
          <w:color w:val="auto"/>
          <w:kern w:val="2"/>
          <w:sz w:val="24"/>
          <w:szCs w:val="24"/>
          <w:lang w:val="en-US" w:eastAsia="zh-CN" w:bidi="ar-SA"/>
        </w:rPr>
      </w:pPr>
      <w:bookmarkStart w:id="102" w:name="_Toc183682363"/>
      <w:bookmarkStart w:id="103" w:name="_Toc25968"/>
      <w:bookmarkStart w:id="104" w:name="_Toc465085356"/>
      <w:bookmarkStart w:id="105" w:name="_Toc89075877"/>
      <w:bookmarkStart w:id="106" w:name="_Toc217446053"/>
      <w:bookmarkStart w:id="107" w:name="_Toc77400781"/>
      <w:bookmarkStart w:id="108" w:name="_Toc472599558"/>
      <w:bookmarkStart w:id="109" w:name="_Toc7370"/>
      <w:bookmarkStart w:id="110" w:name="_Toc25140"/>
      <w:bookmarkStart w:id="111" w:name="_Toc183582226"/>
      <w:bookmarkStart w:id="112" w:name="_Toc466298054"/>
      <w:bookmarkStart w:id="113" w:name="_Toc472604603"/>
      <w:r>
        <w:rPr>
          <w:rFonts w:hint="eastAsia" w:ascii="宋体" w:hAnsi="宋体" w:eastAsia="宋体" w:cs="宋体"/>
          <w:b/>
          <w:bCs/>
          <w:color w:val="auto"/>
          <w:kern w:val="2"/>
          <w:sz w:val="24"/>
          <w:szCs w:val="24"/>
          <w:lang w:val="en-US" w:eastAsia="zh-CN" w:bidi="ar-SA"/>
        </w:rPr>
        <w:t>8. 响应文件的加密和</w:t>
      </w:r>
      <w:bookmarkEnd w:id="102"/>
      <w:bookmarkEnd w:id="103"/>
      <w:bookmarkEnd w:id="104"/>
      <w:bookmarkEnd w:id="105"/>
      <w:bookmarkEnd w:id="106"/>
      <w:bookmarkEnd w:id="107"/>
      <w:bookmarkEnd w:id="108"/>
      <w:bookmarkEnd w:id="109"/>
      <w:bookmarkEnd w:id="110"/>
      <w:bookmarkEnd w:id="111"/>
      <w:bookmarkEnd w:id="112"/>
      <w:bookmarkEnd w:id="113"/>
      <w:r>
        <w:rPr>
          <w:rFonts w:hint="eastAsia" w:ascii="宋体" w:hAnsi="宋体" w:eastAsia="宋体" w:cs="宋体"/>
          <w:b/>
          <w:bCs/>
          <w:color w:val="auto"/>
          <w:kern w:val="2"/>
          <w:sz w:val="24"/>
          <w:szCs w:val="24"/>
          <w:lang w:val="en-US" w:eastAsia="zh-CN" w:bidi="ar-SA"/>
        </w:rPr>
        <w:t>盖章、上传</w:t>
      </w:r>
    </w:p>
    <w:p w14:paraId="45510870">
      <w:pPr>
        <w:pStyle w:val="25"/>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在政采云平台上传电子</w:t>
      </w:r>
      <w:r>
        <w:rPr>
          <w:rFonts w:hint="eastAsia" w:asci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1份（加密）为正本。</w:t>
      </w:r>
    </w:p>
    <w:p w14:paraId="4CFA52AC">
      <w:pPr>
        <w:pStyle w:val="25"/>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上传电子</w:t>
      </w:r>
      <w:r>
        <w:rPr>
          <w:rFonts w:hint="eastAsia" w:asci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需要在规定签章处签字和盖章。</w:t>
      </w:r>
    </w:p>
    <w:p w14:paraId="0EB72F73">
      <w:pPr>
        <w:pStyle w:val="25"/>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上传电子</w:t>
      </w:r>
      <w:r>
        <w:rPr>
          <w:rFonts w:hint="eastAsia" w:asci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需要逐页编目编码。</w:t>
      </w:r>
    </w:p>
    <w:p w14:paraId="11888B35">
      <w:pPr>
        <w:pStyle w:val="25"/>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.4 </w:t>
      </w:r>
      <w:r>
        <w:rPr>
          <w:rFonts w:hint="eastAsia" w:asci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应根据</w:t>
      </w:r>
      <w:r>
        <w:rPr>
          <w:rFonts w:hint="eastAsia" w:asci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的要求制作，签署、盖章、上传。</w:t>
      </w:r>
    </w:p>
    <w:p w14:paraId="7724223A">
      <w:pPr>
        <w:pStyle w:val="25"/>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5 </w:t>
      </w:r>
      <w:r>
        <w:rPr>
          <w:rFonts w:hint="eastAsia" w:asci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统一需要使用CA加密设备进行投标。</w:t>
      </w:r>
    </w:p>
    <w:p w14:paraId="50CBB5BD">
      <w:pPr>
        <w:pStyle w:val="25"/>
        <w:shd w:val="clear" w:color="auto" w:fill="auto"/>
        <w:spacing w:line="360" w:lineRule="auto"/>
        <w:ind w:left="0" w:leftChars="0" w:firstLine="480" w:firstLineChars="200"/>
        <w:rPr>
          <w:rFonts w:hint="eastAsia" w:ascii="宋体" w:hAnsi="宋体" w:eastAsia="宋体" w:cs="宋体"/>
          <w:color w:val="auto"/>
          <w:highlight w:val="none"/>
        </w:rPr>
      </w:pPr>
      <w:r>
        <w:rPr>
          <w:rFonts w:hint="eastAsia" w:asci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.6 </w:t>
      </w:r>
      <w:r>
        <w:rPr>
          <w:rFonts w:hint="eastAsia" w:asci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因自身原因导致电子</w:t>
      </w:r>
      <w:r>
        <w:rPr>
          <w:rFonts w:hint="eastAsia" w:asci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无法导入电子评标系统的，该响应文件视为无效文件。</w:t>
      </w:r>
    </w:p>
    <w:p w14:paraId="65DDC070">
      <w:pPr>
        <w:shd w:val="clear" w:color="auto" w:fill="auto"/>
        <w:spacing w:before="0" w:after="0" w:line="440" w:lineRule="exact"/>
        <w:ind w:firstLine="482" w:firstLineChars="200"/>
        <w:outlineLvl w:val="9"/>
        <w:rPr>
          <w:rFonts w:hint="eastAsia" w:ascii="宋体" w:hAnsi="宋体" w:eastAsia="宋体" w:cs="宋体"/>
          <w:b/>
          <w:bCs/>
          <w:color w:val="auto"/>
          <w:kern w:val="2"/>
          <w:sz w:val="24"/>
          <w:szCs w:val="24"/>
          <w:lang w:val="en-US" w:eastAsia="zh-CN" w:bidi="ar-SA"/>
        </w:rPr>
      </w:pPr>
      <w:bookmarkStart w:id="114" w:name="_Toc466298055"/>
      <w:bookmarkStart w:id="115" w:name="_Toc183682364"/>
      <w:bookmarkStart w:id="116" w:name="_Toc28594"/>
      <w:bookmarkStart w:id="117" w:name="_Toc217446054"/>
      <w:bookmarkStart w:id="118" w:name="_Toc472599559"/>
      <w:bookmarkStart w:id="119" w:name="_Toc20616"/>
      <w:bookmarkStart w:id="120" w:name="_Toc183582227"/>
      <w:bookmarkStart w:id="121" w:name="_Toc23997"/>
      <w:bookmarkStart w:id="122" w:name="_Toc465085357"/>
      <w:bookmarkStart w:id="123" w:name="_Toc472604604"/>
      <w:r>
        <w:rPr>
          <w:rFonts w:hint="eastAsia" w:ascii="宋体" w:hAnsi="宋体" w:eastAsia="宋体" w:cs="宋体"/>
          <w:b/>
          <w:bCs/>
          <w:color w:val="auto"/>
          <w:kern w:val="2"/>
          <w:sz w:val="24"/>
          <w:szCs w:val="24"/>
          <w:lang w:val="en-US" w:eastAsia="zh-CN" w:bidi="ar-SA"/>
        </w:rPr>
        <w:t>9. 响应文件的</w:t>
      </w:r>
      <w:bookmarkEnd w:id="114"/>
      <w:bookmarkEnd w:id="115"/>
      <w:bookmarkEnd w:id="116"/>
      <w:bookmarkEnd w:id="117"/>
      <w:bookmarkEnd w:id="118"/>
      <w:bookmarkEnd w:id="119"/>
      <w:bookmarkEnd w:id="120"/>
      <w:bookmarkEnd w:id="121"/>
      <w:bookmarkEnd w:id="122"/>
      <w:bookmarkEnd w:id="123"/>
      <w:r>
        <w:rPr>
          <w:rFonts w:hint="eastAsia" w:ascii="宋体" w:hAnsi="宋体" w:eastAsia="宋体" w:cs="宋体"/>
          <w:b/>
          <w:bCs/>
          <w:color w:val="auto"/>
          <w:kern w:val="2"/>
          <w:sz w:val="24"/>
          <w:szCs w:val="24"/>
          <w:lang w:val="en-US" w:eastAsia="zh-CN" w:bidi="ar-SA"/>
        </w:rPr>
        <w:t>上传</w:t>
      </w:r>
    </w:p>
    <w:p w14:paraId="295CCC65">
      <w:pPr>
        <w:shd w:val="clear" w:color="auto" w:fill="auto"/>
        <w:tabs>
          <w:tab w:val="left" w:pos="1095"/>
        </w:tabs>
        <w:spacing w:line="440" w:lineRule="exact"/>
        <w:ind w:firstLine="460" w:firstLineChars="192"/>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9.1</w:t>
      </w:r>
      <w:r>
        <w:rPr>
          <w:rFonts w:hint="eastAsia" w:ascii="宋体" w:hAnsi="宋体" w:eastAsia="宋体" w:cs="宋体"/>
          <w:color w:val="auto"/>
          <w:kern w:val="2"/>
          <w:sz w:val="24"/>
          <w:highlight w:val="none"/>
        </w:rPr>
        <w:t>响应文件应</w:t>
      </w:r>
      <w:r>
        <w:rPr>
          <w:rFonts w:hint="eastAsia" w:ascii="宋体" w:hAnsi="宋体" w:eastAsia="宋体" w:cs="宋体"/>
          <w:color w:val="auto"/>
          <w:kern w:val="2"/>
          <w:sz w:val="24"/>
          <w:highlight w:val="none"/>
          <w:lang w:val="en-US" w:eastAsia="zh-CN"/>
        </w:rPr>
        <w:t>上传</w:t>
      </w:r>
      <w:r>
        <w:rPr>
          <w:rFonts w:hint="eastAsia" w:ascii="宋体" w:hAnsi="宋体" w:eastAsia="宋体" w:cs="宋体"/>
          <w:color w:val="auto"/>
          <w:kern w:val="2"/>
          <w:sz w:val="24"/>
          <w:highlight w:val="none"/>
        </w:rPr>
        <w:t>送达</w:t>
      </w:r>
      <w:r>
        <w:rPr>
          <w:rFonts w:hint="eastAsia" w:ascii="宋体" w:hAnsi="宋体" w:eastAsia="宋体" w:cs="宋体"/>
          <w:color w:val="auto"/>
          <w:sz w:val="24"/>
          <w:szCs w:val="24"/>
          <w:lang w:val="en-US" w:eastAsia="zh-CN"/>
        </w:rPr>
        <w:t>谈判文件</w:t>
      </w:r>
      <w:r>
        <w:rPr>
          <w:rFonts w:hint="eastAsia" w:ascii="宋体" w:hAnsi="宋体" w:eastAsia="宋体" w:cs="宋体"/>
          <w:color w:val="auto"/>
          <w:kern w:val="2"/>
          <w:sz w:val="24"/>
          <w:highlight w:val="none"/>
        </w:rPr>
        <w:t>地点，在规定的截止时间前递交。</w:t>
      </w:r>
    </w:p>
    <w:p w14:paraId="74491532">
      <w:pPr>
        <w:shd w:val="clear" w:color="auto" w:fill="auto"/>
        <w:tabs>
          <w:tab w:val="left" w:pos="1095"/>
        </w:tabs>
        <w:spacing w:line="440" w:lineRule="exact"/>
        <w:ind w:firstLine="460" w:firstLineChars="192"/>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9</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2</w:t>
      </w:r>
      <w:r>
        <w:rPr>
          <w:rFonts w:hint="eastAsia" w:ascii="宋体" w:hAnsi="宋体" w:eastAsia="宋体" w:cs="宋体"/>
          <w:color w:val="auto"/>
          <w:kern w:val="2"/>
          <w:sz w:val="24"/>
          <w:highlight w:val="none"/>
        </w:rPr>
        <w:t xml:space="preserve"> 上传电子</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时在文件名清楚地标明采购项目名称、采购项目编号、包件号（若有）、供应商名称。</w:t>
      </w:r>
    </w:p>
    <w:p w14:paraId="6B6491A5">
      <w:pPr>
        <w:shd w:val="clear" w:color="auto" w:fill="auto"/>
        <w:tabs>
          <w:tab w:val="left" w:pos="1095"/>
        </w:tabs>
        <w:spacing w:line="440" w:lineRule="exact"/>
        <w:ind w:firstLine="460" w:firstLineChars="192"/>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9</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3</w:t>
      </w:r>
      <w:r>
        <w:rPr>
          <w:rFonts w:hint="eastAsia" w:ascii="宋体" w:hAnsi="宋体" w:eastAsia="宋体" w:cs="宋体"/>
          <w:color w:val="auto"/>
          <w:kern w:val="2"/>
          <w:sz w:val="24"/>
          <w:highlight w:val="none"/>
        </w:rPr>
        <w:t xml:space="preserve"> 未按以上要求进行加密并上传</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的，采购人、采购代理机构将拒收。</w:t>
      </w:r>
    </w:p>
    <w:p w14:paraId="0669E0A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2"/>
          <w:sz w:val="24"/>
          <w:highlight w:val="none"/>
          <w:lang w:val="en-US" w:eastAsia="zh-CN"/>
        </w:rPr>
        <w:t>9</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4</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全部采用电子文档，除</w:t>
      </w:r>
      <w:r>
        <w:rPr>
          <w:rFonts w:hint="eastAsia" w:ascii="宋体" w:hAnsi="宋体" w:eastAsia="宋体" w:cs="宋体"/>
          <w:color w:val="auto"/>
          <w:kern w:val="2"/>
          <w:sz w:val="24"/>
          <w:highlight w:val="none"/>
          <w:lang w:eastAsia="zh-CN"/>
        </w:rPr>
        <w:t>供应商</w:t>
      </w:r>
      <w:r>
        <w:rPr>
          <w:rFonts w:hint="eastAsia" w:ascii="宋体" w:hAnsi="宋体" w:eastAsia="宋体" w:cs="宋体"/>
          <w:color w:val="auto"/>
          <w:kern w:val="2"/>
          <w:sz w:val="24"/>
          <w:highlight w:val="none"/>
        </w:rPr>
        <w:t>须知表另有规定外，</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所附证书证件均为原件扫描件，并采用单位和个人数字证书，按</w:t>
      </w:r>
      <w:r>
        <w:rPr>
          <w:rFonts w:hint="eastAsia" w:ascii="宋体" w:hAnsi="宋体" w:eastAsia="宋体" w:cs="宋体"/>
          <w:color w:val="auto"/>
          <w:kern w:val="2"/>
          <w:sz w:val="24"/>
          <w:highlight w:val="none"/>
          <w:lang w:eastAsia="zh-CN"/>
        </w:rPr>
        <w:t>采购文件</w:t>
      </w:r>
      <w:r>
        <w:rPr>
          <w:rFonts w:hint="eastAsia" w:ascii="宋体" w:hAnsi="宋体" w:eastAsia="宋体" w:cs="宋体"/>
          <w:color w:val="auto"/>
          <w:kern w:val="2"/>
          <w:sz w:val="24"/>
          <w:highlight w:val="none"/>
        </w:rPr>
        <w:t>要求在相应位置加盖电子印章。否则，评审委员会应当否决其投标。</w:t>
      </w:r>
    </w:p>
    <w:p w14:paraId="5B4C7F2E">
      <w:pPr>
        <w:bidi w:val="0"/>
        <w:outlineLvl w:val="1"/>
        <w:rPr>
          <w:rFonts w:hint="eastAsia" w:ascii="宋体" w:hAnsi="宋体" w:eastAsia="宋体" w:cs="宋体"/>
          <w:b/>
          <w:bCs/>
          <w:color w:val="auto"/>
          <w:kern w:val="2"/>
          <w:sz w:val="28"/>
          <w:szCs w:val="28"/>
          <w:highlight w:val="none"/>
          <w:lang w:val="en-US" w:eastAsia="zh-CN" w:bidi="ar-SA"/>
        </w:rPr>
      </w:pPr>
      <w:bookmarkStart w:id="124" w:name="_Toc13317"/>
      <w:bookmarkStart w:id="125" w:name="_Toc17363"/>
      <w:r>
        <w:rPr>
          <w:rFonts w:hint="eastAsia" w:ascii="宋体" w:hAnsi="宋体" w:eastAsia="宋体" w:cs="宋体"/>
          <w:b/>
          <w:bCs/>
          <w:color w:val="auto"/>
          <w:kern w:val="2"/>
          <w:sz w:val="28"/>
          <w:szCs w:val="28"/>
          <w:highlight w:val="none"/>
          <w:lang w:val="en-US" w:eastAsia="zh-CN" w:bidi="ar-SA"/>
        </w:rPr>
        <w:t>七、开标、评标、成交公告、成交通知书</w:t>
      </w:r>
      <w:bookmarkEnd w:id="91"/>
      <w:bookmarkEnd w:id="124"/>
      <w:bookmarkEnd w:id="125"/>
    </w:p>
    <w:p w14:paraId="20B7F868">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1、开标</w:t>
      </w:r>
    </w:p>
    <w:p w14:paraId="4CC1687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1.1程序</w:t>
      </w:r>
    </w:p>
    <w:p w14:paraId="32D0E63C">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（1）宣布纪律；</w:t>
      </w:r>
    </w:p>
    <w:p w14:paraId="131D593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（2）宣布相关人员；</w:t>
      </w:r>
    </w:p>
    <w:p w14:paraId="67F3C55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（3）供应商对已提交的加密文件进行解密，由采购人或者采购代理机构工作人员宣布供应商名称、投标价格和谈判文件规定需要宣布的其他内容（以开标一览表要求为准）；</w:t>
      </w:r>
    </w:p>
    <w:p w14:paraId="0DE70702">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（4）参加人员对开标结果进行确认；</w:t>
      </w:r>
    </w:p>
    <w:p w14:paraId="73048E1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（5）开标结束。</w:t>
      </w:r>
    </w:p>
    <w:p w14:paraId="10CD368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1.2疑义</w:t>
      </w:r>
    </w:p>
    <w:p w14:paraId="2BB15E8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代表对开标过程和开标记录有疑义，以及认为采购人、采购代理机构相关工作人员有需要回避情形的，应当场提出询问或者回避申请。采购人、采购代理机构对供应商代表提出的询问或者回避申请应当及时处理。</w:t>
      </w:r>
    </w:p>
    <w:p w14:paraId="4E83AB6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供应商对远程不见面方式过程和开标记录有疑义，应在“政府采购云平台-远程开标大厅”中提出，采购代理机构应及时查看、回复。</w:t>
      </w:r>
    </w:p>
    <w:p w14:paraId="2C53196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1.3备注说明</w:t>
      </w:r>
    </w:p>
    <w:p w14:paraId="212CFDB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1.3.1开标时,供应商使用CA证书参与</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文件解密，供应商用于解密的CA证书应为生成、加密、上传</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文件的同一CA证书。</w:t>
      </w:r>
    </w:p>
    <w:p w14:paraId="560E3F94">
      <w:pPr>
        <w:widowControl/>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2、资格审查</w:t>
      </w:r>
    </w:p>
    <w:p w14:paraId="7BA9F26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2.1竞争性谈判采购项目开标结束后，</w:t>
      </w:r>
      <w:r>
        <w:rPr>
          <w:rFonts w:hint="eastAsia" w:ascii="宋体" w:hAnsi="宋体" w:eastAsia="宋体" w:cs="宋体"/>
          <w:color w:val="auto"/>
          <w:sz w:val="24"/>
          <w:szCs w:val="24"/>
          <w:lang w:val="en-US" w:eastAsia="zh-CN"/>
        </w:rPr>
        <w:t>谈判小组成员</w:t>
      </w:r>
      <w:r>
        <w:rPr>
          <w:rFonts w:hint="eastAsia" w:ascii="宋体" w:hAnsi="宋体" w:eastAsia="宋体" w:cs="宋体"/>
          <w:color w:val="auto"/>
          <w:sz w:val="24"/>
          <w:szCs w:val="24"/>
        </w:rPr>
        <w:t>应当依法对供应商的资格进行审查，以确定供应商是否具备投标资格。</w:t>
      </w:r>
    </w:p>
    <w:p w14:paraId="41C5008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2.2资格审查中有任意一项未通过的，审查结果为未通过，未通过资格审查的供应商按无效投标处理。</w:t>
      </w:r>
    </w:p>
    <w:p w14:paraId="3DB2345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2.3信用记录查询</w:t>
      </w:r>
    </w:p>
    <w:p w14:paraId="788F3D7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查询渠道：通过“信用中国”网站(www.creditchina.gov.cn)和“中国政府采购网”（www.ccgp.gov.cn）进行查询；查询截止时点：本项目资格审查时查询；查询记录：对列入失信被执行人、税收违法黑名单、政府采购严重违法失信行为记录名单、信用报告进行查询；采购人或采购代理机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0A04FC2B">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3、评标</w:t>
      </w:r>
    </w:p>
    <w:p w14:paraId="7C4AA45B">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详见第五章</w:t>
      </w:r>
    </w:p>
    <w:p w14:paraId="569033BD">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4、成交公告</w:t>
      </w:r>
    </w:p>
    <w:p w14:paraId="751DBD1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成交人确定后，采购代理机构在新疆政府采购网上发布成交结果公告，同时将成交结果以公告形式通知未成交的供应商，成交结果公告期为1个工作日。</w:t>
      </w:r>
    </w:p>
    <w:p w14:paraId="10EBF69F">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5、成交通知书</w:t>
      </w:r>
    </w:p>
    <w:p w14:paraId="378CE6D2">
      <w:pPr>
        <w:shd w:val="clear" w:color="auto" w:fill="auto"/>
        <w:spacing w:line="400" w:lineRule="exact"/>
        <w:ind w:firstLine="470" w:firstLineChars="196"/>
        <w:rPr>
          <w:rFonts w:hint="eastAsia" w:ascii="宋体" w:hAnsi="宋体" w:eastAsia="宋体" w:cs="宋体"/>
          <w:color w:val="auto"/>
          <w:kern w:val="2"/>
          <w:sz w:val="24"/>
          <w:szCs w:val="22"/>
          <w:highlight w:val="none"/>
        </w:rPr>
      </w:pPr>
      <w:bookmarkStart w:id="126" w:name="_Toc28822"/>
      <w:r>
        <w:rPr>
          <w:rFonts w:hint="eastAsia" w:ascii="宋体" w:hAnsi="宋体" w:eastAsia="宋体" w:cs="宋体"/>
          <w:color w:val="auto"/>
          <w:kern w:val="2"/>
          <w:sz w:val="24"/>
          <w:szCs w:val="22"/>
          <w:highlight w:val="none"/>
          <w:lang w:val="en-US" w:eastAsia="zh-CN"/>
        </w:rPr>
        <w:t>5</w:t>
      </w:r>
      <w:r>
        <w:rPr>
          <w:rFonts w:hint="eastAsia" w:ascii="宋体" w:hAnsi="宋体" w:eastAsia="宋体" w:cs="宋体"/>
          <w:color w:val="auto"/>
          <w:kern w:val="2"/>
          <w:sz w:val="24"/>
          <w:szCs w:val="22"/>
          <w:highlight w:val="none"/>
        </w:rPr>
        <w:t>.1采购代理机构将在规定媒体上对采购小组通过评审确定的成交供应商进行公示。</w:t>
      </w:r>
    </w:p>
    <w:p w14:paraId="3142FB12">
      <w:pPr>
        <w:shd w:val="clear" w:color="auto" w:fill="auto"/>
        <w:spacing w:line="400" w:lineRule="exact"/>
        <w:ind w:firstLine="470" w:firstLineChars="196"/>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5</w:t>
      </w:r>
      <w:r>
        <w:rPr>
          <w:rFonts w:hint="eastAsia" w:ascii="宋体" w:hAnsi="宋体" w:eastAsia="宋体" w:cs="宋体"/>
          <w:color w:val="auto"/>
          <w:kern w:val="2"/>
          <w:sz w:val="24"/>
          <w:szCs w:val="22"/>
          <w:highlight w:val="none"/>
        </w:rPr>
        <w:t>.2公示结束后，采购代理机构将向成交供应商发出《成交通知书》。</w:t>
      </w:r>
    </w:p>
    <w:p w14:paraId="28842408">
      <w:pPr>
        <w:shd w:val="clear" w:color="auto" w:fill="auto"/>
        <w:spacing w:line="400" w:lineRule="exact"/>
        <w:ind w:firstLine="470" w:firstLineChars="196"/>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5</w:t>
      </w:r>
      <w:r>
        <w:rPr>
          <w:rFonts w:hint="eastAsia" w:ascii="宋体" w:hAnsi="宋体" w:eastAsia="宋体" w:cs="宋体"/>
          <w:color w:val="auto"/>
          <w:kern w:val="2"/>
          <w:sz w:val="24"/>
          <w:szCs w:val="22"/>
          <w:highlight w:val="none"/>
        </w:rPr>
        <w:t>.3成交通知书将作为签订合同的依据。</w:t>
      </w:r>
    </w:p>
    <w:p w14:paraId="4270EAD6">
      <w:pPr>
        <w:shd w:val="clear" w:color="auto" w:fill="auto"/>
        <w:spacing w:before="0" w:after="0" w:line="440" w:lineRule="exact"/>
        <w:ind w:firstLine="480" w:firstLineChars="200"/>
        <w:outlineLvl w:val="9"/>
        <w:rPr>
          <w:rFonts w:hint="eastAsia" w:ascii="宋体" w:hAnsi="宋体" w:eastAsia="宋体" w:cs="宋体"/>
          <w:color w:val="auto"/>
          <w:sz w:val="24"/>
          <w:szCs w:val="22"/>
          <w:highlight w:val="none"/>
        </w:rPr>
      </w:pPr>
      <w:r>
        <w:rPr>
          <w:rFonts w:hint="eastAsia" w:ascii="宋体" w:hAnsi="宋体" w:eastAsia="宋体" w:cs="宋体"/>
          <w:color w:val="auto"/>
          <w:kern w:val="2"/>
          <w:sz w:val="24"/>
          <w:szCs w:val="22"/>
          <w:highlight w:val="none"/>
          <w:lang w:val="en-US" w:eastAsia="zh-CN"/>
        </w:rPr>
        <w:t>5</w:t>
      </w:r>
      <w:r>
        <w:rPr>
          <w:rFonts w:hint="eastAsia" w:ascii="宋体" w:hAnsi="宋体" w:eastAsia="宋体" w:cs="宋体"/>
          <w:color w:val="auto"/>
          <w:kern w:val="2"/>
          <w:sz w:val="24"/>
          <w:szCs w:val="22"/>
          <w:highlight w:val="none"/>
        </w:rPr>
        <w:t>.4成交通知书生效后，如果已成交的供应商不能按采购文件和响应文件中承诺的条件履行签约行为，其</w:t>
      </w:r>
      <w:r>
        <w:rPr>
          <w:rFonts w:hint="eastAsia" w:ascii="宋体" w:hAnsi="宋体" w:eastAsia="宋体" w:cs="宋体"/>
          <w:color w:val="auto"/>
          <w:sz w:val="24"/>
          <w:szCs w:val="22"/>
          <w:highlight w:val="none"/>
        </w:rPr>
        <w:t>洽谈保证金不予退还并承担相应的法律责任。</w:t>
      </w:r>
    </w:p>
    <w:p w14:paraId="5F30B38E">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.签订合同 </w:t>
      </w:r>
    </w:p>
    <w:p w14:paraId="050B7705">
      <w:pPr>
        <w:shd w:val="clear" w:color="auto" w:fill="auto"/>
        <w:spacing w:line="400" w:lineRule="exact"/>
        <w:ind w:firstLine="470" w:firstLineChars="196"/>
        <w:rPr>
          <w:rFonts w:hint="eastAsia" w:ascii="宋体" w:hAnsi="宋体" w:eastAsia="宋体" w:cs="宋体"/>
          <w:color w:val="auto"/>
          <w:kern w:val="2"/>
          <w:sz w:val="24"/>
          <w:szCs w:val="22"/>
          <w:highlight w:val="none"/>
        </w:rPr>
      </w:pPr>
      <w:bookmarkStart w:id="127" w:name="_Toc465085367"/>
      <w:bookmarkStart w:id="128" w:name="_Toc472604617"/>
      <w:bookmarkStart w:id="129" w:name="_Toc22891"/>
      <w:bookmarkStart w:id="130" w:name="_Toc466298065"/>
      <w:bookmarkStart w:id="131" w:name="_Toc217446068"/>
      <w:bookmarkStart w:id="132" w:name="_Toc472599572"/>
      <w:bookmarkStart w:id="133" w:name="_Toc28391"/>
      <w:bookmarkStart w:id="134" w:name="_Toc21243"/>
      <w:r>
        <w:rPr>
          <w:rFonts w:hint="eastAsia" w:ascii="宋体" w:hAnsi="宋体" w:eastAsia="宋体" w:cs="宋体"/>
          <w:color w:val="auto"/>
          <w:kern w:val="2"/>
          <w:sz w:val="24"/>
          <w:szCs w:val="22"/>
          <w:highlight w:val="none"/>
        </w:rPr>
        <w:t>2.1成交供应商应按《成交通知书》规定的时间和地点，与采购人签订采购合 同。</w:t>
      </w:r>
    </w:p>
    <w:p w14:paraId="76612E85">
      <w:pPr>
        <w:shd w:val="clear" w:color="auto" w:fill="auto"/>
        <w:spacing w:line="400" w:lineRule="exact"/>
        <w:ind w:firstLine="470" w:firstLineChars="196"/>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2.2协商文件、响应文件、成交通知书等均成为有法律约束力的合同组成内容。</w:t>
      </w:r>
    </w:p>
    <w:p w14:paraId="1C8F55DD">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.履约保证金</w:t>
      </w:r>
      <w:bookmarkEnd w:id="127"/>
      <w:bookmarkEnd w:id="128"/>
      <w:bookmarkEnd w:id="129"/>
      <w:bookmarkEnd w:id="130"/>
      <w:bookmarkEnd w:id="131"/>
      <w:bookmarkEnd w:id="132"/>
      <w:bookmarkEnd w:id="133"/>
      <w:bookmarkEnd w:id="134"/>
    </w:p>
    <w:p w14:paraId="49042C47">
      <w:pPr>
        <w:shd w:val="clear" w:color="auto" w:fill="auto"/>
        <w:spacing w:line="400" w:lineRule="exact"/>
        <w:ind w:firstLine="480" w:firstLineChars="200"/>
        <w:rPr>
          <w:rFonts w:hint="eastAsia" w:ascii="宋体" w:hAnsi="宋体" w:eastAsia="宋体" w:cs="宋体"/>
          <w:color w:val="auto"/>
          <w:highlight w:val="none"/>
          <w:lang w:val="en-US" w:eastAsia="zh-CN"/>
        </w:rPr>
      </w:pPr>
      <w:bookmarkStart w:id="135" w:name="_Toc471489570"/>
      <w:bookmarkStart w:id="136" w:name="_Toc472599573"/>
      <w:bookmarkStart w:id="137" w:name="_Toc472604618"/>
      <w:r>
        <w:rPr>
          <w:rFonts w:hint="eastAsia" w:ascii="宋体" w:hAnsi="宋体" w:eastAsia="宋体" w:cs="宋体"/>
          <w:color w:val="auto"/>
          <w:sz w:val="24"/>
          <w:highlight w:val="none"/>
          <w:lang w:val="en-US" w:eastAsia="zh-CN"/>
        </w:rPr>
        <w:t>见第二章供应商须知。</w:t>
      </w:r>
    </w:p>
    <w:p w14:paraId="5C63A0C4">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.合同公告</w:t>
      </w:r>
      <w:bookmarkEnd w:id="135"/>
      <w:bookmarkEnd w:id="136"/>
      <w:bookmarkEnd w:id="137"/>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如涉及</w:t>
      </w:r>
      <w:r>
        <w:rPr>
          <w:rFonts w:hint="eastAsia" w:ascii="宋体" w:hAnsi="宋体" w:eastAsia="宋体" w:cs="宋体"/>
          <w:b/>
          <w:bCs/>
          <w:color w:val="auto"/>
          <w:sz w:val="24"/>
          <w:szCs w:val="24"/>
          <w:highlight w:val="none"/>
          <w:lang w:eastAsia="zh-CN"/>
        </w:rPr>
        <w:t>）</w:t>
      </w:r>
    </w:p>
    <w:p w14:paraId="68057BA5">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应当自政府采购合同签订（双方当事人均已签字盖章）之日起2个工作日内，将政府采购合同在省级以上人民政府财政部门指定的媒体上公告（新疆政府采购网），但政府采购合同中涉及国家秘密、商业秘密的内容除外。</w:t>
      </w:r>
    </w:p>
    <w:p w14:paraId="2C1DB138">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bookmarkStart w:id="138" w:name="_Toc471489571"/>
      <w:bookmarkStart w:id="139" w:name="_Toc472604619"/>
      <w:bookmarkStart w:id="140" w:name="_Toc472599574"/>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.合同备案</w:t>
      </w:r>
      <w:bookmarkEnd w:id="138"/>
      <w:bookmarkEnd w:id="139"/>
      <w:bookmarkEnd w:id="140"/>
    </w:p>
    <w:p w14:paraId="7121EC14">
      <w:pPr>
        <w:shd w:val="clear" w:color="auto" w:fill="auto"/>
        <w:spacing w:line="44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采购人应当将政府采购合同副本自签订（双方当事人均已签字盖章）之日起七个工作日内通过新疆政府采购网报同级财政部门备案。</w:t>
      </w:r>
    </w:p>
    <w:p w14:paraId="7F04DAAD">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bookmarkStart w:id="141" w:name="_Toc465085368"/>
      <w:bookmarkStart w:id="142" w:name="_Toc472604620"/>
      <w:bookmarkStart w:id="143" w:name="_Toc472599575"/>
      <w:bookmarkStart w:id="144" w:name="_Toc3788"/>
      <w:bookmarkStart w:id="145" w:name="_Toc466298066"/>
      <w:bookmarkStart w:id="146" w:name="_Toc2391"/>
      <w:bookmarkStart w:id="147" w:name="_Toc23465"/>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.履行合同</w:t>
      </w:r>
      <w:bookmarkEnd w:id="141"/>
      <w:bookmarkEnd w:id="142"/>
      <w:bookmarkEnd w:id="143"/>
      <w:bookmarkEnd w:id="144"/>
      <w:bookmarkEnd w:id="145"/>
      <w:bookmarkEnd w:id="146"/>
      <w:bookmarkEnd w:id="147"/>
    </w:p>
    <w:p w14:paraId="182DCE4C">
      <w:pPr>
        <w:shd w:val="clear" w:color="auto" w:fill="auto"/>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.1 成交供应商与采购人签订合同后，合同双方应严格执行合同条款，履行合同规定的义务，保证合同的顺利完成。</w:t>
      </w:r>
    </w:p>
    <w:p w14:paraId="7274A4F7">
      <w:pPr>
        <w:shd w:val="clear" w:color="auto" w:fill="auto"/>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.2 在合同履行过程中，如发生合同纠纷，合同双方应按照</w:t>
      </w:r>
      <w:r>
        <w:rPr>
          <w:rFonts w:hint="eastAsia" w:ascii="宋体" w:hAnsi="宋体" w:eastAsia="宋体" w:cs="宋体"/>
          <w:color w:val="auto"/>
          <w:sz w:val="24"/>
          <w:szCs w:val="24"/>
          <w:highlight w:val="none"/>
        </w:rPr>
        <w:t>《中华人民共和国民法典》</w:t>
      </w:r>
      <w:r>
        <w:rPr>
          <w:rFonts w:hint="eastAsia" w:ascii="宋体" w:hAnsi="宋体" w:eastAsia="宋体" w:cs="宋体"/>
          <w:color w:val="auto"/>
          <w:sz w:val="24"/>
          <w:highlight w:val="none"/>
        </w:rPr>
        <w:t>的有关规定进行处理。</w:t>
      </w:r>
    </w:p>
    <w:p w14:paraId="5B7933BF">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bookmarkStart w:id="148" w:name="_Toc16786"/>
      <w:bookmarkStart w:id="149" w:name="_Toc31802"/>
      <w:bookmarkStart w:id="150" w:name="_Toc472599576"/>
      <w:bookmarkStart w:id="151" w:name="_Toc465085369"/>
      <w:bookmarkStart w:id="152" w:name="_Toc466298067"/>
      <w:bookmarkStart w:id="153" w:name="_Toc29516"/>
      <w:bookmarkStart w:id="154" w:name="_Toc472604621"/>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.验收</w:t>
      </w:r>
      <w:bookmarkEnd w:id="148"/>
      <w:bookmarkEnd w:id="149"/>
      <w:bookmarkEnd w:id="150"/>
      <w:bookmarkEnd w:id="151"/>
      <w:bookmarkEnd w:id="152"/>
      <w:bookmarkEnd w:id="153"/>
      <w:bookmarkEnd w:id="154"/>
    </w:p>
    <w:p w14:paraId="2AB554D6">
      <w:pPr>
        <w:shd w:val="clear" w:color="auto" w:fill="auto"/>
        <w:spacing w:line="40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.1本项目采购人及其委托的采购代理机构将严格按照政府采购相关法律法规的要求进行验收。</w:t>
      </w:r>
    </w:p>
    <w:p w14:paraId="6CAB96CB">
      <w:pPr>
        <w:bidi w:val="0"/>
        <w:outlineLvl w:val="1"/>
        <w:rPr>
          <w:rFonts w:hint="eastAsia" w:ascii="宋体" w:hAnsi="宋体" w:eastAsia="宋体" w:cs="宋体"/>
          <w:b/>
          <w:bCs/>
          <w:color w:val="auto"/>
          <w:kern w:val="2"/>
          <w:sz w:val="28"/>
          <w:szCs w:val="28"/>
          <w:highlight w:val="none"/>
          <w:lang w:val="en-US" w:eastAsia="zh-CN" w:bidi="ar-SA"/>
        </w:rPr>
      </w:pPr>
      <w:bookmarkStart w:id="155" w:name="_Toc31671"/>
      <w:bookmarkStart w:id="156" w:name="_Toc23491"/>
      <w:r>
        <w:rPr>
          <w:rFonts w:hint="eastAsia" w:ascii="宋体" w:hAnsi="宋体" w:eastAsia="宋体" w:cs="宋体"/>
          <w:b/>
          <w:bCs/>
          <w:color w:val="auto"/>
          <w:kern w:val="2"/>
          <w:sz w:val="28"/>
          <w:szCs w:val="28"/>
          <w:highlight w:val="none"/>
          <w:lang w:val="en-US" w:eastAsia="zh-CN" w:bidi="ar-SA"/>
        </w:rPr>
        <w:t>八、询问、质疑与投诉</w:t>
      </w:r>
      <w:bookmarkEnd w:id="126"/>
      <w:bookmarkEnd w:id="155"/>
      <w:bookmarkEnd w:id="156"/>
    </w:p>
    <w:p w14:paraId="0DC4DD37">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1、询问</w:t>
      </w:r>
    </w:p>
    <w:p w14:paraId="54673702">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对政府采购活动事项有疑问的，可以向采购人或采购代理机构提出询问，采购人或采购代理机构应当在3个工作日内作出答复，但答复的内容不得涉及商业秘密。供应商提出的询问超出采购人对采购代理机构委托授权范围的，采购代理机构应当告知其向采购人提出。</w:t>
      </w:r>
    </w:p>
    <w:p w14:paraId="16B63221">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2、质疑</w:t>
      </w:r>
    </w:p>
    <w:p w14:paraId="66ADCCC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2.1供应商认为谈判文件、采购过程、成交结果使自己的权益受到损害的，可以在知道或者应知其权益受到损害之日起7个工作日内，以书面形式向采购人、采购代理机构提出质疑。</w:t>
      </w:r>
    </w:p>
    <w:p w14:paraId="34955E8F">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供应商在法定质疑期内应当一次性提出针对同一采购程序环节的质疑。</w:t>
      </w:r>
    </w:p>
    <w:p w14:paraId="6159683E">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提出质疑的供应商应当是参与所质疑项目采购活动的供应商。</w:t>
      </w:r>
    </w:p>
    <w:p w14:paraId="3E00F9A0">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潜在供应商已依法获取其可质疑的谈判文件的，可以对该文件提出质疑。对谈判文件提出质疑的，应当在获取谈判文件或者谈判文件公告期限届满之日起7个工作日内提出。</w:t>
      </w:r>
    </w:p>
    <w:p w14:paraId="46754691">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2.2采购人、采购代理机构应当在收到供应商的书面质疑后7个工作日内作出答复，并以书面形式通知质疑供应商和其他有关供应商，但答复的内容不得涉及商业秘密。</w:t>
      </w:r>
    </w:p>
    <w:p w14:paraId="1C21018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2.3询问或者质疑事项可能影响成交结果的，采购人应当暂停签订合同，已经签订合同的，应当中止履行合同。</w:t>
      </w:r>
    </w:p>
    <w:p w14:paraId="3944F54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2.4供应商提出质疑应当提交质疑函和必要的证明材料。质疑函应当包括下列内容：</w:t>
      </w:r>
    </w:p>
    <w:p w14:paraId="258399F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（一）供应商的姓名或者名称、地址、邮编、联系人及联系电话；</w:t>
      </w:r>
    </w:p>
    <w:p w14:paraId="44B5558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（二）质疑项目的名称、编号；</w:t>
      </w:r>
    </w:p>
    <w:p w14:paraId="7B9F88A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（三）具体、明确的质疑事项和与质疑事项相关的请求；</w:t>
      </w:r>
    </w:p>
    <w:p w14:paraId="324AD36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（四）事实依据；</w:t>
      </w:r>
    </w:p>
    <w:p w14:paraId="7B9DC53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（五）必要的法律依据；</w:t>
      </w:r>
    </w:p>
    <w:p w14:paraId="6EA3361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（六）提出质疑的日期。</w:t>
      </w:r>
    </w:p>
    <w:p w14:paraId="065F77F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供应商为自然人的，应当由本人签字；供应商为法人或者其他组织的，应当由法定代表人、主要负责人，或者其授权代表签字或者盖章，并加盖公章。</w:t>
      </w:r>
    </w:p>
    <w:p w14:paraId="1789DD3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供应商可以委托代理人进行质疑，代理人提出质疑时应当提交供应商签署的授权委托书。其授权委托书应当载明代理人的姓名或者名称、代理事项、具体权限、期限和相关事项。</w:t>
      </w:r>
    </w:p>
    <w:p w14:paraId="1EF8D12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2.5供应商提交的质疑函，应按照新疆政府采购网中的“质疑函范本”制作。</w:t>
      </w:r>
    </w:p>
    <w:p w14:paraId="4A7C081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2.6接收质疑函的方式。为了使提出的质疑事项在规定时间内得到有效答复、处理，质疑可以由法定代表人或授权代表亲自将质疑函递交至采购人或采购代理机构，也可以通过邮寄、快递等方式提交。质疑函以邮寄、快递方式递交的，以邮寄件上的戳记日期、邮政快递件上的戳记日期和非邮政快递件上的签注日期为质疑提起日期。</w:t>
      </w:r>
    </w:p>
    <w:p w14:paraId="134FA5D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接收质疑函的联系部门、联系电话、通讯地址（详见第一章投标邀请）。</w:t>
      </w:r>
    </w:p>
    <w:p w14:paraId="719ACFA5">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3、投诉</w:t>
      </w:r>
    </w:p>
    <w:p w14:paraId="5B1CEE4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3.1质疑人对采购人、采购代理机构的答复不满意或者采购人、采购代理机构未在规定的时间内作出书面答复的，可以在答复期满后15个工作日内向财政部门提起投诉。</w:t>
      </w:r>
    </w:p>
    <w:p w14:paraId="7FED9452">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供应商投诉的事项不得超出已质疑事项的范围，但基于质疑答复内容提出的投诉事项除外。</w:t>
      </w:r>
    </w:p>
    <w:p w14:paraId="5860040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3.2投诉人投诉时，应当提交投诉书和必要的证明材料，并按照被投诉采购人、采购代理机构（以下简称被投诉人）和与投诉事项有关的供应商数量提供投诉书的副本。投诉书应当包括下列内容：</w:t>
      </w:r>
    </w:p>
    <w:p w14:paraId="76874C4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（一）投诉人和被投诉人的姓名或者名称、通讯地址、邮编、联系人及联系电话；</w:t>
      </w:r>
    </w:p>
    <w:p w14:paraId="3F86CB9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（二）质疑和质疑答复情况说明及相关证明材料；</w:t>
      </w:r>
    </w:p>
    <w:p w14:paraId="313D1A8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（三）具体、明确的投诉事项和与投诉事项相关的投诉请求；</w:t>
      </w:r>
    </w:p>
    <w:p w14:paraId="102F692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（四）事实依据；</w:t>
      </w:r>
    </w:p>
    <w:p w14:paraId="05E1311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（五）法律依据；</w:t>
      </w:r>
    </w:p>
    <w:p w14:paraId="2B2617B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（六）提起投诉的日期。</w:t>
      </w:r>
    </w:p>
    <w:p w14:paraId="6F690D8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投诉人为自然人的，应当由本人签字；投诉人为法人或者其他组织的，应当由法定代表人、主要负责人，或者其授权代表签字或者盖章，并加盖公章。</w:t>
      </w:r>
    </w:p>
    <w:p w14:paraId="2C385DB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3.3投诉人提交的投诉书，应严格按照新疆政府采购网中的“投诉书范本”制作。</w:t>
      </w:r>
    </w:p>
    <w:p w14:paraId="09700A87">
      <w:pPr>
        <w:snapToGrid w:val="0"/>
        <w:spacing w:line="440" w:lineRule="exact"/>
        <w:ind w:firstLine="480" w:firstLineChars="200"/>
        <w:rPr>
          <w:rFonts w:hint="eastAsia" w:ascii="宋体" w:hAnsi="宋体" w:eastAsia="宋体" w:cs="宋体"/>
          <w:color w:val="auto"/>
          <w:sz w:val="24"/>
          <w:szCs w:val="24"/>
        </w:rPr>
        <w:sectPr>
          <w:footerReference r:id="rId5" w:type="first"/>
          <w:footerReference r:id="rId4" w:type="default"/>
          <w:pgSz w:w="11906" w:h="16838"/>
          <w:pgMar w:top="1440" w:right="1080" w:bottom="1440" w:left="1080" w:header="851" w:footer="992" w:gutter="0"/>
          <w:pgNumType w:fmt="decimal" w:start="1"/>
          <w:cols w:space="425" w:num="1"/>
          <w:titlePg/>
          <w:docGrid w:type="lines" w:linePitch="312" w:charSpace="0"/>
        </w:sectPr>
      </w:pPr>
    </w:p>
    <w:p w14:paraId="2A5096BD">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 xml:space="preserve"> </w:t>
      </w:r>
      <w:bookmarkStart w:id="157" w:name="_Toc23111"/>
      <w:bookmarkStart w:id="158" w:name="_Toc122"/>
      <w:bookmarkStart w:id="159" w:name="_Toc23090"/>
      <w:r>
        <w:rPr>
          <w:rFonts w:hint="eastAsia" w:ascii="宋体" w:hAnsi="宋体" w:eastAsia="宋体" w:cs="宋体"/>
          <w:b/>
          <w:bCs/>
          <w:color w:val="auto"/>
          <w:sz w:val="44"/>
          <w:szCs w:val="44"/>
          <w:lang w:val="en-US" w:eastAsia="zh-CN"/>
        </w:rPr>
        <w:t>第三章 采购需求及参数</w:t>
      </w:r>
      <w:bookmarkEnd w:id="157"/>
      <w:bookmarkEnd w:id="158"/>
      <w:bookmarkEnd w:id="159"/>
    </w:p>
    <w:p w14:paraId="779E8BB0">
      <w:pPr>
        <w:pStyle w:val="4"/>
        <w:keepNext/>
        <w:keepLines/>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jc w:val="left"/>
        <w:textAlignment w:val="auto"/>
        <w:outlineLvl w:val="1"/>
        <w:rPr>
          <w:rFonts w:hint="eastAsia" w:ascii="宋体" w:hAnsi="宋体" w:eastAsia="宋体" w:cs="宋体"/>
          <w:color w:val="auto"/>
          <w:sz w:val="30"/>
          <w:szCs w:val="30"/>
          <w:highlight w:val="none"/>
          <w:lang w:val="en-US" w:eastAsia="zh-CN"/>
        </w:rPr>
      </w:pPr>
      <w:bookmarkStart w:id="160" w:name="_Toc12733"/>
      <w:r>
        <w:rPr>
          <w:rFonts w:hint="eastAsia" w:ascii="宋体" w:hAnsi="宋体" w:eastAsia="宋体" w:cs="宋体"/>
          <w:color w:val="auto"/>
          <w:sz w:val="30"/>
          <w:szCs w:val="30"/>
          <w:highlight w:val="none"/>
          <w:lang w:val="en-US" w:eastAsia="zh-CN"/>
        </w:rPr>
        <w:t>一、采购清单</w:t>
      </w:r>
      <w:bookmarkEnd w:id="160"/>
    </w:p>
    <w:p w14:paraId="66A88687">
      <w:pPr>
        <w:numPr>
          <w:ilvl w:val="0"/>
          <w:numId w:val="0"/>
        </w:numPr>
        <w:rPr>
          <w:rFonts w:hint="eastAsia" w:ascii="宋体" w:hAnsi="宋体" w:eastAsia="宋体" w:cs="宋体"/>
          <w:color w:val="auto"/>
          <w:lang w:eastAsia="zh-CN"/>
        </w:rPr>
      </w:pPr>
    </w:p>
    <w:tbl>
      <w:tblPr>
        <w:tblStyle w:val="26"/>
        <w:tblW w:w="10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2334"/>
        <w:gridCol w:w="1849"/>
        <w:gridCol w:w="3450"/>
        <w:gridCol w:w="1229"/>
        <w:gridCol w:w="735"/>
      </w:tblGrid>
      <w:tr w14:paraId="42683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DA1C">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序号</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6511">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货物品种</w:t>
            </w:r>
          </w:p>
          <w:p w14:paraId="0BADB2F0">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（标的名称）</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68AD">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作用与用途</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E06A">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主要技术参数要求</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E307">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单价限价</w:t>
            </w:r>
            <w:r>
              <w:rPr>
                <w:rFonts w:hint="eastAsia" w:ascii="宋体" w:hAnsi="宋体" w:eastAsia="宋体" w:cs="宋体"/>
                <w:b/>
                <w:bCs/>
                <w:i w:val="0"/>
                <w:iCs w:val="0"/>
                <w:snapToGrid w:val="0"/>
                <w:color w:val="auto"/>
                <w:kern w:val="0"/>
                <w:sz w:val="24"/>
                <w:szCs w:val="24"/>
                <w:highlight w:val="none"/>
                <w:u w:val="none"/>
                <w:lang w:val="en-US" w:eastAsia="zh-CN" w:bidi="ar"/>
              </w:rPr>
              <w:br w:type="textWrapping"/>
            </w:r>
            <w:r>
              <w:rPr>
                <w:rFonts w:hint="eastAsia" w:ascii="宋体" w:hAnsi="宋体" w:eastAsia="宋体" w:cs="宋体"/>
                <w:b/>
                <w:bCs/>
                <w:i w:val="0"/>
                <w:iCs w:val="0"/>
                <w:snapToGrid w:val="0"/>
                <w:color w:val="auto"/>
                <w:kern w:val="0"/>
                <w:sz w:val="24"/>
                <w:szCs w:val="24"/>
                <w:highlight w:val="none"/>
                <w:u w:val="none"/>
                <w:lang w:val="en-US" w:eastAsia="zh-CN" w:bidi="ar"/>
              </w:rPr>
              <w:t>（元）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E6AF">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单位</w:t>
            </w:r>
          </w:p>
        </w:tc>
      </w:tr>
      <w:tr w14:paraId="2C26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5D60">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8A0C">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布鲁氏菌病活疫苗(BA0711株)</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09F7">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用于预防牛、羊布鲁氏菌病</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A43E">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1.规格：60、120头份/瓶。</w:t>
            </w:r>
          </w:p>
          <w:p w14:paraId="0AFF383D">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2.贮藏与有效期：2-8℃保存，有效期为12个月；在-15℃以下保存，有效期为18个月。</w:t>
            </w:r>
          </w:p>
          <w:p w14:paraId="2503F0E9">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3.产品的安全检验指标应符合中国兽医药品监察所审核认可的“兽用生物制品生产与检验报告”要求；免疫期为12个月。</w:t>
            </w:r>
          </w:p>
          <w:p w14:paraId="1F8654EE">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4.疫苗中含有布鲁氏菌冷休克蛋白cspA基因缺失BA0711株，每头份疫苗含活菌数不低于2.0×10</w:t>
            </w:r>
            <w:r>
              <w:rPr>
                <w:rFonts w:hint="eastAsia" w:ascii="宋体" w:hAnsi="宋体" w:eastAsia="宋体" w:cs="宋体"/>
                <w:i w:val="0"/>
                <w:iCs w:val="0"/>
                <w:color w:val="auto"/>
                <w:kern w:val="0"/>
                <w:sz w:val="40"/>
                <w:szCs w:val="40"/>
                <w:u w:val="none"/>
                <w:vertAlign w:val="superscript"/>
                <w:lang w:val="en-US" w:eastAsia="zh-CN" w:bidi="ar"/>
              </w:rPr>
              <w:t>9</w:t>
            </w:r>
            <w:r>
              <w:rPr>
                <w:rFonts w:hint="eastAsia" w:ascii="宋体" w:hAnsi="宋体" w:eastAsia="宋体" w:cs="宋体"/>
                <w:i w:val="0"/>
                <w:iCs w:val="0"/>
                <w:color w:val="auto"/>
                <w:kern w:val="0"/>
                <w:sz w:val="24"/>
                <w:szCs w:val="24"/>
                <w:u w:val="none"/>
                <w:lang w:val="en-US" w:eastAsia="zh-CN" w:bidi="ar"/>
              </w:rPr>
              <w:t>CFU且不高于3.0×10</w:t>
            </w:r>
            <w:r>
              <w:rPr>
                <w:rFonts w:hint="eastAsia" w:ascii="宋体" w:hAnsi="宋体" w:eastAsia="宋体" w:cs="宋体"/>
                <w:i w:val="0"/>
                <w:iCs w:val="0"/>
                <w:color w:val="auto"/>
                <w:kern w:val="0"/>
                <w:sz w:val="40"/>
                <w:szCs w:val="40"/>
                <w:u w:val="none"/>
                <w:vertAlign w:val="superscript"/>
                <w:lang w:val="en-US" w:eastAsia="zh-CN" w:bidi="ar"/>
              </w:rPr>
              <w:t>9</w:t>
            </w:r>
            <w:r>
              <w:rPr>
                <w:rFonts w:hint="eastAsia" w:ascii="宋体" w:hAnsi="宋体" w:eastAsia="宋体" w:cs="宋体"/>
                <w:i w:val="0"/>
                <w:iCs w:val="0"/>
                <w:color w:val="auto"/>
                <w:kern w:val="0"/>
                <w:sz w:val="24"/>
                <w:szCs w:val="24"/>
                <w:u w:val="none"/>
                <w:lang w:val="en-US" w:eastAsia="zh-CN" w:bidi="ar"/>
              </w:rPr>
              <w:t>CFU。</w:t>
            </w:r>
          </w:p>
          <w:p w14:paraId="29320E04">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5.交货时有效期在8个月以上。</w:t>
            </w:r>
          </w:p>
          <w:p w14:paraId="34005688">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6.应有实用可行的免疫操作规程，人员防护措施，环境保护措施，确保人畜安全。</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6AA7">
            <w:pPr>
              <w:keepNext w:val="0"/>
              <w:keepLines w:val="0"/>
              <w:pageBreakBefore w:val="0"/>
              <w:widowControl/>
              <w:suppressLineNumbers w:val="0"/>
              <w:topLinePunct w:val="0"/>
              <w:bidi w:val="0"/>
              <w:spacing w:beforeAutospacing="0"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0.80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FDFB">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头份（山羊）</w:t>
            </w:r>
          </w:p>
        </w:tc>
      </w:tr>
    </w:tbl>
    <w:p w14:paraId="6918E72F">
      <w:pPr>
        <w:pStyle w:val="4"/>
        <w:keepNext/>
        <w:keepLines/>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jc w:val="left"/>
        <w:textAlignment w:val="auto"/>
        <w:outlineLvl w:val="1"/>
        <w:rPr>
          <w:rFonts w:hint="eastAsia" w:ascii="宋体" w:hAnsi="宋体" w:eastAsia="宋体" w:cs="宋体"/>
          <w:color w:val="auto"/>
          <w:sz w:val="30"/>
          <w:szCs w:val="30"/>
          <w:highlight w:val="none"/>
          <w:lang w:val="en-US" w:eastAsia="zh-CN"/>
        </w:rPr>
      </w:pPr>
      <w:bookmarkStart w:id="161" w:name="_Toc22295"/>
      <w:r>
        <w:rPr>
          <w:rFonts w:hint="eastAsia" w:ascii="宋体" w:hAnsi="宋体" w:eastAsia="宋体" w:cs="宋体"/>
          <w:color w:val="auto"/>
          <w:sz w:val="30"/>
          <w:szCs w:val="30"/>
          <w:highlight w:val="none"/>
          <w:lang w:val="en-US" w:eastAsia="zh-CN"/>
        </w:rPr>
        <w:t>二、商务要求（实质性要求）</w:t>
      </w:r>
      <w:bookmarkEnd w:id="161"/>
    </w:p>
    <w:p w14:paraId="2F89AEBE">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textAlignment w:val="auto"/>
        <w:rPr>
          <w:rFonts w:hint="eastAsia" w:ascii="宋体" w:hAnsi="宋体" w:eastAsia="宋体" w:cs="宋体"/>
          <w:b w:val="0"/>
          <w:bCs w:val="0"/>
          <w:color w:val="auto"/>
          <w:sz w:val="24"/>
          <w:szCs w:val="24"/>
          <w:highlight w:val="yellow"/>
          <w:lang w:val="en-US"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highlight w:val="none"/>
          <w:lang w:val="en-US" w:eastAsia="zh-CN"/>
        </w:rPr>
        <w:t>一）服务期限：</w:t>
      </w:r>
      <w:r>
        <w:rPr>
          <w:rFonts w:hint="eastAsia" w:ascii="宋体" w:hAnsi="宋体" w:eastAsia="宋体" w:cs="宋体"/>
          <w:b w:val="0"/>
          <w:bCs w:val="0"/>
          <w:color w:val="auto"/>
          <w:sz w:val="24"/>
          <w:szCs w:val="24"/>
          <w:highlight w:val="none"/>
          <w:lang w:val="en-US" w:eastAsia="zh-CN"/>
        </w:rPr>
        <w:t>本合同履约期限为合同生效之日起，至疫苗供货及售后服务全部履行完毕之日止。</w:t>
      </w:r>
    </w:p>
    <w:p w14:paraId="43FED7B4">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（二）供货时间：</w:t>
      </w:r>
      <w:r>
        <w:rPr>
          <w:rFonts w:hint="eastAsia" w:ascii="宋体" w:hAnsi="宋体" w:eastAsia="宋体" w:cs="宋体"/>
          <w:color w:val="auto"/>
          <w:sz w:val="24"/>
          <w:szCs w:val="24"/>
          <w:highlight w:val="none"/>
          <w:lang w:val="en-US" w:eastAsia="zh-CN"/>
        </w:rPr>
        <w:t>接到采购方供货通知，须在15个日历日内（特殊情况下24小时送达）全程冷链条件下运达至甲方指定地点（分春季、秋季供货使用的疫苗， 按甲方通知要求分批供应）。</w:t>
      </w:r>
    </w:p>
    <w:p w14:paraId="3448DE0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（三）供货地点：</w:t>
      </w:r>
      <w:r>
        <w:rPr>
          <w:rFonts w:hint="eastAsia" w:ascii="宋体" w:hAnsi="宋体" w:eastAsia="宋体" w:cs="宋体"/>
          <w:b w:val="0"/>
          <w:bCs w:val="0"/>
          <w:color w:val="auto"/>
          <w:sz w:val="24"/>
          <w:szCs w:val="24"/>
          <w:highlight w:val="none"/>
          <w:lang w:val="en-US" w:eastAsia="zh-CN"/>
        </w:rPr>
        <w:t>为自治区动物疫病预防控制中心指定区域，一般为地、县两级动物疫控中心疫苗冷藏库。</w:t>
      </w:r>
    </w:p>
    <w:p w14:paraId="17C1816E">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highlight w:val="none"/>
          <w:lang w:val="en-US" w:eastAsia="zh-CN"/>
        </w:rPr>
        <w:t>（四）付款方式</w:t>
      </w:r>
      <w:r>
        <w:rPr>
          <w:rFonts w:hint="eastAsia" w:ascii="宋体" w:hAnsi="宋体" w:eastAsia="宋体" w:cs="宋体"/>
          <w:b w:val="0"/>
          <w:bCs w:val="0"/>
          <w:color w:val="auto"/>
          <w:sz w:val="24"/>
          <w:szCs w:val="24"/>
          <w:highlight w:val="none"/>
          <w:lang w:val="en-US" w:eastAsia="zh-CN"/>
        </w:rPr>
        <w:t>（本</w:t>
      </w:r>
      <w:r>
        <w:rPr>
          <w:rFonts w:hint="eastAsia" w:ascii="宋体" w:hAnsi="宋体" w:eastAsia="宋体" w:cs="宋体"/>
          <w:b w:val="0"/>
          <w:bCs w:val="0"/>
          <w:color w:val="auto"/>
          <w:sz w:val="24"/>
          <w:szCs w:val="24"/>
          <w:lang w:val="en-US" w:eastAsia="zh-CN"/>
        </w:rPr>
        <w:t>项目无预付款）：</w:t>
      </w:r>
    </w:p>
    <w:p w14:paraId="7B849BB1">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1、按供应的疫苗物资量，分春防、秋防进行结算。</w:t>
      </w:r>
    </w:p>
    <w:p w14:paraId="27177512">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(1)春防期供应疫苗物资，到货验收合格后30个工作日内启动专项资金支付程序，按照实际供货量结算付款。</w:t>
      </w:r>
    </w:p>
    <w:p w14:paraId="4CB56D4C">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(2)秋防期供应疫苗物资，到货验收合格后30个工作日内启动专项资金支付程序，按照实际供货量结算付款。</w:t>
      </w:r>
    </w:p>
    <w:p w14:paraId="4025B667">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lang w:eastAsia="zh-CN"/>
        </w:rPr>
        <w:t>2、协议储备的货物在甲乙双方签订《代储协议》后，10个工作日内启动专项资金支付程序，按代储疫苗物资量一次性结算付款</w:t>
      </w:r>
      <w:r>
        <w:rPr>
          <w:rFonts w:hint="eastAsia" w:ascii="宋体" w:hAnsi="宋体" w:eastAsia="宋体" w:cs="宋体"/>
          <w:b w:val="0"/>
          <w:bCs w:val="0"/>
          <w:color w:val="auto"/>
          <w:sz w:val="24"/>
          <w:szCs w:val="24"/>
          <w:lang w:val="en-US" w:eastAsia="zh-CN"/>
        </w:rPr>
        <w:t>。</w:t>
      </w:r>
    </w:p>
    <w:p w14:paraId="09BA6E68">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240" w:lineRule="auto"/>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sz w:val="28"/>
          <w:szCs w:val="28"/>
          <w:highlight w:val="none"/>
          <w:lang w:val="en-US" w:eastAsia="zh-CN"/>
        </w:rPr>
        <w:t>（五）质量要求：</w:t>
      </w:r>
    </w:p>
    <w:p w14:paraId="4C035783">
      <w:pPr>
        <w:keepNext w:val="0"/>
        <w:keepLines w:val="0"/>
        <w:pageBreakBefore w:val="0"/>
        <w:widowControl/>
        <w:kinsoku w:val="0"/>
        <w:wordWrap/>
        <w:overflowPunct/>
        <w:topLinePunct w:val="0"/>
        <w:autoSpaceDE w:val="0"/>
        <w:autoSpaceDN w:val="0"/>
        <w:bidi w:val="0"/>
        <w:adjustRightInd/>
        <w:snapToGrid/>
        <w:spacing w:beforeAutospacing="0" w:line="480" w:lineRule="exact"/>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8"/>
          <w:szCs w:val="28"/>
          <w:highlight w:val="none"/>
          <w:lang w:eastAsia="zh-CN"/>
        </w:rPr>
        <w:t xml:space="preserve"> </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val="0"/>
          <w:bCs w:val="0"/>
          <w:color w:val="auto"/>
          <w:sz w:val="24"/>
          <w:szCs w:val="24"/>
          <w:highlight w:val="none"/>
          <w:lang w:eastAsia="zh-CN"/>
        </w:rPr>
        <w:t>1.产品质量及技术标准应符合或遵守《中华人民共和国兽药典》《中华人民共和国兽用生物制品质量标准》及颁布的相应产品质量标准。</w:t>
      </w:r>
    </w:p>
    <w:p w14:paraId="1E5C47A3">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 2.产品须具有中国兽医药品监察所审核认可的“兽用生物制品生产与检验报告”（批签发），产品的物理性状、无菌检验、安全检验、效力检验等指标应符合规定标准。</w:t>
      </w:r>
    </w:p>
    <w:p w14:paraId="3D683064">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 3.疫苗产品包装应符合《中华人民共和国兽药典》关于兽用生物制品的标签、说明书与包装规定。要配套泡沫保温箱和外包装箱，并附有兽药标签、使用说明书等相关资料。</w:t>
      </w:r>
    </w:p>
    <w:p w14:paraId="4191987D">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 4.采购工作过程中或之后，如遇农业农村部政策调整，有关疫苗毒株变更，相应产品应随之变更。</w:t>
      </w:r>
    </w:p>
    <w:p w14:paraId="5E3CC1C0">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 5.对需稀释使用的疫苗产品，要配套与采购的疫苗免疫量相符的稀释液。布病疫苗和稀释液头份规格应一致，避免暴露稀释。需减量免疫等特殊情形，供货厂商需额外足量配备稀释液。</w:t>
      </w:r>
    </w:p>
    <w:p w14:paraId="2602271F">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240" w:firstLineChars="1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  6.疫苗运输须按照《中华人民共和国兽药典》关于兽用生物制品的贮藏、运输和使用规定要求实施，应有完整冷链运输记录。</w:t>
      </w:r>
    </w:p>
    <w:p w14:paraId="725C94E8">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7.疫苗配送运输目的地为自治区动物疫病预防控制中心指定区域，一般为地、县两级动物疫控中心疫苗冷藏库。</w:t>
      </w:r>
    </w:p>
    <w:p w14:paraId="0250ACFB">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8.疫苗供货提供不低于合同数量50%的小规格包装。</w:t>
      </w:r>
    </w:p>
    <w:p w14:paraId="2D0D7A6B">
      <w:pPr>
        <w:keepNext w:val="0"/>
        <w:keepLines w:val="0"/>
        <w:pageBreakBefore w:val="0"/>
        <w:widowControl/>
        <w:kinsoku w:val="0"/>
        <w:wordWrap/>
        <w:overflowPunct/>
        <w:topLinePunct w:val="0"/>
        <w:autoSpaceDE w:val="0"/>
        <w:autoSpaceDN w:val="0"/>
        <w:bidi w:val="0"/>
        <w:adjustRightInd/>
        <w:snapToGrid/>
        <w:spacing w:beforeAutospacing="0" w:line="480" w:lineRule="exact"/>
        <w:ind w:firstLine="480"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质保期：自供货之日起质保期不少于8个月。</w:t>
      </w:r>
    </w:p>
    <w:p w14:paraId="410287F2">
      <w:pPr>
        <w:rPr>
          <w:rFonts w:hint="eastAsia" w:ascii="宋体" w:hAnsi="宋体" w:eastAsia="宋体" w:cs="宋体"/>
          <w:color w:val="auto"/>
        </w:rPr>
      </w:pPr>
      <w:r>
        <w:rPr>
          <w:rFonts w:hint="eastAsia" w:ascii="宋体" w:hAnsi="宋体" w:eastAsia="宋体" w:cs="宋体"/>
          <w:color w:val="auto"/>
        </w:rPr>
        <w:br w:type="page"/>
      </w:r>
    </w:p>
    <w:p w14:paraId="192620D0">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pPr>
      <w:bookmarkStart w:id="162" w:name="_Toc1821"/>
      <w:bookmarkStart w:id="163" w:name="_Toc22315"/>
      <w:bookmarkStart w:id="164" w:name="_Toc5193"/>
      <w:r>
        <w:rPr>
          <w:rFonts w:hint="eastAsia" w:ascii="宋体" w:hAnsi="宋体" w:eastAsia="宋体" w:cs="宋体"/>
          <w:b/>
          <w:bCs/>
          <w:color w:val="auto"/>
          <w:sz w:val="44"/>
          <w:szCs w:val="44"/>
          <w:lang w:val="en-US" w:eastAsia="zh-CN"/>
        </w:rPr>
        <w:t>第四章 供应商应当提交的资格、资信证明文件</w:t>
      </w:r>
      <w:bookmarkEnd w:id="162"/>
      <w:bookmarkEnd w:id="163"/>
      <w:bookmarkEnd w:id="164"/>
    </w:p>
    <w:p w14:paraId="66C5937E">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供应商应提交证明其有资格参加投标和成交后有能力履行合同的相关文件，并作为其</w:t>
      </w:r>
      <w:r>
        <w:rPr>
          <w:rFonts w:hint="eastAsia" w:ascii="宋体" w:hAnsi="宋体" w:eastAsia="宋体" w:cs="宋体"/>
          <w:b/>
          <w:bCs/>
          <w:color w:val="auto"/>
          <w:sz w:val="24"/>
          <w:szCs w:val="24"/>
          <w:lang w:eastAsia="zh-CN"/>
        </w:rPr>
        <w:t>响应</w:t>
      </w:r>
      <w:r>
        <w:rPr>
          <w:rFonts w:hint="eastAsia" w:ascii="宋体" w:hAnsi="宋体" w:eastAsia="宋体" w:cs="宋体"/>
          <w:b/>
          <w:bCs/>
          <w:color w:val="auto"/>
          <w:sz w:val="24"/>
          <w:szCs w:val="24"/>
        </w:rPr>
        <w:t>文件的一部分，所有文件必须真实可靠、不得伪造，否则将按相关规定予以处罚。</w:t>
      </w:r>
    </w:p>
    <w:p w14:paraId="44B8310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能力、能够承担民事责任和义务的公民。如供应商是企业（包括合伙企业），要提供在市场监督管理部门注册的有效“企业法人营业执照”或“营业执照”；如供应商是事业单位，要提供有效的“事业单位法人证书”；供应商是非企业专业服务机构，如律师事务所、会计师事务所，要提供有效的执业许可证等证明文件；如供应商是个体工商户，要提供有效的“个体工商户营业执照”；如供应商是自然人，要提供有效的自然人身份证明。</w:t>
      </w:r>
    </w:p>
    <w:p w14:paraId="693C99E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分公司不是独立法人，不具备政府采购法第二十二条规定的供应商应当具备独立承担民事责任能力的条件。分公司经总公司授权，可以以分公司的名义参加政府采购活动，但其民事责任由总公司承担。</w:t>
      </w:r>
    </w:p>
    <w:p w14:paraId="54E80E2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二、财务状况报告，依法缴纳税收和社会保障资金的相关材料（详见资格审查表）。</w:t>
      </w:r>
    </w:p>
    <w:p w14:paraId="6573B799">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三、具备履行合同所必需的设备和专业技术能力的证明材料。</w:t>
      </w:r>
    </w:p>
    <w:p w14:paraId="235742B9">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四、参加政府采购活动前3年内在经营活动中没有重大违法记录的书面声明。</w:t>
      </w:r>
    </w:p>
    <w:p w14:paraId="65A77A6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五、按照谈判文件要求，供应商应当提交的其他资格、资信证明文件。</w:t>
      </w:r>
    </w:p>
    <w:p w14:paraId="4C7B5FE0">
      <w:pPr>
        <w:snapToGrid w:val="0"/>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资格审查表</w:t>
      </w:r>
    </w:p>
    <w:tbl>
      <w:tblPr>
        <w:tblStyle w:val="26"/>
        <w:tblW w:w="10194"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5"/>
        <w:gridCol w:w="2421"/>
        <w:gridCol w:w="5221"/>
        <w:gridCol w:w="589"/>
        <w:gridCol w:w="589"/>
        <w:gridCol w:w="529"/>
      </w:tblGrid>
      <w:tr w14:paraId="527F16F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3266" w:type="dxa"/>
            <w:gridSpan w:val="2"/>
            <w:vMerge w:val="restart"/>
            <w:vAlign w:val="center"/>
          </w:tcPr>
          <w:p w14:paraId="708B819E">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审查内容</w:t>
            </w:r>
          </w:p>
        </w:tc>
        <w:tc>
          <w:tcPr>
            <w:tcW w:w="5221" w:type="dxa"/>
            <w:vMerge w:val="restart"/>
            <w:vAlign w:val="center"/>
          </w:tcPr>
          <w:p w14:paraId="32F87685">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审查标准</w:t>
            </w:r>
          </w:p>
        </w:tc>
        <w:tc>
          <w:tcPr>
            <w:tcW w:w="1707" w:type="dxa"/>
            <w:gridSpan w:val="3"/>
            <w:vAlign w:val="center"/>
          </w:tcPr>
          <w:p w14:paraId="00E7AA5B">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名称</w:t>
            </w:r>
          </w:p>
        </w:tc>
      </w:tr>
      <w:tr w14:paraId="4A12020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3266" w:type="dxa"/>
            <w:gridSpan w:val="2"/>
            <w:vMerge w:val="continue"/>
            <w:vAlign w:val="center"/>
          </w:tcPr>
          <w:p w14:paraId="70A0B428">
            <w:pPr>
              <w:spacing w:line="520" w:lineRule="exact"/>
              <w:ind w:firstLine="480" w:firstLineChars="200"/>
              <w:jc w:val="center"/>
              <w:rPr>
                <w:rFonts w:hint="eastAsia" w:ascii="宋体" w:hAnsi="宋体" w:eastAsia="宋体" w:cs="宋体"/>
                <w:color w:val="auto"/>
                <w:sz w:val="24"/>
                <w:szCs w:val="24"/>
              </w:rPr>
            </w:pPr>
          </w:p>
        </w:tc>
        <w:tc>
          <w:tcPr>
            <w:tcW w:w="5221" w:type="dxa"/>
            <w:vMerge w:val="continue"/>
            <w:vAlign w:val="center"/>
          </w:tcPr>
          <w:p w14:paraId="602C5133">
            <w:pPr>
              <w:spacing w:line="520" w:lineRule="exact"/>
              <w:ind w:firstLine="480" w:firstLineChars="200"/>
              <w:jc w:val="center"/>
              <w:rPr>
                <w:rFonts w:hint="eastAsia" w:ascii="宋体" w:hAnsi="宋体" w:eastAsia="宋体" w:cs="宋体"/>
                <w:color w:val="auto"/>
                <w:sz w:val="24"/>
                <w:szCs w:val="24"/>
              </w:rPr>
            </w:pPr>
          </w:p>
        </w:tc>
        <w:tc>
          <w:tcPr>
            <w:tcW w:w="589" w:type="dxa"/>
            <w:vAlign w:val="center"/>
          </w:tcPr>
          <w:p w14:paraId="1F33F64F">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89" w:type="dxa"/>
            <w:vAlign w:val="center"/>
          </w:tcPr>
          <w:p w14:paraId="277CF3F1">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29" w:type="dxa"/>
            <w:vAlign w:val="center"/>
          </w:tcPr>
          <w:p w14:paraId="7FA723B6">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14:paraId="349B5D18">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2FE51C77">
            <w:pPr>
              <w:numPr>
                <w:ilvl w:val="0"/>
                <w:numId w:val="3"/>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0381CB1D">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营业执照</w:t>
            </w:r>
          </w:p>
        </w:tc>
        <w:tc>
          <w:tcPr>
            <w:tcW w:w="5221" w:type="dxa"/>
            <w:shd w:val="clear" w:color="auto" w:fill="auto"/>
            <w:vAlign w:val="center"/>
          </w:tcPr>
          <w:p w14:paraId="2559CEC2">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具有合法有效的营业执照</w:t>
            </w:r>
          </w:p>
        </w:tc>
        <w:tc>
          <w:tcPr>
            <w:tcW w:w="589" w:type="dxa"/>
            <w:vAlign w:val="center"/>
          </w:tcPr>
          <w:p w14:paraId="015DBD4D">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0433D7C4">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53E934CC">
            <w:pPr>
              <w:spacing w:line="520" w:lineRule="exact"/>
              <w:ind w:firstLine="480" w:firstLineChars="200"/>
              <w:rPr>
                <w:rFonts w:hint="eastAsia" w:ascii="宋体" w:hAnsi="宋体" w:eastAsia="宋体" w:cs="宋体"/>
                <w:color w:val="auto"/>
                <w:sz w:val="24"/>
                <w:szCs w:val="24"/>
              </w:rPr>
            </w:pPr>
          </w:p>
        </w:tc>
      </w:tr>
      <w:tr w14:paraId="3BDE469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45" w:type="dxa"/>
            <w:vAlign w:val="center"/>
          </w:tcPr>
          <w:p w14:paraId="474F3A49">
            <w:pPr>
              <w:numPr>
                <w:ilvl w:val="0"/>
                <w:numId w:val="3"/>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457BD0D2">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5221" w:type="dxa"/>
            <w:shd w:val="clear" w:color="auto" w:fill="auto"/>
            <w:vAlign w:val="center"/>
          </w:tcPr>
          <w:p w14:paraId="3A06DB03">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提供20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年任意一年的</w:t>
            </w:r>
            <w:r>
              <w:rPr>
                <w:rFonts w:hint="eastAsia" w:ascii="宋体" w:hAnsi="宋体" w:eastAsia="宋体" w:cs="宋体"/>
                <w:color w:val="auto"/>
                <w:sz w:val="24"/>
                <w:szCs w:val="24"/>
                <w:highlight w:val="none"/>
                <w:lang w:val="en-US" w:eastAsia="zh-CN"/>
              </w:rPr>
              <w:t>完整</w:t>
            </w:r>
            <w:r>
              <w:rPr>
                <w:rFonts w:hint="eastAsia" w:ascii="宋体" w:hAnsi="宋体" w:eastAsia="宋体" w:cs="宋体"/>
                <w:color w:val="auto"/>
                <w:sz w:val="24"/>
                <w:szCs w:val="24"/>
                <w:highlight w:val="none"/>
              </w:rPr>
              <w:t>审计报告或财务报表（应包括资产负债表、现金流量表、利润表）</w:t>
            </w:r>
            <w:r>
              <w:rPr>
                <w:rFonts w:hint="eastAsia" w:ascii="宋体" w:hAnsi="宋体" w:eastAsia="宋体" w:cs="宋体"/>
                <w:color w:val="auto"/>
                <w:sz w:val="24"/>
                <w:szCs w:val="24"/>
                <w:highlight w:val="none"/>
                <w:lang w:val="en-US" w:eastAsia="zh-CN"/>
              </w:rPr>
              <w:t>或提交近一年内银行出具的资信证明</w:t>
            </w:r>
            <w:r>
              <w:rPr>
                <w:rFonts w:hint="eastAsia" w:ascii="宋体" w:hAnsi="宋体" w:eastAsia="宋体" w:cs="宋体"/>
                <w:color w:val="auto"/>
                <w:sz w:val="24"/>
                <w:szCs w:val="24"/>
                <w:highlight w:val="none"/>
              </w:rPr>
              <w:t>，本年度新成立或成立不满一年的无法提供财务审计报告或财务状况报告表的</w:t>
            </w:r>
            <w:r>
              <w:rPr>
                <w:rFonts w:hint="eastAsia" w:ascii="宋体" w:hAnsi="宋体" w:eastAsia="宋体" w:cs="宋体"/>
                <w:color w:val="auto"/>
                <w:sz w:val="24"/>
                <w:szCs w:val="24"/>
                <w:highlight w:val="none"/>
                <w:lang w:val="en-US" w:eastAsia="zh-CN"/>
              </w:rPr>
              <w:t>可提供在工商备案的公司章程（复印件）</w:t>
            </w:r>
            <w:r>
              <w:rPr>
                <w:rFonts w:hint="eastAsia" w:ascii="宋体" w:hAnsi="宋体" w:eastAsia="宋体" w:cs="宋体"/>
                <w:color w:val="auto"/>
                <w:sz w:val="24"/>
                <w:szCs w:val="24"/>
                <w:highlight w:val="none"/>
              </w:rPr>
              <w:t>。</w:t>
            </w:r>
          </w:p>
        </w:tc>
        <w:tc>
          <w:tcPr>
            <w:tcW w:w="589" w:type="dxa"/>
            <w:vAlign w:val="center"/>
          </w:tcPr>
          <w:p w14:paraId="340CC9F2">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69AC2A2B">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0CDAAAFC">
            <w:pPr>
              <w:spacing w:line="520" w:lineRule="exact"/>
              <w:ind w:firstLine="480" w:firstLineChars="200"/>
              <w:rPr>
                <w:rFonts w:hint="eastAsia" w:ascii="宋体" w:hAnsi="宋体" w:eastAsia="宋体" w:cs="宋体"/>
                <w:color w:val="auto"/>
                <w:sz w:val="24"/>
                <w:szCs w:val="24"/>
              </w:rPr>
            </w:pPr>
          </w:p>
        </w:tc>
      </w:tr>
      <w:tr w14:paraId="61D8F82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103" w:hRule="atLeast"/>
          <w:jc w:val="center"/>
        </w:trPr>
        <w:tc>
          <w:tcPr>
            <w:tcW w:w="845" w:type="dxa"/>
            <w:vAlign w:val="center"/>
          </w:tcPr>
          <w:p w14:paraId="5946B571">
            <w:pPr>
              <w:numPr>
                <w:ilvl w:val="0"/>
                <w:numId w:val="3"/>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08AB9ECC">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履行合同所必需的设备和专业技术能力</w:t>
            </w:r>
          </w:p>
        </w:tc>
        <w:tc>
          <w:tcPr>
            <w:tcW w:w="5221" w:type="dxa"/>
            <w:shd w:val="clear" w:color="auto" w:fill="auto"/>
            <w:vAlign w:val="center"/>
          </w:tcPr>
          <w:p w14:paraId="3AF7BD6B">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根据项目需求提供</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履行合同所必需的设备和专业技术能力的加盖单位公章的书面承诺函</w:t>
            </w:r>
          </w:p>
        </w:tc>
        <w:tc>
          <w:tcPr>
            <w:tcW w:w="589" w:type="dxa"/>
            <w:vAlign w:val="center"/>
          </w:tcPr>
          <w:p w14:paraId="4D2A8C62">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7458759F">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00A555CB">
            <w:pPr>
              <w:spacing w:line="520" w:lineRule="exact"/>
              <w:ind w:firstLine="480" w:firstLineChars="200"/>
              <w:rPr>
                <w:rFonts w:hint="eastAsia" w:ascii="宋体" w:hAnsi="宋体" w:eastAsia="宋体" w:cs="宋体"/>
                <w:color w:val="auto"/>
                <w:sz w:val="24"/>
                <w:szCs w:val="24"/>
              </w:rPr>
            </w:pPr>
          </w:p>
        </w:tc>
      </w:tr>
      <w:tr w14:paraId="2FCFD21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845" w:type="dxa"/>
            <w:vAlign w:val="center"/>
          </w:tcPr>
          <w:p w14:paraId="5BB3EA59">
            <w:pPr>
              <w:numPr>
                <w:ilvl w:val="0"/>
                <w:numId w:val="3"/>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20322DE7">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特定资质</w:t>
            </w:r>
          </w:p>
        </w:tc>
        <w:tc>
          <w:tcPr>
            <w:tcW w:w="5221" w:type="dxa"/>
            <w:shd w:val="clear" w:color="auto" w:fill="auto"/>
            <w:vAlign w:val="center"/>
          </w:tcPr>
          <w:p w14:paraId="54668C30">
            <w:pPr>
              <w:keepNext w:val="0"/>
              <w:keepLines w:val="0"/>
              <w:pageBreakBefore w:val="0"/>
              <w:widowControl/>
              <w:kinsoku/>
              <w:wordWrap/>
              <w:overflowPunct/>
              <w:topLinePunct w:val="0"/>
              <w:autoSpaceDE/>
              <w:autoSpaceDN/>
              <w:bidi w:val="0"/>
              <w:adjustRightInd/>
              <w:snapToGrid/>
              <w:spacing w:beforeAutospacing="0" w:line="360" w:lineRule="exact"/>
              <w:ind w:left="0"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若为生产厂家则需提供有效期内的GMP证书和兽药生产许可证；（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1707AB0A">
            <w:pPr>
              <w:keepNext w:val="0"/>
              <w:keepLines w:val="0"/>
              <w:pageBreakBefore w:val="0"/>
              <w:widowControl/>
              <w:kinsoku/>
              <w:wordWrap/>
              <w:overflowPunct/>
              <w:topLinePunct w:val="0"/>
              <w:autoSpaceDE/>
              <w:autoSpaceDN/>
              <w:bidi w:val="0"/>
              <w:adjustRightInd/>
              <w:snapToGrid/>
              <w:spacing w:beforeAutospacing="0"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若非生产厂家则需提供兽药经营许可证（经营范围包含本项目产品）及生产厂家有效期内的GMP 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00482865">
            <w:pPr>
              <w:keepNext w:val="0"/>
              <w:keepLines w:val="0"/>
              <w:pageBreakBefore w:val="0"/>
              <w:widowControl/>
              <w:kinsoku/>
              <w:wordWrap/>
              <w:overflowPunct/>
              <w:topLinePunct w:val="0"/>
              <w:autoSpaceDE/>
              <w:autoSpaceDN/>
              <w:bidi w:val="0"/>
              <w:adjustRightInd/>
              <w:snapToGrid/>
              <w:spacing w:beforeAutospacing="0" w:line="360" w:lineRule="exact"/>
              <w:ind w:left="0"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（3）所投产品具有有效的兽药产品批准文号批件；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tc>
        <w:tc>
          <w:tcPr>
            <w:tcW w:w="589" w:type="dxa"/>
            <w:vAlign w:val="center"/>
          </w:tcPr>
          <w:p w14:paraId="696ED9A7">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5CA0BAE7">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1D2F0497">
            <w:pPr>
              <w:spacing w:line="520" w:lineRule="exact"/>
              <w:ind w:firstLine="480" w:firstLineChars="200"/>
              <w:rPr>
                <w:rFonts w:hint="eastAsia" w:ascii="宋体" w:hAnsi="宋体" w:eastAsia="宋体" w:cs="宋体"/>
                <w:color w:val="auto"/>
                <w:sz w:val="24"/>
                <w:szCs w:val="24"/>
              </w:rPr>
            </w:pPr>
          </w:p>
        </w:tc>
      </w:tr>
      <w:tr w14:paraId="4A43A762">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52BAE5BD">
            <w:pPr>
              <w:numPr>
                <w:ilvl w:val="0"/>
                <w:numId w:val="3"/>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2C30D33B">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依法缴纳税收和社会保障资金</w:t>
            </w:r>
          </w:p>
        </w:tc>
        <w:tc>
          <w:tcPr>
            <w:tcW w:w="5221" w:type="dxa"/>
            <w:shd w:val="clear" w:color="auto" w:fill="auto"/>
            <w:vAlign w:val="center"/>
          </w:tcPr>
          <w:p w14:paraId="608E479E">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提供开标时间前活动前近半年内任意一个月的依法缴纳税收和社会保障资金的相关材料</w:t>
            </w:r>
          </w:p>
        </w:tc>
        <w:tc>
          <w:tcPr>
            <w:tcW w:w="589" w:type="dxa"/>
            <w:vAlign w:val="center"/>
          </w:tcPr>
          <w:p w14:paraId="4D5E6D10">
            <w:pPr>
              <w:spacing w:line="520" w:lineRule="exact"/>
              <w:jc w:val="center"/>
              <w:rPr>
                <w:rFonts w:hint="eastAsia" w:ascii="宋体" w:hAnsi="宋体" w:eastAsia="宋体" w:cs="宋体"/>
                <w:color w:val="auto"/>
                <w:sz w:val="24"/>
                <w:szCs w:val="24"/>
              </w:rPr>
            </w:pPr>
          </w:p>
        </w:tc>
        <w:tc>
          <w:tcPr>
            <w:tcW w:w="589" w:type="dxa"/>
            <w:vAlign w:val="center"/>
          </w:tcPr>
          <w:p w14:paraId="3A8AD189">
            <w:pPr>
              <w:spacing w:line="520" w:lineRule="exact"/>
              <w:jc w:val="center"/>
              <w:rPr>
                <w:rFonts w:hint="eastAsia" w:ascii="宋体" w:hAnsi="宋体" w:eastAsia="宋体" w:cs="宋体"/>
                <w:color w:val="auto"/>
                <w:sz w:val="24"/>
                <w:szCs w:val="24"/>
              </w:rPr>
            </w:pPr>
          </w:p>
        </w:tc>
        <w:tc>
          <w:tcPr>
            <w:tcW w:w="529" w:type="dxa"/>
            <w:vAlign w:val="center"/>
          </w:tcPr>
          <w:p w14:paraId="7A953C9F">
            <w:pPr>
              <w:spacing w:line="520" w:lineRule="exact"/>
              <w:jc w:val="center"/>
              <w:rPr>
                <w:rFonts w:hint="eastAsia" w:ascii="宋体" w:hAnsi="宋体" w:eastAsia="宋体" w:cs="宋体"/>
                <w:color w:val="auto"/>
                <w:sz w:val="24"/>
                <w:szCs w:val="24"/>
              </w:rPr>
            </w:pPr>
          </w:p>
        </w:tc>
      </w:tr>
      <w:tr w14:paraId="5792E55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320" w:hRule="atLeast"/>
          <w:jc w:val="center"/>
        </w:trPr>
        <w:tc>
          <w:tcPr>
            <w:tcW w:w="845" w:type="dxa"/>
            <w:vAlign w:val="center"/>
          </w:tcPr>
          <w:p w14:paraId="20792BC0">
            <w:pPr>
              <w:numPr>
                <w:ilvl w:val="0"/>
                <w:numId w:val="3"/>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639033B9">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参加政府采购活动前三年内，在经营活动中没有重大违法记录</w:t>
            </w:r>
          </w:p>
        </w:tc>
        <w:tc>
          <w:tcPr>
            <w:tcW w:w="5221" w:type="dxa"/>
            <w:shd w:val="clear" w:color="auto" w:fill="auto"/>
            <w:vAlign w:val="center"/>
          </w:tcPr>
          <w:p w14:paraId="2E1D2B48">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提供参加本次政府采购活动前三年内在经营活动中没有重大违法记录的书面承诺函并加盖单位公章</w:t>
            </w:r>
          </w:p>
        </w:tc>
        <w:tc>
          <w:tcPr>
            <w:tcW w:w="589" w:type="dxa"/>
            <w:vAlign w:val="center"/>
          </w:tcPr>
          <w:p w14:paraId="3012324A">
            <w:pPr>
              <w:spacing w:line="520" w:lineRule="exact"/>
              <w:jc w:val="center"/>
              <w:rPr>
                <w:rFonts w:hint="eastAsia" w:ascii="宋体" w:hAnsi="宋体" w:eastAsia="宋体" w:cs="宋体"/>
                <w:color w:val="auto"/>
                <w:sz w:val="24"/>
                <w:szCs w:val="24"/>
              </w:rPr>
            </w:pPr>
          </w:p>
        </w:tc>
        <w:tc>
          <w:tcPr>
            <w:tcW w:w="589" w:type="dxa"/>
            <w:vAlign w:val="center"/>
          </w:tcPr>
          <w:p w14:paraId="451FFF26">
            <w:pPr>
              <w:spacing w:line="520" w:lineRule="exact"/>
              <w:jc w:val="center"/>
              <w:rPr>
                <w:rFonts w:hint="eastAsia" w:ascii="宋体" w:hAnsi="宋体" w:eastAsia="宋体" w:cs="宋体"/>
                <w:color w:val="auto"/>
                <w:sz w:val="24"/>
                <w:szCs w:val="24"/>
              </w:rPr>
            </w:pPr>
          </w:p>
        </w:tc>
        <w:tc>
          <w:tcPr>
            <w:tcW w:w="529" w:type="dxa"/>
            <w:vAlign w:val="center"/>
          </w:tcPr>
          <w:p w14:paraId="778C2C78">
            <w:pPr>
              <w:spacing w:line="520" w:lineRule="exact"/>
              <w:jc w:val="center"/>
              <w:rPr>
                <w:rFonts w:hint="eastAsia" w:ascii="宋体" w:hAnsi="宋体" w:eastAsia="宋体" w:cs="宋体"/>
                <w:color w:val="auto"/>
                <w:sz w:val="24"/>
                <w:szCs w:val="24"/>
              </w:rPr>
            </w:pPr>
          </w:p>
        </w:tc>
      </w:tr>
      <w:tr w14:paraId="410DC44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3975FEAC">
            <w:pPr>
              <w:numPr>
                <w:ilvl w:val="0"/>
                <w:numId w:val="3"/>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7EB7D6CF">
            <w:pPr>
              <w:pStyle w:val="75"/>
              <w:keepNext w:val="0"/>
              <w:keepLines w:val="0"/>
              <w:pageBreakBefore w:val="0"/>
              <w:widowControl/>
              <w:kinsoku/>
              <w:wordWrap/>
              <w:overflowPunct/>
              <w:topLinePunct w:val="0"/>
              <w:autoSpaceDE/>
              <w:autoSpaceDN/>
              <w:bidi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法律、行政法规规定的其他条件</w:t>
            </w:r>
          </w:p>
        </w:tc>
        <w:tc>
          <w:tcPr>
            <w:tcW w:w="5221" w:type="dxa"/>
            <w:shd w:val="clear" w:color="auto" w:fill="auto"/>
            <w:vAlign w:val="center"/>
          </w:tcPr>
          <w:p w14:paraId="73985CF9">
            <w:pPr>
              <w:pStyle w:val="75"/>
              <w:keepNext w:val="0"/>
              <w:keepLines w:val="0"/>
              <w:pageBreakBefore w:val="0"/>
              <w:widowControl/>
              <w:numPr>
                <w:ilvl w:val="0"/>
                <w:numId w:val="0"/>
              </w:numPr>
              <w:kinsoku/>
              <w:wordWrap/>
              <w:overflowPunct/>
              <w:topLinePunct w:val="0"/>
              <w:autoSpaceDE/>
              <w:autoSpaceDN/>
              <w:bidi w:val="0"/>
              <w:spacing w:before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bidi="ar-SA"/>
              </w:rPr>
              <w:t>1.</w:t>
            </w:r>
            <w:r>
              <w:rPr>
                <w:rFonts w:hint="eastAsia" w:ascii="宋体" w:hAnsi="宋体" w:eastAsia="宋体" w:cs="宋体"/>
                <w:color w:val="auto"/>
                <w:sz w:val="24"/>
                <w:szCs w:val="24"/>
                <w:highlight w:val="none"/>
              </w:rPr>
              <w:t>提供信用信誉承诺函</w:t>
            </w:r>
            <w:r>
              <w:rPr>
                <w:rFonts w:hint="eastAsia" w:ascii="宋体" w:hAnsi="宋体" w:eastAsia="宋体" w:cs="宋体"/>
                <w:color w:val="auto"/>
                <w:sz w:val="24"/>
                <w:szCs w:val="24"/>
                <w:highlight w:val="none"/>
                <w:lang w:eastAsia="zh-CN"/>
              </w:rPr>
              <w:t>；</w:t>
            </w:r>
          </w:p>
          <w:p w14:paraId="15A552CB">
            <w:pPr>
              <w:pStyle w:val="75"/>
              <w:keepNext w:val="0"/>
              <w:keepLines w:val="0"/>
              <w:pageBreakBefore w:val="0"/>
              <w:widowControl/>
              <w:numPr>
                <w:ilvl w:val="0"/>
                <w:numId w:val="0"/>
              </w:numPr>
              <w:kinsoku/>
              <w:wordWrap/>
              <w:overflowPunct/>
              <w:topLinePunct w:val="0"/>
              <w:autoSpaceDE/>
              <w:autoSpaceDN/>
              <w:bidi w:val="0"/>
              <w:spacing w:beforeAutospacing="0" w:line="360" w:lineRule="exact"/>
              <w:ind w:left="0" w:leftChars="0" w:firstLine="0" w:firstLineChars="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bidi="ar-SA"/>
              </w:rPr>
              <w:t>2.</w:t>
            </w:r>
            <w:r>
              <w:rPr>
                <w:rFonts w:hint="eastAsia" w:ascii="宋体" w:hAnsi="宋体" w:eastAsia="宋体" w:cs="宋体"/>
                <w:color w:val="auto"/>
                <w:sz w:val="24"/>
                <w:szCs w:val="24"/>
                <w:highlight w:val="none"/>
              </w:rPr>
              <w:t>供应商提供信用中国网站（https://www.creditchina.gov.cn）查询截图（共需“失信被执行人”、“重大税收违法失信主体)和中国政府采购网网站（http://www.ccgp.gov.cn）查询截图（政府采购严重违法失信行为记录名单）</w:t>
            </w:r>
            <w:r>
              <w:rPr>
                <w:rFonts w:hint="eastAsia" w:ascii="宋体" w:hAnsi="宋体" w:eastAsia="宋体" w:cs="宋体"/>
                <w:color w:val="auto"/>
                <w:sz w:val="24"/>
                <w:szCs w:val="24"/>
                <w:highlight w:val="none"/>
                <w:lang w:eastAsia="zh-CN"/>
              </w:rPr>
              <w:t>；</w:t>
            </w:r>
          </w:p>
        </w:tc>
        <w:tc>
          <w:tcPr>
            <w:tcW w:w="589" w:type="dxa"/>
            <w:vAlign w:val="center"/>
          </w:tcPr>
          <w:p w14:paraId="65410BBF">
            <w:pPr>
              <w:spacing w:line="520" w:lineRule="exact"/>
              <w:jc w:val="center"/>
              <w:rPr>
                <w:rFonts w:hint="eastAsia" w:ascii="宋体" w:hAnsi="宋体" w:eastAsia="宋体" w:cs="宋体"/>
                <w:color w:val="auto"/>
                <w:sz w:val="24"/>
                <w:szCs w:val="24"/>
              </w:rPr>
            </w:pPr>
          </w:p>
        </w:tc>
        <w:tc>
          <w:tcPr>
            <w:tcW w:w="589" w:type="dxa"/>
            <w:vAlign w:val="center"/>
          </w:tcPr>
          <w:p w14:paraId="0B6C9933">
            <w:pPr>
              <w:spacing w:line="520" w:lineRule="exact"/>
              <w:jc w:val="center"/>
              <w:rPr>
                <w:rFonts w:hint="eastAsia" w:ascii="宋体" w:hAnsi="宋体" w:eastAsia="宋体" w:cs="宋体"/>
                <w:color w:val="auto"/>
                <w:sz w:val="24"/>
                <w:szCs w:val="24"/>
              </w:rPr>
            </w:pPr>
          </w:p>
        </w:tc>
        <w:tc>
          <w:tcPr>
            <w:tcW w:w="529" w:type="dxa"/>
            <w:vAlign w:val="center"/>
          </w:tcPr>
          <w:p w14:paraId="603DE1D6">
            <w:pPr>
              <w:spacing w:line="520" w:lineRule="exact"/>
              <w:jc w:val="center"/>
              <w:rPr>
                <w:rFonts w:hint="eastAsia" w:ascii="宋体" w:hAnsi="宋体" w:eastAsia="宋体" w:cs="宋体"/>
                <w:color w:val="auto"/>
                <w:sz w:val="24"/>
                <w:szCs w:val="24"/>
              </w:rPr>
            </w:pPr>
          </w:p>
        </w:tc>
      </w:tr>
      <w:tr w14:paraId="43577CD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845" w:type="dxa"/>
            <w:vAlign w:val="center"/>
          </w:tcPr>
          <w:p w14:paraId="4830BDF3">
            <w:pPr>
              <w:numPr>
                <w:ilvl w:val="0"/>
                <w:numId w:val="3"/>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10F3F669">
            <w:pPr>
              <w:pStyle w:val="75"/>
              <w:keepNext w:val="0"/>
              <w:keepLines w:val="0"/>
              <w:pageBreakBefore w:val="0"/>
              <w:widowControl/>
              <w:kinsoku/>
              <w:wordWrap/>
              <w:overflowPunct/>
              <w:topLinePunct w:val="0"/>
              <w:autoSpaceDE/>
              <w:autoSpaceDN/>
              <w:bidi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投标保证金</w:t>
            </w:r>
          </w:p>
        </w:tc>
        <w:tc>
          <w:tcPr>
            <w:tcW w:w="5221" w:type="dxa"/>
            <w:shd w:val="clear" w:color="auto" w:fill="auto"/>
            <w:vAlign w:val="center"/>
          </w:tcPr>
          <w:p w14:paraId="2CE12668">
            <w:pPr>
              <w:pStyle w:val="75"/>
              <w:keepNext w:val="0"/>
              <w:keepLines w:val="0"/>
              <w:pageBreakBefore w:val="0"/>
              <w:widowControl/>
              <w:kinsoku/>
              <w:wordWrap/>
              <w:overflowPunct/>
              <w:topLinePunct w:val="0"/>
              <w:autoSpaceDE/>
              <w:autoSpaceDN/>
              <w:bidi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有效的投标保证金凭证</w:t>
            </w:r>
          </w:p>
        </w:tc>
        <w:tc>
          <w:tcPr>
            <w:tcW w:w="589" w:type="dxa"/>
            <w:vAlign w:val="center"/>
          </w:tcPr>
          <w:p w14:paraId="548B27D1">
            <w:pPr>
              <w:spacing w:line="520" w:lineRule="exact"/>
              <w:jc w:val="center"/>
              <w:rPr>
                <w:rFonts w:hint="eastAsia" w:ascii="宋体" w:hAnsi="宋体" w:eastAsia="宋体" w:cs="宋体"/>
                <w:color w:val="auto"/>
                <w:sz w:val="24"/>
                <w:szCs w:val="24"/>
              </w:rPr>
            </w:pPr>
          </w:p>
        </w:tc>
        <w:tc>
          <w:tcPr>
            <w:tcW w:w="589" w:type="dxa"/>
            <w:vAlign w:val="center"/>
          </w:tcPr>
          <w:p w14:paraId="79835410">
            <w:pPr>
              <w:spacing w:line="520" w:lineRule="exact"/>
              <w:jc w:val="center"/>
              <w:rPr>
                <w:rFonts w:hint="eastAsia" w:ascii="宋体" w:hAnsi="宋体" w:eastAsia="宋体" w:cs="宋体"/>
                <w:color w:val="auto"/>
                <w:sz w:val="24"/>
                <w:szCs w:val="24"/>
              </w:rPr>
            </w:pPr>
          </w:p>
        </w:tc>
        <w:tc>
          <w:tcPr>
            <w:tcW w:w="529" w:type="dxa"/>
            <w:vAlign w:val="center"/>
          </w:tcPr>
          <w:p w14:paraId="3E3CF388">
            <w:pPr>
              <w:spacing w:line="520" w:lineRule="exact"/>
              <w:jc w:val="center"/>
              <w:rPr>
                <w:rFonts w:hint="eastAsia" w:ascii="宋体" w:hAnsi="宋体" w:eastAsia="宋体" w:cs="宋体"/>
                <w:color w:val="auto"/>
                <w:sz w:val="24"/>
                <w:szCs w:val="24"/>
              </w:rPr>
            </w:pPr>
          </w:p>
        </w:tc>
      </w:tr>
      <w:tr w14:paraId="6B6DDDE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8487" w:type="dxa"/>
            <w:gridSpan w:val="3"/>
            <w:vAlign w:val="center"/>
          </w:tcPr>
          <w:p w14:paraId="034FD7F8">
            <w:pPr>
              <w:spacing w:after="100" w:afterAutospacing="1" w:line="520" w:lineRule="exact"/>
              <w:ind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资格审查结果</w:t>
            </w:r>
          </w:p>
        </w:tc>
        <w:tc>
          <w:tcPr>
            <w:tcW w:w="589" w:type="dxa"/>
            <w:vAlign w:val="center"/>
          </w:tcPr>
          <w:p w14:paraId="291CEC6F">
            <w:pPr>
              <w:spacing w:line="520" w:lineRule="exact"/>
              <w:jc w:val="center"/>
              <w:rPr>
                <w:rFonts w:hint="eastAsia" w:ascii="宋体" w:hAnsi="宋体" w:eastAsia="宋体" w:cs="宋体"/>
                <w:color w:val="auto"/>
                <w:sz w:val="24"/>
                <w:szCs w:val="24"/>
              </w:rPr>
            </w:pPr>
          </w:p>
        </w:tc>
        <w:tc>
          <w:tcPr>
            <w:tcW w:w="589" w:type="dxa"/>
            <w:vAlign w:val="center"/>
          </w:tcPr>
          <w:p w14:paraId="55A71FAA">
            <w:pPr>
              <w:spacing w:line="520" w:lineRule="exact"/>
              <w:jc w:val="center"/>
              <w:rPr>
                <w:rFonts w:hint="eastAsia" w:ascii="宋体" w:hAnsi="宋体" w:eastAsia="宋体" w:cs="宋体"/>
                <w:color w:val="auto"/>
                <w:sz w:val="24"/>
                <w:szCs w:val="24"/>
              </w:rPr>
            </w:pPr>
          </w:p>
        </w:tc>
        <w:tc>
          <w:tcPr>
            <w:tcW w:w="529" w:type="dxa"/>
            <w:vAlign w:val="center"/>
          </w:tcPr>
          <w:p w14:paraId="0776963A">
            <w:pPr>
              <w:spacing w:line="520" w:lineRule="exact"/>
              <w:jc w:val="center"/>
              <w:rPr>
                <w:rFonts w:hint="eastAsia" w:ascii="宋体" w:hAnsi="宋体" w:eastAsia="宋体" w:cs="宋体"/>
                <w:color w:val="auto"/>
                <w:sz w:val="24"/>
                <w:szCs w:val="24"/>
              </w:rPr>
            </w:pPr>
          </w:p>
        </w:tc>
      </w:tr>
      <w:tr w14:paraId="711FB64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8487" w:type="dxa"/>
            <w:gridSpan w:val="3"/>
            <w:vAlign w:val="center"/>
          </w:tcPr>
          <w:p w14:paraId="70E6AE8C">
            <w:pPr>
              <w:spacing w:after="100" w:afterAutospacing="1" w:line="520" w:lineRule="exact"/>
              <w:ind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不通过理由说明</w:t>
            </w:r>
          </w:p>
        </w:tc>
        <w:tc>
          <w:tcPr>
            <w:tcW w:w="589" w:type="dxa"/>
            <w:vAlign w:val="center"/>
          </w:tcPr>
          <w:p w14:paraId="5CC32393">
            <w:pPr>
              <w:spacing w:line="520" w:lineRule="exact"/>
              <w:jc w:val="center"/>
              <w:rPr>
                <w:rFonts w:hint="eastAsia" w:ascii="宋体" w:hAnsi="宋体" w:eastAsia="宋体" w:cs="宋体"/>
                <w:color w:val="auto"/>
                <w:sz w:val="24"/>
                <w:szCs w:val="24"/>
              </w:rPr>
            </w:pPr>
          </w:p>
        </w:tc>
        <w:tc>
          <w:tcPr>
            <w:tcW w:w="589" w:type="dxa"/>
            <w:vAlign w:val="center"/>
          </w:tcPr>
          <w:p w14:paraId="45389BD7">
            <w:pPr>
              <w:spacing w:line="520" w:lineRule="exact"/>
              <w:jc w:val="center"/>
              <w:rPr>
                <w:rFonts w:hint="eastAsia" w:ascii="宋体" w:hAnsi="宋体" w:eastAsia="宋体" w:cs="宋体"/>
                <w:color w:val="auto"/>
                <w:sz w:val="24"/>
                <w:szCs w:val="24"/>
              </w:rPr>
            </w:pPr>
          </w:p>
        </w:tc>
        <w:tc>
          <w:tcPr>
            <w:tcW w:w="529" w:type="dxa"/>
            <w:vAlign w:val="center"/>
          </w:tcPr>
          <w:p w14:paraId="27BF4DFD">
            <w:pPr>
              <w:spacing w:line="520" w:lineRule="exact"/>
              <w:jc w:val="center"/>
              <w:rPr>
                <w:rFonts w:hint="eastAsia" w:ascii="宋体" w:hAnsi="宋体" w:eastAsia="宋体" w:cs="宋体"/>
                <w:color w:val="auto"/>
                <w:sz w:val="24"/>
                <w:szCs w:val="24"/>
              </w:rPr>
            </w:pPr>
          </w:p>
        </w:tc>
      </w:tr>
    </w:tbl>
    <w:p w14:paraId="5A81A221">
      <w:pPr>
        <w:ind w:firstLine="482" w:firstLineChars="200"/>
        <w:rPr>
          <w:rFonts w:hint="eastAsia" w:ascii="宋体" w:hAnsi="宋体" w:eastAsia="宋体" w:cs="宋体"/>
          <w:b/>
          <w:bCs/>
          <w:color w:val="auto"/>
          <w:sz w:val="24"/>
          <w:szCs w:val="24"/>
        </w:rPr>
      </w:pPr>
    </w:p>
    <w:p w14:paraId="001DE2F2">
      <w:pPr>
        <w:ind w:firstLine="482" w:firstLineChars="200"/>
        <w:rPr>
          <w:rFonts w:hint="eastAsia" w:ascii="宋体" w:hAnsi="宋体" w:eastAsia="宋体" w:cs="宋体"/>
          <w:b/>
          <w:bCs/>
          <w:color w:val="auto"/>
          <w:sz w:val="24"/>
          <w:szCs w:val="24"/>
        </w:rPr>
      </w:pPr>
    </w:p>
    <w:p w14:paraId="2EF633F2">
      <w:pPr>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2、符合性审查</w:t>
      </w:r>
    </w:p>
    <w:p w14:paraId="3633850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小组依据</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文件的规定，从响应文件的有效性、完整性和对</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文件的响应程度进行审查，以确定是否对</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文件的实质性要求作出响应。</w:t>
      </w:r>
    </w:p>
    <w:tbl>
      <w:tblPr>
        <w:tblStyle w:val="26"/>
        <w:tblpPr w:leftFromText="180" w:rightFromText="180" w:vertAnchor="text" w:horzAnchor="page" w:tblpX="1158" w:tblpY="2175"/>
        <w:tblOverlap w:val="never"/>
        <w:tblW w:w="9854"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45"/>
        <w:gridCol w:w="1375"/>
        <w:gridCol w:w="5299"/>
        <w:gridCol w:w="646"/>
        <w:gridCol w:w="646"/>
        <w:gridCol w:w="646"/>
        <w:gridCol w:w="597"/>
      </w:tblGrid>
      <w:tr w14:paraId="5C1436C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Merge w:val="restart"/>
            <w:vAlign w:val="center"/>
          </w:tcPr>
          <w:p w14:paraId="26F7C7D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评审内容</w:t>
            </w:r>
          </w:p>
        </w:tc>
        <w:tc>
          <w:tcPr>
            <w:tcW w:w="2535" w:type="dxa"/>
            <w:gridSpan w:val="4"/>
            <w:vAlign w:val="center"/>
          </w:tcPr>
          <w:p w14:paraId="6F78B15C">
            <w:pPr>
              <w:spacing w:line="360" w:lineRule="auto"/>
              <w:jc w:val="center"/>
              <w:rPr>
                <w:rFonts w:hint="eastAsia" w:ascii="宋体" w:hAnsi="宋体" w:eastAsia="宋体" w:cs="宋体"/>
                <w:b/>
                <w:color w:val="auto"/>
                <w:sz w:val="24"/>
                <w:szCs w:val="24"/>
              </w:rPr>
            </w:pP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rPr>
              <w:t>名称</w:t>
            </w:r>
          </w:p>
        </w:tc>
      </w:tr>
      <w:tr w14:paraId="3AC5CBB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Merge w:val="continue"/>
            <w:vAlign w:val="center"/>
          </w:tcPr>
          <w:p w14:paraId="2BE03047">
            <w:pPr>
              <w:spacing w:line="360" w:lineRule="auto"/>
              <w:jc w:val="center"/>
              <w:rPr>
                <w:rFonts w:hint="eastAsia" w:ascii="宋体" w:hAnsi="宋体" w:eastAsia="宋体" w:cs="宋体"/>
                <w:color w:val="auto"/>
                <w:sz w:val="24"/>
                <w:szCs w:val="24"/>
              </w:rPr>
            </w:pPr>
          </w:p>
        </w:tc>
        <w:tc>
          <w:tcPr>
            <w:tcW w:w="646" w:type="dxa"/>
            <w:vAlign w:val="center"/>
          </w:tcPr>
          <w:p w14:paraId="29BCC8A6">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1</w:t>
            </w:r>
          </w:p>
        </w:tc>
        <w:tc>
          <w:tcPr>
            <w:tcW w:w="646" w:type="dxa"/>
            <w:vAlign w:val="center"/>
          </w:tcPr>
          <w:p w14:paraId="03812AB1">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2</w:t>
            </w:r>
          </w:p>
        </w:tc>
        <w:tc>
          <w:tcPr>
            <w:tcW w:w="646" w:type="dxa"/>
            <w:vAlign w:val="center"/>
          </w:tcPr>
          <w:p w14:paraId="2DC19EE0">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3</w:t>
            </w:r>
          </w:p>
        </w:tc>
        <w:tc>
          <w:tcPr>
            <w:tcW w:w="597" w:type="dxa"/>
            <w:vAlign w:val="center"/>
          </w:tcPr>
          <w:p w14:paraId="6CAE138F">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w:t>
            </w:r>
          </w:p>
        </w:tc>
      </w:tr>
      <w:tr w14:paraId="780769B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1D666A0E">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75" w:type="dxa"/>
            <w:shd w:val="clear" w:color="auto" w:fill="auto"/>
            <w:vAlign w:val="center"/>
          </w:tcPr>
          <w:p w14:paraId="1922A37F">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响应文件</w:t>
            </w:r>
            <w:r>
              <w:rPr>
                <w:rFonts w:hint="eastAsia" w:ascii="宋体" w:hAnsi="宋体" w:eastAsia="宋体" w:cs="宋体"/>
                <w:color w:val="auto"/>
                <w:sz w:val="22"/>
                <w:szCs w:val="22"/>
                <w:highlight w:val="none"/>
              </w:rPr>
              <w:t>的签署</w:t>
            </w:r>
          </w:p>
        </w:tc>
        <w:tc>
          <w:tcPr>
            <w:tcW w:w="5299" w:type="dxa"/>
            <w:shd w:val="clear" w:color="auto" w:fill="auto"/>
            <w:vAlign w:val="center"/>
          </w:tcPr>
          <w:p w14:paraId="6EB3C27E">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按</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要求在规定区域加盖单位公章和法定代表人章或签字</w:t>
            </w:r>
          </w:p>
        </w:tc>
        <w:tc>
          <w:tcPr>
            <w:tcW w:w="646" w:type="dxa"/>
            <w:vAlign w:val="center"/>
          </w:tcPr>
          <w:p w14:paraId="7A581108">
            <w:pPr>
              <w:spacing w:line="360" w:lineRule="auto"/>
              <w:jc w:val="center"/>
              <w:rPr>
                <w:rFonts w:hint="eastAsia" w:ascii="宋体" w:hAnsi="宋体" w:eastAsia="宋体" w:cs="宋体"/>
                <w:color w:val="auto"/>
                <w:sz w:val="24"/>
                <w:szCs w:val="24"/>
              </w:rPr>
            </w:pPr>
          </w:p>
        </w:tc>
        <w:tc>
          <w:tcPr>
            <w:tcW w:w="646" w:type="dxa"/>
            <w:vAlign w:val="center"/>
          </w:tcPr>
          <w:p w14:paraId="3F69033D">
            <w:pPr>
              <w:spacing w:line="360" w:lineRule="auto"/>
              <w:jc w:val="center"/>
              <w:rPr>
                <w:rFonts w:hint="eastAsia" w:ascii="宋体" w:hAnsi="宋体" w:eastAsia="宋体" w:cs="宋体"/>
                <w:color w:val="auto"/>
                <w:sz w:val="24"/>
                <w:szCs w:val="24"/>
              </w:rPr>
            </w:pPr>
          </w:p>
        </w:tc>
        <w:tc>
          <w:tcPr>
            <w:tcW w:w="646" w:type="dxa"/>
            <w:vAlign w:val="center"/>
          </w:tcPr>
          <w:p w14:paraId="2998EA1A">
            <w:pPr>
              <w:spacing w:line="360" w:lineRule="auto"/>
              <w:jc w:val="center"/>
              <w:rPr>
                <w:rFonts w:hint="eastAsia" w:ascii="宋体" w:hAnsi="宋体" w:eastAsia="宋体" w:cs="宋体"/>
                <w:color w:val="auto"/>
                <w:sz w:val="24"/>
                <w:szCs w:val="24"/>
              </w:rPr>
            </w:pPr>
          </w:p>
        </w:tc>
        <w:tc>
          <w:tcPr>
            <w:tcW w:w="597" w:type="dxa"/>
            <w:vAlign w:val="center"/>
          </w:tcPr>
          <w:p w14:paraId="2E1339E7">
            <w:pPr>
              <w:spacing w:line="360" w:lineRule="auto"/>
              <w:jc w:val="center"/>
              <w:rPr>
                <w:rFonts w:hint="eastAsia" w:ascii="宋体" w:hAnsi="宋体" w:eastAsia="宋体" w:cs="宋体"/>
                <w:color w:val="auto"/>
                <w:sz w:val="24"/>
                <w:szCs w:val="24"/>
              </w:rPr>
            </w:pPr>
          </w:p>
        </w:tc>
      </w:tr>
      <w:tr w14:paraId="023530A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76A5A20D">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75" w:type="dxa"/>
            <w:shd w:val="clear" w:color="auto" w:fill="auto"/>
            <w:vAlign w:val="center"/>
          </w:tcPr>
          <w:p w14:paraId="5388B539">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报价唯一</w:t>
            </w:r>
          </w:p>
        </w:tc>
        <w:tc>
          <w:tcPr>
            <w:tcW w:w="5299" w:type="dxa"/>
            <w:shd w:val="clear" w:color="auto" w:fill="auto"/>
            <w:vAlign w:val="center"/>
          </w:tcPr>
          <w:p w14:paraId="04CF8131">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投标报价按采购文件要求</w:t>
            </w:r>
            <w:r>
              <w:rPr>
                <w:rFonts w:hint="eastAsia" w:ascii="宋体" w:hAnsi="宋体" w:eastAsia="宋体" w:cs="宋体"/>
                <w:color w:val="auto"/>
                <w:sz w:val="22"/>
                <w:szCs w:val="22"/>
                <w:highlight w:val="none"/>
              </w:rPr>
              <w:t>只有一个有效报价且未超过</w:t>
            </w:r>
            <w:r>
              <w:rPr>
                <w:rFonts w:hint="eastAsia" w:ascii="宋体" w:hAnsi="宋体" w:eastAsia="宋体" w:cs="宋体"/>
                <w:color w:val="auto"/>
                <w:sz w:val="22"/>
                <w:szCs w:val="22"/>
                <w:highlight w:val="none"/>
                <w:lang w:val="en-US" w:eastAsia="zh-CN"/>
              </w:rPr>
              <w:t>预算价或</w:t>
            </w:r>
            <w:r>
              <w:rPr>
                <w:rFonts w:hint="eastAsia" w:ascii="宋体" w:hAnsi="宋体" w:eastAsia="宋体" w:cs="宋体"/>
                <w:color w:val="auto"/>
                <w:sz w:val="22"/>
                <w:szCs w:val="22"/>
                <w:highlight w:val="none"/>
                <w:lang w:eastAsia="zh-CN"/>
              </w:rPr>
              <w:t>最高限价</w:t>
            </w:r>
          </w:p>
        </w:tc>
        <w:tc>
          <w:tcPr>
            <w:tcW w:w="646" w:type="dxa"/>
            <w:vAlign w:val="center"/>
          </w:tcPr>
          <w:p w14:paraId="3BC26C07">
            <w:pPr>
              <w:spacing w:line="360" w:lineRule="auto"/>
              <w:jc w:val="center"/>
              <w:rPr>
                <w:rFonts w:hint="eastAsia" w:ascii="宋体" w:hAnsi="宋体" w:eastAsia="宋体" w:cs="宋体"/>
                <w:color w:val="auto"/>
                <w:sz w:val="24"/>
                <w:szCs w:val="24"/>
              </w:rPr>
            </w:pPr>
          </w:p>
        </w:tc>
        <w:tc>
          <w:tcPr>
            <w:tcW w:w="646" w:type="dxa"/>
            <w:vAlign w:val="center"/>
          </w:tcPr>
          <w:p w14:paraId="2CFD21DE">
            <w:pPr>
              <w:spacing w:line="360" w:lineRule="auto"/>
              <w:jc w:val="center"/>
              <w:rPr>
                <w:rFonts w:hint="eastAsia" w:ascii="宋体" w:hAnsi="宋体" w:eastAsia="宋体" w:cs="宋体"/>
                <w:color w:val="auto"/>
                <w:sz w:val="24"/>
                <w:szCs w:val="24"/>
              </w:rPr>
            </w:pPr>
          </w:p>
        </w:tc>
        <w:tc>
          <w:tcPr>
            <w:tcW w:w="646" w:type="dxa"/>
            <w:vAlign w:val="center"/>
          </w:tcPr>
          <w:p w14:paraId="743E04E8">
            <w:pPr>
              <w:spacing w:line="360" w:lineRule="auto"/>
              <w:jc w:val="center"/>
              <w:rPr>
                <w:rFonts w:hint="eastAsia" w:ascii="宋体" w:hAnsi="宋体" w:eastAsia="宋体" w:cs="宋体"/>
                <w:color w:val="auto"/>
                <w:sz w:val="24"/>
                <w:szCs w:val="24"/>
              </w:rPr>
            </w:pPr>
          </w:p>
        </w:tc>
        <w:tc>
          <w:tcPr>
            <w:tcW w:w="597" w:type="dxa"/>
            <w:vAlign w:val="center"/>
          </w:tcPr>
          <w:p w14:paraId="50CA0EAF">
            <w:pPr>
              <w:spacing w:line="360" w:lineRule="auto"/>
              <w:jc w:val="center"/>
              <w:rPr>
                <w:rFonts w:hint="eastAsia" w:ascii="宋体" w:hAnsi="宋体" w:eastAsia="宋体" w:cs="宋体"/>
                <w:color w:val="auto"/>
                <w:sz w:val="24"/>
                <w:szCs w:val="24"/>
              </w:rPr>
            </w:pPr>
          </w:p>
        </w:tc>
      </w:tr>
      <w:tr w14:paraId="4097BA9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0DAFC3CA">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75" w:type="dxa"/>
            <w:shd w:val="clear" w:color="auto" w:fill="auto"/>
            <w:vAlign w:val="center"/>
          </w:tcPr>
          <w:p w14:paraId="0E326D5C">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响应文件格式</w:t>
            </w:r>
          </w:p>
        </w:tc>
        <w:tc>
          <w:tcPr>
            <w:tcW w:w="5299" w:type="dxa"/>
            <w:shd w:val="clear" w:color="auto" w:fill="auto"/>
            <w:vAlign w:val="center"/>
          </w:tcPr>
          <w:p w14:paraId="38E65C2D">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按采购文件规定的格式填写，内容全或关键字迹清晰、数量等齐全的；</w:t>
            </w:r>
          </w:p>
        </w:tc>
        <w:tc>
          <w:tcPr>
            <w:tcW w:w="646" w:type="dxa"/>
            <w:vAlign w:val="center"/>
          </w:tcPr>
          <w:p w14:paraId="1A232C0F">
            <w:pPr>
              <w:shd w:val="clear" w:color="auto" w:fill="FAFAFA"/>
              <w:spacing w:line="360" w:lineRule="auto"/>
              <w:jc w:val="center"/>
              <w:rPr>
                <w:rFonts w:hint="eastAsia" w:ascii="宋体" w:hAnsi="宋体" w:eastAsia="宋体" w:cs="宋体"/>
                <w:color w:val="auto"/>
                <w:sz w:val="24"/>
                <w:szCs w:val="24"/>
              </w:rPr>
            </w:pPr>
          </w:p>
        </w:tc>
        <w:tc>
          <w:tcPr>
            <w:tcW w:w="646" w:type="dxa"/>
            <w:vAlign w:val="center"/>
          </w:tcPr>
          <w:p w14:paraId="2B4B2F00">
            <w:pPr>
              <w:spacing w:line="360" w:lineRule="auto"/>
              <w:jc w:val="center"/>
              <w:rPr>
                <w:rFonts w:hint="eastAsia" w:ascii="宋体" w:hAnsi="宋体" w:eastAsia="宋体" w:cs="宋体"/>
                <w:color w:val="auto"/>
                <w:sz w:val="24"/>
                <w:szCs w:val="24"/>
              </w:rPr>
            </w:pPr>
          </w:p>
        </w:tc>
        <w:tc>
          <w:tcPr>
            <w:tcW w:w="646" w:type="dxa"/>
            <w:vAlign w:val="center"/>
          </w:tcPr>
          <w:p w14:paraId="420E85BA">
            <w:pPr>
              <w:spacing w:line="360" w:lineRule="auto"/>
              <w:jc w:val="center"/>
              <w:rPr>
                <w:rFonts w:hint="eastAsia" w:ascii="宋体" w:hAnsi="宋体" w:eastAsia="宋体" w:cs="宋体"/>
                <w:color w:val="auto"/>
                <w:sz w:val="24"/>
                <w:szCs w:val="24"/>
              </w:rPr>
            </w:pPr>
          </w:p>
        </w:tc>
        <w:tc>
          <w:tcPr>
            <w:tcW w:w="597" w:type="dxa"/>
            <w:vAlign w:val="center"/>
          </w:tcPr>
          <w:p w14:paraId="5D50B704">
            <w:pPr>
              <w:spacing w:line="360" w:lineRule="auto"/>
              <w:jc w:val="center"/>
              <w:rPr>
                <w:rFonts w:hint="eastAsia" w:ascii="宋体" w:hAnsi="宋体" w:eastAsia="宋体" w:cs="宋体"/>
                <w:color w:val="auto"/>
                <w:sz w:val="24"/>
                <w:szCs w:val="24"/>
              </w:rPr>
            </w:pPr>
          </w:p>
        </w:tc>
      </w:tr>
      <w:tr w14:paraId="691623D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0D566D1B">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75" w:type="dxa"/>
            <w:shd w:val="clear" w:color="auto" w:fill="auto"/>
            <w:vAlign w:val="center"/>
          </w:tcPr>
          <w:p w14:paraId="10FD2874">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响应时间</w:t>
            </w:r>
          </w:p>
        </w:tc>
        <w:tc>
          <w:tcPr>
            <w:tcW w:w="5299" w:type="dxa"/>
            <w:shd w:val="clear" w:color="auto" w:fill="auto"/>
            <w:vAlign w:val="center"/>
          </w:tcPr>
          <w:p w14:paraId="6B0F36C7">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质保期、服务期限、供货时间满足采购文件规定的</w:t>
            </w:r>
          </w:p>
        </w:tc>
        <w:tc>
          <w:tcPr>
            <w:tcW w:w="646" w:type="dxa"/>
            <w:vAlign w:val="center"/>
          </w:tcPr>
          <w:p w14:paraId="41E6D0AF">
            <w:pPr>
              <w:spacing w:line="360" w:lineRule="auto"/>
              <w:jc w:val="center"/>
              <w:rPr>
                <w:rFonts w:hint="eastAsia" w:ascii="宋体" w:hAnsi="宋体" w:eastAsia="宋体" w:cs="宋体"/>
                <w:color w:val="auto"/>
                <w:sz w:val="24"/>
                <w:szCs w:val="24"/>
              </w:rPr>
            </w:pPr>
          </w:p>
        </w:tc>
        <w:tc>
          <w:tcPr>
            <w:tcW w:w="646" w:type="dxa"/>
            <w:vAlign w:val="center"/>
          </w:tcPr>
          <w:p w14:paraId="2474C0C1">
            <w:pPr>
              <w:spacing w:line="360" w:lineRule="auto"/>
              <w:jc w:val="center"/>
              <w:rPr>
                <w:rFonts w:hint="eastAsia" w:ascii="宋体" w:hAnsi="宋体" w:eastAsia="宋体" w:cs="宋体"/>
                <w:color w:val="auto"/>
                <w:sz w:val="24"/>
                <w:szCs w:val="24"/>
              </w:rPr>
            </w:pPr>
          </w:p>
        </w:tc>
        <w:tc>
          <w:tcPr>
            <w:tcW w:w="646" w:type="dxa"/>
            <w:vAlign w:val="center"/>
          </w:tcPr>
          <w:p w14:paraId="492CFFBC">
            <w:pPr>
              <w:spacing w:line="360" w:lineRule="auto"/>
              <w:jc w:val="center"/>
              <w:rPr>
                <w:rFonts w:hint="eastAsia" w:ascii="宋体" w:hAnsi="宋体" w:eastAsia="宋体" w:cs="宋体"/>
                <w:color w:val="auto"/>
                <w:sz w:val="24"/>
                <w:szCs w:val="24"/>
              </w:rPr>
            </w:pPr>
          </w:p>
        </w:tc>
        <w:tc>
          <w:tcPr>
            <w:tcW w:w="597" w:type="dxa"/>
            <w:vAlign w:val="center"/>
          </w:tcPr>
          <w:p w14:paraId="3BAD25C0">
            <w:pPr>
              <w:spacing w:line="360" w:lineRule="auto"/>
              <w:jc w:val="center"/>
              <w:rPr>
                <w:rFonts w:hint="eastAsia" w:ascii="宋体" w:hAnsi="宋体" w:eastAsia="宋体" w:cs="宋体"/>
                <w:color w:val="auto"/>
                <w:sz w:val="24"/>
                <w:szCs w:val="24"/>
              </w:rPr>
            </w:pPr>
          </w:p>
        </w:tc>
      </w:tr>
      <w:tr w14:paraId="5B3E0C8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4F71CE52">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75" w:type="dxa"/>
            <w:shd w:val="clear" w:color="auto" w:fill="auto"/>
            <w:vAlign w:val="center"/>
          </w:tcPr>
          <w:p w14:paraId="694A360D">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实质性要求</w:t>
            </w:r>
          </w:p>
        </w:tc>
        <w:tc>
          <w:tcPr>
            <w:tcW w:w="5299" w:type="dxa"/>
            <w:shd w:val="clear" w:color="auto" w:fill="auto"/>
            <w:vAlign w:val="center"/>
          </w:tcPr>
          <w:p w14:paraId="43D1F940">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符合采购文件中规定的其他实质性要求</w:t>
            </w:r>
          </w:p>
        </w:tc>
        <w:tc>
          <w:tcPr>
            <w:tcW w:w="646" w:type="dxa"/>
            <w:vAlign w:val="center"/>
          </w:tcPr>
          <w:p w14:paraId="1353F944">
            <w:pPr>
              <w:spacing w:line="360" w:lineRule="auto"/>
              <w:jc w:val="center"/>
              <w:rPr>
                <w:rFonts w:hint="eastAsia" w:ascii="宋体" w:hAnsi="宋体" w:eastAsia="宋体" w:cs="宋体"/>
                <w:color w:val="auto"/>
                <w:sz w:val="24"/>
                <w:szCs w:val="24"/>
              </w:rPr>
            </w:pPr>
          </w:p>
        </w:tc>
        <w:tc>
          <w:tcPr>
            <w:tcW w:w="646" w:type="dxa"/>
            <w:vAlign w:val="center"/>
          </w:tcPr>
          <w:p w14:paraId="439AE582">
            <w:pPr>
              <w:spacing w:line="360" w:lineRule="auto"/>
              <w:jc w:val="center"/>
              <w:rPr>
                <w:rFonts w:hint="eastAsia" w:ascii="宋体" w:hAnsi="宋体" w:eastAsia="宋体" w:cs="宋体"/>
                <w:color w:val="auto"/>
                <w:sz w:val="24"/>
                <w:szCs w:val="24"/>
              </w:rPr>
            </w:pPr>
          </w:p>
        </w:tc>
        <w:tc>
          <w:tcPr>
            <w:tcW w:w="646" w:type="dxa"/>
            <w:vAlign w:val="center"/>
          </w:tcPr>
          <w:p w14:paraId="44A9B208">
            <w:pPr>
              <w:spacing w:line="360" w:lineRule="auto"/>
              <w:jc w:val="center"/>
              <w:rPr>
                <w:rFonts w:hint="eastAsia" w:ascii="宋体" w:hAnsi="宋体" w:eastAsia="宋体" w:cs="宋体"/>
                <w:color w:val="auto"/>
                <w:sz w:val="24"/>
                <w:szCs w:val="24"/>
              </w:rPr>
            </w:pPr>
          </w:p>
        </w:tc>
        <w:tc>
          <w:tcPr>
            <w:tcW w:w="597" w:type="dxa"/>
            <w:vAlign w:val="center"/>
          </w:tcPr>
          <w:p w14:paraId="39E30BE9">
            <w:pPr>
              <w:spacing w:line="360" w:lineRule="auto"/>
              <w:jc w:val="center"/>
              <w:rPr>
                <w:rFonts w:hint="eastAsia" w:ascii="宋体" w:hAnsi="宋体" w:eastAsia="宋体" w:cs="宋体"/>
                <w:color w:val="auto"/>
                <w:sz w:val="24"/>
                <w:szCs w:val="24"/>
              </w:rPr>
            </w:pPr>
          </w:p>
        </w:tc>
      </w:tr>
      <w:tr w14:paraId="74234B0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6F5CC7C9">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75" w:type="dxa"/>
            <w:shd w:val="clear" w:color="auto" w:fill="auto"/>
            <w:vAlign w:val="center"/>
          </w:tcPr>
          <w:p w14:paraId="0A645681">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商务要求</w:t>
            </w:r>
          </w:p>
        </w:tc>
        <w:tc>
          <w:tcPr>
            <w:tcW w:w="5299" w:type="dxa"/>
            <w:shd w:val="clear" w:color="auto" w:fill="auto"/>
            <w:vAlign w:val="center"/>
          </w:tcPr>
          <w:p w14:paraId="1DC10ABC">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响应文件未附有采购人不能接受或不符合</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的商务要求</w:t>
            </w:r>
          </w:p>
        </w:tc>
        <w:tc>
          <w:tcPr>
            <w:tcW w:w="646" w:type="dxa"/>
            <w:vAlign w:val="center"/>
          </w:tcPr>
          <w:p w14:paraId="08DD1B4D">
            <w:pPr>
              <w:spacing w:line="360" w:lineRule="auto"/>
              <w:jc w:val="center"/>
              <w:rPr>
                <w:rFonts w:hint="eastAsia" w:ascii="宋体" w:hAnsi="宋体" w:eastAsia="宋体" w:cs="宋体"/>
                <w:color w:val="auto"/>
                <w:sz w:val="24"/>
                <w:szCs w:val="24"/>
              </w:rPr>
            </w:pPr>
          </w:p>
        </w:tc>
        <w:tc>
          <w:tcPr>
            <w:tcW w:w="646" w:type="dxa"/>
            <w:vAlign w:val="center"/>
          </w:tcPr>
          <w:p w14:paraId="61FD528D">
            <w:pPr>
              <w:spacing w:line="360" w:lineRule="auto"/>
              <w:jc w:val="center"/>
              <w:rPr>
                <w:rFonts w:hint="eastAsia" w:ascii="宋体" w:hAnsi="宋体" w:eastAsia="宋体" w:cs="宋体"/>
                <w:color w:val="auto"/>
                <w:sz w:val="24"/>
                <w:szCs w:val="24"/>
              </w:rPr>
            </w:pPr>
          </w:p>
        </w:tc>
        <w:tc>
          <w:tcPr>
            <w:tcW w:w="646" w:type="dxa"/>
            <w:vAlign w:val="center"/>
          </w:tcPr>
          <w:p w14:paraId="33D935AA">
            <w:pPr>
              <w:spacing w:line="360" w:lineRule="auto"/>
              <w:jc w:val="center"/>
              <w:rPr>
                <w:rFonts w:hint="eastAsia" w:ascii="宋体" w:hAnsi="宋体" w:eastAsia="宋体" w:cs="宋体"/>
                <w:color w:val="auto"/>
                <w:sz w:val="24"/>
                <w:szCs w:val="24"/>
              </w:rPr>
            </w:pPr>
          </w:p>
        </w:tc>
        <w:tc>
          <w:tcPr>
            <w:tcW w:w="597" w:type="dxa"/>
            <w:vAlign w:val="center"/>
          </w:tcPr>
          <w:p w14:paraId="2284891D">
            <w:pPr>
              <w:spacing w:line="360" w:lineRule="auto"/>
              <w:jc w:val="center"/>
              <w:rPr>
                <w:rFonts w:hint="eastAsia" w:ascii="宋体" w:hAnsi="宋体" w:eastAsia="宋体" w:cs="宋体"/>
                <w:color w:val="auto"/>
                <w:sz w:val="24"/>
                <w:szCs w:val="24"/>
              </w:rPr>
            </w:pPr>
          </w:p>
        </w:tc>
      </w:tr>
      <w:tr w14:paraId="78B3686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1AF38C4E">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75" w:type="dxa"/>
            <w:shd w:val="clear" w:color="auto" w:fill="auto"/>
            <w:vAlign w:val="center"/>
          </w:tcPr>
          <w:p w14:paraId="1617E718">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要求</w:t>
            </w:r>
          </w:p>
        </w:tc>
        <w:tc>
          <w:tcPr>
            <w:tcW w:w="5299" w:type="dxa"/>
            <w:shd w:val="clear" w:color="auto" w:fill="auto"/>
            <w:vAlign w:val="center"/>
          </w:tcPr>
          <w:p w14:paraId="162D2A66">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响应文件未附有采购人不能接受或不符合</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要求</w:t>
            </w:r>
          </w:p>
        </w:tc>
        <w:tc>
          <w:tcPr>
            <w:tcW w:w="646" w:type="dxa"/>
            <w:vAlign w:val="center"/>
          </w:tcPr>
          <w:p w14:paraId="6A66FFC1">
            <w:pPr>
              <w:spacing w:line="360" w:lineRule="auto"/>
              <w:jc w:val="center"/>
              <w:rPr>
                <w:rFonts w:hint="eastAsia" w:ascii="宋体" w:hAnsi="宋体" w:eastAsia="宋体" w:cs="宋体"/>
                <w:color w:val="auto"/>
                <w:sz w:val="24"/>
                <w:szCs w:val="24"/>
              </w:rPr>
            </w:pPr>
          </w:p>
        </w:tc>
        <w:tc>
          <w:tcPr>
            <w:tcW w:w="646" w:type="dxa"/>
            <w:vAlign w:val="center"/>
          </w:tcPr>
          <w:p w14:paraId="41778D74">
            <w:pPr>
              <w:spacing w:line="360" w:lineRule="auto"/>
              <w:jc w:val="center"/>
              <w:rPr>
                <w:rFonts w:hint="eastAsia" w:ascii="宋体" w:hAnsi="宋体" w:eastAsia="宋体" w:cs="宋体"/>
                <w:color w:val="auto"/>
                <w:sz w:val="24"/>
                <w:szCs w:val="24"/>
              </w:rPr>
            </w:pPr>
          </w:p>
        </w:tc>
        <w:tc>
          <w:tcPr>
            <w:tcW w:w="646" w:type="dxa"/>
            <w:vAlign w:val="center"/>
          </w:tcPr>
          <w:p w14:paraId="1463703A">
            <w:pPr>
              <w:spacing w:line="360" w:lineRule="auto"/>
              <w:jc w:val="center"/>
              <w:rPr>
                <w:rFonts w:hint="eastAsia" w:ascii="宋体" w:hAnsi="宋体" w:eastAsia="宋体" w:cs="宋体"/>
                <w:color w:val="auto"/>
                <w:sz w:val="24"/>
                <w:szCs w:val="24"/>
              </w:rPr>
            </w:pPr>
          </w:p>
        </w:tc>
        <w:tc>
          <w:tcPr>
            <w:tcW w:w="597" w:type="dxa"/>
            <w:vAlign w:val="center"/>
          </w:tcPr>
          <w:p w14:paraId="4A746EEA">
            <w:pPr>
              <w:spacing w:line="360" w:lineRule="auto"/>
              <w:jc w:val="center"/>
              <w:rPr>
                <w:rFonts w:hint="eastAsia" w:ascii="宋体" w:hAnsi="宋体" w:eastAsia="宋体" w:cs="宋体"/>
                <w:color w:val="auto"/>
                <w:sz w:val="24"/>
                <w:szCs w:val="24"/>
              </w:rPr>
            </w:pPr>
          </w:p>
        </w:tc>
      </w:tr>
      <w:tr w14:paraId="7EFF3A4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Align w:val="center"/>
          </w:tcPr>
          <w:p w14:paraId="2213372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审查结果</w:t>
            </w:r>
          </w:p>
        </w:tc>
        <w:tc>
          <w:tcPr>
            <w:tcW w:w="646" w:type="dxa"/>
            <w:vAlign w:val="center"/>
          </w:tcPr>
          <w:p w14:paraId="0C4DC6AB">
            <w:pPr>
              <w:spacing w:line="360" w:lineRule="auto"/>
              <w:jc w:val="center"/>
              <w:rPr>
                <w:rFonts w:hint="eastAsia" w:ascii="宋体" w:hAnsi="宋体" w:eastAsia="宋体" w:cs="宋体"/>
                <w:color w:val="auto"/>
                <w:sz w:val="24"/>
                <w:szCs w:val="24"/>
              </w:rPr>
            </w:pPr>
          </w:p>
        </w:tc>
        <w:tc>
          <w:tcPr>
            <w:tcW w:w="646" w:type="dxa"/>
            <w:vAlign w:val="center"/>
          </w:tcPr>
          <w:p w14:paraId="632B0498">
            <w:pPr>
              <w:spacing w:line="360" w:lineRule="auto"/>
              <w:jc w:val="center"/>
              <w:rPr>
                <w:rFonts w:hint="eastAsia" w:ascii="宋体" w:hAnsi="宋体" w:eastAsia="宋体" w:cs="宋体"/>
                <w:color w:val="auto"/>
                <w:sz w:val="24"/>
                <w:szCs w:val="24"/>
              </w:rPr>
            </w:pPr>
          </w:p>
        </w:tc>
        <w:tc>
          <w:tcPr>
            <w:tcW w:w="646" w:type="dxa"/>
            <w:vAlign w:val="center"/>
          </w:tcPr>
          <w:p w14:paraId="6BB742A5">
            <w:pPr>
              <w:spacing w:line="360" w:lineRule="auto"/>
              <w:jc w:val="center"/>
              <w:rPr>
                <w:rFonts w:hint="eastAsia" w:ascii="宋体" w:hAnsi="宋体" w:eastAsia="宋体" w:cs="宋体"/>
                <w:color w:val="auto"/>
                <w:sz w:val="24"/>
                <w:szCs w:val="24"/>
              </w:rPr>
            </w:pPr>
          </w:p>
        </w:tc>
        <w:tc>
          <w:tcPr>
            <w:tcW w:w="597" w:type="dxa"/>
            <w:vAlign w:val="center"/>
          </w:tcPr>
          <w:p w14:paraId="2AD08774">
            <w:pPr>
              <w:spacing w:line="360" w:lineRule="auto"/>
              <w:jc w:val="center"/>
              <w:rPr>
                <w:rFonts w:hint="eastAsia" w:ascii="宋体" w:hAnsi="宋体" w:eastAsia="宋体" w:cs="宋体"/>
                <w:color w:val="auto"/>
                <w:sz w:val="24"/>
                <w:szCs w:val="24"/>
              </w:rPr>
            </w:pPr>
          </w:p>
        </w:tc>
      </w:tr>
      <w:tr w14:paraId="741501C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Align w:val="center"/>
          </w:tcPr>
          <w:p w14:paraId="09EC128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不通过理由说明</w:t>
            </w:r>
          </w:p>
        </w:tc>
        <w:tc>
          <w:tcPr>
            <w:tcW w:w="646" w:type="dxa"/>
            <w:vAlign w:val="center"/>
          </w:tcPr>
          <w:p w14:paraId="01DA84C1">
            <w:pPr>
              <w:spacing w:line="360" w:lineRule="auto"/>
              <w:jc w:val="center"/>
              <w:rPr>
                <w:rFonts w:hint="eastAsia" w:ascii="宋体" w:hAnsi="宋体" w:eastAsia="宋体" w:cs="宋体"/>
                <w:color w:val="auto"/>
                <w:sz w:val="24"/>
                <w:szCs w:val="24"/>
              </w:rPr>
            </w:pPr>
          </w:p>
        </w:tc>
        <w:tc>
          <w:tcPr>
            <w:tcW w:w="646" w:type="dxa"/>
            <w:vAlign w:val="center"/>
          </w:tcPr>
          <w:p w14:paraId="629122D9">
            <w:pPr>
              <w:spacing w:line="360" w:lineRule="auto"/>
              <w:jc w:val="center"/>
              <w:rPr>
                <w:rFonts w:hint="eastAsia" w:ascii="宋体" w:hAnsi="宋体" w:eastAsia="宋体" w:cs="宋体"/>
                <w:color w:val="auto"/>
                <w:sz w:val="24"/>
                <w:szCs w:val="24"/>
              </w:rPr>
            </w:pPr>
          </w:p>
        </w:tc>
        <w:tc>
          <w:tcPr>
            <w:tcW w:w="646" w:type="dxa"/>
            <w:vAlign w:val="center"/>
          </w:tcPr>
          <w:p w14:paraId="74F698A9">
            <w:pPr>
              <w:spacing w:line="360" w:lineRule="auto"/>
              <w:jc w:val="center"/>
              <w:rPr>
                <w:rFonts w:hint="eastAsia" w:ascii="宋体" w:hAnsi="宋体" w:eastAsia="宋体" w:cs="宋体"/>
                <w:color w:val="auto"/>
                <w:sz w:val="24"/>
                <w:szCs w:val="24"/>
              </w:rPr>
            </w:pPr>
          </w:p>
        </w:tc>
        <w:tc>
          <w:tcPr>
            <w:tcW w:w="597" w:type="dxa"/>
            <w:vAlign w:val="center"/>
          </w:tcPr>
          <w:p w14:paraId="39949508">
            <w:pPr>
              <w:spacing w:line="360" w:lineRule="auto"/>
              <w:jc w:val="center"/>
              <w:rPr>
                <w:rFonts w:hint="eastAsia" w:ascii="宋体" w:hAnsi="宋体" w:eastAsia="宋体" w:cs="宋体"/>
                <w:color w:val="auto"/>
                <w:sz w:val="24"/>
                <w:szCs w:val="24"/>
              </w:rPr>
            </w:pPr>
          </w:p>
        </w:tc>
      </w:tr>
    </w:tbl>
    <w:p w14:paraId="69423FBE">
      <w:pPr>
        <w:snapToGrid w:val="0"/>
        <w:spacing w:line="440" w:lineRule="exact"/>
        <w:ind w:firstLine="480" w:firstLineChars="200"/>
        <w:rPr>
          <w:rFonts w:hint="eastAsia" w:ascii="宋体" w:hAnsi="宋体" w:eastAsia="宋体" w:cs="宋体"/>
          <w:color w:val="auto"/>
          <w:sz w:val="24"/>
          <w:szCs w:val="24"/>
        </w:rPr>
      </w:pPr>
    </w:p>
    <w:p w14:paraId="650F173B">
      <w:pPr>
        <w:widowControl/>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0EFB2886">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pPr>
      <w:bookmarkStart w:id="165" w:name="_Toc22499"/>
      <w:bookmarkStart w:id="166" w:name="_Toc16651"/>
      <w:bookmarkStart w:id="167" w:name="_Toc355"/>
      <w:r>
        <w:rPr>
          <w:rFonts w:hint="eastAsia" w:ascii="宋体" w:hAnsi="宋体" w:eastAsia="宋体" w:cs="宋体"/>
          <w:b/>
          <w:bCs/>
          <w:color w:val="auto"/>
          <w:sz w:val="44"/>
          <w:szCs w:val="44"/>
          <w:lang w:val="en-US" w:eastAsia="zh-CN"/>
        </w:rPr>
        <w:t>第五章  评标</w:t>
      </w:r>
      <w:bookmarkEnd w:id="165"/>
      <w:bookmarkEnd w:id="166"/>
      <w:bookmarkEnd w:id="167"/>
    </w:p>
    <w:p w14:paraId="544E5A58">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一、评标要求</w:t>
      </w:r>
    </w:p>
    <w:p w14:paraId="5CECCE9D">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1、评标方法</w:t>
      </w:r>
    </w:p>
    <w:p w14:paraId="03BF456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最低评标价法，是指</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文件满足谈判文件全部实质性要求且投标报价最低的供应商为成交候选人的评标方法。</w:t>
      </w:r>
    </w:p>
    <w:p w14:paraId="5BD6A7F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谈判小组按照谈判文件要求对</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文件中的供应商资格、供应商资格证明文件、重要技术指标以及技术和商务上要求的其它重要内容进行审核。</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谈判小组和供应商谈判过程中作出的书面承诺是否符合谈判文件中对质量、技术和服务的要求。</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谈判小组将根据需要决定对所有合格的供应商在规定时间内进行二次或多次报价，最后报价将作为谈判小组评比的最终依据。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采购人委托谈判小组确定最终响应报价最低者为成交供应商。如果成交供应商的实际情况与其谈判资料不相符，将取消资格，由次低价的成交候选人递补，或废标后重新组织采购。</w:t>
      </w:r>
    </w:p>
    <w:p w14:paraId="54F64189">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2、评标原则</w:t>
      </w:r>
    </w:p>
    <w:p w14:paraId="063D1551">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2.1评标活动遵循客观、公正、审慎的原则，以谈判文件和</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文件为评标的基本依据，并按照谈判文件规定的评标方法和评标标准进行评标。</w:t>
      </w:r>
    </w:p>
    <w:p w14:paraId="7067712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2.2具体评标事项由评标委员会负责，并按谈判文件规定的办法进行评审。</w:t>
      </w:r>
    </w:p>
    <w:p w14:paraId="2E2F0216">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3、评标委员会</w:t>
      </w:r>
    </w:p>
    <w:p w14:paraId="5C6FD8D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3.1评标委员会由采购人代表和评审专家组成，成员人数应当为3人及以上单数，其中评审专家不得少于成员总数的三分之二。</w:t>
      </w:r>
    </w:p>
    <w:p w14:paraId="49DF6C1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3.2评标委员会成员有下列情形之一的，应当回避：</w:t>
      </w:r>
    </w:p>
    <w:p w14:paraId="1B42144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（1）参加采购活动前3年内,与供应商存在劳动关系,或者担任供应商的董事、监事,或者是供应商的控股股东或实际控制人；</w:t>
      </w:r>
    </w:p>
    <w:p w14:paraId="5110DFE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（2）与供应商的法定代表人或者负责人有夫妻、直系血亲、三代以内旁系血亲或者近姻亲关系；</w:t>
      </w:r>
    </w:p>
    <w:p w14:paraId="0F6A814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（3）与供应商有其他可能影响政府采购活动公平、公正进行的关系。</w:t>
      </w:r>
    </w:p>
    <w:p w14:paraId="03EE4AE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3.3评标委员会负责具体评标事务，并独立履行下列职责：</w:t>
      </w:r>
    </w:p>
    <w:p w14:paraId="67BC25AE">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（1）审查、评价</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文件是否符合谈判文件的商务、技术等实质性要求；</w:t>
      </w:r>
    </w:p>
    <w:p w14:paraId="37FE730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（2）要求供应商对</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文件有关事项作出澄清或者说明；</w:t>
      </w:r>
    </w:p>
    <w:p w14:paraId="378FC62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（3）对</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文件进行比较和评价；</w:t>
      </w:r>
    </w:p>
    <w:p w14:paraId="21B2CF7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（4）确定成交候选人名单，以及根据采购人委托直接确定成交人；</w:t>
      </w:r>
    </w:p>
    <w:p w14:paraId="63CDF2A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（5）向采购人、采购代理机构或者有关部门报告评标中发现的违法行</w:t>
      </w:r>
    </w:p>
    <w:p w14:paraId="6EE1E1A1">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w:t>
      </w:r>
    </w:p>
    <w:p w14:paraId="6A99C0D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（6）法律法规规定的其他职责。</w:t>
      </w:r>
    </w:p>
    <w:p w14:paraId="2787F2EA">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4、澄清</w:t>
      </w:r>
    </w:p>
    <w:p w14:paraId="257EC9A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对于</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文件中含义不明确、同类问题表述不一致或者有明显文字和计算错误的内容，评标委员会应当以书面形式要求供应商作出必要的澄清、说明或者补正。</w:t>
      </w:r>
    </w:p>
    <w:p w14:paraId="0C0C0DC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供应商的澄清、说明或者补正应当采用书面形式，并加盖公章，或者由法定代表人或其授权的代表签字。供应商的澄清、说明或者补正不得超出</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文件的范围或者改变</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文件的实质性内容。</w:t>
      </w:r>
    </w:p>
    <w:p w14:paraId="45793E8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4.1评标委员会不接受供应商主动提出的澄清、说明或补正。</w:t>
      </w:r>
    </w:p>
    <w:p w14:paraId="57613DA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4.2评标委员会对供应商提交的澄清、说明或补正有疑问的，可以要求供应商进一步澄清、说明或补正。</w:t>
      </w:r>
    </w:p>
    <w:p w14:paraId="488608E1">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5、有下列情形之一的，视为供应商串通投标，其投标无效：</w:t>
      </w:r>
    </w:p>
    <w:p w14:paraId="590F6CD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（1）不同供应商的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文件由同一单位或者个人编制，包括但不限于不同供应商上传的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文件项目内部识别码一致的情形；</w:t>
      </w:r>
    </w:p>
    <w:p w14:paraId="3FCF4A6C">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（2）不同供应商委托同一单位或者个人办理投标事宜；</w:t>
      </w:r>
    </w:p>
    <w:p w14:paraId="0E66F4A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（3）不同供应商的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文件载明的项目管理成员或者联系人员为同一人；</w:t>
      </w:r>
    </w:p>
    <w:p w14:paraId="1EC4F90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（4）不同供应商的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文件异常一致或者投标报价呈规律性差异；</w:t>
      </w:r>
    </w:p>
    <w:p w14:paraId="059217C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（5）不同供应商的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文件相互混装；</w:t>
      </w:r>
    </w:p>
    <w:p w14:paraId="50A7C4E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（6）不同供应商的投标保证金从同一单位或个人的账户转出；</w:t>
      </w:r>
    </w:p>
    <w:p w14:paraId="4F3A8D71">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6、有下列情形之一的，属于恶意串通投标，其投标无效，并追究法律责</w:t>
      </w:r>
      <w:r>
        <w:rPr>
          <w:rFonts w:hint="eastAsia" w:ascii="宋体" w:hAnsi="宋体" w:eastAsia="宋体" w:cs="宋体"/>
          <w:color w:val="auto"/>
          <w:sz w:val="24"/>
          <w:szCs w:val="24"/>
        </w:rPr>
        <w:t>任：</w:t>
      </w:r>
    </w:p>
    <w:p w14:paraId="1450FD9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（1）供应商直接或者间接从采购人或者采购代理机构处获得其他供应商的相关情况并修改其</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p>
    <w:p w14:paraId="021E80E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（2）供应商按照采购人或者采购代理机构的授意撤换、修改</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p>
    <w:p w14:paraId="6742C91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（3）供应商之间协商报价、技术方案等</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文件的实质性内容；</w:t>
      </w:r>
    </w:p>
    <w:p w14:paraId="082A898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（4）属于同一集团、协会、商会等组织成员的供应商按照该组织要求协同参加政府采购活动；</w:t>
      </w:r>
    </w:p>
    <w:p w14:paraId="62E9B8C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（5）供应商之间事先约定由某一特定供应商成交、成交；</w:t>
      </w:r>
    </w:p>
    <w:p w14:paraId="3B63B7B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（6）供应商之间商定部分供应商放弃参加政府采购活动或者放弃成交、成交；</w:t>
      </w:r>
    </w:p>
    <w:p w14:paraId="7B8BAB2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（7）供应商与采购人或者采购代理机构之间、供应商相互之间，为谋求特定供应商成交、成交或者排斥其他供应商的其他串通行为。</w:t>
      </w:r>
    </w:p>
    <w:p w14:paraId="38315EBE">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7、投标无效的情形</w:t>
      </w:r>
    </w:p>
    <w:p w14:paraId="590C70C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供应商存在下列情况之一的，投标无效:</w:t>
      </w:r>
    </w:p>
    <w:p w14:paraId="4D4F15EC">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（1）未按照谈判文件的规定提交投标保证金的；</w:t>
      </w:r>
    </w:p>
    <w:p w14:paraId="6E08EF3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文件未按谈判文件要求签署、盖章的；</w:t>
      </w:r>
    </w:p>
    <w:p w14:paraId="67CD6A0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（3）不具备谈判文件中规定的资格要求的；</w:t>
      </w:r>
    </w:p>
    <w:p w14:paraId="4E690A4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（4）报价超过谈判文件中规定的预算金额或者最高限价的；</w:t>
      </w:r>
    </w:p>
    <w:p w14:paraId="2EBBEBB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文件含有采购人不能接受的附加条件的；</w:t>
      </w:r>
    </w:p>
    <w:p w14:paraId="7A4E552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（6）法律、法规和谈判文件规定的其他无效情形。</w:t>
      </w:r>
    </w:p>
    <w:p w14:paraId="2A2556D7">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8、废标的情形</w:t>
      </w:r>
    </w:p>
    <w:p w14:paraId="75814D3E">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出现下列情形之一的，应予以废标。</w:t>
      </w:r>
    </w:p>
    <w:p w14:paraId="7C7D4D3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（1）符合专业条件的供应商或者对谈判文件作实质响应的供应商不足3家；或参与竞争的核心产品品牌不足2个的；</w:t>
      </w:r>
    </w:p>
    <w:p w14:paraId="6E0917F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6DE953D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（3）供应商的报价均超过了采购预算的；</w:t>
      </w:r>
    </w:p>
    <w:p w14:paraId="2B425BB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2BC531A8">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9、定标</w:t>
      </w:r>
    </w:p>
    <w:p w14:paraId="470EBA0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评标委员会按照谈判文件确定的评标方法、步骤、标准，对</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文件进行评审。评标结束后，评标委员会根据采购人委托直接确定成交人或者由采购人在评标报告确定的成交候选人名单中按顺序确定成交人。</w:t>
      </w:r>
    </w:p>
    <w:p w14:paraId="1B03304E">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二、落实政府采购政策</w:t>
      </w:r>
    </w:p>
    <w:p w14:paraId="6460D5AF">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1、节约能源、保护环境</w:t>
      </w:r>
    </w:p>
    <w:p w14:paraId="71F2810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采购的产品属于品目清单范围的，将依据国家确定的认证机构出具的、处于有效期之内的节能产品、环境标志产品认证证书，对获得证书的产品实施政府优先采购或强制采购，具体按照本谈判文件相关要求执行。</w:t>
      </w:r>
    </w:p>
    <w:p w14:paraId="7F4BC273">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2、促进中小企业发展</w:t>
      </w:r>
    </w:p>
    <w:p w14:paraId="186FB3E2">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2.1采购人在政府采购活动中应当通过加强采购需求管理，落实预留采购份额、价格评审优惠、优先采购等措施，提高中小企业在政府采购中的份额，支持中小企业发展。</w:t>
      </w:r>
    </w:p>
    <w:p w14:paraId="1054B38E">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C7908E2">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2.3在政府采购活动中，供应商提供的货物、工程或者服务符合下列情形的，享受《政府采购促进中小企业发展管理办法》规定的中小企业扶持政策：</w:t>
      </w:r>
    </w:p>
    <w:p w14:paraId="6A5685B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（1）在货物采购项目中，货物由中小企业制造，即货物由中小企业生产且使用该中小企业商号或者注册商标；</w:t>
      </w:r>
    </w:p>
    <w:p w14:paraId="14549F7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（2）在工程采购项目中，工程由中小企业承建，即工程施工单位为中小企业；</w:t>
      </w:r>
    </w:p>
    <w:p w14:paraId="0D77485E">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341FFC5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依照《政府采购促进中小企业发展管理办法》《关于政府采购支持监狱企业发展有关问题的通知》和《财政部民政部中国残疾人联合会关于促进残疾人就业政府采购政策的通知》的规定，凡符合要求的小型、微型业、监狱企业或残疾人福利性单位，按照以下比例给予相应的价格扣除：</w:t>
      </w:r>
      <w:bookmarkStart w:id="168" w:name="_Hlk137488890"/>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见第二章 供应商须知表</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rPr>
        <w:t>因本项目</w:t>
      </w:r>
      <w:r>
        <w:rPr>
          <w:rFonts w:hint="eastAsia" w:ascii="宋体" w:hAnsi="宋体" w:eastAsia="宋体" w:cs="宋体"/>
          <w:b/>
          <w:bCs/>
          <w:color w:val="auto"/>
          <w:sz w:val="24"/>
          <w:szCs w:val="24"/>
          <w:lang w:val="en-US" w:eastAsia="zh-CN"/>
        </w:rPr>
        <w:t>为非</w:t>
      </w:r>
      <w:r>
        <w:rPr>
          <w:rFonts w:hint="eastAsia" w:ascii="宋体" w:hAnsi="宋体" w:eastAsia="宋体" w:cs="宋体"/>
          <w:b/>
          <w:bCs/>
          <w:color w:val="auto"/>
          <w:sz w:val="24"/>
          <w:szCs w:val="24"/>
        </w:rPr>
        <w:t>专门面向中小企业采购。</w:t>
      </w:r>
      <w:bookmarkEnd w:id="168"/>
    </w:p>
    <w:p w14:paraId="4A20664E">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不得享受相关中小企业扶持政策。</w:t>
      </w:r>
    </w:p>
    <w:p w14:paraId="580189D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供应商应当对提供材料的真实性负责，若有虚假，将追究其法律责任。</w:t>
      </w:r>
    </w:p>
    <w:p w14:paraId="4E12C0B8">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三、评标程序</w:t>
      </w:r>
    </w:p>
    <w:p w14:paraId="40784017">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1、符合性审查</w:t>
      </w:r>
    </w:p>
    <w:p w14:paraId="603F85C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1.1依据谈判文件的规定，从</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文件的有效性、完整性和对谈判文件的响应程度进行审查，以确定是否满足谈判文件的实质性要求。</w:t>
      </w:r>
    </w:p>
    <w:p w14:paraId="7FFAF6F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1.2符合性审查中有任意一项未通过的，审查结果为未通过。供应商未通过符合性审查的，投标无效。</w:t>
      </w:r>
    </w:p>
    <w:p w14:paraId="59E0F789">
      <w:pPr>
        <w:widowControl/>
        <w:jc w:val="left"/>
        <w:rPr>
          <w:rFonts w:hint="eastAsia" w:ascii="宋体" w:hAnsi="宋体" w:eastAsia="宋体" w:cs="宋体"/>
          <w:b/>
          <w:bCs/>
          <w:color w:val="auto"/>
          <w:sz w:val="24"/>
          <w:szCs w:val="24"/>
        </w:rPr>
      </w:pPr>
      <w:bookmarkStart w:id="169" w:name="_Hlk131718005"/>
      <w:r>
        <w:rPr>
          <w:rFonts w:hint="eastAsia" w:ascii="宋体" w:hAnsi="宋体" w:eastAsia="宋体" w:cs="宋体"/>
          <w:b/>
          <w:bCs/>
          <w:color w:val="auto"/>
          <w:sz w:val="24"/>
          <w:szCs w:val="24"/>
        </w:rPr>
        <w:br w:type="page"/>
      </w:r>
    </w:p>
    <w:bookmarkEnd w:id="169"/>
    <w:p w14:paraId="2B6F4FA7">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2、投标报价审查</w:t>
      </w:r>
    </w:p>
    <w:p w14:paraId="684F8A7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E7EE38C">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3、政府采购政策功能落实</w:t>
      </w:r>
    </w:p>
    <w:p w14:paraId="74EC4B2C">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因本项目</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专门面向中小企业采购，对于小型、微型企业、监狱企业或残疾人福利性单位给予价格扣除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见第二章 供应商须知表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280CC49B">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4、相同品牌审查</w:t>
      </w:r>
    </w:p>
    <w:p w14:paraId="0CDF3E4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用最低评标价法的采购项目，提供相同品牌产品的不同供应商参加同一合同项下投标的，以其中通过资格审查、符合性审查且报价最低的参加评标；报价相同的，由采购人或者采购人委托评标委员会按照谈判文件规定的方式确定一个参加评标的供应商，谈判文件未规定的采取随机抽取方式确定，其他投标无效。</w:t>
      </w:r>
    </w:p>
    <w:p w14:paraId="6B643C8C">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使用综合评分法的采购项目，提供相同品牌产品且通过资格审查、符合性审查的不同供应商参加同一合同项下投标的，按一家供应商计算，评审后得分最高的同品牌供应商获得成交人推荐资格；评审得分相同的，由采购人或者采购人委托评标委员会按照谈判文件规定的方式确定一个供应商获得成交人推荐资格，谈判文件未规定的采取随机抽取方式确定，其他同品牌供应商不作为成交候选人。多家供应商提供的核心产品品牌相同的，按上述规定处理。</w:t>
      </w:r>
    </w:p>
    <w:p w14:paraId="7F73A724">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5、成交原则</w:t>
      </w:r>
    </w:p>
    <w:p w14:paraId="12DFF9A8">
      <w:pPr>
        <w:pStyle w:val="25"/>
        <w:ind w:firstLine="480"/>
        <w:rPr>
          <w:rFonts w:hint="eastAsia" w:ascii="宋体" w:hAnsi="宋体" w:eastAsia="宋体" w:cs="宋体"/>
          <w:color w:val="auto"/>
        </w:rPr>
      </w:pPr>
      <w:r>
        <w:rPr>
          <w:rFonts w:hint="eastAsia" w:ascii="宋体" w:hAnsi="宋体" w:eastAsia="宋体" w:cs="宋体"/>
          <w:color w:val="auto"/>
          <w:kern w:val="2"/>
          <w:sz w:val="24"/>
        </w:rPr>
        <w:t>最低</w:t>
      </w:r>
      <w:r>
        <w:rPr>
          <w:rFonts w:hint="eastAsia" w:ascii="宋体" w:hAnsi="宋体" w:eastAsia="宋体" w:cs="宋体"/>
          <w:color w:val="auto"/>
          <w:sz w:val="24"/>
        </w:rPr>
        <w:t>评标价法，是指</w:t>
      </w:r>
      <w:r>
        <w:rPr>
          <w:rFonts w:hint="eastAsia" w:ascii="宋体" w:eastAsia="宋体" w:cs="宋体"/>
          <w:color w:val="auto"/>
          <w:sz w:val="24"/>
          <w:lang w:eastAsia="zh-CN"/>
        </w:rPr>
        <w:t>响应</w:t>
      </w:r>
      <w:r>
        <w:rPr>
          <w:rFonts w:hint="eastAsia" w:ascii="宋体" w:hAnsi="宋体" w:eastAsia="宋体" w:cs="宋体"/>
          <w:color w:val="auto"/>
          <w:sz w:val="24"/>
        </w:rPr>
        <w:t>文件满足谈判文件全部实质性要求且投标报价最低的供应商为成交候选人的评标方法。</w:t>
      </w:r>
    </w:p>
    <w:p w14:paraId="357952F6">
      <w:pPr>
        <w:spacing w:line="360" w:lineRule="auto"/>
        <w:jc w:val="left"/>
        <w:rPr>
          <w:rFonts w:hint="eastAsia" w:ascii="宋体" w:hAnsi="宋体" w:eastAsia="宋体" w:cs="宋体"/>
          <w:b/>
          <w:color w:val="auto"/>
          <w:szCs w:val="21"/>
        </w:rPr>
      </w:pPr>
      <w:bookmarkStart w:id="170" w:name="_Hlk140768105"/>
      <w:r>
        <w:rPr>
          <w:rFonts w:hint="eastAsia" w:ascii="宋体" w:hAnsi="宋体" w:eastAsia="宋体" w:cs="宋体"/>
          <w:b/>
          <w:color w:val="auto"/>
          <w:szCs w:val="21"/>
        </w:rPr>
        <w:t>注：1.本项目需要落实的政府采购政策：</w:t>
      </w:r>
    </w:p>
    <w:p w14:paraId="0A70724D">
      <w:pPr>
        <w:adjustRightInd w:val="0"/>
        <w:snapToGrid w:val="0"/>
        <w:spacing w:line="400" w:lineRule="atLeas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1、《政府采购促进中小企业发展管理办法》（财库〔2020〕46号）</w:t>
      </w:r>
    </w:p>
    <w:p w14:paraId="16DD99AA">
      <w:pPr>
        <w:adjustRightInd w:val="0"/>
        <w:snapToGrid w:val="0"/>
        <w:spacing w:line="400" w:lineRule="atLeas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2、《财政部、司法部关于政府采购支持监狱企业发展有关问题的通知》（财库〔2014〕68号）</w:t>
      </w:r>
    </w:p>
    <w:p w14:paraId="4E5CD03F">
      <w:pPr>
        <w:adjustRightInd w:val="0"/>
        <w:snapToGrid w:val="0"/>
        <w:spacing w:line="400" w:lineRule="atLeas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3、《财政部、民政部中国残疾人联合会关于促进残疾人就业政府采购政策的通知》（财库〔2017〕141号）本项目对应的中小企业划分标准所属行业为：</w:t>
      </w:r>
      <w:r>
        <w:rPr>
          <w:rFonts w:hint="eastAsia" w:ascii="宋体" w:hAnsi="宋体" w:eastAsia="宋体" w:cs="宋体"/>
          <w:b/>
          <w:color w:val="auto"/>
          <w:szCs w:val="21"/>
          <w:u w:val="single"/>
        </w:rPr>
        <w:t>（二）工业</w:t>
      </w:r>
    </w:p>
    <w:p w14:paraId="59ADD149">
      <w:pPr>
        <w:snapToGrid w:val="0"/>
        <w:spacing w:line="400" w:lineRule="atLeast"/>
        <w:ind w:firstLine="422" w:firstLineChars="200"/>
        <w:rPr>
          <w:rFonts w:hint="eastAsia" w:ascii="宋体" w:hAnsi="宋体" w:eastAsia="宋体" w:cs="宋体"/>
          <w:color w:val="auto"/>
          <w:szCs w:val="21"/>
        </w:rPr>
      </w:pPr>
      <w:r>
        <w:rPr>
          <w:rFonts w:hint="eastAsia" w:ascii="宋体" w:hAnsi="宋体" w:eastAsia="宋体" w:cs="宋体"/>
          <w:b/>
          <w:color w:val="auto"/>
          <w:szCs w:val="21"/>
        </w:rPr>
        <w:t>依据《新疆维吾尔自治区政府采购促进中小企业发展管理实施办法》规定享受扶持政策获得政府采购合同的，小微企业不得将合同分包给大中型企业，中型企业不得将合同分包给大型企业。</w:t>
      </w:r>
    </w:p>
    <w:p w14:paraId="7C42B389">
      <w:pPr>
        <w:adjustRightInd w:val="0"/>
        <w:snapToGrid w:val="0"/>
        <w:spacing w:line="400" w:lineRule="atLeas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根据财库【2019】9号文件及财库【2019】19号文件要求，供应商所投的产品中属于政府采购强制采购★号设备等必须提供节能产品认证证书，否则视为未实质性响应</w:t>
      </w:r>
      <w:r>
        <w:rPr>
          <w:rFonts w:hint="eastAsia" w:ascii="宋体" w:hAnsi="宋体" w:eastAsia="宋体" w:cs="宋体"/>
          <w:b/>
          <w:color w:val="auto"/>
          <w:szCs w:val="21"/>
          <w:lang w:eastAsia="zh-CN"/>
        </w:rPr>
        <w:t>采购文件</w:t>
      </w:r>
      <w:r>
        <w:rPr>
          <w:rFonts w:hint="eastAsia" w:ascii="宋体" w:hAnsi="宋体" w:eastAsia="宋体" w:cs="宋体"/>
          <w:b/>
          <w:color w:val="auto"/>
          <w:szCs w:val="21"/>
        </w:rPr>
        <w:t>。</w:t>
      </w:r>
    </w:p>
    <w:p w14:paraId="25EE7CB1">
      <w:pPr>
        <w:adjustRightInd w:val="0"/>
        <w:snapToGrid w:val="0"/>
        <w:spacing w:line="400" w:lineRule="atLeast"/>
        <w:ind w:firstLine="422" w:firstLineChars="200"/>
        <w:rPr>
          <w:rFonts w:hint="eastAsia" w:ascii="宋体" w:hAnsi="宋体" w:eastAsia="宋体" w:cs="宋体"/>
          <w:color w:val="auto"/>
          <w:szCs w:val="21"/>
        </w:rPr>
      </w:pPr>
      <w:r>
        <w:rPr>
          <w:rFonts w:hint="eastAsia" w:ascii="宋体" w:hAnsi="宋体" w:eastAsia="宋体" w:cs="宋体"/>
          <w:b/>
          <w:color w:val="auto"/>
          <w:szCs w:val="21"/>
        </w:rPr>
        <w:t>提供所投产品品牌相同且通过资格审查、符合性审查的不同供应商参加同一合同项下投标的，按一家供应商计算，评审后得分最高的同品牌供应商获得成交人推荐资格。</w:t>
      </w:r>
    </w:p>
    <w:p w14:paraId="493257C2">
      <w:pPr>
        <w:adjustRightInd w:val="0"/>
        <w:snapToGrid w:val="0"/>
        <w:spacing w:line="400" w:lineRule="atLeast"/>
        <w:ind w:firstLine="422" w:firstLineChars="200"/>
        <w:rPr>
          <w:rFonts w:hint="eastAsia" w:ascii="宋体" w:hAnsi="宋体" w:eastAsia="宋体" w:cs="宋体"/>
          <w:b/>
          <w:color w:val="auto"/>
          <w:szCs w:val="21"/>
        </w:rPr>
        <w:sectPr>
          <w:pgSz w:w="11906" w:h="16838"/>
          <w:pgMar w:top="1440" w:right="1080" w:bottom="1440" w:left="1080" w:header="851" w:footer="992" w:gutter="0"/>
          <w:pgNumType w:fmt="decimal"/>
          <w:cols w:space="425" w:num="1"/>
          <w:docGrid w:type="lines" w:linePitch="312" w:charSpace="0"/>
        </w:sectPr>
      </w:pPr>
      <w:r>
        <w:rPr>
          <w:rFonts w:hint="eastAsia" w:ascii="宋体" w:hAnsi="宋体" w:eastAsia="宋体" w:cs="宋体"/>
          <w:b/>
          <w:color w:val="auto"/>
          <w:szCs w:val="21"/>
        </w:rPr>
        <w:t>在《环境标志产品政府采购清单》内的产品价格给予5%的扣除，则其评标价格=《环境标志产品政府采购清单》内的产品的价格部分×（100%-5%）+供应商报价中不属于《环境标志产品政府采购清单》内的产品的价格部分；否则，其评标价=投标报价</w:t>
      </w:r>
      <w:bookmarkEnd w:id="170"/>
    </w:p>
    <w:p w14:paraId="2B5D95EE">
      <w:pPr>
        <w:widowControl/>
        <w:jc w:val="left"/>
        <w:rPr>
          <w:rFonts w:hint="eastAsia" w:ascii="宋体" w:hAnsi="宋体" w:eastAsia="宋体" w:cs="宋体"/>
          <w:color w:val="auto"/>
        </w:rPr>
      </w:pPr>
    </w:p>
    <w:p w14:paraId="0DA3B47F">
      <w:pPr>
        <w:keepNext w:val="0"/>
        <w:keepLines w:val="0"/>
        <w:pageBreakBefore w:val="0"/>
        <w:widowControl w:val="0"/>
        <w:kinsoku/>
        <w:wordWrap/>
        <w:overflowPunct/>
        <w:topLinePunct w:val="0"/>
        <w:autoSpaceDE/>
        <w:autoSpaceDN/>
        <w:bidi w:val="0"/>
        <w:adjustRightInd/>
        <w:snapToGrid/>
        <w:spacing w:before="167" w:beforeLines="50" w:after="167" w:afterLines="50" w:line="240" w:lineRule="auto"/>
        <w:jc w:val="center"/>
        <w:textAlignment w:val="auto"/>
        <w:outlineLvl w:val="0"/>
        <w:rPr>
          <w:rFonts w:hint="eastAsia" w:ascii="宋体" w:hAnsi="宋体" w:eastAsia="宋体" w:cs="宋体"/>
          <w:b/>
          <w:bCs/>
          <w:color w:val="auto"/>
          <w:sz w:val="44"/>
          <w:szCs w:val="44"/>
        </w:rPr>
      </w:pPr>
      <w:bookmarkStart w:id="171" w:name="_Toc1720"/>
      <w:bookmarkStart w:id="172" w:name="_Toc1109"/>
      <w:r>
        <w:rPr>
          <w:rFonts w:hint="eastAsia" w:ascii="宋体" w:hAnsi="宋体" w:eastAsia="宋体" w:cs="宋体"/>
          <w:b/>
          <w:bCs/>
          <w:color w:val="auto"/>
          <w:sz w:val="44"/>
          <w:szCs w:val="44"/>
          <w:lang w:val="en-US" w:eastAsia="zh-CN"/>
        </w:rPr>
        <w:t xml:space="preserve">第六章 </w:t>
      </w:r>
      <w:r>
        <w:rPr>
          <w:rFonts w:hint="eastAsia" w:ascii="宋体" w:hAnsi="宋体" w:eastAsia="宋体" w:cs="宋体"/>
          <w:b/>
          <w:bCs/>
          <w:color w:val="auto"/>
          <w:sz w:val="44"/>
          <w:szCs w:val="44"/>
        </w:rPr>
        <w:t>拟签订的合同文本</w:t>
      </w:r>
      <w:bookmarkEnd w:id="171"/>
      <w:bookmarkEnd w:id="172"/>
    </w:p>
    <w:p w14:paraId="096C414F">
      <w:pPr>
        <w:pageBreakBefore w:val="0"/>
        <w:widowControl w:val="0"/>
        <w:numPr>
          <w:ilvl w:val="0"/>
          <w:numId w:val="0"/>
        </w:numPr>
        <w:wordWrap/>
        <w:topLinePunct w:val="0"/>
        <w:bidi w:val="0"/>
        <w:spacing w:beforeAutospacing="0" w:line="24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（本合同为样例，最终以实际签订合同为准）</w:t>
      </w:r>
    </w:p>
    <w:p w14:paraId="30FBDD7E">
      <w:pPr>
        <w:pStyle w:val="9"/>
        <w:pageBreakBefore w:val="0"/>
        <w:topLinePunct w:val="0"/>
        <w:bidi w:val="0"/>
        <w:spacing w:beforeAutospacing="0" w:after="0" w:line="240" w:lineRule="auto"/>
        <w:jc w:val="center"/>
        <w:rPr>
          <w:rFonts w:hint="eastAsia" w:ascii="宋体" w:hAnsi="宋体" w:eastAsia="宋体" w:cs="宋体"/>
          <w:b/>
          <w:bCs/>
          <w:color w:val="auto"/>
          <w:spacing w:val="-20"/>
          <w:kern w:val="44"/>
          <w:sz w:val="28"/>
          <w:szCs w:val="28"/>
          <w:highlight w:val="none"/>
        </w:rPr>
      </w:pPr>
    </w:p>
    <w:p w14:paraId="2EAF0A76">
      <w:pPr>
        <w:pStyle w:val="9"/>
        <w:pageBreakBefore w:val="0"/>
        <w:kinsoku/>
        <w:wordWrap/>
        <w:overflowPunct/>
        <w:topLinePunct w:val="0"/>
        <w:bidi w:val="0"/>
        <w:spacing w:beforeAutospacing="0" w:after="0" w:afterAutospacing="0" w:line="240" w:lineRule="auto"/>
        <w:jc w:val="center"/>
        <w:textAlignment w:val="auto"/>
        <w:rPr>
          <w:rFonts w:hint="eastAsia" w:ascii="宋体" w:hAnsi="宋体" w:eastAsia="宋体" w:cs="宋体"/>
          <w:b/>
          <w:bCs/>
          <w:color w:val="auto"/>
          <w:spacing w:val="-20"/>
          <w:kern w:val="44"/>
          <w:sz w:val="28"/>
          <w:szCs w:val="28"/>
          <w:highlight w:val="none"/>
        </w:rPr>
      </w:pPr>
    </w:p>
    <w:p w14:paraId="4550DAC3">
      <w:pPr>
        <w:pStyle w:val="9"/>
        <w:pageBreakBefore w:val="0"/>
        <w:kinsoku/>
        <w:wordWrap/>
        <w:overflowPunct/>
        <w:topLinePunct w:val="0"/>
        <w:bidi w:val="0"/>
        <w:spacing w:beforeAutospacing="0" w:after="0" w:afterAutospacing="0" w:line="240" w:lineRule="auto"/>
        <w:jc w:val="both"/>
        <w:textAlignment w:val="auto"/>
        <w:rPr>
          <w:rFonts w:hint="eastAsia" w:ascii="宋体" w:hAnsi="宋体" w:eastAsia="宋体" w:cs="宋体"/>
          <w:b/>
          <w:bCs/>
          <w:color w:val="auto"/>
          <w:spacing w:val="-20"/>
          <w:kern w:val="44"/>
          <w:sz w:val="28"/>
          <w:szCs w:val="28"/>
          <w:highlight w:val="none"/>
        </w:rPr>
      </w:pPr>
    </w:p>
    <w:p w14:paraId="3C2D04C3">
      <w:pPr>
        <w:pStyle w:val="9"/>
        <w:pageBreakBefore w:val="0"/>
        <w:kinsoku/>
        <w:wordWrap/>
        <w:overflowPunct/>
        <w:topLinePunct w:val="0"/>
        <w:bidi w:val="0"/>
        <w:spacing w:beforeAutospacing="0" w:after="0" w:afterAutospacing="0" w:line="240" w:lineRule="auto"/>
        <w:jc w:val="center"/>
        <w:textAlignment w:val="auto"/>
        <w:rPr>
          <w:rFonts w:hint="eastAsia" w:ascii="宋体" w:hAnsi="宋体" w:eastAsia="宋体" w:cs="宋体"/>
          <w:b/>
          <w:bCs/>
          <w:color w:val="auto"/>
          <w:spacing w:val="0"/>
          <w:kern w:val="44"/>
          <w:sz w:val="32"/>
          <w:szCs w:val="32"/>
          <w:highlight w:val="none"/>
          <w:lang w:val="en-US" w:eastAsia="zh-CN"/>
        </w:rPr>
      </w:pPr>
      <w:r>
        <w:rPr>
          <w:rFonts w:hint="eastAsia" w:ascii="宋体" w:hAnsi="宋体" w:eastAsia="宋体" w:cs="宋体"/>
          <w:b/>
          <w:bCs/>
          <w:color w:val="auto"/>
          <w:spacing w:val="0"/>
          <w:kern w:val="44"/>
          <w:sz w:val="32"/>
          <w:szCs w:val="32"/>
          <w:highlight w:val="none"/>
          <w:lang w:val="en-US" w:eastAsia="zh-CN"/>
        </w:rPr>
        <w:t>新疆维吾尔自治区2026年度动物疫苗采购项目-布鲁氏菌病活疫苗(BA0711株)</w:t>
      </w:r>
    </w:p>
    <w:p w14:paraId="4ABB5212">
      <w:pPr>
        <w:pStyle w:val="9"/>
        <w:pageBreakBefore w:val="0"/>
        <w:kinsoku/>
        <w:wordWrap/>
        <w:overflowPunct/>
        <w:topLinePunct w:val="0"/>
        <w:bidi w:val="0"/>
        <w:spacing w:beforeAutospacing="0" w:after="0" w:afterAutospacing="0" w:line="240" w:lineRule="auto"/>
        <w:jc w:val="center"/>
        <w:textAlignment w:val="auto"/>
        <w:rPr>
          <w:rFonts w:hint="eastAsia" w:ascii="宋体" w:hAnsi="宋体" w:eastAsia="宋体" w:cs="宋体"/>
          <w:b/>
          <w:bCs/>
          <w:color w:val="auto"/>
          <w:spacing w:val="0"/>
          <w:kern w:val="44"/>
          <w:sz w:val="32"/>
          <w:szCs w:val="32"/>
          <w:highlight w:val="none"/>
        </w:rPr>
      </w:pPr>
      <w:r>
        <w:rPr>
          <w:rFonts w:hint="eastAsia" w:ascii="宋体" w:hAnsi="宋体" w:eastAsia="宋体" w:cs="宋体"/>
          <w:b/>
          <w:bCs/>
          <w:color w:val="auto"/>
          <w:spacing w:val="0"/>
          <w:kern w:val="44"/>
          <w:sz w:val="32"/>
          <w:szCs w:val="32"/>
          <w:highlight w:val="none"/>
          <w:lang w:val="en-US" w:eastAsia="zh-CN"/>
        </w:rPr>
        <w:t>采购</w:t>
      </w:r>
      <w:r>
        <w:rPr>
          <w:rFonts w:hint="eastAsia" w:ascii="宋体" w:hAnsi="宋体" w:eastAsia="宋体" w:cs="宋体"/>
          <w:b/>
          <w:bCs/>
          <w:color w:val="auto"/>
          <w:spacing w:val="0"/>
          <w:kern w:val="44"/>
          <w:sz w:val="32"/>
          <w:szCs w:val="32"/>
          <w:highlight w:val="none"/>
        </w:rPr>
        <w:t>合同</w:t>
      </w:r>
    </w:p>
    <w:p w14:paraId="5AE0D970">
      <w:pPr>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5D57A509">
      <w:pPr>
        <w:pStyle w:val="76"/>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25851CA0">
      <w:pPr>
        <w:pStyle w:val="76"/>
        <w:pageBreakBefore w:val="0"/>
        <w:kinsoku/>
        <w:wordWrap/>
        <w:overflowPunct/>
        <w:topLinePunct w:val="0"/>
        <w:bidi w:val="0"/>
        <w:spacing w:beforeAutospacing="0" w:afterAutospacing="0" w:line="240" w:lineRule="auto"/>
        <w:ind w:left="0" w:leftChars="0" w:firstLine="0" w:firstLineChars="0"/>
        <w:textAlignment w:val="auto"/>
        <w:rPr>
          <w:rFonts w:hint="eastAsia" w:ascii="宋体" w:hAnsi="宋体" w:eastAsia="宋体" w:cs="宋体"/>
          <w:b/>
          <w:bCs/>
          <w:color w:val="auto"/>
          <w:spacing w:val="-20"/>
          <w:kern w:val="44"/>
          <w:sz w:val="28"/>
          <w:szCs w:val="28"/>
          <w:highlight w:val="none"/>
        </w:rPr>
      </w:pPr>
    </w:p>
    <w:p w14:paraId="0DE1EC4F">
      <w:pPr>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2D960260">
      <w:pPr>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6C9F50BF">
      <w:pPr>
        <w:bidi w:val="0"/>
        <w:spacing w:line="360" w:lineRule="auto"/>
        <w:ind w:firstLine="1960" w:firstLineChars="700"/>
        <w:rPr>
          <w:rFonts w:hint="eastAsia" w:ascii="宋体" w:hAnsi="宋体" w:eastAsia="宋体" w:cs="宋体"/>
          <w:color w:val="auto"/>
          <w:sz w:val="28"/>
          <w:szCs w:val="28"/>
          <w:u w:val="single"/>
          <w:lang w:val="en-US"/>
        </w:rPr>
      </w:pPr>
      <w:r>
        <w:rPr>
          <w:rFonts w:hint="eastAsia" w:ascii="宋体" w:hAnsi="宋体" w:eastAsia="宋体" w:cs="宋体"/>
          <w:color w:val="auto"/>
          <w:sz w:val="28"/>
          <w:szCs w:val="28"/>
        </w:rPr>
        <w:t>项目名称：</w:t>
      </w:r>
      <w:r>
        <w:rPr>
          <w:rFonts w:hint="eastAsia" w:ascii="宋体" w:hAnsi="宋体" w:eastAsia="宋体" w:cs="宋体"/>
          <w:color w:val="auto"/>
          <w:sz w:val="28"/>
          <w:szCs w:val="28"/>
          <w:u w:val="single"/>
          <w:lang w:val="en-US" w:eastAsia="zh-CN"/>
        </w:rPr>
        <w:t xml:space="preserve">                                </w:t>
      </w:r>
    </w:p>
    <w:p w14:paraId="6CBA8555">
      <w:pPr>
        <w:bidi w:val="0"/>
        <w:spacing w:line="360" w:lineRule="auto"/>
        <w:ind w:firstLine="1960" w:firstLineChars="7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合同编号：</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14:paraId="555B424C">
      <w:pPr>
        <w:bidi w:val="0"/>
        <w:spacing w:line="360" w:lineRule="auto"/>
        <w:ind w:firstLine="1960" w:firstLineChars="700"/>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rPr>
        <w:t>甲方：</w:t>
      </w:r>
      <w:r>
        <w:rPr>
          <w:rFonts w:hint="eastAsia" w:ascii="宋体" w:hAnsi="宋体" w:eastAsia="宋体" w:cs="宋体"/>
          <w:color w:val="auto"/>
          <w:sz w:val="28"/>
          <w:szCs w:val="28"/>
          <w:u w:val="single"/>
          <w:lang w:eastAsia="zh-CN"/>
        </w:rPr>
        <w:t>新疆维吾尔自治区动物疫病预防控制中心</w:t>
      </w:r>
    </w:p>
    <w:p w14:paraId="1ECC9A70">
      <w:pPr>
        <w:bidi w:val="0"/>
        <w:spacing w:line="360" w:lineRule="auto"/>
        <w:ind w:firstLine="2800" w:firstLineChars="10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u w:val="single"/>
          <w:lang w:eastAsia="zh-CN"/>
        </w:rPr>
        <w:t>（新疆维吾尔自治区动物检疫所）</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14:paraId="77FDE00B">
      <w:pPr>
        <w:bidi w:val="0"/>
        <w:spacing w:line="360" w:lineRule="auto"/>
        <w:ind w:firstLine="1960" w:firstLineChars="7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乙方：</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14:paraId="7A6F4882">
      <w:pPr>
        <w:bidi w:val="0"/>
        <w:spacing w:line="360" w:lineRule="auto"/>
        <w:ind w:firstLine="1960" w:firstLineChars="7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签订日期</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日</w:t>
      </w:r>
    </w:p>
    <w:p w14:paraId="7ED01074">
      <w:pPr>
        <w:pageBreakBefore w:val="0"/>
        <w:topLinePunct w:val="0"/>
        <w:bidi w:val="0"/>
        <w:spacing w:beforeAutospacing="0" w:line="240" w:lineRule="auto"/>
        <w:rPr>
          <w:rFonts w:hint="eastAsia" w:ascii="宋体" w:hAnsi="宋体" w:eastAsia="宋体" w:cs="宋体"/>
          <w:color w:val="auto"/>
        </w:rPr>
      </w:pPr>
    </w:p>
    <w:p w14:paraId="760A9E04">
      <w:pPr>
        <w:pageBreakBefore w:val="0"/>
        <w:kinsoku/>
        <w:wordWrap/>
        <w:overflowPunct/>
        <w:topLinePunct w:val="0"/>
        <w:bidi w:val="0"/>
        <w:spacing w:beforeAutospacing="0" w:afterAutospacing="0"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82BECC7">
      <w:pPr>
        <w:pageBreakBefore w:val="0"/>
        <w:kinsoku/>
        <w:wordWrap/>
        <w:overflowPunct/>
        <w:topLinePunct w:val="0"/>
        <w:bidi w:val="0"/>
        <w:spacing w:beforeAutospacing="0" w:afterAutospacing="0" w:line="240"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甲方（全称）：新疆维吾尔自治区动物疫病预防控制中心（新疆维吾尔自治区动物检疫所）</w:t>
      </w:r>
    </w:p>
    <w:p w14:paraId="1FF77418">
      <w:pPr>
        <w:pageBreakBefore w:val="0"/>
        <w:kinsoku/>
        <w:wordWrap/>
        <w:overflowPunct/>
        <w:topLinePunct w:val="0"/>
        <w:bidi w:val="0"/>
        <w:spacing w:beforeAutospacing="0" w:afterAutospacing="0" w:line="240" w:lineRule="auto"/>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乙方（全称）：</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 xml:space="preserve">                   </w:t>
      </w:r>
    </w:p>
    <w:p w14:paraId="612EF1A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8346C64">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173" w:name="_Toc18859"/>
      <w:bookmarkStart w:id="174" w:name="_Toc8382"/>
      <w:bookmarkStart w:id="175" w:name="_Toc18656"/>
      <w:bookmarkStart w:id="176" w:name="_Toc10377"/>
      <w:bookmarkStart w:id="177" w:name="_Toc13629"/>
      <w:bookmarkStart w:id="178" w:name="_Toc7567"/>
      <w:r>
        <w:rPr>
          <w:rFonts w:hint="eastAsia" w:ascii="宋体" w:hAnsi="宋体" w:eastAsia="宋体" w:cs="宋体"/>
          <w:b/>
          <w:bCs/>
          <w:color w:val="auto"/>
          <w:sz w:val="30"/>
          <w:szCs w:val="30"/>
          <w:highlight w:val="none"/>
          <w:lang w:val="en-US" w:eastAsia="zh-CN"/>
        </w:rPr>
        <w:t>一、项目信息</w:t>
      </w:r>
      <w:bookmarkEnd w:id="173"/>
      <w:bookmarkEnd w:id="174"/>
      <w:bookmarkEnd w:id="175"/>
      <w:bookmarkEnd w:id="176"/>
      <w:bookmarkEnd w:id="177"/>
      <w:bookmarkEnd w:id="178"/>
    </w:p>
    <w:p w14:paraId="021F0D6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1、采购项目名称：              </w:t>
      </w:r>
    </w:p>
    <w:p w14:paraId="690436D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2、项目内容：                 </w:t>
      </w:r>
    </w:p>
    <w:p w14:paraId="6AA7803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采购标的及数量（视项目情况而定）</w:t>
      </w:r>
    </w:p>
    <w:p w14:paraId="5FBE8501">
      <w:pPr>
        <w:pageBreakBefore w:val="0"/>
        <w:kinsoku/>
        <w:wordWrap/>
        <w:overflowPunct/>
        <w:topLinePunct w:val="0"/>
        <w:bidi w:val="0"/>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疫苗供应信息一览表</w:t>
      </w:r>
    </w:p>
    <w:tbl>
      <w:tblPr>
        <w:tblStyle w:val="27"/>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36"/>
        <w:gridCol w:w="1336"/>
        <w:gridCol w:w="1336"/>
        <w:gridCol w:w="1337"/>
        <w:gridCol w:w="1337"/>
        <w:gridCol w:w="1337"/>
      </w:tblGrid>
      <w:tr w14:paraId="0261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336" w:type="dxa"/>
            <w:vAlign w:val="center"/>
          </w:tcPr>
          <w:p w14:paraId="11F218A3">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zh-CN" w:eastAsia="zh-CN"/>
              </w:rPr>
              <w:t>序号</w:t>
            </w:r>
          </w:p>
        </w:tc>
        <w:tc>
          <w:tcPr>
            <w:tcW w:w="1336" w:type="dxa"/>
            <w:vAlign w:val="center"/>
          </w:tcPr>
          <w:p w14:paraId="1948B546">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zh-CN" w:eastAsia="zh-CN"/>
              </w:rPr>
              <w:t>产品名称</w:t>
            </w:r>
          </w:p>
        </w:tc>
        <w:tc>
          <w:tcPr>
            <w:tcW w:w="1336" w:type="dxa"/>
            <w:vAlign w:val="center"/>
          </w:tcPr>
          <w:p w14:paraId="48889BE7">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规格型号</w:t>
            </w:r>
          </w:p>
        </w:tc>
        <w:tc>
          <w:tcPr>
            <w:tcW w:w="1336" w:type="dxa"/>
            <w:shd w:val="clear" w:color="auto" w:fill="auto"/>
            <w:vAlign w:val="center"/>
          </w:tcPr>
          <w:p w14:paraId="4EE5DD7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数量/单位</w:t>
            </w:r>
          </w:p>
        </w:tc>
        <w:tc>
          <w:tcPr>
            <w:tcW w:w="1337" w:type="dxa"/>
            <w:shd w:val="clear" w:color="auto" w:fill="auto"/>
            <w:vAlign w:val="center"/>
          </w:tcPr>
          <w:p w14:paraId="4BCF6C10">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单价（元）</w:t>
            </w:r>
          </w:p>
        </w:tc>
        <w:tc>
          <w:tcPr>
            <w:tcW w:w="1337" w:type="dxa"/>
            <w:vAlign w:val="center"/>
          </w:tcPr>
          <w:p w14:paraId="064F0183">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合计金额</w:t>
            </w:r>
          </w:p>
        </w:tc>
        <w:tc>
          <w:tcPr>
            <w:tcW w:w="1337" w:type="dxa"/>
            <w:vAlign w:val="center"/>
          </w:tcPr>
          <w:p w14:paraId="54C62F62">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03A6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36" w:type="dxa"/>
            <w:vMerge w:val="restart"/>
            <w:vAlign w:val="center"/>
          </w:tcPr>
          <w:p w14:paraId="5A5407F5">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6" w:type="dxa"/>
            <w:vMerge w:val="restart"/>
            <w:vAlign w:val="center"/>
          </w:tcPr>
          <w:p w14:paraId="2FB5B09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6" w:type="dxa"/>
            <w:vMerge w:val="restart"/>
            <w:vAlign w:val="center"/>
          </w:tcPr>
          <w:p w14:paraId="6792E3CD">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6" w:type="dxa"/>
            <w:vAlign w:val="center"/>
          </w:tcPr>
          <w:p w14:paraId="3DCD73A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restart"/>
            <w:vAlign w:val="center"/>
          </w:tcPr>
          <w:p w14:paraId="3699A2D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restart"/>
            <w:vAlign w:val="center"/>
          </w:tcPr>
          <w:p w14:paraId="598A440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restart"/>
            <w:vAlign w:val="center"/>
          </w:tcPr>
          <w:p w14:paraId="183A069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r>
      <w:tr w14:paraId="37CC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36" w:type="dxa"/>
            <w:vMerge w:val="continue"/>
            <w:vAlign w:val="center"/>
          </w:tcPr>
          <w:p w14:paraId="544F0273">
            <w:pPr>
              <w:pageBreakBefore w:val="0"/>
              <w:kinsoku/>
              <w:wordWrap/>
              <w:overflowPunct/>
              <w:topLinePunct w:val="0"/>
              <w:bidi w:val="0"/>
              <w:spacing w:beforeAutospacing="0" w:afterAutospacing="0" w:line="360" w:lineRule="auto"/>
              <w:ind w:firstLine="420" w:firstLineChars="200"/>
              <w:textAlignment w:val="auto"/>
              <w:rPr>
                <w:rFonts w:hint="eastAsia" w:ascii="宋体" w:hAnsi="宋体" w:eastAsia="宋体" w:cs="宋体"/>
                <w:color w:val="auto"/>
              </w:rPr>
            </w:pPr>
          </w:p>
        </w:tc>
        <w:tc>
          <w:tcPr>
            <w:tcW w:w="1336" w:type="dxa"/>
            <w:vMerge w:val="continue"/>
            <w:vAlign w:val="center"/>
          </w:tcPr>
          <w:p w14:paraId="014FEFA1">
            <w:pPr>
              <w:pageBreakBefore w:val="0"/>
              <w:kinsoku/>
              <w:wordWrap/>
              <w:overflowPunct/>
              <w:topLinePunct w:val="0"/>
              <w:bidi w:val="0"/>
              <w:spacing w:beforeAutospacing="0" w:afterAutospacing="0" w:line="360" w:lineRule="auto"/>
              <w:ind w:firstLine="420" w:firstLineChars="200"/>
              <w:textAlignment w:val="auto"/>
              <w:rPr>
                <w:rFonts w:hint="eastAsia" w:ascii="宋体" w:hAnsi="宋体" w:eastAsia="宋体" w:cs="宋体"/>
                <w:color w:val="auto"/>
              </w:rPr>
            </w:pPr>
          </w:p>
        </w:tc>
        <w:tc>
          <w:tcPr>
            <w:tcW w:w="1336" w:type="dxa"/>
            <w:vMerge w:val="continue"/>
            <w:vAlign w:val="center"/>
          </w:tcPr>
          <w:p w14:paraId="6752115B">
            <w:pPr>
              <w:pageBreakBefore w:val="0"/>
              <w:kinsoku/>
              <w:wordWrap/>
              <w:overflowPunct/>
              <w:topLinePunct w:val="0"/>
              <w:bidi w:val="0"/>
              <w:spacing w:beforeAutospacing="0" w:afterAutospacing="0" w:line="360" w:lineRule="auto"/>
              <w:ind w:firstLine="420" w:firstLineChars="200"/>
              <w:textAlignment w:val="auto"/>
              <w:rPr>
                <w:rFonts w:hint="eastAsia" w:ascii="宋体" w:hAnsi="宋体" w:eastAsia="宋体" w:cs="宋体"/>
                <w:color w:val="auto"/>
              </w:rPr>
            </w:pPr>
          </w:p>
        </w:tc>
        <w:tc>
          <w:tcPr>
            <w:tcW w:w="1336" w:type="dxa"/>
            <w:vAlign w:val="center"/>
          </w:tcPr>
          <w:p w14:paraId="152CC96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continue"/>
            <w:vAlign w:val="center"/>
          </w:tcPr>
          <w:p w14:paraId="63998D05">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continue"/>
            <w:vAlign w:val="center"/>
          </w:tcPr>
          <w:p w14:paraId="11F282B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continue"/>
            <w:vAlign w:val="center"/>
          </w:tcPr>
          <w:p w14:paraId="1B5AF1E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r>
      <w:tr w14:paraId="1CF8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355" w:type="dxa"/>
            <w:gridSpan w:val="7"/>
            <w:vAlign w:val="center"/>
          </w:tcPr>
          <w:p w14:paraId="5E65DD5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注：口蹄疫产品须将头份单位换算为毫升单位；</w:t>
            </w:r>
          </w:p>
        </w:tc>
      </w:tr>
    </w:tbl>
    <w:p w14:paraId="48E051EC">
      <w:pPr>
        <w:pageBreakBefore w:val="0"/>
        <w:kinsoku/>
        <w:wordWrap/>
        <w:overflowPunct/>
        <w:topLinePunct w:val="0"/>
        <w:bidi w:val="0"/>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p w14:paraId="421E8127">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179" w:name="_Toc25801"/>
      <w:bookmarkStart w:id="180" w:name="_Toc3600"/>
      <w:bookmarkStart w:id="181" w:name="_Toc10701"/>
      <w:bookmarkStart w:id="182" w:name="_Toc23687"/>
      <w:bookmarkStart w:id="183" w:name="_Toc15252"/>
      <w:bookmarkStart w:id="184" w:name="_Toc31030"/>
      <w:r>
        <w:rPr>
          <w:rFonts w:hint="eastAsia" w:ascii="宋体" w:hAnsi="宋体" w:eastAsia="宋体" w:cs="宋体"/>
          <w:b/>
          <w:bCs/>
          <w:color w:val="auto"/>
          <w:sz w:val="30"/>
          <w:szCs w:val="30"/>
          <w:highlight w:val="none"/>
          <w:lang w:val="en-US" w:eastAsia="zh-CN"/>
        </w:rPr>
        <w:t>二、合同金额</w:t>
      </w:r>
      <w:bookmarkEnd w:id="179"/>
      <w:bookmarkEnd w:id="180"/>
      <w:bookmarkEnd w:id="181"/>
      <w:bookmarkEnd w:id="182"/>
      <w:bookmarkEnd w:id="183"/>
      <w:bookmarkEnd w:id="184"/>
    </w:p>
    <w:p w14:paraId="4DD7DEF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、合同总价:人民币大写：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eastAsia="zh-CN"/>
        </w:rPr>
        <w:t>元；</w:t>
      </w:r>
      <w:r>
        <w:rPr>
          <w:rFonts w:hint="eastAsia" w:ascii="宋体" w:hAnsi="宋体" w:eastAsia="宋体" w:cs="宋体"/>
          <w:color w:val="auto"/>
          <w:sz w:val="24"/>
          <w:szCs w:val="24"/>
          <w:highlight w:val="none"/>
          <w:lang w:val="en-US" w:eastAsia="zh-CN"/>
        </w:rPr>
        <w:t xml:space="preserve">            </w:t>
      </w:r>
    </w:p>
    <w:p w14:paraId="1EC70CBD">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、本合同总价是货物(产品)设计、成本、税款材料、制造、包装、运输、售后服务、验收合格交付使用之前及与备用物件等其他有关各项的含税费用。</w:t>
      </w:r>
    </w:p>
    <w:p w14:paraId="5F95A82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、本合同总价还包含乙方应当提供的伴随服务和售后服务费用。</w:t>
      </w:r>
    </w:p>
    <w:p w14:paraId="425F957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、本合同执行期间合同总价不变，甲方无须另向乙方支付本合同规定之外的其他任何费用。</w:t>
      </w:r>
    </w:p>
    <w:p w14:paraId="4C5617B2">
      <w:pPr>
        <w:pageBreakBefore w:val="0"/>
        <w:numPr>
          <w:ilvl w:val="0"/>
          <w:numId w:val="0"/>
        </w:numPr>
        <w:kinsoku/>
        <w:wordWrap/>
        <w:overflowPunct/>
        <w:topLinePunct w:val="0"/>
        <w:bidi w:val="0"/>
        <w:spacing w:beforeAutospacing="0" w:afterAutospacing="0" w:line="240" w:lineRule="auto"/>
        <w:ind w:left="0" w:leftChars="0" w:firstLine="602" w:firstLineChars="200"/>
        <w:textAlignment w:val="auto"/>
        <w:outlineLvl w:val="1"/>
        <w:rPr>
          <w:rFonts w:hint="eastAsia" w:ascii="宋体" w:hAnsi="宋体" w:eastAsia="宋体" w:cs="宋体"/>
          <w:b/>
          <w:bCs/>
          <w:color w:val="auto"/>
          <w:kern w:val="2"/>
          <w:sz w:val="30"/>
          <w:szCs w:val="30"/>
          <w:lang w:val="en-US" w:eastAsia="zh-CN" w:bidi="ar-SA"/>
        </w:rPr>
      </w:pPr>
      <w:bookmarkStart w:id="185" w:name="_Toc21071"/>
      <w:bookmarkStart w:id="186" w:name="_Toc1503"/>
      <w:bookmarkStart w:id="187" w:name="_Toc237"/>
      <w:bookmarkStart w:id="188" w:name="_Toc29123"/>
      <w:bookmarkStart w:id="189" w:name="_Toc16950"/>
      <w:bookmarkStart w:id="190" w:name="_Toc17245"/>
      <w:r>
        <w:rPr>
          <w:rFonts w:hint="eastAsia" w:ascii="宋体" w:hAnsi="宋体" w:eastAsia="宋体" w:cs="宋体"/>
          <w:b/>
          <w:bCs/>
          <w:color w:val="auto"/>
          <w:kern w:val="2"/>
          <w:sz w:val="30"/>
          <w:szCs w:val="30"/>
          <w:lang w:val="en-US" w:eastAsia="zh-CN" w:bidi="ar-SA"/>
        </w:rPr>
        <w:t>三</w:t>
      </w:r>
      <w:r>
        <w:rPr>
          <w:rFonts w:hint="eastAsia" w:ascii="宋体" w:hAnsi="宋体" w:eastAsia="宋体" w:cs="宋体"/>
          <w:b/>
          <w:bCs/>
          <w:color w:val="auto"/>
          <w:sz w:val="30"/>
          <w:szCs w:val="30"/>
          <w:highlight w:val="none"/>
          <w:lang w:val="en-US" w:eastAsia="zh-CN"/>
        </w:rPr>
        <w:t>、</w:t>
      </w:r>
      <w:r>
        <w:rPr>
          <w:rFonts w:hint="eastAsia" w:ascii="宋体" w:hAnsi="宋体" w:eastAsia="宋体" w:cs="宋体"/>
          <w:b/>
          <w:bCs/>
          <w:color w:val="auto"/>
          <w:kern w:val="2"/>
          <w:sz w:val="30"/>
          <w:szCs w:val="30"/>
          <w:lang w:val="en-US" w:eastAsia="zh-CN" w:bidi="ar-SA"/>
        </w:rPr>
        <w:t>供货时间及地点</w:t>
      </w:r>
      <w:bookmarkEnd w:id="185"/>
      <w:bookmarkEnd w:id="186"/>
      <w:bookmarkEnd w:id="187"/>
      <w:bookmarkEnd w:id="188"/>
      <w:bookmarkEnd w:id="189"/>
      <w:bookmarkEnd w:id="190"/>
    </w:p>
    <w:p w14:paraId="463EF378">
      <w:pPr>
        <w:pageBreakBefore w:val="0"/>
        <w:numPr>
          <w:ilvl w:val="0"/>
          <w:numId w:val="0"/>
        </w:numPr>
        <w:kinsoku/>
        <w:wordWrap/>
        <w:overflowPunct/>
        <w:topLinePunct w:val="0"/>
        <w:bidi w:val="0"/>
        <w:spacing w:beforeAutospacing="0" w:after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1、供货时间： </w:t>
      </w:r>
      <w:r>
        <w:rPr>
          <w:rFonts w:hint="eastAsia" w:ascii="宋体" w:hAnsi="宋体" w:eastAsia="宋体" w:cs="宋体"/>
          <w:b w:val="0"/>
          <w:bCs w:val="0"/>
          <w:color w:val="auto"/>
          <w:sz w:val="24"/>
          <w:szCs w:val="24"/>
          <w:lang w:val="en-US" w:eastAsia="zh-CN"/>
        </w:rPr>
        <w:t>接到采购方供货通知，须在15个日历日内（特殊情况下24小时送达）全程冷链条件下运达至甲方指定地点</w:t>
      </w:r>
      <w:r>
        <w:rPr>
          <w:rFonts w:hint="eastAsia" w:ascii="宋体" w:hAnsi="宋体" w:eastAsia="宋体" w:cs="宋体"/>
          <w:b w:val="0"/>
          <w:bCs w:val="0"/>
          <w:color w:val="auto"/>
          <w:sz w:val="24"/>
          <w:szCs w:val="24"/>
          <w:highlight w:val="none"/>
          <w:lang w:val="en-US" w:eastAsia="zh-CN"/>
        </w:rPr>
        <w:t>（分春季、秋季供货使用的疫苗， 按甲方通知要求分批供应）</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highlight w:val="none"/>
          <w:lang w:val="en-US" w:eastAsia="zh-CN"/>
        </w:rPr>
        <w:t xml:space="preserve"> </w:t>
      </w:r>
    </w:p>
    <w:p w14:paraId="38156FF9">
      <w:pPr>
        <w:pageBreakBefore w:val="0"/>
        <w:numPr>
          <w:ilvl w:val="0"/>
          <w:numId w:val="0"/>
        </w:numPr>
        <w:kinsoku/>
        <w:wordWrap/>
        <w:overflowPunct/>
        <w:topLinePunct w:val="0"/>
        <w:bidi w:val="0"/>
        <w:spacing w:beforeAutospacing="0" w:after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2、供货地点：为自治区动物疫病预防控制中心指定区域，一般为地、县两级动物疫控中心疫苗冷藏库。</w:t>
      </w:r>
    </w:p>
    <w:p w14:paraId="79822834">
      <w:pPr>
        <w:pageBreakBefore w:val="0"/>
        <w:numPr>
          <w:ilvl w:val="0"/>
          <w:numId w:val="0"/>
        </w:numPr>
        <w:kinsoku/>
        <w:wordWrap/>
        <w:overflowPunct/>
        <w:topLinePunct w:val="0"/>
        <w:bidi w:val="0"/>
        <w:spacing w:beforeAutospacing="0" w:afterAutospacing="0" w:line="240" w:lineRule="auto"/>
        <w:ind w:left="0" w:leftChars="0" w:firstLine="602" w:firstLineChars="200"/>
        <w:textAlignment w:val="auto"/>
        <w:outlineLvl w:val="1"/>
        <w:rPr>
          <w:rFonts w:hint="eastAsia" w:ascii="宋体" w:hAnsi="宋体" w:eastAsia="宋体" w:cs="宋体"/>
          <w:b/>
          <w:bCs/>
          <w:color w:val="auto"/>
          <w:kern w:val="2"/>
          <w:sz w:val="30"/>
          <w:szCs w:val="30"/>
          <w:highlight w:val="none"/>
          <w:lang w:val="en-US" w:eastAsia="zh-CN" w:bidi="ar-SA"/>
        </w:rPr>
      </w:pPr>
      <w:bookmarkStart w:id="191" w:name="_Toc10171"/>
      <w:bookmarkStart w:id="192" w:name="_Toc9040"/>
      <w:bookmarkStart w:id="193" w:name="_Toc9144"/>
      <w:bookmarkStart w:id="194" w:name="_Toc20794"/>
      <w:bookmarkStart w:id="195" w:name="_Toc11291"/>
      <w:bookmarkStart w:id="196" w:name="_Toc25094"/>
      <w:r>
        <w:rPr>
          <w:rFonts w:hint="eastAsia" w:ascii="宋体" w:hAnsi="宋体" w:eastAsia="宋体" w:cs="宋体"/>
          <w:b/>
          <w:bCs/>
          <w:color w:val="auto"/>
          <w:kern w:val="2"/>
          <w:sz w:val="30"/>
          <w:szCs w:val="30"/>
          <w:highlight w:val="none"/>
          <w:lang w:val="en-US" w:eastAsia="zh-CN" w:bidi="ar-SA"/>
        </w:rPr>
        <w:t>四、付款方式（本项目无预付款）：</w:t>
      </w:r>
      <w:bookmarkEnd w:id="191"/>
      <w:bookmarkEnd w:id="192"/>
      <w:bookmarkEnd w:id="193"/>
      <w:bookmarkEnd w:id="194"/>
      <w:bookmarkEnd w:id="195"/>
      <w:bookmarkEnd w:id="196"/>
    </w:p>
    <w:p w14:paraId="7FA12CDF">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1、按供应的疫苗物资量，分春防、秋防进行结算。</w:t>
      </w:r>
    </w:p>
    <w:p w14:paraId="10457929">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(1)春防期供应疫苗物资，到货验收合格后30个工作日内启动专项资金支付程序，按照实际供货量结算付款。</w:t>
      </w:r>
    </w:p>
    <w:p w14:paraId="4033C09E">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(2)秋防期供应疫苗物资，到货验收合格后30个工作日内启动专项资金支付程序，按照实际供货量结算付款。</w:t>
      </w:r>
    </w:p>
    <w:p w14:paraId="533D343E">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lang w:eastAsia="zh-CN"/>
        </w:rPr>
        <w:t>2、协议储备的货物在甲乙双方签订《代储协议》后，10个工作日内启动专项资金支付程序，按代储疫苗物资量一次性结算付款</w:t>
      </w:r>
      <w:r>
        <w:rPr>
          <w:rFonts w:hint="eastAsia" w:ascii="宋体" w:hAnsi="宋体" w:eastAsia="宋体" w:cs="宋体"/>
          <w:b w:val="0"/>
          <w:bCs w:val="0"/>
          <w:color w:val="auto"/>
          <w:sz w:val="24"/>
          <w:szCs w:val="24"/>
          <w:lang w:val="en-US" w:eastAsia="zh-CN"/>
        </w:rPr>
        <w:t>。</w:t>
      </w:r>
    </w:p>
    <w:p w14:paraId="38B4F98D">
      <w:pPr>
        <w:pageBreakBefore w:val="0"/>
        <w:kinsoku/>
        <w:wordWrap/>
        <w:overflowPunct/>
        <w:topLinePunct w:val="0"/>
        <w:bidi w:val="0"/>
        <w:spacing w:beforeAutospacing="0" w:afterAutospacing="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注：具体以实际签订合同为准，响应甲方要求。</w:t>
      </w:r>
    </w:p>
    <w:p w14:paraId="30514831">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197" w:name="_Toc10897"/>
      <w:bookmarkStart w:id="198" w:name="_Toc32163"/>
      <w:bookmarkStart w:id="199" w:name="_Toc22187"/>
      <w:bookmarkStart w:id="200" w:name="_Toc4274"/>
      <w:bookmarkStart w:id="201" w:name="_Toc17453"/>
      <w:bookmarkStart w:id="202" w:name="_Toc32291"/>
      <w:bookmarkStart w:id="420" w:name="_GoBack"/>
      <w:bookmarkEnd w:id="420"/>
      <w:r>
        <w:rPr>
          <w:rFonts w:hint="eastAsia" w:ascii="宋体" w:hAnsi="宋体" w:eastAsia="宋体" w:cs="宋体"/>
          <w:b/>
          <w:bCs/>
          <w:color w:val="auto"/>
          <w:sz w:val="30"/>
          <w:szCs w:val="30"/>
          <w:highlight w:val="none"/>
          <w:lang w:val="en-US" w:eastAsia="zh-CN"/>
        </w:rPr>
        <w:t>五、合同履行</w:t>
      </w:r>
      <w:bookmarkEnd w:id="197"/>
      <w:bookmarkEnd w:id="198"/>
      <w:bookmarkEnd w:id="199"/>
      <w:bookmarkEnd w:id="200"/>
      <w:bookmarkEnd w:id="201"/>
      <w:bookmarkEnd w:id="202"/>
    </w:p>
    <w:p w14:paraId="3471E3F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 xml:space="preserve">签订合同起始日期：                              </w:t>
      </w:r>
    </w:p>
    <w:p w14:paraId="437361B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履约担保：履约保函</w:t>
      </w:r>
    </w:p>
    <w:p w14:paraId="27C88EC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3、履约保函期限：两年</w:t>
      </w:r>
    </w:p>
    <w:p w14:paraId="04F48FD7">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交货验收方式：</w:t>
      </w:r>
    </w:p>
    <w:p w14:paraId="3362CF4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①在甲方指定交货地点验收，如发现损坏、缺件等问题，乙方应当在接到甲方通知（包括但不限于电话、传真、短信、电子邮件等通知方式）后10日内负责完成更换、补齐。</w:t>
      </w:r>
    </w:p>
    <w:p w14:paraId="6E67E12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②甲方应在货物到达指定交货地点10个工作日内完成到货验收工作，验收合格后在验收单上签署 “验收合格”字样。</w:t>
      </w:r>
    </w:p>
    <w:p w14:paraId="3117E79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甲方委托的验收人在疫苗验收中发现不符合合同要求和验收标准或有异议时，及时通知乙方，乙方应在接到甲方通知（包括但不限于电话、短信、传真、电子邮件等方式）后十日内完成货物更换、补齐，并负责处理，若需送法定质检部门检验，检验费用由乙方承担。</w:t>
      </w:r>
    </w:p>
    <w:p w14:paraId="5B726380">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交货验收程序：乙方提出验收申请，甲乙双方按照合同要求逐一进行验收，验收合格后，在验收单上签字确认。</w:t>
      </w:r>
    </w:p>
    <w:p w14:paraId="7FDAD6B4">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03" w:name="_Toc6318"/>
      <w:bookmarkStart w:id="204" w:name="_Toc2950"/>
      <w:bookmarkStart w:id="205" w:name="_Toc7852"/>
      <w:bookmarkStart w:id="206" w:name="_Toc15155"/>
      <w:bookmarkStart w:id="207" w:name="_Toc30533"/>
      <w:bookmarkStart w:id="208" w:name="_Toc22148"/>
      <w:r>
        <w:rPr>
          <w:rFonts w:hint="eastAsia" w:ascii="宋体" w:hAnsi="宋体" w:eastAsia="宋体" w:cs="宋体"/>
          <w:b/>
          <w:bCs/>
          <w:color w:val="auto"/>
          <w:sz w:val="30"/>
          <w:szCs w:val="30"/>
          <w:highlight w:val="none"/>
          <w:lang w:val="en-US" w:eastAsia="zh-CN"/>
        </w:rPr>
        <w:t>六、合同内容</w:t>
      </w:r>
      <w:bookmarkEnd w:id="203"/>
      <w:bookmarkEnd w:id="204"/>
      <w:bookmarkEnd w:id="205"/>
      <w:bookmarkEnd w:id="206"/>
      <w:bookmarkEnd w:id="207"/>
      <w:bookmarkEnd w:id="208"/>
    </w:p>
    <w:p w14:paraId="4915D01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乙方所提供的动物疫苗符合国家现行有效标准，因质量问题而发生的任何损失由乙方负责。</w:t>
      </w:r>
    </w:p>
    <w:p w14:paraId="122895D7">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乙方承担货物供应和售后服务等一切责任和费用。</w:t>
      </w:r>
    </w:p>
    <w:p w14:paraId="230C13E4">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3、甲方委托各地动物疫病预防控制机构在交货地点验收，包括数量、规格、包装、冷链记录等，如发现损坏、缺件、脱温等问题，由乙方负责。</w:t>
      </w:r>
    </w:p>
    <w:p w14:paraId="35539D9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4、乙方在发运疫苗时需提供相应的技术文件，包括使用说明等，如甲方提出需求，乙方需培训疫苗注射使用方法。</w:t>
      </w:r>
    </w:p>
    <w:p w14:paraId="298D6E3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5、乙方对所供产品有效期需满足采购参数要求，产品有效期12个月的疫苗交货时，该批疫苗效期需不低于8个月；产品有效期24个月的疫苗交货时，效期需不低于14个月。</w:t>
      </w:r>
    </w:p>
    <w:p w14:paraId="473EE24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若农业农村部将强制免疫病种疫苗毒株进行更换或调整，乙方应根据农业农村部调整后的疫苗毒株进行生产，并按合同签订的数量及价格向甲方提供调整毒株后的疫苗。乙方在投标之前应当充分考虑到这些方面的因素及风险。</w:t>
      </w:r>
    </w:p>
    <w:p w14:paraId="65D605E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凡货款由财政国库或甲方支付的，乙方凭甲方的调拨通知单和合同向甲方指定的地点供货，未见疫苗调拨通知单或未按合同供货而造成的一切后果由乙方负责。</w:t>
      </w:r>
    </w:p>
    <w:p w14:paraId="4B17756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采购合同履行中，甲方需追加与合同标的相同的货物，在不改变其他条款的前提下，可与乙方协商签订补充合同，所有补充合同的采购金额不超过原合同采购金额的百分之十。</w:t>
      </w:r>
    </w:p>
    <w:p w14:paraId="597E7EE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包装要求：</w:t>
      </w:r>
      <w:r>
        <w:rPr>
          <w:rFonts w:hint="eastAsia" w:ascii="宋体" w:hAnsi="宋体" w:eastAsia="宋体" w:cs="宋体"/>
          <w:b w:val="0"/>
          <w:bCs w:val="0"/>
          <w:color w:val="auto"/>
          <w:sz w:val="24"/>
          <w:szCs w:val="24"/>
          <w:highlight w:val="none"/>
          <w:lang w:eastAsia="zh-CN"/>
        </w:rPr>
        <w:t>疫苗产品包装应符合《中华人民共和国兽药典》关于兽用生物制品的标签、说明书与包装规定。要配套泡沫保温箱和外包装箱，并附有兽药标签、使用说明书等相关资料。</w:t>
      </w:r>
      <w:r>
        <w:rPr>
          <w:rFonts w:hint="eastAsia" w:ascii="宋体" w:hAnsi="宋体" w:eastAsia="宋体" w:cs="宋体"/>
          <w:color w:val="auto"/>
          <w:sz w:val="24"/>
          <w:szCs w:val="24"/>
          <w:highlight w:val="none"/>
          <w:lang w:val="en-US" w:eastAsia="zh-CN"/>
        </w:rPr>
        <w:t>乙方需确保货品无破损，无污染，且方便二次运输。产品包装按照大小包装分配成一定比例供货，而且标识清楚，以方便散养动物免疫注射使用，避免造成疫苗浪费。因包装不当造成的损失由乙方负责，包退包换。</w:t>
      </w:r>
    </w:p>
    <w:p w14:paraId="218548E0">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10、冷链运输全程温度记录随车同行，交货有效期不少于8个月，不符合的无条件免费更换。</w:t>
      </w:r>
    </w:p>
    <w:p w14:paraId="46227BD5">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11、其它：乙方在投标文件内承诺的相应事项作为本合同的附加条款，乙方需严格按承诺履行。</w:t>
      </w:r>
    </w:p>
    <w:p w14:paraId="31BE9168">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09" w:name="_Toc14575"/>
      <w:bookmarkStart w:id="210" w:name="_Toc17308"/>
      <w:bookmarkStart w:id="211" w:name="_Toc16477"/>
      <w:bookmarkStart w:id="212" w:name="_Toc31940"/>
      <w:bookmarkStart w:id="213" w:name="_Toc3386"/>
      <w:bookmarkStart w:id="214" w:name="_Toc5214"/>
      <w:r>
        <w:rPr>
          <w:rFonts w:hint="eastAsia" w:ascii="宋体" w:hAnsi="宋体" w:eastAsia="宋体" w:cs="宋体"/>
          <w:b/>
          <w:bCs/>
          <w:color w:val="auto"/>
          <w:sz w:val="30"/>
          <w:szCs w:val="30"/>
          <w:highlight w:val="none"/>
          <w:lang w:val="en-US" w:eastAsia="zh-CN"/>
        </w:rPr>
        <w:t>七、经济责任</w:t>
      </w:r>
      <w:bookmarkEnd w:id="209"/>
      <w:bookmarkEnd w:id="210"/>
      <w:bookmarkEnd w:id="211"/>
      <w:bookmarkEnd w:id="212"/>
      <w:bookmarkEnd w:id="213"/>
      <w:bookmarkEnd w:id="214"/>
    </w:p>
    <w:p w14:paraId="15F4E73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1、乙方不履行合同或交付的疫苗不符合招标文件和合同要求的，甲方或甲方委托验收人有权拒收不符合质量要求的全部或部分疫苗。</w:t>
      </w:r>
    </w:p>
    <w:p w14:paraId="5527046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2、疫苗质量不符合招标文件和合同规定时，乙方负责包退包换。由于上述原因导致延误交货时间的，每延误一日，乙方应按逾期交货部分疫苗价款总值的</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‰向甲方偿付违约金。</w:t>
      </w:r>
    </w:p>
    <w:p w14:paraId="480E0B9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3、乙方必须按合同规定的日期交货，每逾期一日，乙方必须向甲方支付逾期交货疫苗总额</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‰的违约金。逾期交货超过10日，甲方有权解除合同。</w:t>
      </w:r>
    </w:p>
    <w:p w14:paraId="2ED1036C">
      <w:pPr>
        <w:pageBreakBefore w:val="0"/>
        <w:numPr>
          <w:ilvl w:val="0"/>
          <w:numId w:val="0"/>
        </w:numPr>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lang w:val="en-US" w:eastAsia="zh-CN"/>
        </w:rPr>
        <w:t>乙方提供的同一批次的疫苗，若检测存在不符合质量要求的，视为整批疫苗不合格。</w:t>
      </w:r>
    </w:p>
    <w:p w14:paraId="1619EEF1">
      <w:pPr>
        <w:pageBreakBefore w:val="0"/>
        <w:numPr>
          <w:ilvl w:val="0"/>
          <w:numId w:val="0"/>
        </w:numPr>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疫苗属于特殊生物制品，必须按照生物制品运输保存的条件要求进行冷链运送，运输工具要配温度记录装置，疫苗接收单位将现场测温，并核查全程温度记录，对不符合动物疫苗运输条件的疫苗，接收单位有权拒收。由此造成的一切损失由乙方承担，而且由此延误了供苗时间造成的损失应由乙方负责补偿。</w:t>
      </w:r>
    </w:p>
    <w:p w14:paraId="59286162">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15" w:name="_Toc21019"/>
      <w:bookmarkStart w:id="216" w:name="_Toc1824"/>
      <w:bookmarkStart w:id="217" w:name="_Toc262"/>
      <w:bookmarkStart w:id="218" w:name="_Toc9980"/>
      <w:bookmarkStart w:id="219" w:name="_Toc11091"/>
      <w:bookmarkStart w:id="220" w:name="_Toc24833"/>
      <w:r>
        <w:rPr>
          <w:rFonts w:hint="eastAsia" w:ascii="宋体" w:hAnsi="宋体" w:eastAsia="宋体" w:cs="宋体"/>
          <w:b/>
          <w:bCs/>
          <w:color w:val="auto"/>
          <w:sz w:val="30"/>
          <w:szCs w:val="30"/>
          <w:highlight w:val="none"/>
          <w:lang w:val="en-US" w:eastAsia="zh-CN"/>
        </w:rPr>
        <w:t>八、特殊条款</w:t>
      </w:r>
      <w:bookmarkEnd w:id="215"/>
      <w:bookmarkEnd w:id="216"/>
      <w:bookmarkEnd w:id="217"/>
      <w:bookmarkEnd w:id="218"/>
      <w:bookmarkEnd w:id="219"/>
      <w:bookmarkEnd w:id="220"/>
    </w:p>
    <w:p w14:paraId="5198CDE7">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1、乙方需充分满足甲方培训需求，提供免疫相关知识的培训，甲方可以提出培训计划，由乙方举办培训班，培训对象由甲方确定。</w:t>
      </w:r>
    </w:p>
    <w:p w14:paraId="4FC19D7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2、若因注射乙方所供疫苗引发疫情，甲、乙双方应联合相关部门组建调查小组彻查原因；经确认疫情确由疫苗问题导致的，乙方须承担全部扑疫费用，并赔偿由此造成的相应经济损失。</w:t>
      </w:r>
    </w:p>
    <w:p w14:paraId="523D105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3、若因疫苗质量问题导致已免疫畜禽出现大面积严重应激反应，乙方须在 24 小时内派遣专业技术人员赶赴现场，开展采样、分析及问题处置工作，并承担该应激反应造成的全部损失。</w:t>
      </w:r>
    </w:p>
    <w:p w14:paraId="531F7EE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因疫苗注射发生应激反应导致畜禽死亡的，乙方通过副反应死亡补偿准备金、商业保险理赔等方式进行赔付补偿；赔付标准综合畜禽品种、体重、市场价值等因素确定，且须严格兑现投标承诺，由当地动物疫控机构或畜牧兽医主管部门备案汇总相关情况。春防期应激死亡赔付需在7月底前完成，秋防期应激死亡赔付需在12月底前完成。</w:t>
      </w:r>
    </w:p>
    <w:p w14:paraId="331BD60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5、乙方向甲方指定的疫苗接收单位供货时，产品大、小包装按规定比例配送，包装标识须清晰规范，按该比例分送至各疫苗接收单位，保障散养动物免疫注射使用便捷性，杜绝疫苗浪费。</w:t>
      </w:r>
    </w:p>
    <w:p w14:paraId="42E3831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6、由于疫苗质量问题造成免疫畜禽大面积出现严重应激反应的，甲方根据造成危害程度的大小，可以决定终止合同，由此造成的一切损失由乙方承担。</w:t>
      </w:r>
    </w:p>
    <w:p w14:paraId="3DDE3FD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若因国家强制免疫政策调整，甲方有权减少或取消该品种的疫苗使用，如果乙方未取得国家调整后的疫苗生产资格，且国家明文要求停用本次招标毒株种类的疫苗，则甲方严格执行国家政策，有权停止使用该疫苗，甲方不承担任何责任。</w:t>
      </w:r>
    </w:p>
    <w:p w14:paraId="2D53BA0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8、乙方的其他售后服务承诺。</w:t>
      </w:r>
    </w:p>
    <w:p w14:paraId="696353E2">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21" w:name="_Toc18730"/>
      <w:bookmarkStart w:id="222" w:name="_Toc15962"/>
      <w:bookmarkStart w:id="223" w:name="_Toc18951"/>
      <w:bookmarkStart w:id="224" w:name="_Toc25754"/>
      <w:bookmarkStart w:id="225" w:name="_Toc5675"/>
      <w:bookmarkStart w:id="226" w:name="_Toc32488"/>
      <w:r>
        <w:rPr>
          <w:rFonts w:hint="eastAsia" w:ascii="宋体" w:hAnsi="宋体" w:eastAsia="宋体" w:cs="宋体"/>
          <w:b/>
          <w:bCs/>
          <w:color w:val="auto"/>
          <w:sz w:val="30"/>
          <w:szCs w:val="30"/>
          <w:highlight w:val="none"/>
          <w:lang w:val="en-US" w:eastAsia="zh-CN"/>
        </w:rPr>
        <w:t>九、违约</w:t>
      </w:r>
      <w:bookmarkEnd w:id="221"/>
      <w:r>
        <w:rPr>
          <w:rFonts w:hint="eastAsia" w:ascii="宋体" w:hAnsi="宋体" w:eastAsia="宋体" w:cs="宋体"/>
          <w:b/>
          <w:bCs/>
          <w:color w:val="auto"/>
          <w:sz w:val="30"/>
          <w:szCs w:val="30"/>
          <w:highlight w:val="none"/>
          <w:lang w:val="en-US" w:eastAsia="zh-CN"/>
        </w:rPr>
        <w:t>责任</w:t>
      </w:r>
      <w:bookmarkEnd w:id="222"/>
      <w:bookmarkEnd w:id="223"/>
      <w:bookmarkEnd w:id="224"/>
      <w:bookmarkEnd w:id="225"/>
      <w:bookmarkEnd w:id="226"/>
    </w:p>
    <w:p w14:paraId="255875F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1、甲方违约责任</w:t>
      </w:r>
    </w:p>
    <w:p w14:paraId="411D8C9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(1)甲方无正当理由拒收货物的，甲方应偿付合同总价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022ECF2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2、乙方违约责任</w:t>
      </w:r>
    </w:p>
    <w:p w14:paraId="05EAEE5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(1)如乙方不能交付货物，甲方有权行使履约保函的履约担保功能，同时乙方应向甲方支付合同总价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1DE6B6A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(2)乙方所交付的货物品种、型号、规格不符合合同规定的，甲方有权拒收。乙方拒不执行退换货责任的，乙方应向甲方支付合同总价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7839137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(3)乙方货物经具有法定资格条件的质量技术监督机构检测后，如检测结果认定货物质量不符合本合同规定标准的，则视为乙方没有按时交货而违约，乙方须在</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天内无条件更换合格的货物,如逾期不能更换合格的货物，甲方有权终止本合同，乙方应另向甲方支付合同总价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2E5501D4">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(4)乙方未按本合同的规定和“服务承诺”提供伴随服务/售后服务的，应按合同总价款的</w:t>
      </w:r>
      <w:r>
        <w:rPr>
          <w:rFonts w:hint="eastAsia" w:ascii="宋体" w:hAnsi="宋体" w:eastAsia="宋体"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lang w:val="en-US" w:eastAsia="zh-CN"/>
        </w:rPr>
        <w:t>%向甲方承担违约责任；</w:t>
      </w:r>
    </w:p>
    <w:p w14:paraId="17E5CB9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(5)乙方在承担上述1-4款一项或多项违约责任后，仍应维续履行合同规定的义务(甲方解除合同的除外)，甲方未能及时追究乙方的任何一项违约责任并不表明甲方放弃追究乙方该项或其他违约责任；</w:t>
      </w:r>
    </w:p>
    <w:p w14:paraId="0B0E84B4">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27" w:name="_Toc19102"/>
      <w:bookmarkStart w:id="228" w:name="_Toc10023"/>
      <w:bookmarkStart w:id="229" w:name="_Toc11660"/>
      <w:bookmarkStart w:id="230" w:name="_Toc28227"/>
      <w:bookmarkStart w:id="231" w:name="_Toc10677"/>
      <w:bookmarkStart w:id="232" w:name="_Toc31480"/>
      <w:r>
        <w:rPr>
          <w:rFonts w:hint="eastAsia" w:ascii="宋体" w:hAnsi="宋体" w:eastAsia="宋体" w:cs="宋体"/>
          <w:b/>
          <w:bCs/>
          <w:color w:val="auto"/>
          <w:sz w:val="30"/>
          <w:szCs w:val="30"/>
          <w:highlight w:val="none"/>
          <w:lang w:val="en-US" w:eastAsia="zh-CN"/>
        </w:rPr>
        <w:t>十、合同的变更和终止</w:t>
      </w:r>
      <w:bookmarkEnd w:id="227"/>
      <w:bookmarkEnd w:id="228"/>
      <w:bookmarkEnd w:id="229"/>
      <w:bookmarkEnd w:id="230"/>
      <w:bookmarkEnd w:id="231"/>
      <w:bookmarkEnd w:id="232"/>
    </w:p>
    <w:p w14:paraId="790B258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除&lt;&lt;中华人民共和国政府采购法&gt;&gt;第49条、第50条第二款规定的情形外，本合同一经签订，甲乙双方不得擅自变更、中止或终止合同。</w:t>
      </w:r>
    </w:p>
    <w:p w14:paraId="364B757F">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33" w:name="_Toc21651"/>
      <w:bookmarkStart w:id="234" w:name="_Toc482"/>
      <w:bookmarkStart w:id="235" w:name="_Toc261"/>
      <w:bookmarkStart w:id="236" w:name="_Toc6821"/>
      <w:bookmarkStart w:id="237" w:name="_Toc2449"/>
      <w:bookmarkStart w:id="238" w:name="_Toc18589"/>
      <w:r>
        <w:rPr>
          <w:rFonts w:hint="eastAsia" w:ascii="宋体" w:hAnsi="宋体" w:eastAsia="宋体" w:cs="宋体"/>
          <w:b/>
          <w:bCs/>
          <w:color w:val="auto"/>
          <w:sz w:val="30"/>
          <w:szCs w:val="30"/>
          <w:highlight w:val="none"/>
          <w:lang w:val="en-US" w:eastAsia="zh-CN"/>
        </w:rPr>
        <w:t>十一、争议的解决</w:t>
      </w:r>
      <w:bookmarkEnd w:id="233"/>
      <w:bookmarkEnd w:id="234"/>
      <w:bookmarkEnd w:id="235"/>
      <w:bookmarkEnd w:id="236"/>
      <w:bookmarkEnd w:id="237"/>
      <w:bookmarkEnd w:id="238"/>
    </w:p>
    <w:p w14:paraId="3D6572E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1、因货物的质量问题发生争议，由质量技术监督部门或其指定的质量鉴定机构进行质量鉴定，鉴定费由乙方承担；</w:t>
      </w:r>
    </w:p>
    <w:p w14:paraId="405F9B8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2、因履行本合同引起的或与本合同有关的争议，甲、乙双方应首先通过友好协商解决，如果协商不成，则采取以下第(1)种方式解决争议；</w:t>
      </w:r>
    </w:p>
    <w:p w14:paraId="7598A09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(1)向甲方所在地有管辖权的人民法院提起诉讼；</w:t>
      </w:r>
    </w:p>
    <w:p w14:paraId="0AB728A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3、在仲裁期间，本合同应继续履行。</w:t>
      </w:r>
    </w:p>
    <w:p w14:paraId="2854DC56">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39" w:name="_Toc10216"/>
      <w:bookmarkStart w:id="240" w:name="_Toc22446"/>
      <w:bookmarkStart w:id="241" w:name="_Toc18096"/>
      <w:bookmarkStart w:id="242" w:name="_Toc18085"/>
      <w:bookmarkStart w:id="243" w:name="_Toc23443"/>
      <w:bookmarkStart w:id="244" w:name="_Toc23265"/>
      <w:r>
        <w:rPr>
          <w:rFonts w:hint="eastAsia" w:ascii="宋体" w:hAnsi="宋体" w:eastAsia="宋体" w:cs="宋体"/>
          <w:b/>
          <w:bCs/>
          <w:color w:val="auto"/>
          <w:sz w:val="30"/>
          <w:szCs w:val="30"/>
          <w:highlight w:val="none"/>
          <w:lang w:val="en-US" w:eastAsia="zh-CN"/>
        </w:rPr>
        <w:t>十二、合同生效</w:t>
      </w:r>
      <w:bookmarkEnd w:id="239"/>
      <w:bookmarkEnd w:id="240"/>
      <w:bookmarkEnd w:id="241"/>
      <w:bookmarkEnd w:id="242"/>
      <w:bookmarkEnd w:id="243"/>
      <w:bookmarkEnd w:id="244"/>
    </w:p>
    <w:p w14:paraId="18EFB9D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本合同经甲乙双方签字盖章后生效。本合同具有法律效力，受国家法律保护。</w:t>
      </w:r>
    </w:p>
    <w:p w14:paraId="766A1567">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45" w:name="_Toc18942"/>
      <w:bookmarkStart w:id="246" w:name="_Toc29400"/>
      <w:bookmarkStart w:id="247" w:name="_Toc17881"/>
      <w:bookmarkStart w:id="248" w:name="_Toc19135"/>
      <w:bookmarkStart w:id="249" w:name="_Toc31145"/>
      <w:bookmarkStart w:id="250" w:name="_Toc16265"/>
      <w:r>
        <w:rPr>
          <w:rFonts w:hint="eastAsia" w:ascii="宋体" w:hAnsi="宋体" w:eastAsia="宋体" w:cs="宋体"/>
          <w:b/>
          <w:bCs/>
          <w:color w:val="auto"/>
          <w:sz w:val="30"/>
          <w:szCs w:val="30"/>
          <w:highlight w:val="none"/>
          <w:lang w:val="en-US" w:eastAsia="zh-CN"/>
        </w:rPr>
        <w:t>十三、合同生效及其他</w:t>
      </w:r>
      <w:bookmarkEnd w:id="245"/>
      <w:bookmarkEnd w:id="246"/>
      <w:bookmarkEnd w:id="247"/>
      <w:bookmarkEnd w:id="248"/>
      <w:bookmarkEnd w:id="249"/>
      <w:bookmarkEnd w:id="250"/>
    </w:p>
    <w:p w14:paraId="2AA50AB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1.如有未尽事宜，由双方依法订立补充合同。</w:t>
      </w:r>
    </w:p>
    <w:p w14:paraId="1CD4035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2.本合同自签订之日起生效。</w:t>
      </w:r>
    </w:p>
    <w:p w14:paraId="6101EED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3.本合同一式</w:t>
      </w:r>
      <w:r>
        <w:rPr>
          <w:rFonts w:hint="eastAsia" w:ascii="宋体" w:hAnsi="宋体" w:eastAsia="宋体" w:cs="宋体"/>
          <w:color w:val="auto"/>
          <w:sz w:val="24"/>
          <w:szCs w:val="24"/>
          <w:highlight w:val="none"/>
          <w:u w:val="single"/>
          <w:lang w:val="en-US" w:eastAsia="zh-CN"/>
        </w:rPr>
        <w:t>陆</w:t>
      </w:r>
      <w:r>
        <w:rPr>
          <w:rFonts w:hint="eastAsia" w:ascii="宋体" w:hAnsi="宋体" w:eastAsia="宋体" w:cs="宋体"/>
          <w:color w:val="auto"/>
          <w:sz w:val="24"/>
          <w:szCs w:val="24"/>
          <w:highlight w:val="none"/>
          <w:lang w:val="en-US" w:eastAsia="zh-CN"/>
        </w:rPr>
        <w:t>份,具有同等法律效力，甲方执</w:t>
      </w:r>
      <w:r>
        <w:rPr>
          <w:rFonts w:hint="eastAsia" w:ascii="宋体" w:hAnsi="宋体" w:eastAsia="宋体" w:cs="宋体"/>
          <w:color w:val="auto"/>
          <w:sz w:val="24"/>
          <w:szCs w:val="24"/>
          <w:highlight w:val="none"/>
          <w:u w:val="single"/>
          <w:lang w:val="en-US" w:eastAsia="zh-CN"/>
        </w:rPr>
        <w:t>肆</w:t>
      </w:r>
      <w:r>
        <w:rPr>
          <w:rFonts w:hint="eastAsia" w:ascii="宋体" w:hAnsi="宋体" w:eastAsia="宋体" w:cs="宋体"/>
          <w:color w:val="auto"/>
          <w:sz w:val="24"/>
          <w:szCs w:val="24"/>
          <w:highlight w:val="none"/>
          <w:lang w:val="en-US" w:eastAsia="zh-CN"/>
        </w:rPr>
        <w:t>份,乙方执</w:t>
      </w:r>
      <w:r>
        <w:rPr>
          <w:rFonts w:hint="eastAsia" w:ascii="宋体" w:hAnsi="宋体" w:eastAsia="宋体" w:cs="宋体"/>
          <w:color w:val="auto"/>
          <w:sz w:val="24"/>
          <w:szCs w:val="24"/>
          <w:highlight w:val="none"/>
          <w:u w:val="single"/>
          <w:lang w:val="en-US" w:eastAsia="zh-CN"/>
        </w:rPr>
        <w:t>壹</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u w:val="single"/>
          <w:lang w:val="en-US" w:eastAsia="zh-CN"/>
        </w:rPr>
        <w:t>壹</w:t>
      </w:r>
      <w:r>
        <w:rPr>
          <w:rFonts w:hint="eastAsia" w:ascii="宋体" w:hAnsi="宋体" w:eastAsia="宋体" w:cs="宋体"/>
          <w:color w:val="auto"/>
          <w:sz w:val="24"/>
          <w:szCs w:val="24"/>
          <w:highlight w:val="none"/>
          <w:lang w:val="en-US" w:eastAsia="zh-CN"/>
        </w:rPr>
        <w:t>份报送监督管理部门备案。</w:t>
      </w:r>
    </w:p>
    <w:p w14:paraId="100B67E2">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2854BD5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bl>
      <w:tblPr>
        <w:tblStyle w:val="26"/>
        <w:tblpPr w:leftFromText="180" w:rightFromText="180" w:vertAnchor="text" w:horzAnchor="page" w:tblpX="879" w:tblpY="259"/>
        <w:tblOverlap w:val="never"/>
        <w:tblW w:w="10434"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743"/>
        <w:gridCol w:w="2453"/>
        <w:gridCol w:w="2771"/>
        <w:gridCol w:w="2467"/>
      </w:tblGrid>
      <w:tr w14:paraId="66E025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196" w:type="dxa"/>
            <w:gridSpan w:val="2"/>
            <w:tcBorders>
              <w:bottom w:val="single" w:color="auto" w:sz="2" w:space="0"/>
              <w:right w:val="single" w:color="auto" w:sz="2" w:space="0"/>
            </w:tcBorders>
            <w:vAlign w:val="center"/>
          </w:tcPr>
          <w:p w14:paraId="2FA31D3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甲方</w:t>
            </w:r>
          </w:p>
        </w:tc>
        <w:tc>
          <w:tcPr>
            <w:tcW w:w="5238" w:type="dxa"/>
            <w:gridSpan w:val="2"/>
            <w:tcBorders>
              <w:left w:val="single" w:color="auto" w:sz="2" w:space="0"/>
              <w:bottom w:val="single" w:color="auto" w:sz="2" w:space="0"/>
            </w:tcBorders>
            <w:vAlign w:val="center"/>
          </w:tcPr>
          <w:p w14:paraId="77EA05E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乙方</w:t>
            </w:r>
          </w:p>
        </w:tc>
      </w:tr>
      <w:tr w14:paraId="23F791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64" w:hRule="atLeast"/>
        </w:trPr>
        <w:tc>
          <w:tcPr>
            <w:tcW w:w="2743" w:type="dxa"/>
            <w:tcBorders>
              <w:top w:val="single" w:color="auto" w:sz="2" w:space="0"/>
              <w:bottom w:val="single" w:color="auto" w:sz="2" w:space="0"/>
              <w:right w:val="single" w:color="auto" w:sz="2" w:space="0"/>
            </w:tcBorders>
            <w:vAlign w:val="center"/>
          </w:tcPr>
          <w:p w14:paraId="4F996C8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单位名称</w:t>
            </w:r>
          </w:p>
          <w:p w14:paraId="4589788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（合同章）</w:t>
            </w:r>
          </w:p>
        </w:tc>
        <w:tc>
          <w:tcPr>
            <w:tcW w:w="2453" w:type="dxa"/>
            <w:tcBorders>
              <w:top w:val="single" w:color="auto" w:sz="2" w:space="0"/>
              <w:left w:val="single" w:color="auto" w:sz="2" w:space="0"/>
              <w:bottom w:val="single" w:color="auto" w:sz="2" w:space="0"/>
              <w:right w:val="single" w:color="auto" w:sz="2" w:space="0"/>
            </w:tcBorders>
            <w:vAlign w:val="center"/>
          </w:tcPr>
          <w:p w14:paraId="0DD5A97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vAlign w:val="center"/>
          </w:tcPr>
          <w:p w14:paraId="5C08005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单位名称</w:t>
            </w:r>
          </w:p>
          <w:p w14:paraId="75483A4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（公章或合同章）</w:t>
            </w:r>
          </w:p>
        </w:tc>
        <w:tc>
          <w:tcPr>
            <w:tcW w:w="2467" w:type="dxa"/>
            <w:tcBorders>
              <w:top w:val="single" w:color="auto" w:sz="2" w:space="0"/>
              <w:left w:val="single" w:color="auto" w:sz="2" w:space="0"/>
              <w:bottom w:val="single" w:color="auto" w:sz="2" w:space="0"/>
            </w:tcBorders>
            <w:vAlign w:val="center"/>
          </w:tcPr>
          <w:p w14:paraId="280BEA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5F30AB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447" w:hRule="atLeast"/>
        </w:trPr>
        <w:tc>
          <w:tcPr>
            <w:tcW w:w="2743" w:type="dxa"/>
            <w:tcBorders>
              <w:top w:val="single" w:color="auto" w:sz="2" w:space="0"/>
              <w:right w:val="single" w:color="auto" w:sz="2" w:space="0"/>
            </w:tcBorders>
            <w:vAlign w:val="center"/>
          </w:tcPr>
          <w:p w14:paraId="11E7D1D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法定代表人或其委托代理人（签字或盖章）</w:t>
            </w:r>
          </w:p>
        </w:tc>
        <w:tc>
          <w:tcPr>
            <w:tcW w:w="2453" w:type="dxa"/>
            <w:tcBorders>
              <w:top w:val="single" w:color="auto" w:sz="2" w:space="0"/>
              <w:left w:val="single" w:color="auto" w:sz="2" w:space="0"/>
              <w:right w:val="single" w:color="auto" w:sz="2" w:space="0"/>
            </w:tcBorders>
            <w:vAlign w:val="center"/>
          </w:tcPr>
          <w:p w14:paraId="4C76357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right w:val="single" w:color="auto" w:sz="2" w:space="0"/>
            </w:tcBorders>
            <w:vAlign w:val="center"/>
          </w:tcPr>
          <w:p w14:paraId="3A05E5A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法定代表人或其委托代理人（签字或盖章）</w:t>
            </w:r>
          </w:p>
        </w:tc>
        <w:tc>
          <w:tcPr>
            <w:tcW w:w="2467" w:type="dxa"/>
            <w:tcBorders>
              <w:top w:val="single" w:color="auto" w:sz="2" w:space="0"/>
              <w:left w:val="single" w:color="auto" w:sz="2" w:space="0"/>
              <w:bottom w:val="single" w:color="auto" w:sz="2" w:space="0"/>
            </w:tcBorders>
            <w:vAlign w:val="center"/>
          </w:tcPr>
          <w:p w14:paraId="5BEEAF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665ECF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79DC57C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联系人</w:t>
            </w:r>
          </w:p>
        </w:tc>
        <w:tc>
          <w:tcPr>
            <w:tcW w:w="2453" w:type="dxa"/>
            <w:tcBorders>
              <w:top w:val="single" w:color="auto" w:sz="2" w:space="0"/>
              <w:left w:val="single" w:color="auto" w:sz="2" w:space="0"/>
              <w:bottom w:val="single" w:color="auto" w:sz="2" w:space="0"/>
              <w:right w:val="single" w:color="auto" w:sz="2" w:space="0"/>
            </w:tcBorders>
            <w:vAlign w:val="center"/>
          </w:tcPr>
          <w:p w14:paraId="7F480D5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vAlign w:val="center"/>
          </w:tcPr>
          <w:p w14:paraId="00F952D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联系人</w:t>
            </w:r>
          </w:p>
        </w:tc>
        <w:tc>
          <w:tcPr>
            <w:tcW w:w="2467" w:type="dxa"/>
            <w:tcBorders>
              <w:top w:val="single" w:color="auto" w:sz="2" w:space="0"/>
              <w:left w:val="single" w:color="auto" w:sz="2" w:space="0"/>
              <w:bottom w:val="single" w:color="auto" w:sz="2" w:space="0"/>
            </w:tcBorders>
            <w:vAlign w:val="center"/>
          </w:tcPr>
          <w:p w14:paraId="231DEC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05932F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4F6B30F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联系电话</w:t>
            </w:r>
          </w:p>
        </w:tc>
        <w:tc>
          <w:tcPr>
            <w:tcW w:w="2453" w:type="dxa"/>
            <w:tcBorders>
              <w:top w:val="single" w:color="auto" w:sz="2" w:space="0"/>
              <w:left w:val="single" w:color="auto" w:sz="2" w:space="0"/>
              <w:bottom w:val="single" w:color="auto" w:sz="2" w:space="0"/>
              <w:right w:val="single" w:color="auto" w:sz="2" w:space="0"/>
            </w:tcBorders>
            <w:vAlign w:val="center"/>
          </w:tcPr>
          <w:p w14:paraId="5B732C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vAlign w:val="center"/>
          </w:tcPr>
          <w:p w14:paraId="39177FA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联系电话</w:t>
            </w:r>
          </w:p>
        </w:tc>
        <w:tc>
          <w:tcPr>
            <w:tcW w:w="2467" w:type="dxa"/>
            <w:tcBorders>
              <w:top w:val="single" w:color="auto" w:sz="2" w:space="0"/>
              <w:left w:val="single" w:color="auto" w:sz="2" w:space="0"/>
              <w:bottom w:val="single" w:color="auto" w:sz="2" w:space="0"/>
            </w:tcBorders>
            <w:vAlign w:val="center"/>
          </w:tcPr>
          <w:p w14:paraId="0DEA3D1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658CE5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3E4BB3D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统一社会信用代码</w:t>
            </w:r>
          </w:p>
        </w:tc>
        <w:tc>
          <w:tcPr>
            <w:tcW w:w="2453" w:type="dxa"/>
            <w:tcBorders>
              <w:top w:val="single" w:color="auto" w:sz="2" w:space="0"/>
              <w:left w:val="single" w:color="auto" w:sz="2" w:space="0"/>
              <w:bottom w:val="single" w:color="auto" w:sz="2" w:space="0"/>
              <w:right w:val="single" w:color="auto" w:sz="2" w:space="0"/>
            </w:tcBorders>
            <w:vAlign w:val="center"/>
          </w:tcPr>
          <w:p w14:paraId="6ACA636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43253A6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统一社会信用代码</w:t>
            </w:r>
          </w:p>
        </w:tc>
        <w:tc>
          <w:tcPr>
            <w:tcW w:w="2467" w:type="dxa"/>
            <w:tcBorders>
              <w:top w:val="single" w:color="auto" w:sz="2" w:space="0"/>
              <w:left w:val="single" w:color="auto" w:sz="2" w:space="0"/>
              <w:bottom w:val="single" w:color="auto" w:sz="2" w:space="0"/>
            </w:tcBorders>
            <w:vAlign w:val="center"/>
          </w:tcPr>
          <w:p w14:paraId="495288E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58C6F5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64700C7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开户名称</w:t>
            </w:r>
          </w:p>
        </w:tc>
        <w:tc>
          <w:tcPr>
            <w:tcW w:w="2453" w:type="dxa"/>
            <w:tcBorders>
              <w:top w:val="single" w:color="auto" w:sz="2" w:space="0"/>
              <w:left w:val="single" w:color="auto" w:sz="2" w:space="0"/>
              <w:bottom w:val="single" w:color="auto" w:sz="2" w:space="0"/>
              <w:right w:val="single" w:color="auto" w:sz="2" w:space="0"/>
            </w:tcBorders>
            <w:vAlign w:val="center"/>
          </w:tcPr>
          <w:p w14:paraId="77AAFD0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4FD8793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开户名称</w:t>
            </w:r>
          </w:p>
        </w:tc>
        <w:tc>
          <w:tcPr>
            <w:tcW w:w="2467" w:type="dxa"/>
            <w:tcBorders>
              <w:top w:val="single" w:color="auto" w:sz="2" w:space="0"/>
              <w:left w:val="single" w:color="auto" w:sz="2" w:space="0"/>
              <w:bottom w:val="single" w:color="auto" w:sz="2" w:space="0"/>
            </w:tcBorders>
            <w:vAlign w:val="center"/>
          </w:tcPr>
          <w:p w14:paraId="627FAA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1B7E8F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42BB0FE4">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开户银行</w:t>
            </w:r>
          </w:p>
        </w:tc>
        <w:tc>
          <w:tcPr>
            <w:tcW w:w="2453" w:type="dxa"/>
            <w:tcBorders>
              <w:top w:val="single" w:color="auto" w:sz="2" w:space="0"/>
              <w:left w:val="single" w:color="auto" w:sz="2" w:space="0"/>
              <w:bottom w:val="single" w:color="auto" w:sz="2" w:space="0"/>
              <w:right w:val="single" w:color="auto" w:sz="2" w:space="0"/>
            </w:tcBorders>
            <w:vAlign w:val="center"/>
          </w:tcPr>
          <w:p w14:paraId="2F4EAB0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03B9607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开户银行</w:t>
            </w:r>
          </w:p>
        </w:tc>
        <w:tc>
          <w:tcPr>
            <w:tcW w:w="2467" w:type="dxa"/>
            <w:tcBorders>
              <w:top w:val="single" w:color="auto" w:sz="2" w:space="0"/>
              <w:left w:val="single" w:color="auto" w:sz="2" w:space="0"/>
              <w:bottom w:val="single" w:color="auto" w:sz="2" w:space="0"/>
            </w:tcBorders>
            <w:vAlign w:val="center"/>
          </w:tcPr>
          <w:p w14:paraId="561EF2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44C51F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743" w:type="dxa"/>
            <w:tcBorders>
              <w:top w:val="single" w:color="auto" w:sz="2" w:space="0"/>
              <w:bottom w:val="single" w:color="auto" w:sz="2" w:space="0"/>
              <w:right w:val="single" w:color="auto" w:sz="2" w:space="0"/>
            </w:tcBorders>
            <w:shd w:val="clear" w:color="auto" w:fill="auto"/>
            <w:vAlign w:val="center"/>
          </w:tcPr>
          <w:p w14:paraId="4AEB3BD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银行账号</w:t>
            </w:r>
          </w:p>
        </w:tc>
        <w:tc>
          <w:tcPr>
            <w:tcW w:w="2453" w:type="dxa"/>
            <w:tcBorders>
              <w:top w:val="single" w:color="auto" w:sz="2" w:space="0"/>
              <w:left w:val="single" w:color="auto" w:sz="2" w:space="0"/>
              <w:bottom w:val="single" w:color="auto" w:sz="2" w:space="0"/>
              <w:right w:val="single" w:color="auto" w:sz="2" w:space="0"/>
            </w:tcBorders>
            <w:vAlign w:val="center"/>
          </w:tcPr>
          <w:p w14:paraId="1F92B9E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381166C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银行账号</w:t>
            </w:r>
          </w:p>
        </w:tc>
        <w:tc>
          <w:tcPr>
            <w:tcW w:w="2467" w:type="dxa"/>
            <w:tcBorders>
              <w:top w:val="single" w:color="auto" w:sz="2" w:space="0"/>
              <w:left w:val="single" w:color="auto" w:sz="2" w:space="0"/>
              <w:bottom w:val="single" w:color="auto" w:sz="2" w:space="0"/>
            </w:tcBorders>
            <w:vAlign w:val="center"/>
          </w:tcPr>
          <w:p w14:paraId="5E2B30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5C9E94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vAlign w:val="center"/>
          </w:tcPr>
          <w:p w14:paraId="65D5F7F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签订日期</w:t>
            </w:r>
          </w:p>
        </w:tc>
        <w:tc>
          <w:tcPr>
            <w:tcW w:w="2453" w:type="dxa"/>
            <w:tcBorders>
              <w:top w:val="single" w:color="auto" w:sz="2" w:space="0"/>
              <w:left w:val="single" w:color="auto" w:sz="2" w:space="0"/>
              <w:bottom w:val="single" w:color="auto" w:sz="2" w:space="0"/>
              <w:right w:val="single" w:color="auto" w:sz="2" w:space="0"/>
            </w:tcBorders>
            <w:vAlign w:val="center"/>
          </w:tcPr>
          <w:p w14:paraId="041E472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07772221">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签订日期</w:t>
            </w:r>
          </w:p>
        </w:tc>
        <w:tc>
          <w:tcPr>
            <w:tcW w:w="2467" w:type="dxa"/>
            <w:tcBorders>
              <w:top w:val="single" w:color="auto" w:sz="2" w:space="0"/>
              <w:left w:val="single" w:color="auto" w:sz="2" w:space="0"/>
              <w:bottom w:val="single" w:color="auto" w:sz="2" w:space="0"/>
            </w:tcBorders>
            <w:vAlign w:val="center"/>
          </w:tcPr>
          <w:p w14:paraId="08538BF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4AAC8F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10434" w:type="dxa"/>
            <w:gridSpan w:val="4"/>
            <w:tcBorders>
              <w:top w:val="single" w:color="auto" w:sz="2" w:space="0"/>
            </w:tcBorders>
            <w:vAlign w:val="center"/>
          </w:tcPr>
          <w:p w14:paraId="3E2BD5B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注：涉及联合体或其他合同主体的信息应按上表格式加列。</w:t>
            </w:r>
          </w:p>
        </w:tc>
      </w:tr>
    </w:tbl>
    <w:p w14:paraId="71F1DC87">
      <w:pPr>
        <w:rPr>
          <w:rFonts w:hint="eastAsia" w:ascii="宋体" w:hAnsi="宋体" w:eastAsia="宋体" w:cs="宋体"/>
          <w:b/>
          <w:color w:val="auto"/>
          <w:sz w:val="36"/>
        </w:rPr>
      </w:pPr>
      <w:r>
        <w:rPr>
          <w:rFonts w:hint="eastAsia" w:ascii="宋体" w:hAnsi="宋体" w:eastAsia="宋体" w:cs="宋体"/>
          <w:b/>
          <w:color w:val="auto"/>
          <w:sz w:val="36"/>
        </w:rPr>
        <w:br w:type="page"/>
      </w:r>
    </w:p>
    <w:p w14:paraId="3AE594D0">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pPr>
      <w:bookmarkStart w:id="251" w:name="_Toc9333"/>
      <w:bookmarkStart w:id="252" w:name="_Toc30678"/>
      <w:bookmarkStart w:id="253" w:name="_Toc6869"/>
      <w:r>
        <w:rPr>
          <w:rFonts w:hint="eastAsia" w:ascii="宋体" w:hAnsi="宋体" w:eastAsia="宋体" w:cs="宋体"/>
          <w:b/>
          <w:bCs/>
          <w:color w:val="auto"/>
          <w:sz w:val="44"/>
          <w:szCs w:val="44"/>
          <w:lang w:val="en-US" w:eastAsia="zh-CN"/>
        </w:rPr>
        <w:t>第七章 响应文件格式</w:t>
      </w:r>
      <w:bookmarkEnd w:id="251"/>
      <w:bookmarkEnd w:id="252"/>
      <w:bookmarkEnd w:id="253"/>
    </w:p>
    <w:p w14:paraId="148ACEA6">
      <w:pPr>
        <w:rPr>
          <w:rFonts w:hint="eastAsia" w:ascii="宋体" w:hAnsi="宋体" w:eastAsia="宋体" w:cs="宋体"/>
          <w:bCs/>
          <w:color w:val="auto"/>
          <w:sz w:val="24"/>
          <w:szCs w:val="24"/>
          <w:u w:val="single"/>
        </w:rPr>
      </w:pPr>
      <w:bookmarkStart w:id="254" w:name="_Toc520394014"/>
      <w:r>
        <w:rPr>
          <w:rFonts w:hint="eastAsia" w:ascii="宋体" w:hAnsi="宋体" w:eastAsia="宋体" w:cs="宋体"/>
          <w:bCs/>
          <w:color w:val="auto"/>
          <w:sz w:val="24"/>
          <w:szCs w:val="24"/>
          <w:u w:val="single"/>
        </w:rPr>
        <w:t>投标封面示例</w:t>
      </w:r>
      <w:bookmarkEnd w:id="254"/>
    </w:p>
    <w:p w14:paraId="2C267D0A">
      <w:pPr>
        <w:rPr>
          <w:rFonts w:hint="eastAsia" w:ascii="宋体" w:hAnsi="宋体" w:eastAsia="宋体" w:cs="宋体"/>
          <w:b/>
          <w:color w:val="auto"/>
          <w:sz w:val="24"/>
          <w:szCs w:val="24"/>
        </w:rPr>
      </w:pPr>
    </w:p>
    <w:p w14:paraId="5B97AE17">
      <w:pPr>
        <w:jc w:val="right"/>
        <w:rPr>
          <w:rFonts w:hint="eastAsia" w:ascii="宋体" w:hAnsi="宋体" w:eastAsia="宋体" w:cs="宋体"/>
          <w:b/>
          <w:color w:val="auto"/>
          <w:sz w:val="24"/>
          <w:szCs w:val="24"/>
          <w:bdr w:val="single" w:color="auto" w:sz="4" w:space="0"/>
        </w:rPr>
      </w:pPr>
      <w:bookmarkStart w:id="255" w:name="_Toc520394015"/>
      <w:r>
        <w:rPr>
          <w:rFonts w:hint="eastAsia" w:ascii="宋体" w:hAnsi="宋体" w:eastAsia="宋体" w:cs="宋体"/>
          <w:b/>
          <w:color w:val="auto"/>
          <w:sz w:val="24"/>
          <w:szCs w:val="24"/>
          <w:bdr w:val="single" w:color="auto" w:sz="4" w:space="0"/>
        </w:rPr>
        <w:t>正本</w:t>
      </w:r>
      <w:bookmarkEnd w:id="255"/>
    </w:p>
    <w:p w14:paraId="64FE90CE">
      <w:pPr>
        <w:jc w:val="right"/>
        <w:rPr>
          <w:rFonts w:hint="eastAsia" w:ascii="宋体" w:hAnsi="宋体" w:eastAsia="宋体" w:cs="宋体"/>
          <w:b/>
          <w:color w:val="auto"/>
          <w:sz w:val="24"/>
          <w:szCs w:val="24"/>
          <w:bdr w:val="single" w:color="auto" w:sz="4" w:space="0"/>
        </w:rPr>
      </w:pPr>
    </w:p>
    <w:p w14:paraId="1506109F">
      <w:pPr>
        <w:rPr>
          <w:rFonts w:hint="eastAsia" w:ascii="宋体" w:hAnsi="宋体" w:eastAsia="宋体" w:cs="宋体"/>
          <w:b/>
          <w:color w:val="auto"/>
          <w:sz w:val="24"/>
          <w:szCs w:val="24"/>
        </w:rPr>
      </w:pPr>
    </w:p>
    <w:p w14:paraId="24B858D0">
      <w:pPr>
        <w:rPr>
          <w:rFonts w:hint="eastAsia" w:ascii="宋体" w:hAnsi="宋体" w:eastAsia="宋体" w:cs="宋体"/>
          <w:b/>
          <w:color w:val="auto"/>
          <w:sz w:val="24"/>
          <w:szCs w:val="24"/>
        </w:rPr>
      </w:pPr>
    </w:p>
    <w:p w14:paraId="4F33EE1E">
      <w:pPr>
        <w:rPr>
          <w:rFonts w:hint="eastAsia" w:ascii="宋体" w:hAnsi="宋体" w:eastAsia="宋体" w:cs="宋体"/>
          <w:b/>
          <w:color w:val="auto"/>
          <w:sz w:val="24"/>
          <w:szCs w:val="24"/>
        </w:rPr>
      </w:pPr>
    </w:p>
    <w:p w14:paraId="1642C47A">
      <w:pPr>
        <w:rPr>
          <w:rFonts w:hint="eastAsia" w:ascii="宋体" w:hAnsi="宋体" w:eastAsia="宋体" w:cs="宋体"/>
          <w:b/>
          <w:color w:val="auto"/>
          <w:sz w:val="24"/>
          <w:szCs w:val="24"/>
        </w:rPr>
      </w:pPr>
    </w:p>
    <w:p w14:paraId="7CE5D337">
      <w:pPr>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32"/>
          <w:szCs w:val="20"/>
          <w:highlight w:val="none"/>
        </w:rPr>
      </w:pPr>
      <w:r>
        <w:rPr>
          <w:rFonts w:hint="eastAsia" w:ascii="宋体" w:hAnsi="宋体" w:eastAsia="宋体" w:cs="宋体"/>
          <w:color w:val="auto"/>
          <w:sz w:val="32"/>
          <w:szCs w:val="20"/>
          <w:highlight w:val="none"/>
        </w:rPr>
        <w:t>项目名称）</w:t>
      </w:r>
    </w:p>
    <w:p w14:paraId="64E57223">
      <w:pPr>
        <w:pStyle w:val="78"/>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（项目编号）</w:t>
      </w:r>
    </w:p>
    <w:p w14:paraId="664B271B">
      <w:pPr>
        <w:pStyle w:val="78"/>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textAlignment w:val="auto"/>
        <w:rPr>
          <w:rFonts w:hint="eastAsia" w:ascii="宋体" w:hAnsi="宋体" w:eastAsia="宋体" w:cs="宋体"/>
          <w:color w:val="auto"/>
          <w:sz w:val="28"/>
          <w:szCs w:val="28"/>
          <w:highlight w:val="none"/>
          <w:lang w:eastAsia="zh-CN"/>
        </w:rPr>
      </w:pPr>
    </w:p>
    <w:p w14:paraId="63ACA636">
      <w:pPr>
        <w:pStyle w:val="78"/>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39A7CE24">
      <w:pPr>
        <w:pStyle w:val="78"/>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46AFB0A3">
      <w:pPr>
        <w:pStyle w:val="78"/>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响应文件</w:t>
      </w:r>
    </w:p>
    <w:p w14:paraId="6AC97D04">
      <w:pPr>
        <w:pStyle w:val="78"/>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4C5B8410">
      <w:pPr>
        <w:pStyle w:val="78"/>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2C76FEC9">
      <w:pPr>
        <w:pStyle w:val="78"/>
        <w:pageBreakBefore w:val="0"/>
        <w:wordWrap/>
        <w:topLinePunct w:val="0"/>
        <w:bidi w:val="0"/>
        <w:spacing w:beforeAutospacing="0" w:line="240" w:lineRule="auto"/>
        <w:jc w:val="center"/>
        <w:rPr>
          <w:rFonts w:hint="eastAsia" w:ascii="宋体" w:hAnsi="宋体" w:eastAsia="宋体" w:cs="宋体"/>
          <w:b/>
          <w:color w:val="auto"/>
          <w:sz w:val="24"/>
          <w:highlight w:val="none"/>
        </w:rPr>
      </w:pPr>
    </w:p>
    <w:p w14:paraId="7EE9FB36">
      <w:pPr>
        <w:pStyle w:val="78"/>
        <w:pageBreakBefore w:val="0"/>
        <w:wordWrap/>
        <w:topLinePunct w:val="0"/>
        <w:bidi w:val="0"/>
        <w:spacing w:beforeAutospacing="0" w:line="240" w:lineRule="auto"/>
        <w:jc w:val="center"/>
        <w:rPr>
          <w:rFonts w:hint="eastAsia" w:ascii="宋体" w:hAnsi="宋体" w:eastAsia="宋体" w:cs="宋体"/>
          <w:b/>
          <w:color w:val="auto"/>
          <w:sz w:val="24"/>
          <w:highlight w:val="none"/>
        </w:rPr>
      </w:pPr>
    </w:p>
    <w:p w14:paraId="23C590B0">
      <w:pPr>
        <w:pStyle w:val="80"/>
        <w:pageBreakBefore w:val="0"/>
        <w:wordWrap/>
        <w:topLinePunct w:val="0"/>
        <w:bidi w:val="0"/>
        <w:spacing w:beforeAutospacing="0" w:line="240" w:lineRule="auto"/>
        <w:rPr>
          <w:rFonts w:hint="eastAsia" w:ascii="宋体" w:hAnsi="宋体" w:eastAsia="宋体" w:cs="宋体"/>
          <w:b/>
          <w:color w:val="auto"/>
          <w:sz w:val="24"/>
          <w:highlight w:val="none"/>
          <w:lang w:eastAsia="zh-CN"/>
        </w:rPr>
      </w:pPr>
    </w:p>
    <w:p w14:paraId="5E03DA16">
      <w:pPr>
        <w:pStyle w:val="80"/>
        <w:pageBreakBefore w:val="0"/>
        <w:wordWrap/>
        <w:topLinePunct w:val="0"/>
        <w:bidi w:val="0"/>
        <w:spacing w:beforeAutospacing="0" w:line="240" w:lineRule="auto"/>
        <w:rPr>
          <w:rFonts w:hint="eastAsia" w:ascii="宋体" w:hAnsi="宋体" w:eastAsia="宋体" w:cs="宋体"/>
          <w:b/>
          <w:color w:val="auto"/>
          <w:sz w:val="24"/>
          <w:highlight w:val="none"/>
          <w:lang w:eastAsia="zh-CN"/>
        </w:rPr>
      </w:pPr>
    </w:p>
    <w:p w14:paraId="53BCF354">
      <w:pPr>
        <w:pStyle w:val="78"/>
        <w:pageBreakBefore w:val="0"/>
        <w:wordWrap/>
        <w:topLinePunct w:val="0"/>
        <w:bidi w:val="0"/>
        <w:spacing w:beforeAutospacing="0" w:line="240" w:lineRule="auto"/>
        <w:jc w:val="center"/>
        <w:rPr>
          <w:rFonts w:hint="eastAsia" w:ascii="宋体" w:hAnsi="宋体" w:eastAsia="宋体" w:cs="宋体"/>
          <w:b/>
          <w:color w:val="auto"/>
          <w:sz w:val="24"/>
          <w:highlight w:val="none"/>
        </w:rPr>
      </w:pPr>
    </w:p>
    <w:p w14:paraId="0E9B70FC">
      <w:pPr>
        <w:pStyle w:val="78"/>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供应商：（电子</w:t>
      </w:r>
      <w:r>
        <w:rPr>
          <w:rFonts w:hint="eastAsia" w:ascii="宋体" w:hAnsi="宋体" w:eastAsia="宋体" w:cs="宋体"/>
          <w:color w:val="auto"/>
          <w:sz w:val="28"/>
          <w:szCs w:val="28"/>
          <w:highlight w:val="none"/>
          <w:lang w:eastAsia="zh-CN"/>
        </w:rPr>
        <w:t>公</w:t>
      </w:r>
      <w:r>
        <w:rPr>
          <w:rFonts w:hint="eastAsia" w:ascii="宋体" w:hAnsi="宋体" w:eastAsia="宋体" w:cs="宋体"/>
          <w:color w:val="auto"/>
          <w:sz w:val="28"/>
          <w:szCs w:val="28"/>
          <w:highlight w:val="none"/>
        </w:rPr>
        <w:t>章）</w:t>
      </w:r>
    </w:p>
    <w:p w14:paraId="7610EB7E">
      <w:pPr>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highlight w:val="none"/>
        </w:rPr>
      </w:pPr>
      <w:bookmarkStart w:id="256" w:name="_Toc28221"/>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签字或盖章</w:t>
      </w:r>
      <w:r>
        <w:rPr>
          <w:rFonts w:hint="eastAsia" w:ascii="宋体" w:hAnsi="宋体" w:eastAsia="宋体" w:cs="宋体"/>
          <w:color w:val="auto"/>
          <w:sz w:val="28"/>
          <w:szCs w:val="28"/>
          <w:highlight w:val="none"/>
        </w:rPr>
        <w:t>）</w:t>
      </w:r>
      <w:bookmarkEnd w:id="256"/>
    </w:p>
    <w:p w14:paraId="34352E64">
      <w:pPr>
        <w:pStyle w:val="80"/>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联系人：</w:t>
      </w:r>
    </w:p>
    <w:p w14:paraId="7071F36D">
      <w:pPr>
        <w:pStyle w:val="80"/>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联系电话：</w:t>
      </w:r>
    </w:p>
    <w:p w14:paraId="6495319E">
      <w:pPr>
        <w:pStyle w:val="78"/>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日期：（年/月/日）</w:t>
      </w:r>
    </w:p>
    <w:p w14:paraId="70997569">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6C7C4A0D">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资格证明文件目录</w:t>
      </w:r>
    </w:p>
    <w:p w14:paraId="12DD2AB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val="en-US" w:eastAsia="zh-CN"/>
        </w:rPr>
        <w:t>具有</w:t>
      </w:r>
      <w:r>
        <w:rPr>
          <w:rFonts w:hint="eastAsia" w:ascii="宋体" w:hAnsi="宋体" w:eastAsia="宋体" w:cs="宋体"/>
          <w:color w:val="auto"/>
          <w:kern w:val="0"/>
          <w:sz w:val="24"/>
          <w:szCs w:val="24"/>
          <w:highlight w:val="none"/>
        </w:rPr>
        <w:t>合法有效的营业执照…………………………………………………………………（页码）</w:t>
      </w:r>
    </w:p>
    <w:p w14:paraId="30ADC1FB">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二、具有良好的商业信誉和健全的财务会计制度…………………………………………（页码）</w:t>
      </w:r>
    </w:p>
    <w:p w14:paraId="17B437DD">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三、根据项目需求提供具有履行合同所必需的设备和专业技术能力的加盖单位公章的书面承诺函………………………………………………………………………………………………（页码）</w:t>
      </w:r>
    </w:p>
    <w:p w14:paraId="25697342">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四、提供参加本次政府采购活动前近半年任意一个月的依法缴纳税收和社会保障资金的相关材料………………………………………………………………………………………………（页码）</w:t>
      </w:r>
    </w:p>
    <w:p w14:paraId="5ECAE96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五、提供参加本次政府采购活动前3年内在经营活动中没有重大违法记录的书面承诺函并加盖单位公章………………………………………………………………………………………（页码）</w:t>
      </w:r>
    </w:p>
    <w:p w14:paraId="0DD7501D">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六、法律、行政法规规定的其他条件…………………………………………………………（页码）</w:t>
      </w:r>
    </w:p>
    <w:p w14:paraId="6E0D694E">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七、有效的投标保证金凭证…………………………………………………………………（页码）</w:t>
      </w:r>
    </w:p>
    <w:p w14:paraId="5FB49D70">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特定资格要求……</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（页码）</w:t>
      </w:r>
    </w:p>
    <w:p w14:paraId="6F610DAC">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报价文件目录</w:t>
      </w:r>
    </w:p>
    <w:p w14:paraId="00FC8B44">
      <w:pPr>
        <w:keepNext w:val="0"/>
        <w:keepLines w:val="0"/>
        <w:pageBreakBefore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一、投标函………………………………………………………………………………………（页码）</w:t>
      </w:r>
    </w:p>
    <w:p w14:paraId="30EE1A04">
      <w:pPr>
        <w:keepNext w:val="0"/>
        <w:keepLines w:val="0"/>
        <w:pageBreakBefore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二、开标一览表………………………………………………………………………………（页码）</w:t>
      </w:r>
    </w:p>
    <w:p w14:paraId="4EDEA8B2">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商务、技术</w:t>
      </w:r>
      <w:r>
        <w:rPr>
          <w:rFonts w:hint="eastAsia" w:ascii="宋体" w:hAnsi="宋体" w:eastAsia="宋体" w:cs="宋体"/>
          <w:b/>
          <w:color w:val="auto"/>
          <w:kern w:val="0"/>
          <w:sz w:val="24"/>
          <w:szCs w:val="24"/>
          <w:highlight w:val="none"/>
        </w:rPr>
        <w:t>文件目录</w:t>
      </w:r>
    </w:p>
    <w:p w14:paraId="430C9AED">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sz w:val="24"/>
          <w:szCs w:val="24"/>
          <w:highlight w:val="none"/>
        </w:rPr>
        <w:t>无串通投标行为的承诺函</w:t>
      </w:r>
      <w:r>
        <w:rPr>
          <w:rFonts w:hint="eastAsia" w:ascii="宋体" w:hAnsi="宋体" w:eastAsia="宋体" w:cs="宋体"/>
          <w:color w:val="auto"/>
          <w:kern w:val="0"/>
          <w:sz w:val="24"/>
          <w:szCs w:val="24"/>
          <w:highlight w:val="none"/>
        </w:rPr>
        <w:t>………………………………………………………………（页码）</w:t>
      </w:r>
    </w:p>
    <w:p w14:paraId="04F3BC60">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法定代表人身份证明</w:t>
      </w:r>
      <w:r>
        <w:rPr>
          <w:rFonts w:hint="eastAsia" w:ascii="宋体" w:hAnsi="宋体" w:eastAsia="宋体" w:cs="宋体"/>
          <w:color w:val="auto"/>
          <w:kern w:val="0"/>
          <w:sz w:val="24"/>
          <w:szCs w:val="24"/>
          <w:highlight w:val="none"/>
        </w:rPr>
        <w:t>………………………………………………………………………（页码）</w:t>
      </w:r>
    </w:p>
    <w:p w14:paraId="0E45E007">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w:t>
      </w:r>
      <w:r>
        <w:rPr>
          <w:rFonts w:hint="eastAsia" w:ascii="宋体" w:hAnsi="宋体" w:eastAsia="宋体" w:cs="宋体"/>
          <w:color w:val="auto"/>
          <w:sz w:val="24"/>
          <w:szCs w:val="24"/>
          <w:highlight w:val="none"/>
        </w:rPr>
        <w:t>法定代表人授权委托书</w:t>
      </w:r>
      <w:r>
        <w:rPr>
          <w:rFonts w:hint="eastAsia" w:ascii="宋体" w:hAnsi="宋体" w:eastAsia="宋体" w:cs="宋体"/>
          <w:color w:val="auto"/>
          <w:sz w:val="24"/>
          <w:szCs w:val="24"/>
          <w:highlight w:val="none"/>
          <w:lang w:eastAsia="zh-CN"/>
        </w:rPr>
        <w:t>（（如有委托时））</w:t>
      </w:r>
      <w:r>
        <w:rPr>
          <w:rFonts w:hint="eastAsia" w:ascii="宋体" w:hAnsi="宋体" w:eastAsia="宋体" w:cs="宋体"/>
          <w:color w:val="auto"/>
          <w:kern w:val="0"/>
          <w:sz w:val="24"/>
          <w:szCs w:val="24"/>
          <w:highlight w:val="none"/>
        </w:rPr>
        <w:t>……………………………………………（页码）</w:t>
      </w:r>
    </w:p>
    <w:p w14:paraId="156D3C86">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四、技术需求偏离表</w:t>
      </w:r>
    </w:p>
    <w:p w14:paraId="75D1974C">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w:t>
      </w:r>
      <w:r>
        <w:rPr>
          <w:rFonts w:hint="eastAsia" w:ascii="宋体" w:hAnsi="宋体" w:eastAsia="宋体" w:cs="宋体"/>
          <w:color w:val="auto"/>
          <w:sz w:val="24"/>
          <w:szCs w:val="24"/>
          <w:highlight w:val="none"/>
        </w:rPr>
        <w:t>商务条款偏离表</w:t>
      </w:r>
      <w:r>
        <w:rPr>
          <w:rFonts w:hint="eastAsia" w:ascii="宋体" w:hAnsi="宋体" w:eastAsia="宋体" w:cs="宋体"/>
          <w:color w:val="auto"/>
          <w:kern w:val="0"/>
          <w:sz w:val="24"/>
          <w:szCs w:val="24"/>
          <w:highlight w:val="none"/>
        </w:rPr>
        <w:t>……………………………………………………………………………（页码）</w:t>
      </w:r>
    </w:p>
    <w:p w14:paraId="07C3C8C1">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情况介绍</w:t>
      </w:r>
      <w:r>
        <w:rPr>
          <w:rFonts w:hint="eastAsia" w:ascii="宋体" w:hAnsi="宋体" w:eastAsia="宋体" w:cs="宋体"/>
          <w:color w:val="auto"/>
          <w:kern w:val="0"/>
          <w:sz w:val="24"/>
          <w:szCs w:val="24"/>
          <w:highlight w:val="none"/>
        </w:rPr>
        <w:t>……………………………………………………………………………（页码）</w:t>
      </w:r>
    </w:p>
    <w:p w14:paraId="7F1BF260">
      <w:pPr>
        <w:keepNext w:val="0"/>
        <w:keepLines w:val="0"/>
        <w:pageBreakBefore w:val="0"/>
        <w:widowControl w:val="0"/>
        <w:kinsoku/>
        <w:wordWrap/>
        <w:overflowPunct/>
        <w:topLinePunct w:val="0"/>
        <w:autoSpaceDE/>
        <w:autoSpaceDN/>
        <w:bidi w:val="0"/>
        <w:adjustRightInd/>
        <w:snapToGrid/>
        <w:spacing w:beforeAutospacing="0" w:line="44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七、</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所投产品</w:t>
      </w:r>
      <w:r>
        <w:rPr>
          <w:rFonts w:hint="eastAsia" w:ascii="宋体" w:hAnsi="宋体" w:eastAsia="宋体" w:cs="宋体"/>
          <w:color w:val="auto"/>
          <w:sz w:val="24"/>
          <w:szCs w:val="24"/>
          <w:highlight w:val="none"/>
        </w:rPr>
        <w:t>类似业绩的证明</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kern w:val="0"/>
          <w:sz w:val="24"/>
          <w:szCs w:val="24"/>
          <w:highlight w:val="none"/>
        </w:rPr>
        <w:t>…………………………………………………（页码）</w:t>
      </w:r>
    </w:p>
    <w:p w14:paraId="0719B8E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val="en-US" w:eastAsia="zh-CN"/>
        </w:rPr>
        <w:t>拟投入</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人员情况</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…………………………………………………………………（页码）</w:t>
      </w:r>
    </w:p>
    <w:p w14:paraId="07E3872E">
      <w:pPr>
        <w:keepNext w:val="0"/>
        <w:keepLines w:val="0"/>
        <w:pageBreakBefore w:val="0"/>
        <w:widowControl/>
        <w:kinsoku/>
        <w:wordWrap/>
        <w:overflowPunct/>
        <w:topLinePunct w:val="0"/>
        <w:autoSpaceDE/>
        <w:autoSpaceDN/>
        <w:bidi w:val="0"/>
        <w:adjustRightInd/>
        <w:snapToGrid/>
        <w:spacing w:beforeAutospacing="0" w:line="440" w:lineRule="atLeast"/>
        <w:jc w:val="left"/>
        <w:textAlignment w:val="auto"/>
        <w:rPr>
          <w:rFonts w:hint="eastAsia" w:ascii="宋体" w:hAnsi="宋体" w:eastAsia="宋体" w:cs="宋体"/>
          <w:color w:val="auto"/>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kern w:val="0"/>
          <w:sz w:val="24"/>
          <w:szCs w:val="24"/>
          <w:highlight w:val="none"/>
        </w:rPr>
        <w:t>、中小企业</w:t>
      </w:r>
      <w:r>
        <w:rPr>
          <w:rFonts w:hint="eastAsia" w:ascii="宋体" w:hAnsi="宋体" w:eastAsia="宋体" w:cs="宋体"/>
          <w:color w:val="auto"/>
          <w:kern w:val="0"/>
          <w:sz w:val="24"/>
          <w:szCs w:val="24"/>
          <w:highlight w:val="none"/>
          <w:lang w:eastAsia="zh-CN"/>
        </w:rPr>
        <w:t>声</w:t>
      </w:r>
      <w:r>
        <w:rPr>
          <w:rFonts w:hint="eastAsia" w:ascii="宋体" w:hAnsi="宋体" w:eastAsia="宋体" w:cs="宋体"/>
          <w:color w:val="auto"/>
          <w:kern w:val="0"/>
          <w:sz w:val="24"/>
          <w:szCs w:val="24"/>
          <w:highlight w:val="none"/>
        </w:rPr>
        <w:t>明函</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如涉及</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……………………………………………………………（页码）</w:t>
      </w:r>
    </w:p>
    <w:p w14:paraId="2B3D0CB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十、产品及性能</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…………………………………………………………………………（页码）</w:t>
      </w:r>
    </w:p>
    <w:p w14:paraId="7B7F0F05">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十一、技术方案</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…………………………………………………………………………（页码）</w:t>
      </w:r>
    </w:p>
    <w:p w14:paraId="5623A069">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十二、关于符合本国产品标准的声明函（如涉及）</w:t>
      </w:r>
      <w:r>
        <w:rPr>
          <w:rFonts w:hint="eastAsia" w:ascii="宋体" w:hAnsi="宋体" w:eastAsia="宋体" w:cs="宋体"/>
          <w:color w:val="auto"/>
          <w:kern w:val="0"/>
          <w:sz w:val="24"/>
          <w:szCs w:val="24"/>
          <w:highlight w:val="none"/>
        </w:rPr>
        <w:t>………………………………………（页码）</w:t>
      </w:r>
    </w:p>
    <w:p w14:paraId="02163E9D">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lang w:val="en-US" w:eastAsia="zh-CN"/>
        </w:rPr>
        <w:t>十三、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认为需要提供的其他</w:t>
      </w:r>
      <w:r>
        <w:rPr>
          <w:rFonts w:hint="eastAsia" w:ascii="宋体" w:hAnsi="宋体" w:eastAsia="宋体" w:cs="宋体"/>
          <w:color w:val="auto"/>
          <w:sz w:val="24"/>
          <w:szCs w:val="24"/>
          <w:highlight w:val="none"/>
          <w:lang w:eastAsia="zh-CN"/>
        </w:rPr>
        <w:t>商务文件</w:t>
      </w:r>
      <w:r>
        <w:rPr>
          <w:rFonts w:hint="eastAsia" w:ascii="宋体" w:hAnsi="宋体" w:eastAsia="宋体" w:cs="宋体"/>
          <w:color w:val="auto"/>
          <w:sz w:val="24"/>
          <w:szCs w:val="24"/>
          <w:highlight w:val="none"/>
        </w:rPr>
        <w:t>材料</w:t>
      </w:r>
      <w:r>
        <w:rPr>
          <w:rFonts w:hint="eastAsia" w:ascii="宋体" w:hAnsi="宋体" w:eastAsia="宋体" w:cs="宋体"/>
          <w:color w:val="auto"/>
          <w:kern w:val="0"/>
          <w:sz w:val="24"/>
          <w:szCs w:val="24"/>
          <w:highlight w:val="none"/>
        </w:rPr>
        <w:t>…………………………………………（页码）</w:t>
      </w:r>
    </w:p>
    <w:p w14:paraId="1E56C7F9">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b/>
          <w:color w:val="auto"/>
          <w:kern w:val="0"/>
          <w:sz w:val="24"/>
          <w:szCs w:val="24"/>
          <w:highlight w:val="none"/>
        </w:rPr>
      </w:pPr>
    </w:p>
    <w:p w14:paraId="1D8A4B37">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注：以上目录是基本格式要求，各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可根据自身情况进一步向下增加内容或细化。</w:t>
      </w:r>
    </w:p>
    <w:p w14:paraId="6C221CE7">
      <w:pPr>
        <w:pStyle w:val="4"/>
        <w:keepNext/>
        <w:keepLines/>
        <w:pageBreakBefore w:val="0"/>
        <w:widowControl w:val="0"/>
        <w:kinsoku/>
        <w:wordWrap/>
        <w:overflowPunct/>
        <w:topLinePunct w:val="0"/>
        <w:autoSpaceDE/>
        <w:autoSpaceDN/>
        <w:bidi w:val="0"/>
        <w:adjustRightInd/>
        <w:snapToGrid/>
        <w:spacing w:before="0" w:beforeAutospacing="0" w:after="0" w:line="240" w:lineRule="auto"/>
        <w:ind w:left="0" w:leftChars="0"/>
        <w:jc w:val="center"/>
        <w:textAlignment w:val="auto"/>
        <w:rPr>
          <w:rFonts w:hint="eastAsia" w:ascii="宋体" w:hAnsi="宋体" w:eastAsia="宋体" w:cs="宋体"/>
          <w:color w:val="auto"/>
          <w:sz w:val="30"/>
          <w:szCs w:val="30"/>
          <w:highlight w:val="none"/>
          <w:lang w:eastAsia="zh-CN"/>
        </w:rPr>
      </w:pPr>
      <w:bookmarkStart w:id="257" w:name="_Toc25755"/>
      <w:bookmarkStart w:id="258" w:name="_Toc10802"/>
      <w:bookmarkStart w:id="259" w:name="_Toc15636"/>
      <w:bookmarkStart w:id="260" w:name="_Toc9820"/>
      <w:bookmarkStart w:id="261" w:name="_Toc22786"/>
      <w:bookmarkStart w:id="262" w:name="_Toc27711"/>
      <w:bookmarkStart w:id="263" w:name="_Toc16712"/>
      <w:bookmarkStart w:id="264" w:name="_Toc4364"/>
      <w:bookmarkStart w:id="265" w:name="_Toc1579"/>
      <w:r>
        <w:rPr>
          <w:rFonts w:hint="eastAsia" w:ascii="宋体" w:hAnsi="宋体" w:eastAsia="宋体" w:cs="宋体"/>
          <w:color w:val="auto"/>
          <w:sz w:val="30"/>
          <w:szCs w:val="30"/>
          <w:highlight w:val="none"/>
          <w:lang w:eastAsia="zh-CN"/>
        </w:rPr>
        <w:t>第一节</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lang w:eastAsia="zh-CN"/>
        </w:rPr>
        <w:t>资格证明文件格式</w:t>
      </w:r>
      <w:bookmarkEnd w:id="257"/>
      <w:bookmarkEnd w:id="258"/>
      <w:bookmarkEnd w:id="259"/>
      <w:bookmarkEnd w:id="260"/>
      <w:bookmarkEnd w:id="261"/>
      <w:bookmarkEnd w:id="262"/>
      <w:bookmarkEnd w:id="263"/>
      <w:bookmarkEnd w:id="264"/>
      <w:bookmarkEnd w:id="265"/>
    </w:p>
    <w:p w14:paraId="07E668AB">
      <w:pPr>
        <w:pStyle w:val="12"/>
        <w:pageBreakBefore w:val="0"/>
        <w:wordWrap/>
        <w:topLinePunct w:val="0"/>
        <w:bidi w:val="0"/>
        <w:spacing w:beforeAutospacing="0" w:line="240" w:lineRule="auto"/>
        <w:rPr>
          <w:rFonts w:hint="eastAsia" w:ascii="宋体" w:hAnsi="宋体" w:eastAsia="宋体" w:cs="宋体"/>
          <w:color w:val="auto"/>
          <w:highlight w:val="none"/>
        </w:rPr>
      </w:pPr>
    </w:p>
    <w:p w14:paraId="0352D9F9">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w:t>
      </w:r>
      <w:r>
        <w:rPr>
          <w:rFonts w:hint="eastAsia" w:ascii="宋体" w:hAnsi="宋体" w:eastAsia="宋体" w:cs="宋体"/>
          <w:b/>
          <w:bCs/>
          <w:color w:val="auto"/>
          <w:sz w:val="28"/>
          <w:szCs w:val="28"/>
          <w:highlight w:val="none"/>
          <w:lang w:val="en-US" w:eastAsia="zh-CN"/>
        </w:rPr>
        <w:t>具有</w:t>
      </w:r>
      <w:r>
        <w:rPr>
          <w:rFonts w:hint="eastAsia" w:ascii="宋体" w:hAnsi="宋体" w:eastAsia="宋体" w:cs="宋体"/>
          <w:b/>
          <w:bCs/>
          <w:color w:val="auto"/>
          <w:sz w:val="28"/>
          <w:szCs w:val="28"/>
          <w:highlight w:val="none"/>
        </w:rPr>
        <w:t>合法有效的营业执照</w:t>
      </w:r>
    </w:p>
    <w:p w14:paraId="3758EBE3">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附：企业营业执照</w:t>
      </w:r>
    </w:p>
    <w:p w14:paraId="0BF5E329">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234108E6">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D5C0B2D">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EB80765">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27E806C9">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ADF9588">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2349D1E">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49AABF82">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730136DA">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7A846F34">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23D16C02">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B436AFC">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E3AE3C8">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44A5A777">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60C94692">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9299522">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001335D">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5990AA0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2695605">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二、具有良好的商业信誉和健全的财务会计制度</w:t>
      </w:r>
    </w:p>
    <w:p w14:paraId="2C4D6082">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提供2023-2025年任意一年的完整审计报告或财务报表（应包括资产负债表、现金流量表、利润表）或提交近一年内银行出具的资信证明，本年度新成立或成立不满一年的无法提供财务审计报告或财务状况报告表的可提供在工商备案的公司章程（复印件）。</w:t>
      </w:r>
    </w:p>
    <w:p w14:paraId="79115AFA">
      <w:pPr>
        <w:keepNext w:val="0"/>
        <w:keepLines w:val="0"/>
        <w:pageBreakBefore w:val="0"/>
        <w:kinsoku/>
        <w:wordWrap/>
        <w:overflowPunct/>
        <w:topLinePunct w:val="0"/>
        <w:bidi w:val="0"/>
        <w:adjustRightInd/>
        <w:snapToGrid/>
        <w:spacing w:beforeAutospacing="0" w:line="240" w:lineRule="auto"/>
        <w:ind w:left="0" w:leftChars="0" w:firstLine="0" w:firstLineChars="0"/>
        <w:textAlignment w:val="auto"/>
        <w:rPr>
          <w:rFonts w:hint="eastAsia" w:ascii="宋体" w:hAnsi="宋体" w:eastAsia="宋体" w:cs="宋体"/>
          <w:color w:val="auto"/>
          <w:sz w:val="28"/>
          <w:szCs w:val="28"/>
          <w:highlight w:val="none"/>
          <w:lang w:eastAsia="zh-CN"/>
        </w:rPr>
      </w:pPr>
    </w:p>
    <w:p w14:paraId="2C63A64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70A7566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77C2D3D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54FC9BA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2F0EFCD2">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4D6E64F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441A829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39A7DF2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5FDFB09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68A4E935">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0EC450B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45579D70">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51FD164F">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3AF44AD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0D23B20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1C35D58F">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1D0ABF2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三、根据项目需求提供</w:t>
      </w:r>
      <w:r>
        <w:rPr>
          <w:rFonts w:hint="eastAsia" w:ascii="宋体" w:hAnsi="宋体" w:eastAsia="宋体" w:cs="宋体"/>
          <w:b/>
          <w:color w:val="auto"/>
          <w:kern w:val="0"/>
          <w:sz w:val="28"/>
          <w:szCs w:val="28"/>
          <w:highlight w:val="none"/>
          <w:lang w:val="en-US" w:eastAsia="zh-CN"/>
        </w:rPr>
        <w:t>具有</w:t>
      </w:r>
      <w:r>
        <w:rPr>
          <w:rFonts w:hint="eastAsia" w:ascii="宋体" w:hAnsi="宋体" w:eastAsia="宋体" w:cs="宋体"/>
          <w:b/>
          <w:color w:val="auto"/>
          <w:kern w:val="0"/>
          <w:sz w:val="28"/>
          <w:szCs w:val="28"/>
          <w:highlight w:val="none"/>
        </w:rPr>
        <w:t>履行合同所必需的设备和专业技术能力的加盖单位公章的书面承诺函</w:t>
      </w:r>
    </w:p>
    <w:p w14:paraId="72B8FCF8">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致：（采购人名称）</w:t>
      </w:r>
    </w:p>
    <w:p w14:paraId="1C415137">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u w:val="single"/>
          <w:lang w:val="en-US" w:eastAsia="zh-CN"/>
        </w:rPr>
        <w:t>（项目名称、项目编号）</w:t>
      </w:r>
      <w:r>
        <w:rPr>
          <w:rFonts w:hint="eastAsia" w:ascii="宋体" w:hAnsi="宋体" w:eastAsia="宋体" w:cs="宋体"/>
          <w:color w:val="auto"/>
          <w:sz w:val="24"/>
          <w:szCs w:val="24"/>
          <w:highlight w:val="none"/>
          <w:lang w:val="en-US" w:eastAsia="zh-CN"/>
        </w:rPr>
        <w:t>，我公司在完全理解本项目招标的技术要求、商务条款及其他内容后，决定参与该项目的投标活动。并承诺，如成交，我公司将提供足够的设备和专业技术能力保证本合同履行。</w:t>
      </w:r>
    </w:p>
    <w:p w14:paraId="277FA42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本公司对上述承诺的真实性负责。如有虚假，我公司同意按我方合同违约处理并依法承担相应法律责任。</w:t>
      </w:r>
    </w:p>
    <w:p w14:paraId="4051B89F">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p>
    <w:p w14:paraId="2B3CDC07">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p>
    <w:p w14:paraId="65AA38A3">
      <w:pPr>
        <w:keepNext w:val="0"/>
        <w:keepLines w:val="0"/>
        <w:pageBreakBefore w:val="0"/>
        <w:kinsoku/>
        <w:wordWrap/>
        <w:overflowPunct/>
        <w:topLinePunct w:val="0"/>
        <w:bidi w:val="0"/>
        <w:adjustRightInd/>
        <w:snapToGrid/>
        <w:spacing w:beforeAutospacing="0" w:line="240" w:lineRule="auto"/>
        <w:ind w:left="0" w:leftChars="0" w:firstLine="3640" w:firstLineChars="1300"/>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供应商名称(电子公章)：</w:t>
      </w:r>
    </w:p>
    <w:p w14:paraId="5E4551AF">
      <w:pPr>
        <w:keepNext w:val="0"/>
        <w:keepLines w:val="0"/>
        <w:pageBreakBefore w:val="0"/>
        <w:kinsoku/>
        <w:wordWrap/>
        <w:overflowPunct/>
        <w:topLinePunct w:val="0"/>
        <w:bidi w:val="0"/>
        <w:adjustRightInd/>
        <w:snapToGrid/>
        <w:spacing w:beforeAutospacing="0" w:line="240" w:lineRule="auto"/>
        <w:ind w:left="0" w:leftChars="0" w:firstLine="3640" w:firstLineChars="1300"/>
        <w:jc w:val="both"/>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rPr>
        <w:t>法定代表人或其委托代理人（签字</w:t>
      </w:r>
      <w:r>
        <w:rPr>
          <w:rFonts w:hint="eastAsia" w:ascii="宋体" w:hAnsi="宋体" w:eastAsia="宋体" w:cs="宋体"/>
          <w:color w:val="auto"/>
          <w:sz w:val="28"/>
          <w:szCs w:val="28"/>
          <w:highlight w:val="none"/>
          <w:lang w:val="zh-CN" w:eastAsia="zh-CN"/>
        </w:rPr>
        <w:t>或</w:t>
      </w:r>
      <w:r>
        <w:rPr>
          <w:rFonts w:hint="eastAsia" w:ascii="宋体" w:hAnsi="宋体" w:eastAsia="宋体" w:cs="宋体"/>
          <w:color w:val="auto"/>
          <w:sz w:val="28"/>
          <w:szCs w:val="28"/>
          <w:highlight w:val="none"/>
          <w:lang w:val="zh-CN"/>
        </w:rPr>
        <w:t>盖章）：</w:t>
      </w:r>
    </w:p>
    <w:p w14:paraId="2278C11B">
      <w:pPr>
        <w:keepNext w:val="0"/>
        <w:keepLines w:val="0"/>
        <w:pageBreakBefore w:val="0"/>
        <w:kinsoku/>
        <w:wordWrap/>
        <w:overflowPunct/>
        <w:topLinePunct w:val="0"/>
        <w:bidi w:val="0"/>
        <w:adjustRightInd/>
        <w:snapToGrid/>
        <w:spacing w:beforeAutospacing="0" w:line="240" w:lineRule="auto"/>
        <w:ind w:left="0" w:leftChars="0" w:firstLine="3640" w:firstLineChars="1300"/>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日期：</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日</w:t>
      </w:r>
    </w:p>
    <w:p w14:paraId="6543999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259A44E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2D8D7A33">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1841381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6A4BA91E">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7CEA221C">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3F1B5BEE">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03EC1D5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6D4FCA53">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2E40512">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0D6EBA58">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四、提供</w:t>
      </w:r>
      <w:r>
        <w:rPr>
          <w:rFonts w:hint="eastAsia" w:ascii="宋体" w:hAnsi="宋体" w:eastAsia="宋体" w:cs="宋体"/>
          <w:b/>
          <w:color w:val="auto"/>
          <w:kern w:val="0"/>
          <w:sz w:val="28"/>
          <w:szCs w:val="28"/>
          <w:highlight w:val="none"/>
          <w:lang w:val="en-US" w:eastAsia="zh-CN"/>
        </w:rPr>
        <w:t>开标时间</w:t>
      </w:r>
      <w:r>
        <w:rPr>
          <w:rFonts w:hint="eastAsia" w:ascii="宋体" w:hAnsi="宋体" w:eastAsia="宋体" w:cs="宋体"/>
          <w:b/>
          <w:color w:val="auto"/>
          <w:kern w:val="0"/>
          <w:sz w:val="28"/>
          <w:szCs w:val="28"/>
          <w:highlight w:val="none"/>
        </w:rPr>
        <w:t>前近半年任意一个月的依法缴纳税收和社会保障资金的相关材料</w:t>
      </w:r>
    </w:p>
    <w:p w14:paraId="24DD0821">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附：企业近半年任意一个月</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依法缴纳税收证明和社会保障资金缴纳凭证</w:t>
      </w:r>
    </w:p>
    <w:p w14:paraId="0D7E1944">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732D1A3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D4D7093">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76C0313B">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DB471B8">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DC1071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3F95CD2">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1C9B3B4E">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5C4372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FE971A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30BABA92">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D4E818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616C5A8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2E40AF04">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2023C18">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62292E94">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390BFAD9">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3FD4923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五、提供参加本次政府采购活动前3年内在经营活动中没有重大违法记录的书面承诺函并加盖单位公章</w:t>
      </w:r>
    </w:p>
    <w:p w14:paraId="59385894">
      <w:pPr>
        <w:pStyle w:val="81"/>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无重大违法记录声明书</w:t>
      </w:r>
    </w:p>
    <w:p w14:paraId="17D2C6FE">
      <w:pPr>
        <w:pStyle w:val="9"/>
        <w:keepNext w:val="0"/>
        <w:keepLines w:val="0"/>
        <w:pageBreakBefore w:val="0"/>
        <w:widowControl w:val="0"/>
        <w:kinsoku/>
        <w:wordWrap/>
        <w:overflowPunct/>
        <w:topLinePunct w:val="0"/>
        <w:bidi w:val="0"/>
        <w:adjustRightInd/>
        <w:snapToGrid/>
        <w:spacing w:beforeAutospacing="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2A7CBB47">
      <w:pPr>
        <w:pStyle w:val="81"/>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我公司参与</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eastAsia="zh-CN"/>
        </w:rPr>
        <w:t>项目</w:t>
      </w:r>
      <w:r>
        <w:rPr>
          <w:rFonts w:hint="eastAsia" w:ascii="宋体" w:hAnsi="宋体" w:eastAsia="宋体" w:cs="宋体"/>
          <w:color w:val="auto"/>
          <w:sz w:val="24"/>
          <w:szCs w:val="24"/>
          <w:highlight w:val="none"/>
          <w:u w:val="single"/>
        </w:rPr>
        <w:t>编号）</w:t>
      </w:r>
      <w:r>
        <w:rPr>
          <w:rFonts w:hint="eastAsia" w:ascii="宋体" w:hAnsi="宋体" w:eastAsia="宋体" w:cs="宋体"/>
          <w:color w:val="auto"/>
          <w:sz w:val="24"/>
          <w:szCs w:val="24"/>
          <w:highlight w:val="none"/>
        </w:rPr>
        <w:t>投标，本公司郑重声明，我方参加本项目政府采购活动前三年内无重大违法记录，符合《政府采购法》规定的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条件。若贵方在本项目采购过程中发现我方政府采购活动前三年内有重大违法记录，我公司将无条件退出本项目的投标，并承担因此引起的一切后果。我方对此声明负全部法律责任。</w:t>
      </w:r>
    </w:p>
    <w:p w14:paraId="2B73A541">
      <w:pPr>
        <w:pStyle w:val="81"/>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特此声明。</w:t>
      </w:r>
    </w:p>
    <w:p w14:paraId="4F9F397E">
      <w:pPr>
        <w:pStyle w:val="81"/>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p>
    <w:p w14:paraId="7C3266B3">
      <w:pPr>
        <w:pStyle w:val="81"/>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p>
    <w:p w14:paraId="1853AC73">
      <w:pPr>
        <w:pStyle w:val="81"/>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p>
    <w:p w14:paraId="3646E457">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53AF539B">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7916129D">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76C0B536">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4811F331">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16A3534C">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0D684C90">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2466D55C">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58D4B81E">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540BD01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六、</w:t>
      </w:r>
      <w:r>
        <w:rPr>
          <w:rFonts w:hint="eastAsia" w:ascii="宋体" w:hAnsi="宋体" w:eastAsia="宋体" w:cs="宋体"/>
          <w:b/>
          <w:bCs/>
          <w:i w:val="0"/>
          <w:caps w:val="0"/>
          <w:color w:val="auto"/>
          <w:spacing w:val="0"/>
          <w:kern w:val="2"/>
          <w:sz w:val="28"/>
          <w:szCs w:val="28"/>
          <w:highlight w:val="none"/>
          <w:lang w:val="en-US" w:eastAsia="zh-CN" w:bidi="ar-SA"/>
        </w:rPr>
        <w:t>法律、行政法规规定的其他条件。</w:t>
      </w:r>
    </w:p>
    <w:p w14:paraId="4FA83A36">
      <w:pPr>
        <w:pStyle w:val="9"/>
        <w:keepNext w:val="0"/>
        <w:keepLines w:val="0"/>
        <w:pageBreakBefore w:val="0"/>
        <w:widowControl w:val="0"/>
        <w:kinsoku/>
        <w:wordWrap/>
        <w:overflowPunct/>
        <w:topLinePunct w:val="0"/>
        <w:bidi w:val="0"/>
        <w:adjustRightInd/>
        <w:snapToGrid/>
        <w:spacing w:beforeAutospacing="0" w:after="0" w:line="240" w:lineRule="auto"/>
        <w:jc w:val="center"/>
        <w:textAlignment w:val="auto"/>
        <w:rPr>
          <w:rFonts w:hint="eastAsia" w:ascii="宋体" w:hAnsi="宋体" w:eastAsia="宋体" w:cs="宋体"/>
          <w:color w:val="auto"/>
          <w:sz w:val="28"/>
          <w:szCs w:val="28"/>
          <w:highlight w:val="none"/>
          <w:lang w:eastAsia="zh-CN"/>
        </w:rPr>
      </w:pPr>
    </w:p>
    <w:p w14:paraId="1B0710C9">
      <w:pPr>
        <w:pStyle w:val="9"/>
        <w:keepNext w:val="0"/>
        <w:keepLines w:val="0"/>
        <w:pageBreakBefore w:val="0"/>
        <w:widowControl w:val="0"/>
        <w:kinsoku/>
        <w:wordWrap/>
        <w:overflowPunct/>
        <w:topLinePunct w:val="0"/>
        <w:bidi w:val="0"/>
        <w:adjustRightInd/>
        <w:snapToGrid/>
        <w:spacing w:beforeAutospacing="0"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信用信誉承诺函</w:t>
      </w:r>
    </w:p>
    <w:p w14:paraId="289F0997">
      <w:pPr>
        <w:pStyle w:val="9"/>
        <w:keepNext w:val="0"/>
        <w:keepLines w:val="0"/>
        <w:pageBreakBefore w:val="0"/>
        <w:widowControl w:val="0"/>
        <w:kinsoku/>
        <w:wordWrap/>
        <w:overflowPunct/>
        <w:topLinePunct w:val="0"/>
        <w:bidi w:val="0"/>
        <w:adjustRightInd/>
        <w:snapToGrid/>
        <w:spacing w:beforeAutospacing="0" w:after="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w:t>
      </w:r>
    </w:p>
    <w:p w14:paraId="5AA7DC9C">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u w:val="single"/>
          <w:lang w:eastAsia="zh-CN"/>
        </w:rPr>
        <w:t>、项目编号</w:t>
      </w:r>
      <w:r>
        <w:rPr>
          <w:rFonts w:hint="eastAsia" w:ascii="宋体" w:hAnsi="宋体" w:eastAsia="宋体" w:cs="宋体"/>
          <w:color w:val="auto"/>
          <w:kern w:val="0"/>
          <w:sz w:val="24"/>
          <w:szCs w:val="24"/>
          <w:highlight w:val="none"/>
        </w:rPr>
        <w:t>，我公司</w:t>
      </w:r>
      <w:r>
        <w:rPr>
          <w:rFonts w:hint="eastAsia" w:ascii="宋体" w:hAnsi="宋体" w:eastAsia="宋体" w:cs="宋体"/>
          <w:color w:val="auto"/>
          <w:kern w:val="0"/>
          <w:sz w:val="24"/>
          <w:szCs w:val="24"/>
          <w:highlight w:val="none"/>
          <w:lang w:eastAsia="zh-CN"/>
        </w:rPr>
        <w:t>承诺，</w:t>
      </w:r>
      <w:r>
        <w:rPr>
          <w:rFonts w:hint="eastAsia" w:ascii="宋体" w:hAnsi="宋体" w:eastAsia="宋体" w:cs="宋体"/>
          <w:color w:val="auto"/>
          <w:kern w:val="0"/>
          <w:sz w:val="24"/>
          <w:szCs w:val="24"/>
          <w:highlight w:val="none"/>
        </w:rPr>
        <w:t>在“信用中国”网站</w:t>
      </w:r>
      <w:r>
        <w:rPr>
          <w:rFonts w:hint="eastAsia" w:ascii="宋体" w:hAnsi="宋体" w:eastAsia="宋体" w:cs="宋体"/>
          <w:color w:val="auto"/>
          <w:kern w:val="0"/>
          <w:sz w:val="24"/>
          <w:szCs w:val="24"/>
          <w:highlight w:val="none"/>
          <w:lang w:eastAsia="zh-CN"/>
        </w:rPr>
        <w:t>未</w:t>
      </w:r>
      <w:r>
        <w:rPr>
          <w:rFonts w:hint="eastAsia" w:ascii="宋体" w:hAnsi="宋体" w:eastAsia="宋体" w:cs="宋体"/>
          <w:color w:val="auto"/>
          <w:kern w:val="0"/>
          <w:sz w:val="24"/>
          <w:szCs w:val="24"/>
          <w:highlight w:val="none"/>
        </w:rPr>
        <w:t>被列入失信被执行人</w:t>
      </w:r>
      <w:r>
        <w:rPr>
          <w:rFonts w:hint="eastAsia" w:ascii="宋体" w:hAnsi="宋体" w:eastAsia="宋体" w:cs="宋体"/>
          <w:color w:val="auto"/>
          <w:kern w:val="0"/>
          <w:sz w:val="24"/>
          <w:szCs w:val="24"/>
          <w:highlight w:val="none"/>
          <w:lang w:eastAsia="zh-CN"/>
        </w:rPr>
        <w:t>和</w:t>
      </w:r>
      <w:r>
        <w:rPr>
          <w:rFonts w:hint="eastAsia" w:ascii="宋体" w:hAnsi="宋体" w:eastAsia="宋体" w:cs="宋体"/>
          <w:color w:val="auto"/>
          <w:kern w:val="0"/>
          <w:sz w:val="24"/>
          <w:szCs w:val="24"/>
          <w:highlight w:val="none"/>
        </w:rPr>
        <w:t>重大税收违法失信主体、</w:t>
      </w:r>
      <w:r>
        <w:rPr>
          <w:rFonts w:hint="eastAsia" w:ascii="宋体" w:hAnsi="宋体" w:eastAsia="宋体" w:cs="宋体"/>
          <w:color w:val="auto"/>
          <w:kern w:val="0"/>
          <w:sz w:val="24"/>
          <w:szCs w:val="24"/>
          <w:highlight w:val="none"/>
          <w:lang w:eastAsia="zh-CN"/>
        </w:rPr>
        <w:t>在</w:t>
      </w:r>
      <w:r>
        <w:rPr>
          <w:rFonts w:hint="eastAsia" w:ascii="宋体" w:hAnsi="宋体" w:eastAsia="宋体" w:cs="宋体"/>
          <w:color w:val="auto"/>
          <w:kern w:val="0"/>
          <w:sz w:val="24"/>
          <w:szCs w:val="24"/>
          <w:highlight w:val="none"/>
        </w:rPr>
        <w:t>中国政府采购网</w:t>
      </w:r>
      <w:r>
        <w:rPr>
          <w:rFonts w:hint="eastAsia" w:ascii="宋体" w:hAnsi="宋体" w:eastAsia="宋体" w:cs="宋体"/>
          <w:color w:val="auto"/>
          <w:kern w:val="0"/>
          <w:sz w:val="24"/>
          <w:szCs w:val="24"/>
          <w:highlight w:val="none"/>
          <w:lang w:eastAsia="zh-CN"/>
        </w:rPr>
        <w:t>中未被列入</w:t>
      </w:r>
      <w:r>
        <w:rPr>
          <w:rFonts w:hint="eastAsia" w:ascii="宋体" w:hAnsi="宋体" w:eastAsia="宋体" w:cs="宋体"/>
          <w:color w:val="auto"/>
          <w:kern w:val="0"/>
          <w:sz w:val="24"/>
          <w:szCs w:val="24"/>
          <w:highlight w:val="none"/>
        </w:rPr>
        <w:t>严重违法失信行为记录名单的（尚在处罚期内的）</w:t>
      </w:r>
      <w:r>
        <w:rPr>
          <w:rFonts w:hint="eastAsia" w:ascii="宋体" w:hAnsi="宋体" w:eastAsia="宋体" w:cs="宋体"/>
          <w:color w:val="auto"/>
          <w:kern w:val="0"/>
          <w:sz w:val="24"/>
          <w:szCs w:val="24"/>
          <w:highlight w:val="none"/>
          <w:lang w:eastAsia="zh-CN"/>
        </w:rPr>
        <w:t>。</w:t>
      </w:r>
    </w:p>
    <w:p w14:paraId="5314E999">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本公司对上述承诺的真实性负责。如有虚假，我公司同意</w:t>
      </w:r>
      <w:r>
        <w:rPr>
          <w:rFonts w:hint="eastAsia" w:ascii="宋体" w:hAnsi="宋体" w:eastAsia="宋体" w:cs="宋体"/>
          <w:color w:val="auto"/>
          <w:kern w:val="0"/>
          <w:sz w:val="24"/>
          <w:szCs w:val="24"/>
          <w:highlight w:val="none"/>
          <w:lang w:val="en-US" w:eastAsia="zh-CN"/>
        </w:rPr>
        <w:t>承担一切相关的后果，并</w:t>
      </w:r>
      <w:r>
        <w:rPr>
          <w:rFonts w:hint="eastAsia" w:ascii="宋体" w:hAnsi="宋体" w:eastAsia="宋体" w:cs="宋体"/>
          <w:color w:val="auto"/>
          <w:kern w:val="0"/>
          <w:sz w:val="24"/>
          <w:szCs w:val="24"/>
          <w:highlight w:val="none"/>
        </w:rPr>
        <w:t>依法承担相应法律责任。</w:t>
      </w:r>
    </w:p>
    <w:p w14:paraId="6404B00B">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p>
    <w:p w14:paraId="275A63C5">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p>
    <w:p w14:paraId="21534FDF">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0378FC9E">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05924CE9">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234CD6CC">
      <w:pPr>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highlight w:val="none"/>
          <w:lang w:val="zh-CN"/>
        </w:rPr>
        <w:t>（供应商提供信用中国网站（https://www.creditchina.gov.cn）查询截图（共需“失信被执行人”、“重大税收违法失信主体)和中国政府采购网网站（http://www.ccgp.gov.cn）查询截图（政府采购严重违法失信行为记录名单））</w:t>
      </w:r>
    </w:p>
    <w:p w14:paraId="3CE78114">
      <w:pPr>
        <w:keepNext w:val="0"/>
        <w:keepLines w:val="0"/>
        <w:pageBreakBefore w:val="0"/>
        <w:widowControl/>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kern w:val="0"/>
          <w:sz w:val="28"/>
          <w:szCs w:val="28"/>
          <w:highlight w:val="none"/>
        </w:rPr>
      </w:pPr>
    </w:p>
    <w:p w14:paraId="54104640">
      <w:pPr>
        <w:keepNext w:val="0"/>
        <w:keepLines w:val="0"/>
        <w:pageBreakBefore w:val="0"/>
        <w:widowControl/>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kern w:val="0"/>
          <w:sz w:val="28"/>
          <w:szCs w:val="28"/>
          <w:highlight w:val="none"/>
        </w:rPr>
      </w:pPr>
    </w:p>
    <w:p w14:paraId="32CEC3A9">
      <w:pPr>
        <w:keepNext w:val="0"/>
        <w:keepLines w:val="0"/>
        <w:pageBreakBefore w:val="0"/>
        <w:widowControl/>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kern w:val="0"/>
          <w:sz w:val="28"/>
          <w:szCs w:val="28"/>
          <w:highlight w:val="none"/>
        </w:rPr>
      </w:pPr>
    </w:p>
    <w:p w14:paraId="31B866C5">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2E60377">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w:t>
      </w:r>
      <w:r>
        <w:rPr>
          <w:rFonts w:hint="eastAsia" w:ascii="宋体" w:hAnsi="宋体" w:eastAsia="宋体" w:cs="宋体"/>
          <w:b/>
          <w:color w:val="auto"/>
          <w:sz w:val="28"/>
          <w:szCs w:val="28"/>
          <w:highlight w:val="none"/>
          <w:lang w:val="en-US" w:eastAsia="zh-CN"/>
        </w:rPr>
        <w:t>有效的投标</w:t>
      </w:r>
      <w:r>
        <w:rPr>
          <w:rFonts w:hint="eastAsia" w:ascii="宋体" w:hAnsi="宋体" w:eastAsia="宋体" w:cs="宋体"/>
          <w:b/>
          <w:color w:val="auto"/>
          <w:sz w:val="28"/>
          <w:szCs w:val="28"/>
          <w:highlight w:val="none"/>
        </w:rPr>
        <w:t>保证金凭证</w:t>
      </w:r>
    </w:p>
    <w:p w14:paraId="0A2E28B1">
      <w:pPr>
        <w:pStyle w:val="75"/>
        <w:pageBreakBefore w:val="0"/>
        <w:tabs>
          <w:tab w:val="left" w:pos="1429"/>
        </w:tabs>
        <w:wordWrap/>
        <w:topLinePunct w:val="0"/>
        <w:bidi w:val="0"/>
        <w:spacing w:beforeAutospacing="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说明：此处上传投标保证金缴纳证明文件</w:t>
      </w:r>
    </w:p>
    <w:p w14:paraId="3F45901B">
      <w:pP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r>
    </w:p>
    <w:p w14:paraId="22301B2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八</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特定资格要求</w:t>
      </w:r>
    </w:p>
    <w:p w14:paraId="049D8DB1">
      <w:pPr>
        <w:pageBreakBefore w:val="0"/>
        <w:widowControl w:val="0"/>
        <w:kinsoku/>
        <w:wordWrap/>
        <w:overflowPunct/>
        <w:topLinePunct w:val="0"/>
        <w:autoSpaceDE/>
        <w:autoSpaceDN/>
        <w:bidi w:val="0"/>
        <w:adjustRightInd/>
        <w:snapToGrid/>
        <w:spacing w:beforeAutospacing="0" w:line="360" w:lineRule="auto"/>
        <w:ind w:left="0"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）供应商若为生产厂家则需提供有效期内的GMP证书和兽药生产许可证；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原件扫描件加盖公章</w:t>
      </w:r>
      <w:r>
        <w:rPr>
          <w:rFonts w:hint="eastAsia" w:ascii="宋体" w:hAnsi="宋体" w:eastAsia="宋体" w:cs="宋体"/>
          <w:color w:val="auto"/>
          <w:sz w:val="22"/>
          <w:szCs w:val="22"/>
          <w:highlight w:val="none"/>
          <w:lang w:eastAsia="zh-CN"/>
        </w:rPr>
        <w:t>）</w:t>
      </w:r>
    </w:p>
    <w:p w14:paraId="640C2D63">
      <w:pPr>
        <w:pageBreakBefore w:val="0"/>
        <w:widowControl w:val="0"/>
        <w:kinsoku/>
        <w:wordWrap/>
        <w:overflowPunct/>
        <w:topLinePunct w:val="0"/>
        <w:autoSpaceDE/>
        <w:autoSpaceDN/>
        <w:bidi w:val="0"/>
        <w:adjustRightInd/>
        <w:snapToGrid/>
        <w:spacing w:beforeAutospacing="0" w:line="36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）供应商若非生产厂家则需提供兽药经营许可证（经营范围包含本项目产品）及生产厂家有效期内的GMP 证书和兽药生产许可证。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原件扫描件加盖公章</w:t>
      </w:r>
      <w:r>
        <w:rPr>
          <w:rFonts w:hint="eastAsia" w:ascii="宋体" w:hAnsi="宋体" w:eastAsia="宋体" w:cs="宋体"/>
          <w:color w:val="auto"/>
          <w:sz w:val="22"/>
          <w:szCs w:val="22"/>
          <w:highlight w:val="none"/>
          <w:lang w:eastAsia="zh-CN"/>
        </w:rPr>
        <w:t>）</w:t>
      </w:r>
    </w:p>
    <w:p w14:paraId="30F7D9CA">
      <w:pPr>
        <w:pStyle w:val="9"/>
        <w:pageBreakBefore w:val="0"/>
        <w:topLinePunct w:val="0"/>
        <w:bidi w:val="0"/>
        <w:spacing w:beforeAutospacing="0" w:after="0"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（3）所投产品具有有效的兽药产品批准文号批件；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原件扫描件加盖公章</w:t>
      </w:r>
      <w:r>
        <w:rPr>
          <w:rFonts w:hint="eastAsia" w:ascii="宋体" w:hAnsi="宋体" w:eastAsia="宋体" w:cs="宋体"/>
          <w:color w:val="auto"/>
          <w:sz w:val="22"/>
          <w:szCs w:val="22"/>
          <w:highlight w:val="none"/>
          <w:lang w:eastAsia="zh-CN"/>
        </w:rPr>
        <w:t>）</w:t>
      </w:r>
    </w:p>
    <w:p w14:paraId="05185B62">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6DF74756">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556F3116">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266E08D5">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14CD2CA8">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6D41E48A">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16093D08">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0157CE1C">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27ACF21F">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777CFC5C">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57262E23">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14D836A0">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45616BD4">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63CF6469">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52B95C14">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37811ED1">
      <w:pPr>
        <w:rPr>
          <w:rFonts w:hint="eastAsia" w:ascii="宋体" w:hAnsi="宋体" w:eastAsia="宋体" w:cs="宋体"/>
          <w:color w:val="auto"/>
          <w:highlight w:val="none"/>
        </w:rPr>
      </w:pPr>
      <w:bookmarkStart w:id="266" w:name="_Toc27725"/>
      <w:bookmarkStart w:id="267" w:name="_Toc140742541"/>
      <w:bookmarkStart w:id="268" w:name="_Toc140741996"/>
      <w:bookmarkStart w:id="269" w:name="_Toc138610910"/>
      <w:bookmarkStart w:id="270" w:name="_Toc140741994"/>
      <w:bookmarkStart w:id="271" w:name="_Toc140742539"/>
      <w:bookmarkStart w:id="272" w:name="_Toc138610908"/>
      <w:bookmarkStart w:id="273" w:name="_Toc19686838"/>
      <w:r>
        <w:rPr>
          <w:rFonts w:hint="eastAsia" w:ascii="宋体" w:hAnsi="宋体" w:eastAsia="宋体" w:cs="宋体"/>
          <w:color w:val="auto"/>
          <w:highlight w:val="none"/>
        </w:rPr>
        <w:br w:type="page"/>
      </w:r>
    </w:p>
    <w:p w14:paraId="674A69BD">
      <w:pPr>
        <w:pStyle w:val="4"/>
        <w:keepNext/>
        <w:keepLines/>
        <w:pageBreakBefore w:val="0"/>
        <w:widowControl w:val="0"/>
        <w:kinsoku/>
        <w:wordWrap/>
        <w:overflowPunct/>
        <w:topLinePunct w:val="0"/>
        <w:autoSpaceDE/>
        <w:autoSpaceDN/>
        <w:bidi w:val="0"/>
        <w:adjustRightInd/>
        <w:snapToGrid/>
        <w:spacing w:before="0" w:beforeAutospacing="0" w:after="0" w:line="240" w:lineRule="auto"/>
        <w:ind w:left="0" w:leftChars="0"/>
        <w:jc w:val="center"/>
        <w:textAlignment w:val="auto"/>
        <w:rPr>
          <w:rFonts w:hint="eastAsia" w:ascii="宋体" w:hAnsi="宋体" w:eastAsia="宋体" w:cs="宋体"/>
          <w:color w:val="auto"/>
          <w:sz w:val="30"/>
          <w:szCs w:val="30"/>
          <w:highlight w:val="none"/>
          <w:lang w:eastAsia="zh-CN"/>
        </w:rPr>
      </w:pPr>
      <w:bookmarkStart w:id="274" w:name="_Toc7787"/>
      <w:bookmarkStart w:id="275" w:name="_Toc13297"/>
      <w:bookmarkStart w:id="276" w:name="_Toc24895"/>
      <w:bookmarkStart w:id="277" w:name="_Toc31913"/>
      <w:bookmarkStart w:id="278" w:name="_Toc25728"/>
      <w:bookmarkStart w:id="279" w:name="_Toc14649"/>
      <w:bookmarkStart w:id="280" w:name="_Toc26303"/>
      <w:bookmarkStart w:id="281" w:name="_Toc5210"/>
      <w:r>
        <w:rPr>
          <w:rFonts w:hint="eastAsia" w:ascii="宋体" w:hAnsi="宋体" w:eastAsia="宋体" w:cs="宋体"/>
          <w:color w:val="auto"/>
          <w:sz w:val="30"/>
          <w:szCs w:val="30"/>
          <w:highlight w:val="none"/>
          <w:lang w:eastAsia="zh-CN"/>
        </w:rPr>
        <w:t>第二节</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lang w:eastAsia="zh-CN"/>
        </w:rPr>
        <w:t>报价文件格式</w:t>
      </w:r>
      <w:bookmarkEnd w:id="266"/>
      <w:bookmarkEnd w:id="267"/>
      <w:bookmarkEnd w:id="268"/>
      <w:bookmarkEnd w:id="269"/>
      <w:bookmarkEnd w:id="274"/>
      <w:bookmarkEnd w:id="275"/>
      <w:bookmarkEnd w:id="276"/>
      <w:bookmarkEnd w:id="277"/>
      <w:bookmarkEnd w:id="278"/>
      <w:bookmarkEnd w:id="279"/>
      <w:bookmarkEnd w:id="280"/>
      <w:bookmarkEnd w:id="281"/>
    </w:p>
    <w:p w14:paraId="22AFC323">
      <w:pPr>
        <w:keepNext w:val="0"/>
        <w:keepLines w:val="0"/>
        <w:pageBreakBefore w:val="0"/>
        <w:kinsoku/>
        <w:wordWrap/>
        <w:overflowPunct/>
        <w:topLinePunct w:val="0"/>
        <w:bidi w:val="0"/>
        <w:adjustRightInd/>
        <w:snapToGrid/>
        <w:spacing w:beforeAutospacing="0" w:line="240" w:lineRule="auto"/>
        <w:ind w:left="0" w:leftChars="0" w:firstLine="0" w:firstLineChars="0"/>
        <w:jc w:val="center"/>
        <w:textAlignment w:val="auto"/>
        <w:outlineLvl w:val="2"/>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一、投标函</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实质性要求</w:t>
      </w:r>
      <w:r>
        <w:rPr>
          <w:rFonts w:hint="eastAsia" w:ascii="宋体" w:hAnsi="宋体" w:eastAsia="宋体" w:cs="宋体"/>
          <w:b/>
          <w:bCs/>
          <w:color w:val="auto"/>
          <w:sz w:val="28"/>
          <w:szCs w:val="28"/>
          <w:highlight w:val="none"/>
          <w:lang w:eastAsia="zh-CN"/>
        </w:rPr>
        <w:t>）</w:t>
      </w:r>
    </w:p>
    <w:p w14:paraId="3E544EA7">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（采购人名称）</w:t>
      </w:r>
    </w:p>
    <w:p w14:paraId="6E47D2D9">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我方已仔细阅读了贵方组织的</w:t>
      </w:r>
      <w:r>
        <w:rPr>
          <w:rFonts w:hint="eastAsia" w:ascii="宋体" w:hAnsi="宋体" w:eastAsia="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的全部内容，授权(全权代表姓名)(职务、职称)为全权代表，现正式</w:t>
      </w:r>
      <w:r>
        <w:rPr>
          <w:rFonts w:hint="eastAsia" w:ascii="宋体" w:hAnsi="宋体" w:eastAsia="宋体" w:cs="宋体"/>
          <w:color w:val="auto"/>
          <w:sz w:val="24"/>
          <w:szCs w:val="24"/>
          <w:highlight w:val="none"/>
          <w:lang w:val="en-US" w:eastAsia="zh-CN"/>
        </w:rPr>
        <w:t>在政采云平台上传</w:t>
      </w:r>
      <w:r>
        <w:rPr>
          <w:rFonts w:hint="eastAsia" w:ascii="宋体" w:hAnsi="宋体" w:eastAsia="宋体" w:cs="宋体"/>
          <w:color w:val="auto"/>
          <w:sz w:val="24"/>
          <w:szCs w:val="24"/>
          <w:highlight w:val="none"/>
        </w:rPr>
        <w:t>下述文件参加贵方组织的本次政府采购活动：</w:t>
      </w:r>
    </w:p>
    <w:p w14:paraId="55AB20F5">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50C88275">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二、资格文件电子版一份（包含按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68A537A4">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三、技术文件电子版一份（包含按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0E96128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四、商务文件电子版一份（包含按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5729E3D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据此函，签字人兹宣布：</w:t>
      </w:r>
    </w:p>
    <w:p w14:paraId="6E339B2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1、我方愿意以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），供货期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，提供本项目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第三章“采购需求”中的相应的采购内容。</w:t>
      </w:r>
    </w:p>
    <w:p w14:paraId="2014437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2、我方同意自本项目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谈判邀请</w:t>
      </w:r>
      <w:r>
        <w:rPr>
          <w:rFonts w:hint="eastAsia" w:ascii="宋体" w:hAnsi="宋体" w:eastAsia="宋体" w:cs="宋体"/>
          <w:color w:val="auto"/>
          <w:sz w:val="24"/>
          <w:szCs w:val="24"/>
          <w:highlight w:val="none"/>
        </w:rPr>
        <w:t>”的投标截止时间（开标时间）起遵循本投标函，并承诺在“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须知前附表”的投标有效期内不修改、撤销投标文件。</w:t>
      </w:r>
    </w:p>
    <w:p w14:paraId="5F2404E1">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3、我方所递交的投标文件及有关资料都是内容完整、真实和准确的。</w:t>
      </w:r>
    </w:p>
    <w:p w14:paraId="0FF183F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4、如本项目采购内容涉及须符合国家强制规定的，我方承诺我方本次投标（包括资格条件和所投产品）均符合国家有关强制规定。</w:t>
      </w:r>
    </w:p>
    <w:p w14:paraId="2DDDBC7C">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5、如我方</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，我方承诺在收到</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通知书后，在</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通知书规定的期限内，根据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、我方的投标文件及有关澄清承诺书的要求按第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章“拟签订的合同文本”与采购人订立书面合同，并按照合同约定承担完成合同的责任和义务。</w:t>
      </w:r>
    </w:p>
    <w:p w14:paraId="232DEC04">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6、我方已详细审核</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，我方知道必须放弃提出含糊不清或误解问题的权利。</w:t>
      </w:r>
    </w:p>
    <w:p w14:paraId="41B61D6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7、我方同意应贵方要求提供与本投标有关的任何数据或资料。若贵方需要，我方愿意提供我方作出的一切承诺的证明材料。</w:t>
      </w:r>
    </w:p>
    <w:p w14:paraId="7C422A8F">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8、我方完全理解贵方不一定接受投标报价最低的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供应商的行为。</w:t>
      </w:r>
    </w:p>
    <w:p w14:paraId="6A0898A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696AAB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提供虚假材料谋取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、成交的；</w:t>
      </w:r>
    </w:p>
    <w:p w14:paraId="1C47165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采取不正当手段诋毁、排挤其他供应商的；</w:t>
      </w:r>
    </w:p>
    <w:p w14:paraId="754F99E6">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与采购人、其他供应商或者采购代理机构恶意串通的；</w:t>
      </w:r>
    </w:p>
    <w:p w14:paraId="15CF3FE5">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向采购人、采购代理机构行贿或者提供其他不正当利益的；</w:t>
      </w:r>
    </w:p>
    <w:p w14:paraId="528CD687">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在招标采购过程中与采购人进行协商谈判的；</w:t>
      </w:r>
    </w:p>
    <w:p w14:paraId="742A24F1">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拒绝有关部门监督检查或提供虚假情况的。</w:t>
      </w:r>
    </w:p>
    <w:p w14:paraId="3F4CAC0A">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10、我方及由本人担任法定代表人的其他机构最近三年内被处罚的违法行为有：</w:t>
      </w:r>
    </w:p>
    <w:p w14:paraId="0FAF2A87">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11、以上事项如有虚假或隐瞒，我方愿意承担一切后果，并不再寻求任何旨在减轻或免除法律责任的辩解。</w:t>
      </w:r>
    </w:p>
    <w:p w14:paraId="59196AC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12、与本投标有关的一切正式往来信函请寄：</w:t>
      </w:r>
    </w:p>
    <w:p w14:paraId="0634FC8E">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p>
    <w:p w14:paraId="1F56A4C4">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w:t>
      </w:r>
    </w:p>
    <w:p w14:paraId="5B1659E7">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w:t>
      </w:r>
    </w:p>
    <w:p w14:paraId="51C21093">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p>
    <w:p w14:paraId="776744FD">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开户名称：</w:t>
      </w:r>
    </w:p>
    <w:p w14:paraId="71CDB32E">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开户银行：</w:t>
      </w:r>
    </w:p>
    <w:p w14:paraId="73ACF773">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银行账号：</w:t>
      </w:r>
    </w:p>
    <w:p w14:paraId="58049539">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zh-CN"/>
        </w:rPr>
      </w:pPr>
    </w:p>
    <w:p w14:paraId="34236ABD">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309EF32B">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3DBBC6C0">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5EBBAC15">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zh-CN"/>
        </w:rPr>
        <w:sectPr>
          <w:footerReference r:id="rId6" w:type="default"/>
          <w:pgSz w:w="11906" w:h="16838"/>
          <w:pgMar w:top="1440" w:right="1080" w:bottom="1440" w:left="1080" w:header="720" w:footer="907" w:gutter="0"/>
          <w:pgBorders>
            <w:top w:val="none" w:sz="0" w:space="0"/>
            <w:left w:val="none" w:sz="0" w:space="0"/>
            <w:bottom w:val="none" w:sz="0" w:space="0"/>
            <w:right w:val="none" w:sz="0" w:space="0"/>
          </w:pgBorders>
          <w:pgNumType w:fmt="decimal"/>
          <w:cols w:space="720" w:num="1"/>
          <w:docGrid w:type="lines" w:linePitch="331" w:charSpace="0"/>
        </w:sectPr>
      </w:pPr>
    </w:p>
    <w:p w14:paraId="09E93107">
      <w:pPr>
        <w:pStyle w:val="12"/>
        <w:pageBreakBefore w:val="0"/>
        <w:wordWrap/>
        <w:topLinePunct w:val="0"/>
        <w:bidi w:val="0"/>
        <w:spacing w:beforeAutospacing="0" w:line="240" w:lineRule="auto"/>
        <w:jc w:val="center"/>
        <w:outlineLvl w:val="2"/>
        <w:rPr>
          <w:rFonts w:hint="eastAsia" w:ascii="宋体" w:hAnsi="宋体" w:eastAsia="宋体" w:cs="宋体"/>
          <w:b/>
          <w:bCs/>
          <w:color w:val="auto"/>
          <w:highlight w:val="none"/>
          <w:lang w:eastAsia="zh-CN"/>
        </w:rPr>
      </w:pPr>
      <w:r>
        <w:rPr>
          <w:rFonts w:hint="eastAsia" w:ascii="宋体" w:hAnsi="宋体" w:eastAsia="宋体" w:cs="宋体"/>
          <w:b/>
          <w:bCs/>
          <w:color w:val="auto"/>
          <w:sz w:val="28"/>
          <w:szCs w:val="28"/>
          <w:highlight w:val="none"/>
        </w:rPr>
        <w:t>二、开标一览表</w:t>
      </w:r>
      <w:r>
        <w:rPr>
          <w:rFonts w:hint="eastAsia" w:ascii="宋体" w:hAnsi="宋体" w:eastAsia="宋体" w:cs="宋体"/>
          <w:b/>
          <w:bCs/>
          <w:color w:val="auto"/>
          <w:sz w:val="28"/>
          <w:szCs w:val="28"/>
          <w:highlight w:val="none"/>
          <w:lang w:val="zh-CN"/>
        </w:rPr>
        <w:t>(单位均为人民币元)</w:t>
      </w:r>
    </w:p>
    <w:tbl>
      <w:tblPr>
        <w:tblStyle w:val="26"/>
        <w:tblW w:w="95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1A8E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622FF970">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名称：</w:t>
            </w:r>
          </w:p>
        </w:tc>
      </w:tr>
      <w:tr w14:paraId="55DE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404DCD80">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w:t>
            </w:r>
          </w:p>
        </w:tc>
      </w:tr>
      <w:tr w14:paraId="7948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trPr>
        <w:tc>
          <w:tcPr>
            <w:tcW w:w="9580" w:type="dxa"/>
            <w:tcBorders>
              <w:top w:val="single" w:color="auto" w:sz="4" w:space="0"/>
              <w:left w:val="single" w:color="auto" w:sz="4" w:space="0"/>
              <w:bottom w:val="single" w:color="auto" w:sz="4" w:space="0"/>
              <w:right w:val="single" w:color="auto" w:sz="4" w:space="0"/>
            </w:tcBorders>
            <w:vAlign w:val="center"/>
          </w:tcPr>
          <w:p w14:paraId="41D2FABF">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单价</w:t>
            </w:r>
            <w:r>
              <w:rPr>
                <w:rFonts w:hint="eastAsia" w:ascii="宋体" w:hAnsi="宋体" w:eastAsia="宋体" w:cs="宋体"/>
                <w:color w:val="auto"/>
                <w:sz w:val="24"/>
                <w:szCs w:val="24"/>
                <w:highlight w:val="none"/>
              </w:rPr>
              <w:t>）：</w:t>
            </w:r>
          </w:p>
          <w:p w14:paraId="1FE3DF0F">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p w14:paraId="25FED039">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r>
      <w:tr w14:paraId="7FD6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1AA7436F">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规格型号：</w:t>
            </w:r>
          </w:p>
        </w:tc>
      </w:tr>
      <w:tr w14:paraId="68B9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572265C6">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供货</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w:t>
            </w:r>
          </w:p>
        </w:tc>
      </w:tr>
      <w:tr w14:paraId="67EF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6F0F3DF6">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r>
      <w:tr w14:paraId="3176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580" w:type="dxa"/>
            <w:tcBorders>
              <w:top w:val="single" w:color="auto" w:sz="4" w:space="0"/>
              <w:left w:val="single" w:color="auto" w:sz="4" w:space="0"/>
              <w:bottom w:val="single" w:color="auto" w:sz="4" w:space="0"/>
              <w:right w:val="single" w:color="auto" w:sz="4" w:space="0"/>
            </w:tcBorders>
            <w:vAlign w:val="center"/>
          </w:tcPr>
          <w:p w14:paraId="0037CBD0">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453A667">
            <w:pPr>
              <w:keepNext w:val="0"/>
              <w:keepLines w:val="0"/>
              <w:pageBreakBefore w:val="0"/>
              <w:widowControl w:val="0"/>
              <w:numPr>
                <w:ilvl w:val="0"/>
                <w:numId w:val="0"/>
              </w:numPr>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lang w:val="en-US" w:eastAsia="zh-CN"/>
              </w:rPr>
              <w:t>报价单位：详见附件，供应商根据所投疫苗填写。</w:t>
            </w:r>
          </w:p>
          <w:p w14:paraId="36A9694E">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val="en-US" w:eastAsia="zh-CN"/>
              </w:rPr>
              <w:t>不得</w:t>
            </w:r>
            <w:r>
              <w:rPr>
                <w:rFonts w:hint="eastAsia" w:ascii="宋体" w:hAnsi="宋体" w:eastAsia="宋体" w:cs="宋体"/>
                <w:color w:val="auto"/>
                <w:sz w:val="24"/>
                <w:szCs w:val="24"/>
                <w:highlight w:val="none"/>
              </w:rPr>
              <w:t>超出</w:t>
            </w:r>
            <w:r>
              <w:rPr>
                <w:rFonts w:hint="eastAsia" w:ascii="宋体" w:hAnsi="宋体" w:eastAsia="宋体" w:cs="宋体"/>
                <w:color w:val="auto"/>
                <w:sz w:val="24"/>
                <w:szCs w:val="24"/>
                <w:highlight w:val="none"/>
                <w:lang w:val="en-US" w:eastAsia="zh-CN"/>
              </w:rPr>
              <w:t>单价限价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否则视为</w:t>
            </w:r>
            <w:r>
              <w:rPr>
                <w:rFonts w:hint="eastAsia" w:ascii="宋体" w:hAnsi="宋体" w:eastAsia="宋体" w:cs="宋体"/>
                <w:color w:val="auto"/>
                <w:sz w:val="24"/>
                <w:szCs w:val="24"/>
                <w:highlight w:val="none"/>
              </w:rPr>
              <w:t>不实质性响应投标文件，按无效投标文件处理。</w:t>
            </w:r>
          </w:p>
        </w:tc>
      </w:tr>
    </w:tbl>
    <w:p w14:paraId="2A4B4138">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注：</w:t>
      </w:r>
    </w:p>
    <w:p w14:paraId="783F5EA8">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b w:val="0"/>
          <w:bCs/>
          <w:color w:val="auto"/>
          <w:kern w:val="0"/>
          <w:sz w:val="24"/>
          <w:szCs w:val="24"/>
          <w:highlight w:val="none"/>
          <w:lang w:val="zh-CN"/>
        </w:rPr>
      </w:pPr>
      <w:r>
        <w:rPr>
          <w:rFonts w:hint="eastAsia" w:ascii="宋体" w:hAnsi="宋体" w:eastAsia="宋体" w:cs="宋体"/>
          <w:color w:val="auto"/>
          <w:kern w:val="0"/>
          <w:sz w:val="24"/>
          <w:szCs w:val="24"/>
          <w:highlight w:val="none"/>
          <w:lang w:val="zh-CN"/>
        </w:rPr>
        <w:t>1、供应商需按本表格式填写，不得自行更改，也不得留空,如有多分标，按分标分别提供开标一览表，必须加盖供应商有效电子公章，</w:t>
      </w:r>
      <w:r>
        <w:rPr>
          <w:rFonts w:hint="eastAsia" w:ascii="宋体" w:hAnsi="宋体" w:eastAsia="宋体" w:cs="宋体"/>
          <w:b w:val="0"/>
          <w:bCs/>
          <w:color w:val="auto"/>
          <w:kern w:val="0"/>
          <w:sz w:val="24"/>
          <w:szCs w:val="24"/>
          <w:highlight w:val="none"/>
          <w:lang w:val="zh-CN"/>
        </w:rPr>
        <w:t>否则其投标作无效标处理。</w:t>
      </w:r>
    </w:p>
    <w:p w14:paraId="4CABA1AF">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C8655F1">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rPr>
        <w:t>3、本项目报价需包含完成本项目所需的全部费用（包括但不限于各</w:t>
      </w:r>
      <w:r>
        <w:rPr>
          <w:rFonts w:hint="eastAsia" w:ascii="宋体" w:hAnsi="宋体" w:eastAsia="宋体" w:cs="宋体"/>
          <w:color w:val="auto"/>
          <w:kern w:val="0"/>
          <w:sz w:val="24"/>
          <w:szCs w:val="24"/>
          <w:highlight w:val="none"/>
          <w:lang w:val="en-US" w:eastAsia="zh-CN"/>
        </w:rPr>
        <w:t>疫苗运输</w:t>
      </w:r>
      <w:r>
        <w:rPr>
          <w:rFonts w:hint="eastAsia" w:ascii="宋体" w:hAnsi="宋体" w:eastAsia="宋体" w:cs="宋体"/>
          <w:color w:val="auto"/>
          <w:kern w:val="0"/>
          <w:sz w:val="24"/>
          <w:szCs w:val="24"/>
          <w:highlight w:val="none"/>
          <w:lang w:val="zh-CN"/>
        </w:rPr>
        <w:t>费、备件、耗材、税金等、</w:t>
      </w:r>
      <w:r>
        <w:rPr>
          <w:rFonts w:hint="eastAsia" w:ascii="宋体" w:hAnsi="宋体" w:eastAsia="宋体" w:cs="宋体"/>
          <w:color w:val="auto"/>
          <w:kern w:val="0"/>
          <w:sz w:val="24"/>
          <w:szCs w:val="24"/>
          <w:highlight w:val="none"/>
          <w:lang w:val="zh-CN" w:eastAsia="zh-CN" w:bidi="ar-SA"/>
        </w:rPr>
        <w:t>购置费（货款）、包装费、运杂费（含装卸费）、人工费、保险费、检测费（含各类特殊检测费用）、技术培训费、各种税费、利润、资料费、</w:t>
      </w:r>
      <w:r>
        <w:rPr>
          <w:rFonts w:hint="eastAsia" w:ascii="宋体" w:hAnsi="宋体" w:eastAsia="宋体" w:cs="宋体"/>
          <w:color w:val="auto"/>
          <w:kern w:val="0"/>
          <w:sz w:val="24"/>
          <w:szCs w:val="24"/>
          <w:highlight w:val="none"/>
          <w:lang w:val="en-US" w:eastAsia="zh-CN" w:bidi="ar-SA"/>
        </w:rPr>
        <w:t>应激死亡赔付</w:t>
      </w:r>
      <w:r>
        <w:rPr>
          <w:rFonts w:hint="eastAsia" w:ascii="宋体" w:hAnsi="宋体" w:eastAsia="宋体" w:cs="宋体"/>
          <w:color w:val="auto"/>
          <w:kern w:val="0"/>
          <w:sz w:val="24"/>
          <w:szCs w:val="24"/>
          <w:highlight w:val="none"/>
          <w:lang w:val="zh-CN" w:eastAsia="zh-CN" w:bidi="ar-SA"/>
        </w:rPr>
        <w:t>、售后服务开支及完成项目应有的全部费用。</w:t>
      </w:r>
    </w:p>
    <w:p w14:paraId="278CA1C6">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zh-CN" w:eastAsia="zh-CN"/>
        </w:rPr>
        <w:t>所有报价均用人民币表示,所报价格是交货地的验收价格，其总价即为履行合同的固定价格。</w:t>
      </w:r>
    </w:p>
    <w:p w14:paraId="60689E9E">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30034813">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1B2F39C0">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7089D8AC">
      <w:pPr>
        <w:rPr>
          <w:rFonts w:hint="eastAsia" w:ascii="宋体" w:hAnsi="宋体" w:eastAsia="宋体" w:cs="宋体"/>
          <w:color w:val="auto"/>
          <w:kern w:val="0"/>
          <w:sz w:val="24"/>
          <w:highlight w:val="none"/>
          <w:vertAlign w:val="baseline"/>
          <w:lang w:val="zh-CN"/>
        </w:rPr>
      </w:pPr>
      <w:r>
        <w:rPr>
          <w:rFonts w:hint="eastAsia" w:ascii="宋体" w:hAnsi="宋体" w:eastAsia="宋体" w:cs="宋体"/>
          <w:color w:val="auto"/>
          <w:kern w:val="0"/>
          <w:sz w:val="24"/>
          <w:highlight w:val="none"/>
          <w:lang w:val="zh-CN"/>
        </w:rPr>
        <w:br w:type="page"/>
      </w:r>
      <w:r>
        <w:rPr>
          <w:rFonts w:hint="eastAsia" w:ascii="宋体" w:hAnsi="宋体" w:eastAsia="宋体" w:cs="宋体"/>
          <w:b/>
          <w:bCs/>
          <w:color w:val="auto"/>
          <w:kern w:val="0"/>
          <w:sz w:val="24"/>
          <w:highlight w:val="none"/>
          <w:lang w:val="en-US" w:eastAsia="zh-CN"/>
        </w:rPr>
        <w:t>附件：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4928"/>
        <w:gridCol w:w="3242"/>
      </w:tblGrid>
      <w:tr w14:paraId="56B4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44" w:type="dxa"/>
            <w:vAlign w:val="center"/>
          </w:tcPr>
          <w:p w14:paraId="6854578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序号</w:t>
            </w:r>
          </w:p>
        </w:tc>
        <w:tc>
          <w:tcPr>
            <w:tcW w:w="4928" w:type="dxa"/>
            <w:vAlign w:val="center"/>
          </w:tcPr>
          <w:p w14:paraId="29A43E53">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en-US"/>
              </w:rPr>
            </w:pPr>
            <w:r>
              <w:rPr>
                <w:rFonts w:hint="eastAsia" w:ascii="宋体" w:hAnsi="宋体" w:eastAsia="宋体" w:cs="宋体"/>
                <w:b/>
                <w:bCs/>
                <w:i w:val="0"/>
                <w:iCs w:val="0"/>
                <w:color w:val="auto"/>
                <w:kern w:val="0"/>
                <w:sz w:val="24"/>
                <w:szCs w:val="24"/>
                <w:u w:val="none"/>
                <w:lang w:val="en-US" w:eastAsia="zh-CN" w:bidi="ar"/>
              </w:rPr>
              <w:t>疫苗品种</w:t>
            </w:r>
          </w:p>
        </w:tc>
        <w:tc>
          <w:tcPr>
            <w:tcW w:w="3242" w:type="dxa"/>
            <w:vAlign w:val="center"/>
          </w:tcPr>
          <w:p w14:paraId="05147AD5">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zh-CN"/>
              </w:rPr>
            </w:pPr>
            <w:r>
              <w:rPr>
                <w:rFonts w:hint="eastAsia" w:ascii="宋体" w:hAnsi="宋体" w:eastAsia="宋体" w:cs="宋体"/>
                <w:b/>
                <w:bCs/>
                <w:i w:val="0"/>
                <w:iCs w:val="0"/>
                <w:color w:val="auto"/>
                <w:kern w:val="0"/>
                <w:sz w:val="24"/>
                <w:szCs w:val="24"/>
                <w:u w:val="none"/>
                <w:lang w:val="en-US" w:eastAsia="zh-CN" w:bidi="ar"/>
              </w:rPr>
              <w:t>单位</w:t>
            </w:r>
          </w:p>
        </w:tc>
      </w:tr>
      <w:tr w14:paraId="40F8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44" w:type="dxa"/>
            <w:vAlign w:val="center"/>
          </w:tcPr>
          <w:p w14:paraId="6DC3F810">
            <w:pPr>
              <w:keepNext w:val="0"/>
              <w:keepLines w:val="0"/>
              <w:widowControl/>
              <w:numPr>
                <w:ilvl w:val="0"/>
                <w:numId w:val="4"/>
              </w:numPr>
              <w:suppressLineNumbers w:val="0"/>
              <w:ind w:left="454" w:leftChars="0" w:hanging="227" w:firstLine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4928" w:type="dxa"/>
            <w:vAlign w:val="center"/>
          </w:tcPr>
          <w:p w14:paraId="1632FAA9">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布鲁氏菌病活疫苗(BA0711株)</w:t>
            </w:r>
          </w:p>
        </w:tc>
        <w:tc>
          <w:tcPr>
            <w:tcW w:w="3242" w:type="dxa"/>
            <w:vAlign w:val="center"/>
          </w:tcPr>
          <w:p w14:paraId="6328B246">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元/头份（山羊）</w:t>
            </w:r>
          </w:p>
        </w:tc>
      </w:tr>
    </w:tbl>
    <w:p w14:paraId="6E53E469">
      <w:pP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p w14:paraId="7F33E907">
      <w:pPr>
        <w:pStyle w:val="4"/>
        <w:keepNext/>
        <w:keepLines/>
        <w:pageBreakBefore w:val="0"/>
        <w:widowControl w:val="0"/>
        <w:kinsoku/>
        <w:wordWrap/>
        <w:overflowPunct/>
        <w:topLinePunct w:val="0"/>
        <w:autoSpaceDE/>
        <w:autoSpaceDN/>
        <w:bidi w:val="0"/>
        <w:adjustRightInd/>
        <w:snapToGrid/>
        <w:spacing w:before="0" w:beforeAutospacing="0" w:after="0" w:line="240" w:lineRule="auto"/>
        <w:ind w:left="0" w:leftChars="0"/>
        <w:jc w:val="center"/>
        <w:textAlignment w:val="auto"/>
        <w:rPr>
          <w:rFonts w:hint="eastAsia" w:ascii="宋体" w:hAnsi="宋体" w:eastAsia="宋体" w:cs="宋体"/>
          <w:color w:val="auto"/>
          <w:sz w:val="30"/>
          <w:szCs w:val="30"/>
          <w:highlight w:val="none"/>
          <w:lang w:eastAsia="zh-CN"/>
        </w:rPr>
      </w:pPr>
      <w:bookmarkStart w:id="282" w:name="_Toc8707"/>
      <w:bookmarkStart w:id="283" w:name="_Toc16250"/>
      <w:bookmarkStart w:id="284" w:name="_Toc15875"/>
      <w:bookmarkStart w:id="285" w:name="_Toc2850"/>
      <w:bookmarkStart w:id="286" w:name="_Toc26287"/>
      <w:bookmarkStart w:id="287" w:name="_Toc20804"/>
      <w:bookmarkStart w:id="288" w:name="_Toc7249"/>
      <w:bookmarkStart w:id="289" w:name="_Toc9453"/>
      <w:bookmarkStart w:id="290" w:name="_Toc10243"/>
      <w:r>
        <w:rPr>
          <w:rFonts w:hint="eastAsia" w:ascii="宋体" w:hAnsi="宋体" w:eastAsia="宋体" w:cs="宋体"/>
          <w:color w:val="auto"/>
          <w:sz w:val="30"/>
          <w:szCs w:val="30"/>
          <w:highlight w:val="none"/>
          <w:lang w:eastAsia="zh-CN"/>
        </w:rPr>
        <w:t>第三节</w:t>
      </w:r>
      <w:r>
        <w:rPr>
          <w:rFonts w:hint="eastAsia" w:ascii="宋体" w:hAnsi="宋体" w:eastAsia="宋体" w:cs="宋体"/>
          <w:color w:val="auto"/>
          <w:sz w:val="30"/>
          <w:szCs w:val="30"/>
          <w:highlight w:val="none"/>
          <w:lang w:val="en-US" w:eastAsia="zh-CN"/>
        </w:rPr>
        <w:t xml:space="preserve"> 商务、技术</w:t>
      </w:r>
      <w:r>
        <w:rPr>
          <w:rFonts w:hint="eastAsia" w:ascii="宋体" w:hAnsi="宋体" w:eastAsia="宋体" w:cs="宋体"/>
          <w:color w:val="auto"/>
          <w:sz w:val="30"/>
          <w:szCs w:val="30"/>
          <w:highlight w:val="none"/>
          <w:lang w:eastAsia="zh-CN"/>
        </w:rPr>
        <w:t>文件格式</w:t>
      </w:r>
      <w:bookmarkEnd w:id="270"/>
      <w:bookmarkEnd w:id="271"/>
      <w:bookmarkEnd w:id="272"/>
      <w:bookmarkEnd w:id="273"/>
      <w:bookmarkEnd w:id="282"/>
      <w:bookmarkEnd w:id="283"/>
      <w:bookmarkEnd w:id="284"/>
      <w:bookmarkEnd w:id="285"/>
      <w:bookmarkEnd w:id="286"/>
      <w:bookmarkEnd w:id="287"/>
      <w:bookmarkEnd w:id="288"/>
      <w:bookmarkEnd w:id="289"/>
      <w:bookmarkEnd w:id="290"/>
    </w:p>
    <w:p w14:paraId="1D1DC5A9">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zh-CN" w:eastAsia="zh-CN" w:bidi="ar-SA"/>
        </w:rPr>
        <w:t>一、无串标行为承诺函</w:t>
      </w:r>
    </w:p>
    <w:p w14:paraId="4365737C">
      <w:pPr>
        <w:spacing w:line="360" w:lineRule="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w:t>
      </w:r>
      <w:r>
        <w:rPr>
          <w:rFonts w:hint="eastAsia" w:ascii="宋体" w:hAnsi="宋体" w:eastAsia="宋体" w:cs="宋体"/>
          <w:b/>
          <w:bCs/>
          <w:color w:val="auto"/>
          <w:kern w:val="0"/>
          <w:sz w:val="24"/>
          <w:szCs w:val="24"/>
          <w:highlight w:val="none"/>
          <w:lang w:val="en-US" w:eastAsia="zh-CN" w:bidi="ar-SA"/>
        </w:rPr>
        <w:t>一</w:t>
      </w:r>
      <w:r>
        <w:rPr>
          <w:rFonts w:hint="eastAsia" w:ascii="宋体" w:hAnsi="宋体" w:eastAsia="宋体" w:cs="宋体"/>
          <w:b/>
          <w:bCs/>
          <w:color w:val="auto"/>
          <w:kern w:val="0"/>
          <w:sz w:val="24"/>
          <w:szCs w:val="24"/>
          <w:highlight w:val="none"/>
          <w:lang w:val="zh-CN" w:eastAsia="zh-CN" w:bidi="ar-SA"/>
        </w:rPr>
        <w:t>）我方承诺无下列相互串通投标的情形：</w:t>
      </w:r>
    </w:p>
    <w:p w14:paraId="4A10F1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1.不同供应商的投标文件由同一单位或者个人编制；或者不同供应商报名的IP地址一致的；或者编制标书硬件设备CPU编号、硬盘编号、网卡地址一致的情况。</w:t>
      </w:r>
    </w:p>
    <w:p w14:paraId="298466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2.不同供应商委托同一单位或者个人办理投标事宜；</w:t>
      </w:r>
    </w:p>
    <w:p w14:paraId="164DD6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3.不同的供应商的投标文件载明的项目管理员为同一个人；</w:t>
      </w:r>
    </w:p>
    <w:p w14:paraId="71BEDE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4.不同供应商的投标文件异常一致或者投标报价呈规律性差异；</w:t>
      </w:r>
    </w:p>
    <w:p w14:paraId="174F52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5.不同供应商的投标文件相互混装；</w:t>
      </w:r>
    </w:p>
    <w:p w14:paraId="6AF67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6.不同供应商的投标保证金从同一单位或者个人账户转出。</w:t>
      </w:r>
    </w:p>
    <w:p w14:paraId="15C72778">
      <w:pPr>
        <w:spacing w:line="360" w:lineRule="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w:t>
      </w:r>
      <w:r>
        <w:rPr>
          <w:rFonts w:hint="eastAsia" w:ascii="宋体" w:hAnsi="宋体" w:eastAsia="宋体" w:cs="宋体"/>
          <w:b/>
          <w:bCs/>
          <w:color w:val="auto"/>
          <w:kern w:val="0"/>
          <w:sz w:val="24"/>
          <w:szCs w:val="24"/>
          <w:highlight w:val="none"/>
          <w:lang w:val="en-US" w:eastAsia="zh-CN" w:bidi="ar-SA"/>
        </w:rPr>
        <w:t>二</w:t>
      </w:r>
      <w:r>
        <w:rPr>
          <w:rFonts w:hint="eastAsia" w:ascii="宋体" w:hAnsi="宋体" w:eastAsia="宋体" w:cs="宋体"/>
          <w:b/>
          <w:bCs/>
          <w:color w:val="auto"/>
          <w:kern w:val="0"/>
          <w:sz w:val="24"/>
          <w:szCs w:val="24"/>
          <w:highlight w:val="none"/>
          <w:lang w:val="zh-CN" w:eastAsia="zh-CN" w:bidi="ar-SA"/>
        </w:rPr>
        <w:t>）我方承诺无下列恶意串通的情形：</w:t>
      </w:r>
    </w:p>
    <w:p w14:paraId="68018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1.供应商直接或者间接从采购人或者采购代理机构处获得其他供应商的相关信息并修改其投标文件或者投标文件；</w:t>
      </w:r>
    </w:p>
    <w:p w14:paraId="4C75F6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2.供应商按照采购人或者采购代理机构的授意撤换、修改投标文件或者投标文件；</w:t>
      </w:r>
    </w:p>
    <w:p w14:paraId="21F04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3.供应商之间协商报价、技术方案等投标文件或者投标文件的实质性内容；</w:t>
      </w:r>
    </w:p>
    <w:p w14:paraId="56FF87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4.属于同一集团、协会、商会等组织成员的供应商按照该组织要求协同参加政府采购活动；</w:t>
      </w:r>
    </w:p>
    <w:p w14:paraId="58FEB4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5.供应商之间事先约定一致抬高或者压低投标报价，或者在招标项目中事先约定轮流以高价位或者低价位成交，或者事先约定由某一特定供应商成交，然后再参加投标；</w:t>
      </w:r>
    </w:p>
    <w:p w14:paraId="53C8E2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6.供应商之间商定部分供应商放弃参加政府采购活动或者放弃成交；</w:t>
      </w:r>
    </w:p>
    <w:p w14:paraId="1F568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7.供应商与采购人或者采购代理机构之间、供应商相互之间，为谋求特定供应商成交或者排斥其他供应商的其他串通行为。</w:t>
      </w:r>
    </w:p>
    <w:p w14:paraId="4AFB0D00">
      <w:pPr>
        <w:spacing w:line="360" w:lineRule="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以上情形一经核查属实，接受政府采购监管部门对我方认定存在围标串标行为，我方愿意承担一切后果，并不再寻求任何旨在减轻或者免除法律责任的辩解。</w:t>
      </w:r>
    </w:p>
    <w:p w14:paraId="57951D04">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7B26FB62">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3D63DF98">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3D8272CE">
      <w:pPr>
        <w:spacing w:line="360" w:lineRule="auto"/>
        <w:jc w:val="center"/>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kern w:val="0"/>
          <w:sz w:val="28"/>
          <w:szCs w:val="28"/>
          <w:highlight w:val="none"/>
          <w:lang w:val="zh-CN" w:eastAsia="zh-CN" w:bidi="ar-SA"/>
        </w:rPr>
        <w:t>二、法定代表人身份证明</w:t>
      </w:r>
    </w:p>
    <w:p w14:paraId="32EF8850">
      <w:pPr>
        <w:pageBreakBefore w:val="0"/>
        <w:wordWrap/>
        <w:topLinePunct w:val="0"/>
        <w:bidi w:val="0"/>
        <w:spacing w:beforeAutospacing="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14:paraId="61418159">
      <w:pPr>
        <w:pageBreakBefore w:val="0"/>
        <w:wordWrap/>
        <w:topLinePunct w:val="0"/>
        <w:bidi w:val="0"/>
        <w:spacing w:beforeAutospacing="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125539C">
      <w:pPr>
        <w:pStyle w:val="9"/>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企业性质：</w:t>
      </w:r>
      <w:r>
        <w:rPr>
          <w:rFonts w:hint="eastAsia" w:ascii="宋体" w:hAnsi="宋体" w:eastAsia="宋体" w:cs="宋体"/>
          <w:color w:val="auto"/>
          <w:sz w:val="24"/>
          <w:szCs w:val="24"/>
          <w:highlight w:val="none"/>
          <w:u w:val="single"/>
          <w:lang w:val="en-US" w:eastAsia="zh-CN"/>
        </w:rPr>
        <w:t xml:space="preserve">                                            </w:t>
      </w:r>
    </w:p>
    <w:p w14:paraId="7FDE488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成立时间：</w:t>
      </w:r>
      <w:r>
        <w:rPr>
          <w:rFonts w:hint="eastAsia" w:ascii="宋体" w:hAnsi="宋体" w:eastAsia="宋体" w:cs="宋体"/>
          <w:color w:val="auto"/>
          <w:sz w:val="24"/>
          <w:szCs w:val="24"/>
          <w:highlight w:val="none"/>
          <w:u w:val="single"/>
          <w:lang w:val="en-US" w:eastAsia="zh-CN"/>
        </w:rPr>
        <w:t xml:space="preserve">                                            </w:t>
      </w:r>
    </w:p>
    <w:p w14:paraId="2BCFD09B">
      <w:pPr>
        <w:pageBreakBefore w:val="0"/>
        <w:wordWrap/>
        <w:topLinePunct w:val="0"/>
        <w:bidi w:val="0"/>
        <w:spacing w:beforeAutospacing="0" w:line="360" w:lineRule="auto"/>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lang w:val="en-US" w:eastAsia="zh-CN"/>
        </w:rPr>
        <w:t xml:space="preserve">             </w:t>
      </w:r>
    </w:p>
    <w:p w14:paraId="200EFF80">
      <w:pPr>
        <w:pageBreakBefore w:val="0"/>
        <w:wordWrap/>
        <w:topLinePunct w:val="0"/>
        <w:bidi w:val="0"/>
        <w:spacing w:beforeAutospacing="0" w:line="360" w:lineRule="auto"/>
        <w:ind w:firstLine="480" w:firstLineChars="200"/>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p>
    <w:p w14:paraId="6C01075F">
      <w:pPr>
        <w:pageBreakBefore w:val="0"/>
        <w:wordWrap/>
        <w:topLinePunct w:val="0"/>
        <w:bidi w:val="0"/>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兹有</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同志为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公司法定代表人，代表我公司办理一切社会公务事宜，具有法律效力。</w:t>
      </w:r>
      <w:r>
        <w:rPr>
          <w:rFonts w:hint="eastAsia" w:ascii="宋体" w:hAnsi="宋体" w:eastAsia="宋体" w:cs="宋体"/>
          <w:color w:val="auto"/>
          <w:sz w:val="24"/>
          <w:szCs w:val="24"/>
          <w:highlight w:val="none"/>
        </w:rPr>
        <w:t>特此证明。</w:t>
      </w:r>
    </w:p>
    <w:p w14:paraId="45A25A9F">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14:paraId="0EB96A84">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p>
    <w:p w14:paraId="61C657F2">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p>
    <w:p w14:paraId="431681DF">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p>
    <w:p w14:paraId="54FAE6AF">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14E44BDC">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393416E5">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0128986A">
      <w:pPr>
        <w:pageBreakBefore w:val="0"/>
        <w:wordWrap/>
        <w:topLinePunct w:val="0"/>
        <w:bidi w:val="0"/>
        <w:snapToGrid w:val="0"/>
        <w:spacing w:beforeAutospacing="0" w:line="240" w:lineRule="auto"/>
        <w:jc w:val="left"/>
        <w:rPr>
          <w:rFonts w:hint="eastAsia" w:ascii="宋体" w:hAnsi="宋体" w:eastAsia="宋体" w:cs="宋体"/>
          <w:color w:val="auto"/>
          <w:sz w:val="24"/>
          <w:highlight w:val="none"/>
        </w:rPr>
      </w:pPr>
    </w:p>
    <w:p w14:paraId="0AD6F9E8">
      <w:pPr>
        <w:pageBreakBefore w:val="0"/>
        <w:wordWrap/>
        <w:topLinePunct w:val="0"/>
        <w:bidi w:val="0"/>
        <w:snapToGrid w:val="0"/>
        <w:spacing w:beforeAutospacing="0" w:line="240" w:lineRule="auto"/>
        <w:ind w:firstLine="602" w:firstLineChars="250"/>
        <w:jc w:val="left"/>
        <w:rPr>
          <w:rFonts w:hint="eastAsia" w:ascii="宋体" w:hAnsi="宋体" w:eastAsia="宋体" w:cs="宋体"/>
          <w:b/>
          <w:color w:val="auto"/>
          <w:sz w:val="24"/>
          <w:szCs w:val="20"/>
          <w:highlight w:val="none"/>
        </w:rPr>
      </w:pPr>
    </w:p>
    <w:tbl>
      <w:tblPr>
        <w:tblStyle w:val="26"/>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990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jc w:val="center"/>
        </w:trPr>
        <w:tc>
          <w:tcPr>
            <w:tcW w:w="8460" w:type="dxa"/>
            <w:tcBorders>
              <w:top w:val="single" w:color="auto" w:sz="4" w:space="0"/>
              <w:left w:val="single" w:color="auto" w:sz="4" w:space="0"/>
              <w:bottom w:val="single" w:color="auto" w:sz="4" w:space="0"/>
              <w:right w:val="single" w:color="auto" w:sz="4" w:space="0"/>
            </w:tcBorders>
          </w:tcPr>
          <w:p w14:paraId="314100D1">
            <w:pPr>
              <w:pageBreakBefore w:val="0"/>
              <w:wordWrap/>
              <w:topLinePunct w:val="0"/>
              <w:bidi w:val="0"/>
              <w:spacing w:beforeAutospacing="0" w:line="240" w:lineRule="auto"/>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法定代表身份证复印件粘帖处（正、反面）</w:t>
            </w:r>
          </w:p>
        </w:tc>
      </w:tr>
    </w:tbl>
    <w:p w14:paraId="61561AF9">
      <w:pPr>
        <w:pStyle w:val="12"/>
        <w:pageBreakBefore w:val="0"/>
        <w:wordWrap/>
        <w:topLinePunct w:val="0"/>
        <w:bidi w:val="0"/>
        <w:spacing w:beforeAutospacing="0" w:line="240" w:lineRule="auto"/>
        <w:jc w:val="both"/>
        <w:rPr>
          <w:rFonts w:hint="eastAsia" w:ascii="宋体" w:hAnsi="宋体" w:eastAsia="宋体" w:cs="宋体"/>
          <w:color w:val="auto"/>
          <w:highlight w:val="none"/>
        </w:rPr>
      </w:pPr>
      <w:r>
        <w:rPr>
          <w:rFonts w:hint="eastAsia" w:ascii="宋体" w:hAnsi="宋体" w:eastAsia="宋体" w:cs="宋体"/>
          <w:color w:val="auto"/>
          <w:sz w:val="28"/>
          <w:szCs w:val="28"/>
          <w:highlight w:val="none"/>
        </w:rPr>
        <w:t>附件：</w:t>
      </w:r>
    </w:p>
    <w:p w14:paraId="70F48578">
      <w:pPr>
        <w:pStyle w:val="12"/>
        <w:pageBreakBefore w:val="0"/>
        <w:wordWrap/>
        <w:topLinePunct w:val="0"/>
        <w:bidi w:val="0"/>
        <w:spacing w:beforeAutospacing="0" w:line="240" w:lineRule="auto"/>
        <w:rPr>
          <w:rFonts w:hint="eastAsia" w:ascii="宋体" w:hAnsi="宋体" w:eastAsia="宋体" w:cs="宋体"/>
          <w:color w:val="auto"/>
          <w:highlight w:val="none"/>
        </w:rPr>
      </w:pPr>
    </w:p>
    <w:p w14:paraId="773D5D05">
      <w:pPr>
        <w:pageBreakBefore w:val="0"/>
        <w:widowControl/>
        <w:wordWrap/>
        <w:topLinePunct w:val="0"/>
        <w:bidi w:val="0"/>
        <w:spacing w:beforeAutospacing="0" w:line="240" w:lineRule="auto"/>
        <w:jc w:val="left"/>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br w:type="page"/>
      </w:r>
    </w:p>
    <w:p w14:paraId="5E9E8C89">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zh-CN" w:eastAsia="zh-CN" w:bidi="ar-SA"/>
        </w:rPr>
        <w:t>三、法定代表人授权委托书（如有委托时）</w:t>
      </w:r>
    </w:p>
    <w:p w14:paraId="0F6E643A">
      <w:pPr>
        <w:pageBreakBefore w:val="0"/>
        <w:wordWrap/>
        <w:topLinePunct w:val="0"/>
        <w:bidi w:val="0"/>
        <w:spacing w:beforeAutospacing="0" w:line="240" w:lineRule="auto"/>
        <w:rPr>
          <w:rFonts w:hint="eastAsia" w:ascii="宋体" w:hAnsi="宋体" w:eastAsia="宋体" w:cs="宋体"/>
          <w:color w:val="auto"/>
          <w:sz w:val="28"/>
          <w:szCs w:val="28"/>
          <w:highlight w:val="none"/>
        </w:rPr>
      </w:pPr>
    </w:p>
    <w:p w14:paraId="10158223">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致：</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eastAsia="zh-CN"/>
        </w:rPr>
        <w:t>采购人名称）</w:t>
      </w:r>
    </w:p>
    <w:p w14:paraId="60D4DBB4">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的法定代表人，现授权我单位在职正式员工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（姓名和职务）</w:t>
      </w:r>
      <w:r>
        <w:rPr>
          <w:rFonts w:hint="eastAsia" w:ascii="宋体" w:hAnsi="宋体" w:eastAsia="宋体" w:cs="宋体"/>
          <w:color w:val="auto"/>
          <w:sz w:val="24"/>
          <w:szCs w:val="24"/>
          <w:highlight w:val="none"/>
        </w:rPr>
        <w:t>为我方代理人。代理人根据授权，以我方名义签署、澄清、说明、补正、递交、撤回、修改贵方组织的</w:t>
      </w:r>
      <w:r>
        <w:rPr>
          <w:rFonts w:hint="eastAsia" w:ascii="宋体" w:hAnsi="宋体" w:eastAsia="宋体" w:cs="宋体"/>
          <w:color w:val="auto"/>
          <w:sz w:val="24"/>
          <w:szCs w:val="24"/>
          <w:highlight w:val="none"/>
          <w:u w:val="single"/>
          <w:lang w:val="en-US" w:eastAsia="zh-CN"/>
        </w:rPr>
        <w:t xml:space="preserve">          （项目名称）</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）的投标文件、签订合同和处理一切有关事宜，其法律后果由我方承担。</w:t>
      </w:r>
    </w:p>
    <w:p w14:paraId="739B4D47">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本授权书于年月日签字生效，委托期限：。</w:t>
      </w:r>
    </w:p>
    <w:p w14:paraId="7C48A17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32D9A6D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p>
    <w:p w14:paraId="096F3A08">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16EC1E0C">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229C3AC0">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3BF4DF24">
      <w:pPr>
        <w:pageBreakBefore w:val="0"/>
        <w:wordWrap/>
        <w:topLinePunct w:val="0"/>
        <w:autoSpaceDE w:val="0"/>
        <w:autoSpaceDN w:val="0"/>
        <w:bidi w:val="0"/>
        <w:adjustRightInd w:val="0"/>
        <w:spacing w:beforeAutospacing="0" w:line="360" w:lineRule="auto"/>
        <w:jc w:val="left"/>
        <w:rPr>
          <w:rFonts w:hint="eastAsia" w:ascii="宋体" w:hAnsi="宋体" w:eastAsia="宋体" w:cs="宋体"/>
          <w:color w:val="auto"/>
          <w:kern w:val="0"/>
          <w:sz w:val="24"/>
          <w:szCs w:val="24"/>
          <w:highlight w:val="none"/>
        </w:rPr>
      </w:pPr>
    </w:p>
    <w:p w14:paraId="5A144E4F">
      <w:pPr>
        <w:pageBreakBefore w:val="0"/>
        <w:wordWrap/>
        <w:topLinePunct w:val="0"/>
        <w:autoSpaceDE w:val="0"/>
        <w:autoSpaceDN w:val="0"/>
        <w:bidi w:val="0"/>
        <w:adjustRightInd w:val="0"/>
        <w:spacing w:beforeAutospacing="0" w:line="360" w:lineRule="auto"/>
        <w:ind w:firstLine="480" w:firstLineChars="200"/>
        <w:jc w:val="left"/>
        <w:rPr>
          <w:rFonts w:hint="eastAsia" w:ascii="宋体" w:hAnsi="宋体" w:eastAsia="宋体" w:cs="宋体"/>
          <w:color w:val="auto"/>
          <w:kern w:val="0"/>
          <w:sz w:val="24"/>
          <w:szCs w:val="24"/>
          <w:highlight w:val="none"/>
        </w:rPr>
      </w:pPr>
    </w:p>
    <w:p w14:paraId="31F64FD8">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7B6E8DC">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1.供应商为其他组织或者自然人时，本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规定的法定代表人指负责人或者自然人。本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所称负责人是指参加投标的其他组织营业执照上的负责人，本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所称自然人指参与投标的自然人本人。</w:t>
      </w:r>
    </w:p>
    <w:p w14:paraId="2CD91A6C">
      <w:pPr>
        <w:pageBreakBefore w:val="0"/>
        <w:widowControl/>
        <w:wordWrap/>
        <w:topLinePunct w:val="0"/>
        <w:bidi w:val="0"/>
        <w:spacing w:beforeAutospacing="0" w:line="240" w:lineRule="auto"/>
        <w:jc w:val="left"/>
        <w:rPr>
          <w:rFonts w:hint="eastAsia" w:ascii="宋体" w:hAnsi="宋体" w:eastAsia="宋体" w:cs="宋体"/>
          <w:b/>
          <w:color w:val="auto"/>
          <w:sz w:val="24"/>
          <w:highlight w:val="none"/>
        </w:rPr>
      </w:pPr>
    </w:p>
    <w:p w14:paraId="29C502D9">
      <w:pPr>
        <w:pageBreakBefore w:val="0"/>
        <w:wordWrap/>
        <w:topLinePunct w:val="0"/>
        <w:bidi w:val="0"/>
        <w:spacing w:beforeAutospacing="0" w:line="240" w:lineRule="auto"/>
        <w:rPr>
          <w:rFonts w:hint="eastAsia" w:ascii="宋体" w:hAnsi="宋体" w:eastAsia="宋体" w:cs="宋体"/>
          <w:b/>
          <w:color w:val="auto"/>
          <w:sz w:val="24"/>
          <w:highlight w:val="none"/>
        </w:rPr>
      </w:pPr>
    </w:p>
    <w:p w14:paraId="56B02CB8">
      <w:pPr>
        <w:pageBreakBefore w:val="0"/>
        <w:topLinePunct w:val="0"/>
        <w:bidi w:val="0"/>
        <w:spacing w:beforeAutospacing="0" w:line="24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tbl>
      <w:tblPr>
        <w:tblStyle w:val="26"/>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1A97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7990" w:type="dxa"/>
            <w:tcBorders>
              <w:top w:val="single" w:color="auto" w:sz="4" w:space="0"/>
              <w:left w:val="single" w:color="auto" w:sz="4" w:space="0"/>
              <w:bottom w:val="single" w:color="auto" w:sz="4" w:space="0"/>
              <w:right w:val="single" w:color="auto" w:sz="4" w:space="0"/>
            </w:tcBorders>
          </w:tcPr>
          <w:p w14:paraId="0FB0D289">
            <w:pPr>
              <w:pageBreakBefore w:val="0"/>
              <w:wordWrap/>
              <w:topLinePunct w:val="0"/>
              <w:bidi w:val="0"/>
              <w:spacing w:beforeAutospacing="0" w:line="240" w:lineRule="auto"/>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全权代表身份证复印件粘帖处（正、反面）</w:t>
            </w:r>
          </w:p>
        </w:tc>
      </w:tr>
    </w:tbl>
    <w:p w14:paraId="0B7F8DBC">
      <w:pPr>
        <w:pageBreakBefore w:val="0"/>
        <w:wordWrap/>
        <w:topLinePunct w:val="0"/>
        <w:bidi w:val="0"/>
        <w:snapToGrid w:val="0"/>
        <w:spacing w:beforeAutospacing="0" w:line="240" w:lineRule="auto"/>
        <w:jc w:val="left"/>
        <w:rPr>
          <w:rFonts w:hint="eastAsia" w:ascii="宋体" w:hAnsi="宋体" w:eastAsia="宋体" w:cs="宋体"/>
          <w:color w:val="auto"/>
          <w:szCs w:val="21"/>
          <w:highlight w:val="none"/>
        </w:rPr>
      </w:pPr>
    </w:p>
    <w:p w14:paraId="201A4C61">
      <w:pPr>
        <w:pageBreakBefore w:val="0"/>
        <w:wordWrap/>
        <w:topLinePunct w:val="0"/>
        <w:bidi w:val="0"/>
        <w:snapToGrid w:val="0"/>
        <w:spacing w:beforeAutospacing="0" w:line="240" w:lineRule="auto"/>
        <w:ind w:firstLine="566" w:firstLineChars="236"/>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14:paraId="3CE280D3">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四</w:t>
      </w:r>
      <w:r>
        <w:rPr>
          <w:rFonts w:hint="eastAsia" w:ascii="宋体" w:hAnsi="宋体" w:eastAsia="宋体" w:cs="宋体"/>
          <w:b/>
          <w:bCs/>
          <w:color w:val="auto"/>
          <w:kern w:val="0"/>
          <w:sz w:val="28"/>
          <w:szCs w:val="28"/>
          <w:highlight w:val="none"/>
          <w:lang w:val="zh-CN" w:eastAsia="zh-CN" w:bidi="ar-SA"/>
        </w:rPr>
        <w:t>、技术需求偏离表</w:t>
      </w:r>
    </w:p>
    <w:tbl>
      <w:tblPr>
        <w:tblStyle w:val="26"/>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128"/>
        <w:gridCol w:w="2410"/>
        <w:gridCol w:w="2378"/>
        <w:gridCol w:w="1732"/>
      </w:tblGrid>
      <w:tr w14:paraId="51CE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57" w:type="dxa"/>
            <w:vAlign w:val="center"/>
          </w:tcPr>
          <w:p w14:paraId="4BE0886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28" w:type="dxa"/>
            <w:vAlign w:val="center"/>
          </w:tcPr>
          <w:p w14:paraId="7C3F9E8A">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2410" w:type="dxa"/>
            <w:vAlign w:val="center"/>
          </w:tcPr>
          <w:p w14:paraId="7113F912">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招标产品参数</w:t>
            </w:r>
          </w:p>
        </w:tc>
        <w:tc>
          <w:tcPr>
            <w:tcW w:w="2378" w:type="dxa"/>
            <w:vAlign w:val="center"/>
          </w:tcPr>
          <w:p w14:paraId="7757584F">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投标产品参数</w:t>
            </w:r>
          </w:p>
        </w:tc>
        <w:tc>
          <w:tcPr>
            <w:tcW w:w="1732" w:type="dxa"/>
            <w:vAlign w:val="center"/>
          </w:tcPr>
          <w:p w14:paraId="1A917DDC">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6EEC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3C36991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28" w:type="dxa"/>
          </w:tcPr>
          <w:p w14:paraId="24C6A11F">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17FB3D6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0831B60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4EBD1AEB">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1BA3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263E52E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28" w:type="dxa"/>
          </w:tcPr>
          <w:p w14:paraId="1ADE96DF">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433897DA">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28D6CAA7">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294A878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148C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297ADEC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128" w:type="dxa"/>
          </w:tcPr>
          <w:p w14:paraId="55F14F3A">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3350425A">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6455D3B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414FD85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0A29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3CFAB3F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128" w:type="dxa"/>
          </w:tcPr>
          <w:p w14:paraId="11B80142">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2F57F3CB">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197D9BE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6514E94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4926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37D8203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128" w:type="dxa"/>
          </w:tcPr>
          <w:p w14:paraId="482EFE2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712766E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71BDEDA3">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1E7C1E1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4AF4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0470CD6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128" w:type="dxa"/>
          </w:tcPr>
          <w:p w14:paraId="57A9613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495DFB9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4D9ED69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60FF509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74F5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25AE359E">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8" w:type="dxa"/>
          </w:tcPr>
          <w:p w14:paraId="5AED7B02">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5EFF2AD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05AF596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2517F06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20EA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179DD4FA">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8" w:type="dxa"/>
          </w:tcPr>
          <w:p w14:paraId="40C2A04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0A49B5A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1EFCB43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3AAC7153">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7DDF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57" w:type="dxa"/>
            <w:vAlign w:val="center"/>
          </w:tcPr>
          <w:p w14:paraId="6FE189A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8" w:type="dxa"/>
          </w:tcPr>
          <w:p w14:paraId="64DE0E8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2A2B9695">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283ED2C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686D17F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bl>
    <w:p w14:paraId="22CF86CB">
      <w:pPr>
        <w:keepNext w:val="0"/>
        <w:keepLines w:val="0"/>
        <w:pageBreakBefore w:val="0"/>
        <w:widowControl w:val="0"/>
        <w:kinsoku/>
        <w:wordWrap/>
        <w:overflowPunct/>
        <w:topLinePunct w:val="0"/>
        <w:autoSpaceDE w:val="0"/>
        <w:autoSpaceDN w:val="0"/>
        <w:bidi w:val="0"/>
        <w:adjustRightInd/>
        <w:snapToGrid/>
        <w:spacing w:beforeAutospacing="0" w:line="360" w:lineRule="auto"/>
        <w:ind w:left="0" w:leftChars="0" w:firstLine="0" w:firstLineChars="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注：</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.相关证明材料</w:t>
      </w:r>
      <w:r>
        <w:rPr>
          <w:rFonts w:hint="eastAsia" w:ascii="宋体" w:hAnsi="宋体" w:eastAsia="宋体" w:cs="宋体"/>
          <w:b/>
          <w:bCs/>
          <w:color w:val="auto"/>
          <w:kern w:val="0"/>
          <w:sz w:val="24"/>
          <w:szCs w:val="24"/>
          <w:highlight w:val="none"/>
          <w:lang w:eastAsia="zh-CN"/>
        </w:rPr>
        <w:t>如有</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如有设备的</w:t>
      </w:r>
      <w:r>
        <w:rPr>
          <w:rFonts w:hint="eastAsia" w:ascii="宋体" w:hAnsi="宋体" w:eastAsia="宋体" w:cs="宋体"/>
          <w:b/>
          <w:bCs/>
          <w:color w:val="auto"/>
          <w:kern w:val="0"/>
          <w:sz w:val="24"/>
          <w:szCs w:val="24"/>
          <w:highlight w:val="none"/>
        </w:rPr>
        <w:t>检测报告、</w:t>
      </w:r>
      <w:r>
        <w:rPr>
          <w:rFonts w:hint="eastAsia" w:ascii="宋体" w:hAnsi="宋体" w:eastAsia="宋体" w:cs="宋体"/>
          <w:b/>
          <w:bCs/>
          <w:color w:val="auto"/>
          <w:kern w:val="0"/>
          <w:sz w:val="24"/>
          <w:szCs w:val="24"/>
          <w:highlight w:val="none"/>
          <w:lang w:eastAsia="zh-CN"/>
        </w:rPr>
        <w:t>彩页、照片</w:t>
      </w:r>
      <w:r>
        <w:rPr>
          <w:rFonts w:hint="eastAsia" w:ascii="宋体" w:hAnsi="宋体" w:eastAsia="宋体" w:cs="宋体"/>
          <w:b/>
          <w:bCs/>
          <w:color w:val="auto"/>
          <w:kern w:val="0"/>
          <w:sz w:val="24"/>
          <w:szCs w:val="24"/>
          <w:highlight w:val="none"/>
        </w:rPr>
        <w:t>等）。</w:t>
      </w:r>
    </w:p>
    <w:p w14:paraId="5A7368C0">
      <w:pPr>
        <w:keepNext w:val="0"/>
        <w:keepLines w:val="0"/>
        <w:pageBreakBefore w:val="0"/>
        <w:widowControl w:val="0"/>
        <w:kinsoku/>
        <w:wordWrap/>
        <w:overflowPunct/>
        <w:topLinePunct w:val="0"/>
        <w:autoSpaceDE w:val="0"/>
        <w:autoSpaceDN w:val="0"/>
        <w:bidi w:val="0"/>
        <w:adjustRightInd/>
        <w:snapToGrid/>
        <w:spacing w:beforeAutospacing="0" w:line="360" w:lineRule="auto"/>
        <w:ind w:left="0" w:leftChars="0" w:firstLine="482" w:firstLineChars="200"/>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4"/>
          <w:szCs w:val="24"/>
          <w:highlight w:val="none"/>
          <w:lang w:val="en-US" w:eastAsia="zh-CN"/>
        </w:rPr>
        <w:t>2、供应商可根据自身需求自行加减行数。</w:t>
      </w:r>
    </w:p>
    <w:p w14:paraId="0E3B839E">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5E145CBC">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0B9A7EA1">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1206C693">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79E352BF">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5922A0EF">
      <w:pPr>
        <w:pStyle w:val="12"/>
        <w:pageBreakBefore w:val="0"/>
        <w:wordWrap/>
        <w:topLinePunct w:val="0"/>
        <w:bidi w:val="0"/>
        <w:spacing w:beforeAutospacing="0" w:line="240" w:lineRule="auto"/>
        <w:rPr>
          <w:rFonts w:hint="eastAsia" w:ascii="宋体" w:hAnsi="宋体" w:eastAsia="宋体" w:cs="宋体"/>
          <w:color w:val="auto"/>
          <w:highlight w:val="none"/>
        </w:rPr>
      </w:pPr>
    </w:p>
    <w:p w14:paraId="01D603D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F97D233">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五</w:t>
      </w:r>
      <w:r>
        <w:rPr>
          <w:rFonts w:hint="eastAsia" w:ascii="宋体" w:hAnsi="宋体" w:eastAsia="宋体" w:cs="宋体"/>
          <w:b/>
          <w:bCs/>
          <w:color w:val="auto"/>
          <w:kern w:val="0"/>
          <w:sz w:val="28"/>
          <w:szCs w:val="28"/>
          <w:highlight w:val="none"/>
          <w:lang w:val="zh-CN" w:eastAsia="zh-CN" w:bidi="ar-SA"/>
        </w:rPr>
        <w:t>、商务条款偏离表</w:t>
      </w:r>
    </w:p>
    <w:p w14:paraId="6F278C6A">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供应商根据本项目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，详细填写相应的具体内容。“偏离说明”一栏应当选择“正偏离”、“负偏离”或“无偏离”进行填写。</w:t>
      </w:r>
    </w:p>
    <w:tbl>
      <w:tblPr>
        <w:tblStyle w:val="26"/>
        <w:tblpPr w:leftFromText="180" w:rightFromText="180" w:vertAnchor="text" w:horzAnchor="margin" w:tblpXSpec="center" w:tblpY="94"/>
        <w:tblW w:w="9908" w:type="dxa"/>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3800"/>
        <w:gridCol w:w="3429"/>
        <w:gridCol w:w="1434"/>
      </w:tblGrid>
      <w:tr w14:paraId="1AC4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245" w:type="dxa"/>
            <w:tcBorders>
              <w:top w:val="single" w:color="auto" w:sz="4" w:space="0"/>
              <w:left w:val="single" w:color="auto" w:sz="4" w:space="0"/>
              <w:bottom w:val="single" w:color="auto" w:sz="4" w:space="0"/>
              <w:right w:val="single" w:color="auto" w:sz="4" w:space="0"/>
            </w:tcBorders>
            <w:vAlign w:val="center"/>
          </w:tcPr>
          <w:p w14:paraId="4581B3FC">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800" w:type="dxa"/>
            <w:tcBorders>
              <w:top w:val="single" w:color="auto" w:sz="4" w:space="0"/>
              <w:left w:val="single" w:color="auto" w:sz="4" w:space="0"/>
              <w:bottom w:val="single" w:color="auto" w:sz="4" w:space="0"/>
              <w:right w:val="single" w:color="auto" w:sz="4" w:space="0"/>
            </w:tcBorders>
            <w:vAlign w:val="center"/>
          </w:tcPr>
          <w:p w14:paraId="030E56AC">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的商务需求</w:t>
            </w:r>
          </w:p>
        </w:tc>
        <w:tc>
          <w:tcPr>
            <w:tcW w:w="3429" w:type="dxa"/>
            <w:tcBorders>
              <w:top w:val="single" w:color="auto" w:sz="4" w:space="0"/>
              <w:left w:val="single" w:color="auto" w:sz="4" w:space="0"/>
              <w:bottom w:val="single" w:color="auto" w:sz="4" w:space="0"/>
              <w:right w:val="single" w:color="auto" w:sz="4" w:space="0"/>
            </w:tcBorders>
            <w:vAlign w:val="center"/>
          </w:tcPr>
          <w:p w14:paraId="1295A407">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投标文件承诺的商务条款</w:t>
            </w:r>
          </w:p>
        </w:tc>
        <w:tc>
          <w:tcPr>
            <w:tcW w:w="1434" w:type="dxa"/>
            <w:tcBorders>
              <w:top w:val="single" w:color="auto" w:sz="4" w:space="0"/>
              <w:left w:val="single" w:color="auto" w:sz="4" w:space="0"/>
              <w:bottom w:val="single" w:color="auto" w:sz="4" w:space="0"/>
              <w:right w:val="single" w:color="auto" w:sz="4" w:space="0"/>
            </w:tcBorders>
            <w:vAlign w:val="center"/>
          </w:tcPr>
          <w:p w14:paraId="579353CF">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5BE0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45" w:type="dxa"/>
            <w:tcBorders>
              <w:top w:val="single" w:color="auto" w:sz="4" w:space="0"/>
              <w:left w:val="single" w:color="auto" w:sz="4" w:space="0"/>
              <w:bottom w:val="single" w:color="auto" w:sz="4" w:space="0"/>
              <w:right w:val="single" w:color="auto" w:sz="4" w:space="0"/>
            </w:tcBorders>
          </w:tcPr>
          <w:p w14:paraId="2D670F8E">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800" w:type="dxa"/>
            <w:tcBorders>
              <w:top w:val="single" w:color="auto" w:sz="4" w:space="0"/>
              <w:left w:val="single" w:color="auto" w:sz="4" w:space="0"/>
              <w:bottom w:val="single" w:color="auto" w:sz="4" w:space="0"/>
              <w:right w:val="single" w:color="auto" w:sz="4" w:space="0"/>
            </w:tcBorders>
          </w:tcPr>
          <w:p w14:paraId="448A0D2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tcPr>
          <w:p w14:paraId="6863785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30D1D87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36F6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45" w:type="dxa"/>
            <w:tcBorders>
              <w:top w:val="single" w:color="auto" w:sz="4" w:space="0"/>
              <w:left w:val="single" w:color="auto" w:sz="4" w:space="0"/>
              <w:bottom w:val="single" w:color="auto" w:sz="4" w:space="0"/>
              <w:right w:val="single" w:color="auto" w:sz="4" w:space="0"/>
            </w:tcBorders>
          </w:tcPr>
          <w:p w14:paraId="037D61C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800" w:type="dxa"/>
            <w:tcBorders>
              <w:top w:val="single" w:color="auto" w:sz="4" w:space="0"/>
              <w:left w:val="single" w:color="auto" w:sz="4" w:space="0"/>
              <w:bottom w:val="single" w:color="auto" w:sz="4" w:space="0"/>
              <w:right w:val="single" w:color="auto" w:sz="4" w:space="0"/>
            </w:tcBorders>
          </w:tcPr>
          <w:p w14:paraId="2DFC210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tcPr>
          <w:p w14:paraId="34524A83">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269CC1D5">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409A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245" w:type="dxa"/>
            <w:tcBorders>
              <w:top w:val="single" w:color="auto" w:sz="4" w:space="0"/>
              <w:left w:val="single" w:color="auto" w:sz="4" w:space="0"/>
              <w:bottom w:val="single" w:color="auto" w:sz="4" w:space="0"/>
              <w:right w:val="single" w:color="auto" w:sz="4" w:space="0"/>
            </w:tcBorders>
          </w:tcPr>
          <w:p w14:paraId="68E744D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800" w:type="dxa"/>
            <w:tcBorders>
              <w:top w:val="single" w:color="auto" w:sz="4" w:space="0"/>
              <w:left w:val="single" w:color="auto" w:sz="4" w:space="0"/>
              <w:bottom w:val="single" w:color="auto" w:sz="4" w:space="0"/>
              <w:right w:val="single" w:color="auto" w:sz="4" w:space="0"/>
            </w:tcBorders>
          </w:tcPr>
          <w:p w14:paraId="6839447B">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tcPr>
          <w:p w14:paraId="46F7948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1B978B0E">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bl>
    <w:p w14:paraId="4A27D296">
      <w:pPr>
        <w:pStyle w:val="12"/>
        <w:pageBreakBefore w:val="0"/>
        <w:wordWrap/>
        <w:topLinePunct w:val="0"/>
        <w:bidi w:val="0"/>
        <w:spacing w:beforeAutospacing="0" w:line="360" w:lineRule="auto"/>
        <w:rPr>
          <w:rFonts w:hint="eastAsia" w:ascii="宋体" w:hAnsi="宋体" w:eastAsia="宋体" w:cs="宋体"/>
          <w:color w:val="auto"/>
          <w:sz w:val="24"/>
          <w:szCs w:val="24"/>
          <w:highlight w:val="none"/>
        </w:rPr>
      </w:pPr>
    </w:p>
    <w:p w14:paraId="3993A61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C639062">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1.商务偏离表按本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自行填写。表格内容不得留空。</w:t>
      </w:r>
    </w:p>
    <w:p w14:paraId="12ED1EA4">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2.当投标文件的商务内容低于</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要求时，供应商应当如实写明“负偏离”，否则视为虚假应标。</w:t>
      </w:r>
    </w:p>
    <w:p w14:paraId="740DDDFE">
      <w:pPr>
        <w:pageBreakBefore w:val="0"/>
        <w:wordWrap/>
        <w:topLinePunct w:val="0"/>
        <w:bidi w:val="0"/>
        <w:snapToGrid w:val="0"/>
        <w:spacing w:beforeAutospacing="0" w:line="240" w:lineRule="auto"/>
        <w:jc w:val="both"/>
        <w:rPr>
          <w:rFonts w:hint="eastAsia" w:ascii="宋体" w:hAnsi="宋体" w:eastAsia="宋体" w:cs="宋体"/>
          <w:b/>
          <w:bCs/>
          <w:color w:val="auto"/>
          <w:sz w:val="30"/>
          <w:szCs w:val="30"/>
          <w:highlight w:val="none"/>
        </w:rPr>
      </w:pPr>
    </w:p>
    <w:p w14:paraId="7DD40ABB">
      <w:pP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p w14:paraId="40E85E39">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六</w:t>
      </w:r>
      <w:r>
        <w:rPr>
          <w:rFonts w:hint="eastAsia" w:ascii="宋体" w:hAnsi="宋体" w:eastAsia="宋体" w:cs="宋体"/>
          <w:b/>
          <w:bCs/>
          <w:color w:val="auto"/>
          <w:kern w:val="0"/>
          <w:sz w:val="28"/>
          <w:szCs w:val="28"/>
          <w:highlight w:val="none"/>
          <w:lang w:val="zh-CN" w:eastAsia="zh-CN" w:bidi="ar-SA"/>
        </w:rPr>
        <w:t>、供应商情况介绍</w:t>
      </w:r>
    </w:p>
    <w:tbl>
      <w:tblPr>
        <w:tblStyle w:val="26"/>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36"/>
        <w:gridCol w:w="1214"/>
        <w:gridCol w:w="1007"/>
        <w:gridCol w:w="1100"/>
        <w:gridCol w:w="1318"/>
        <w:gridCol w:w="43"/>
        <w:gridCol w:w="779"/>
        <w:gridCol w:w="1303"/>
      </w:tblGrid>
      <w:tr w14:paraId="64C3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22E5D7B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6764" w:type="dxa"/>
            <w:gridSpan w:val="7"/>
            <w:vAlign w:val="center"/>
          </w:tcPr>
          <w:p w14:paraId="56B0BAB8">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1F16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22F1388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321" w:type="dxa"/>
            <w:gridSpan w:val="3"/>
            <w:vAlign w:val="center"/>
          </w:tcPr>
          <w:p w14:paraId="35D30F2C">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318" w:type="dxa"/>
            <w:vAlign w:val="center"/>
          </w:tcPr>
          <w:p w14:paraId="730EE43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125" w:type="dxa"/>
            <w:gridSpan w:val="3"/>
            <w:vAlign w:val="center"/>
          </w:tcPr>
          <w:p w14:paraId="57AFBB8D">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3813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Merge w:val="restart"/>
            <w:vAlign w:val="center"/>
          </w:tcPr>
          <w:p w14:paraId="2BC14365">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214" w:type="dxa"/>
            <w:vAlign w:val="center"/>
          </w:tcPr>
          <w:p w14:paraId="1BA1D6C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107" w:type="dxa"/>
            <w:gridSpan w:val="2"/>
            <w:vAlign w:val="center"/>
          </w:tcPr>
          <w:p w14:paraId="4A571B3D">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318" w:type="dxa"/>
            <w:vAlign w:val="center"/>
          </w:tcPr>
          <w:p w14:paraId="3584681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25" w:type="dxa"/>
            <w:gridSpan w:val="3"/>
            <w:vAlign w:val="center"/>
          </w:tcPr>
          <w:p w14:paraId="7FAED014">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262F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Merge w:val="continue"/>
            <w:vAlign w:val="center"/>
          </w:tcPr>
          <w:p w14:paraId="7205277A">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214" w:type="dxa"/>
            <w:vAlign w:val="center"/>
          </w:tcPr>
          <w:p w14:paraId="73A52C4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107" w:type="dxa"/>
            <w:gridSpan w:val="2"/>
            <w:vAlign w:val="center"/>
          </w:tcPr>
          <w:p w14:paraId="79AD5D0A">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318" w:type="dxa"/>
            <w:vAlign w:val="center"/>
          </w:tcPr>
          <w:p w14:paraId="2660C7FA">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2125" w:type="dxa"/>
            <w:gridSpan w:val="3"/>
            <w:vAlign w:val="center"/>
          </w:tcPr>
          <w:p w14:paraId="489E664E">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475D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1936" w:type="dxa"/>
            <w:vAlign w:val="center"/>
          </w:tcPr>
          <w:p w14:paraId="79B3878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营业执照注册号</w:t>
            </w:r>
          </w:p>
        </w:tc>
        <w:tc>
          <w:tcPr>
            <w:tcW w:w="6764" w:type="dxa"/>
            <w:gridSpan w:val="7"/>
            <w:vAlign w:val="center"/>
          </w:tcPr>
          <w:p w14:paraId="7D440D1A">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61F9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05B7155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214" w:type="dxa"/>
            <w:vAlign w:val="center"/>
          </w:tcPr>
          <w:p w14:paraId="2B7C992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07" w:type="dxa"/>
            <w:vAlign w:val="center"/>
          </w:tcPr>
          <w:p w14:paraId="685B03C2">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100" w:type="dxa"/>
            <w:vAlign w:val="center"/>
          </w:tcPr>
          <w:p w14:paraId="19B7889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p>
          <w:p w14:paraId="40DE6012">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361" w:type="dxa"/>
            <w:gridSpan w:val="2"/>
            <w:vAlign w:val="center"/>
          </w:tcPr>
          <w:p w14:paraId="0FAC763F">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779" w:type="dxa"/>
            <w:vAlign w:val="center"/>
          </w:tcPr>
          <w:p w14:paraId="546A39E3">
            <w:pPr>
              <w:pageBreakBefore w:val="0"/>
              <w:wordWrap/>
              <w:topLinePunct w:val="0"/>
              <w:bidi w:val="0"/>
              <w:spacing w:beforeAutospacing="0" w:line="360" w:lineRule="auto"/>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303" w:type="dxa"/>
            <w:vAlign w:val="center"/>
          </w:tcPr>
          <w:p w14:paraId="39FE699E">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680A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713AE1C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214" w:type="dxa"/>
            <w:vAlign w:val="center"/>
          </w:tcPr>
          <w:p w14:paraId="3423E12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07" w:type="dxa"/>
            <w:vAlign w:val="center"/>
          </w:tcPr>
          <w:p w14:paraId="5E85AED9">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100" w:type="dxa"/>
            <w:vAlign w:val="center"/>
          </w:tcPr>
          <w:p w14:paraId="38C9EC8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p>
          <w:p w14:paraId="5A944D39">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361" w:type="dxa"/>
            <w:gridSpan w:val="2"/>
            <w:vAlign w:val="center"/>
          </w:tcPr>
          <w:p w14:paraId="17E55EFD">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779" w:type="dxa"/>
            <w:vAlign w:val="center"/>
          </w:tcPr>
          <w:p w14:paraId="65F55A84">
            <w:pPr>
              <w:pageBreakBefore w:val="0"/>
              <w:wordWrap/>
              <w:topLinePunct w:val="0"/>
              <w:bidi w:val="0"/>
              <w:spacing w:beforeAutospacing="0" w:line="360" w:lineRule="auto"/>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303" w:type="dxa"/>
            <w:vAlign w:val="center"/>
          </w:tcPr>
          <w:p w14:paraId="789788AB">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2841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51B8064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221" w:type="dxa"/>
            <w:gridSpan w:val="2"/>
            <w:vAlign w:val="center"/>
          </w:tcPr>
          <w:p w14:paraId="2AC1FD98">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4543" w:type="dxa"/>
            <w:gridSpan w:val="5"/>
            <w:vAlign w:val="center"/>
          </w:tcPr>
          <w:p w14:paraId="75F99B74">
            <w:pPr>
              <w:pageBreakBefore w:val="0"/>
              <w:wordWrap/>
              <w:topLinePunct w:val="0"/>
              <w:bidi w:val="0"/>
              <w:spacing w:beforeAutospacing="0" w:line="360" w:lineRule="auto"/>
              <w:ind w:firstLine="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14:paraId="3FB9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5AD31ABF">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6764" w:type="dxa"/>
            <w:gridSpan w:val="7"/>
            <w:vAlign w:val="center"/>
          </w:tcPr>
          <w:p w14:paraId="5BB5E6AC">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47C3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717ADBD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6764" w:type="dxa"/>
            <w:gridSpan w:val="7"/>
            <w:vAlign w:val="center"/>
          </w:tcPr>
          <w:p w14:paraId="29570F6B">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0F00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Align w:val="center"/>
          </w:tcPr>
          <w:p w14:paraId="171E00E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6764" w:type="dxa"/>
            <w:gridSpan w:val="7"/>
            <w:vAlign w:val="center"/>
          </w:tcPr>
          <w:p w14:paraId="37BCF516">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72C2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Align w:val="center"/>
          </w:tcPr>
          <w:p w14:paraId="68764DF3">
            <w:pPr>
              <w:pageBreakBefore w:val="0"/>
              <w:wordWrap/>
              <w:topLinePunct w:val="0"/>
              <w:bidi w:val="0"/>
              <w:spacing w:before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行号</w:t>
            </w:r>
          </w:p>
        </w:tc>
        <w:tc>
          <w:tcPr>
            <w:tcW w:w="6764" w:type="dxa"/>
            <w:gridSpan w:val="7"/>
            <w:vAlign w:val="center"/>
          </w:tcPr>
          <w:p w14:paraId="6702B883">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12E9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Merge w:val="restart"/>
            <w:vAlign w:val="center"/>
          </w:tcPr>
          <w:p w14:paraId="7DE5B13A">
            <w:pPr>
              <w:pStyle w:val="82"/>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企业关联情况</w:t>
            </w:r>
          </w:p>
        </w:tc>
        <w:tc>
          <w:tcPr>
            <w:tcW w:w="6764" w:type="dxa"/>
            <w:gridSpan w:val="7"/>
            <w:vAlign w:val="center"/>
          </w:tcPr>
          <w:p w14:paraId="0F6AA30A">
            <w:pPr>
              <w:pStyle w:val="82"/>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1：与我公司单位负责人为同一人的其他单位名称：</w:t>
            </w:r>
          </w:p>
        </w:tc>
      </w:tr>
      <w:tr w14:paraId="3DB1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8" w:hRule="atLeast"/>
          <w:jc w:val="center"/>
        </w:trPr>
        <w:tc>
          <w:tcPr>
            <w:tcW w:w="1936" w:type="dxa"/>
            <w:vMerge w:val="continue"/>
            <w:vAlign w:val="center"/>
          </w:tcPr>
          <w:p w14:paraId="792568D6">
            <w:pPr>
              <w:pStyle w:val="72"/>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047EB317">
            <w:pPr>
              <w:pStyle w:val="82"/>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□无；□有：</w:t>
            </w:r>
          </w:p>
        </w:tc>
      </w:tr>
      <w:tr w14:paraId="2F95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Merge w:val="continue"/>
            <w:vAlign w:val="center"/>
          </w:tcPr>
          <w:p w14:paraId="6C88D2B3">
            <w:pPr>
              <w:pStyle w:val="72"/>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6355AFC5">
            <w:pPr>
              <w:pStyle w:val="82"/>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2、与我公司存在控股、管理关系的其他单位的名称：</w:t>
            </w:r>
          </w:p>
        </w:tc>
      </w:tr>
      <w:tr w14:paraId="4094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4" w:hRule="atLeast"/>
          <w:jc w:val="center"/>
        </w:trPr>
        <w:tc>
          <w:tcPr>
            <w:tcW w:w="1936" w:type="dxa"/>
            <w:vMerge w:val="continue"/>
            <w:vAlign w:val="center"/>
          </w:tcPr>
          <w:p w14:paraId="7DA6595F">
            <w:pPr>
              <w:pStyle w:val="72"/>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0C3C19F8">
            <w:pPr>
              <w:pStyle w:val="82"/>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□无；□有：</w:t>
            </w:r>
          </w:p>
        </w:tc>
      </w:tr>
      <w:tr w14:paraId="53DB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3" w:hRule="atLeast"/>
          <w:jc w:val="center"/>
        </w:trPr>
        <w:tc>
          <w:tcPr>
            <w:tcW w:w="1936" w:type="dxa"/>
            <w:vMerge w:val="continue"/>
            <w:vAlign w:val="center"/>
          </w:tcPr>
          <w:p w14:paraId="47EB0B26">
            <w:pPr>
              <w:pStyle w:val="72"/>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224803E6">
            <w:pPr>
              <w:pStyle w:val="82"/>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备注：1、“单位负责人”是指单位法定代表人或者法律、行政法规规定代表单位行使职权的主要负责人。</w:t>
            </w:r>
          </w:p>
          <w:p w14:paraId="4DB6789C">
            <w:pPr>
              <w:pStyle w:val="82"/>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2、本条所规定的控股、管理关系仅限于直接控股、直接管理关系，不包括间接的控股或管理关系。</w:t>
            </w:r>
          </w:p>
        </w:tc>
      </w:tr>
    </w:tbl>
    <w:p w14:paraId="426742BD">
      <w:pPr>
        <w:pageBreakBefore w:val="0"/>
        <w:wordWrap/>
        <w:topLinePunct w:val="0"/>
        <w:bidi w:val="0"/>
        <w:snapToGrid w:val="0"/>
        <w:spacing w:beforeAutospacing="0" w:line="240" w:lineRule="auto"/>
        <w:ind w:firstLine="4935" w:firstLineChars="2350"/>
        <w:rPr>
          <w:rFonts w:hint="eastAsia" w:ascii="宋体" w:hAnsi="宋体" w:eastAsia="宋体" w:cs="宋体"/>
          <w:color w:val="auto"/>
          <w:szCs w:val="21"/>
          <w:highlight w:val="none"/>
          <w:lang w:eastAsia="zh-CN"/>
        </w:rPr>
      </w:pPr>
    </w:p>
    <w:p w14:paraId="465485B3">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4D52DF76">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七</w:t>
      </w:r>
      <w:r>
        <w:rPr>
          <w:rFonts w:hint="eastAsia" w:ascii="宋体" w:hAnsi="宋体" w:eastAsia="宋体" w:cs="宋体"/>
          <w:b/>
          <w:bCs/>
          <w:color w:val="auto"/>
          <w:kern w:val="0"/>
          <w:sz w:val="28"/>
          <w:szCs w:val="28"/>
          <w:highlight w:val="none"/>
          <w:lang w:val="zh-CN" w:eastAsia="zh-CN" w:bidi="ar-SA"/>
        </w:rPr>
        <w:t>、供应商所投产品类似业绩的证明文件</w:t>
      </w:r>
    </w:p>
    <w:tbl>
      <w:tblPr>
        <w:tblStyle w:val="26"/>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6106"/>
      </w:tblGrid>
      <w:tr w14:paraId="4E81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6715AC7D">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106" w:type="dxa"/>
            <w:vAlign w:val="center"/>
          </w:tcPr>
          <w:p w14:paraId="50ADCD6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72DC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451671E5">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106" w:type="dxa"/>
            <w:vAlign w:val="center"/>
          </w:tcPr>
          <w:p w14:paraId="1824B529">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92F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35A656E7">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106" w:type="dxa"/>
            <w:vAlign w:val="center"/>
          </w:tcPr>
          <w:p w14:paraId="1772D9F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3FA6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55572ABC">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名称</w:t>
            </w:r>
          </w:p>
        </w:tc>
        <w:tc>
          <w:tcPr>
            <w:tcW w:w="6106" w:type="dxa"/>
            <w:vAlign w:val="center"/>
          </w:tcPr>
          <w:p w14:paraId="480B212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3D59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4C08756C">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w:t>
            </w:r>
          </w:p>
        </w:tc>
        <w:tc>
          <w:tcPr>
            <w:tcW w:w="6106" w:type="dxa"/>
            <w:vAlign w:val="center"/>
          </w:tcPr>
          <w:p w14:paraId="3F548FE2">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39D8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2EEA26A7">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6106" w:type="dxa"/>
            <w:vAlign w:val="center"/>
          </w:tcPr>
          <w:p w14:paraId="6737FD87">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880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347528EF">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w:t>
            </w:r>
          </w:p>
        </w:tc>
        <w:tc>
          <w:tcPr>
            <w:tcW w:w="6106" w:type="dxa"/>
            <w:vAlign w:val="center"/>
          </w:tcPr>
          <w:p w14:paraId="73D5665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C0D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417" w:type="dxa"/>
            <w:vAlign w:val="center"/>
          </w:tcPr>
          <w:p w14:paraId="0B098D0D">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106" w:type="dxa"/>
            <w:vAlign w:val="center"/>
          </w:tcPr>
          <w:p w14:paraId="5B5CC607">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C5F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6B219EA9">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106" w:type="dxa"/>
            <w:vAlign w:val="center"/>
          </w:tcPr>
          <w:p w14:paraId="401C2AE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bl>
    <w:p w14:paraId="58B80E09">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可按上述的格式自行编制，须随表提交相应的合同</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中标（成交）</w:t>
      </w:r>
      <w:r>
        <w:rPr>
          <w:rFonts w:hint="eastAsia" w:ascii="宋体" w:hAnsi="宋体" w:eastAsia="宋体" w:cs="宋体"/>
          <w:color w:val="auto"/>
          <w:sz w:val="24"/>
          <w:szCs w:val="24"/>
          <w:highlight w:val="none"/>
        </w:rPr>
        <w:t>通知书。所投产品</w:t>
      </w:r>
      <w:r>
        <w:rPr>
          <w:rFonts w:hint="eastAsia" w:ascii="宋体" w:hAnsi="宋体" w:eastAsia="宋体" w:cs="宋体"/>
          <w:color w:val="auto"/>
          <w:sz w:val="24"/>
          <w:szCs w:val="24"/>
          <w:highlight w:val="none"/>
          <w:lang w:eastAsia="zh-CN"/>
        </w:rPr>
        <w:t>类似业绩：</w:t>
      </w:r>
      <w:r>
        <w:rPr>
          <w:rFonts w:hint="eastAsia" w:ascii="宋体" w:hAnsi="宋体" w:eastAsia="宋体" w:cs="宋体"/>
          <w:color w:val="auto"/>
          <w:sz w:val="24"/>
          <w:szCs w:val="24"/>
          <w:highlight w:val="none"/>
        </w:rPr>
        <w:t>近三年（202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1月1日</w:t>
      </w:r>
      <w:r>
        <w:rPr>
          <w:rFonts w:hint="eastAsia" w:ascii="宋体" w:hAnsi="宋体" w:eastAsia="宋体" w:cs="宋体"/>
          <w:color w:val="auto"/>
          <w:sz w:val="24"/>
          <w:szCs w:val="24"/>
          <w:highlight w:val="none"/>
        </w:rPr>
        <w:t>-至今）</w:t>
      </w:r>
      <w:r>
        <w:rPr>
          <w:rFonts w:hint="eastAsia" w:ascii="宋体" w:hAnsi="宋体" w:eastAsia="宋体" w:cs="宋体"/>
          <w:color w:val="auto"/>
          <w:sz w:val="24"/>
          <w:szCs w:val="24"/>
          <w:highlight w:val="none"/>
          <w:lang w:eastAsia="zh-CN"/>
        </w:rPr>
        <w:t>。</w:t>
      </w:r>
    </w:p>
    <w:p w14:paraId="0FF23C61">
      <w:pPr>
        <w:keepNext w:val="0"/>
        <w:keepLines w:val="0"/>
        <w:pageBreakBefore w:val="0"/>
        <w:widowControl w:val="0"/>
        <w:kinsoku/>
        <w:wordWrap/>
        <w:overflowPunct/>
        <w:topLinePunct w:val="0"/>
        <w:autoSpaceDE/>
        <w:autoSpaceDN/>
        <w:bidi w:val="0"/>
        <w:adjustRightInd/>
        <w:snapToGrid w:val="0"/>
        <w:spacing w:beforeAutospacing="0" w:line="240" w:lineRule="auto"/>
        <w:ind w:left="0" w:leftChars="0"/>
        <w:jc w:val="center"/>
        <w:textAlignment w:val="auto"/>
        <w:rPr>
          <w:rFonts w:hint="eastAsia" w:ascii="宋体" w:hAnsi="宋体" w:eastAsia="宋体" w:cs="宋体"/>
          <w:color w:val="auto"/>
          <w:kern w:val="0"/>
          <w:sz w:val="28"/>
          <w:szCs w:val="28"/>
          <w:highlight w:val="none"/>
          <w:lang w:val="zh-CN"/>
        </w:rPr>
      </w:pPr>
    </w:p>
    <w:p w14:paraId="4626E514">
      <w:pPr>
        <w:pageBreakBefore w:val="0"/>
        <w:widowControl/>
        <w:wordWrap/>
        <w:topLinePunct w:val="0"/>
        <w:bidi w:val="0"/>
        <w:spacing w:beforeAutospacing="0" w:line="24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p w14:paraId="53BC238B">
      <w:pPr>
        <w:spacing w:line="360" w:lineRule="auto"/>
        <w:jc w:val="center"/>
        <w:outlineLvl w:val="2"/>
        <w:rPr>
          <w:rFonts w:hint="eastAsia" w:ascii="宋体" w:hAnsi="宋体" w:eastAsia="宋体" w:cs="宋体"/>
          <w:b/>
          <w:bCs/>
          <w:color w:val="auto"/>
          <w:kern w:val="0"/>
          <w:sz w:val="28"/>
          <w:szCs w:val="28"/>
          <w:highlight w:val="none"/>
          <w:lang w:val="en-US" w:eastAsia="zh-CN" w:bidi="ar-SA"/>
        </w:rPr>
      </w:pPr>
      <w:bookmarkStart w:id="291" w:name="_Toc19686839"/>
      <w:r>
        <w:rPr>
          <w:rFonts w:hint="eastAsia" w:ascii="宋体" w:hAnsi="宋体" w:eastAsia="宋体" w:cs="宋体"/>
          <w:b/>
          <w:bCs/>
          <w:color w:val="auto"/>
          <w:kern w:val="0"/>
          <w:sz w:val="28"/>
          <w:szCs w:val="28"/>
          <w:highlight w:val="none"/>
          <w:lang w:val="en-US" w:eastAsia="zh-CN" w:bidi="ar-SA"/>
        </w:rPr>
        <w:t>八、拟投入项目人员情况表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395"/>
        <w:gridCol w:w="1575"/>
        <w:gridCol w:w="1080"/>
        <w:gridCol w:w="1245"/>
        <w:gridCol w:w="1140"/>
        <w:gridCol w:w="1065"/>
      </w:tblGrid>
      <w:tr w14:paraId="4952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3444" w:type="dxa"/>
            <w:gridSpan w:val="2"/>
            <w:noWrap w:val="0"/>
            <w:vAlign w:val="center"/>
          </w:tcPr>
          <w:p w14:paraId="06487C4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项目名称</w:t>
            </w:r>
          </w:p>
        </w:tc>
        <w:tc>
          <w:tcPr>
            <w:tcW w:w="6105" w:type="dxa"/>
            <w:gridSpan w:val="5"/>
            <w:noWrap w:val="0"/>
            <w:vAlign w:val="center"/>
          </w:tcPr>
          <w:p w14:paraId="01F2F274">
            <w:pPr>
              <w:shd w:val="clear" w:color="auto" w:fill="auto"/>
              <w:spacing w:line="360" w:lineRule="auto"/>
              <w:jc w:val="center"/>
              <w:rPr>
                <w:rFonts w:hint="eastAsia" w:ascii="宋体" w:hAnsi="宋体" w:eastAsia="宋体" w:cs="宋体"/>
                <w:color w:val="auto"/>
                <w:sz w:val="24"/>
                <w:szCs w:val="24"/>
                <w:highlight w:val="none"/>
              </w:rPr>
            </w:pPr>
          </w:p>
        </w:tc>
      </w:tr>
      <w:tr w14:paraId="015C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3444" w:type="dxa"/>
            <w:gridSpan w:val="2"/>
            <w:noWrap w:val="0"/>
            <w:vAlign w:val="center"/>
          </w:tcPr>
          <w:p w14:paraId="20F7D5F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项目编号</w:t>
            </w:r>
          </w:p>
        </w:tc>
        <w:tc>
          <w:tcPr>
            <w:tcW w:w="6105" w:type="dxa"/>
            <w:gridSpan w:val="5"/>
            <w:noWrap w:val="0"/>
            <w:vAlign w:val="center"/>
          </w:tcPr>
          <w:p w14:paraId="7CBB3786">
            <w:pPr>
              <w:shd w:val="clear" w:color="auto" w:fill="auto"/>
              <w:spacing w:line="360" w:lineRule="auto"/>
              <w:jc w:val="center"/>
              <w:rPr>
                <w:rFonts w:hint="eastAsia" w:ascii="宋体" w:hAnsi="宋体" w:eastAsia="宋体" w:cs="宋体"/>
                <w:color w:val="auto"/>
                <w:sz w:val="24"/>
                <w:szCs w:val="24"/>
                <w:highlight w:val="none"/>
              </w:rPr>
            </w:pPr>
          </w:p>
        </w:tc>
      </w:tr>
      <w:tr w14:paraId="00B4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noWrap w:val="0"/>
            <w:vAlign w:val="center"/>
          </w:tcPr>
          <w:p w14:paraId="5922F922">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1395" w:type="dxa"/>
            <w:noWrap w:val="0"/>
            <w:vAlign w:val="center"/>
          </w:tcPr>
          <w:p w14:paraId="4AC9B8D6">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575" w:type="dxa"/>
            <w:noWrap w:val="0"/>
            <w:vAlign w:val="center"/>
          </w:tcPr>
          <w:p w14:paraId="0859586A">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80" w:type="dxa"/>
            <w:noWrap w:val="0"/>
            <w:vAlign w:val="center"/>
          </w:tcPr>
          <w:p w14:paraId="388D3368">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45" w:type="dxa"/>
            <w:noWrap w:val="0"/>
            <w:vAlign w:val="center"/>
          </w:tcPr>
          <w:p w14:paraId="61C07AEF">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1140" w:type="dxa"/>
            <w:noWrap w:val="0"/>
            <w:vAlign w:val="center"/>
          </w:tcPr>
          <w:p w14:paraId="28673F49">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1065" w:type="dxa"/>
            <w:noWrap w:val="0"/>
            <w:vAlign w:val="center"/>
          </w:tcPr>
          <w:p w14:paraId="0143DB7A">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r>
      <w:tr w14:paraId="67F2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restart"/>
            <w:noWrap w:val="0"/>
            <w:vAlign w:val="center"/>
          </w:tcPr>
          <w:p w14:paraId="0AF69B99">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95" w:type="dxa"/>
            <w:noWrap w:val="0"/>
            <w:vAlign w:val="center"/>
          </w:tcPr>
          <w:p w14:paraId="26AED5A1">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3D93BB37">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3464EBF7">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7D6729DB">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2736B96C">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64010361">
            <w:pPr>
              <w:shd w:val="clear" w:color="auto" w:fill="auto"/>
              <w:spacing w:line="360" w:lineRule="auto"/>
              <w:jc w:val="center"/>
              <w:rPr>
                <w:rFonts w:hint="eastAsia" w:ascii="宋体" w:hAnsi="宋体" w:eastAsia="宋体" w:cs="宋体"/>
                <w:color w:val="auto"/>
                <w:sz w:val="24"/>
                <w:szCs w:val="24"/>
                <w:highlight w:val="none"/>
              </w:rPr>
            </w:pPr>
          </w:p>
        </w:tc>
      </w:tr>
      <w:tr w14:paraId="41A1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29105B59">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2240B5B1">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4E0B2D3A">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226B3C9D">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168811E5">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54A94473">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1CE13C23">
            <w:pPr>
              <w:shd w:val="clear" w:color="auto" w:fill="auto"/>
              <w:spacing w:line="360" w:lineRule="auto"/>
              <w:jc w:val="center"/>
              <w:rPr>
                <w:rFonts w:hint="eastAsia" w:ascii="宋体" w:hAnsi="宋体" w:eastAsia="宋体" w:cs="宋体"/>
                <w:color w:val="auto"/>
                <w:sz w:val="24"/>
                <w:szCs w:val="24"/>
                <w:highlight w:val="none"/>
              </w:rPr>
            </w:pPr>
          </w:p>
        </w:tc>
      </w:tr>
      <w:tr w14:paraId="4E7E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52215459">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3C510792">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712049F7">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6AB81C57">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6BB82A8A">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59B3CE74">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1B73485D">
            <w:pPr>
              <w:shd w:val="clear" w:color="auto" w:fill="auto"/>
              <w:spacing w:line="360" w:lineRule="auto"/>
              <w:jc w:val="center"/>
              <w:rPr>
                <w:rFonts w:hint="eastAsia" w:ascii="宋体" w:hAnsi="宋体" w:eastAsia="宋体" w:cs="宋体"/>
                <w:color w:val="auto"/>
                <w:sz w:val="24"/>
                <w:szCs w:val="24"/>
                <w:highlight w:val="none"/>
              </w:rPr>
            </w:pPr>
          </w:p>
        </w:tc>
      </w:tr>
      <w:tr w14:paraId="1F94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restart"/>
            <w:noWrap w:val="0"/>
            <w:vAlign w:val="center"/>
          </w:tcPr>
          <w:p w14:paraId="71430229">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95" w:type="dxa"/>
            <w:noWrap w:val="0"/>
            <w:vAlign w:val="center"/>
          </w:tcPr>
          <w:p w14:paraId="3E63D79D">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0252D392">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2339A160">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1EA89D1D">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605C2536">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156C0762">
            <w:pPr>
              <w:shd w:val="clear" w:color="auto" w:fill="auto"/>
              <w:spacing w:line="360" w:lineRule="auto"/>
              <w:jc w:val="center"/>
              <w:rPr>
                <w:rFonts w:hint="eastAsia" w:ascii="宋体" w:hAnsi="宋体" w:eastAsia="宋体" w:cs="宋体"/>
                <w:color w:val="auto"/>
                <w:sz w:val="24"/>
                <w:szCs w:val="24"/>
                <w:highlight w:val="none"/>
              </w:rPr>
            </w:pPr>
          </w:p>
        </w:tc>
      </w:tr>
      <w:tr w14:paraId="5276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0709AF37">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509EE55C">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24597F03">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780712A9">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3324BEA6">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079D4099">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6B7EC5FE">
            <w:pPr>
              <w:shd w:val="clear" w:color="auto" w:fill="auto"/>
              <w:spacing w:line="360" w:lineRule="auto"/>
              <w:jc w:val="center"/>
              <w:rPr>
                <w:rFonts w:hint="eastAsia" w:ascii="宋体" w:hAnsi="宋体" w:eastAsia="宋体" w:cs="宋体"/>
                <w:color w:val="auto"/>
                <w:sz w:val="24"/>
                <w:szCs w:val="24"/>
                <w:highlight w:val="none"/>
              </w:rPr>
            </w:pPr>
          </w:p>
        </w:tc>
      </w:tr>
      <w:tr w14:paraId="1B34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71226706">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3443F3BE">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11BFC05D">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526650EE">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095C6363">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16C17552">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22FEF4E4">
            <w:pPr>
              <w:shd w:val="clear" w:color="auto" w:fill="auto"/>
              <w:spacing w:line="360" w:lineRule="auto"/>
              <w:jc w:val="center"/>
              <w:rPr>
                <w:rFonts w:hint="eastAsia" w:ascii="宋体" w:hAnsi="宋体" w:eastAsia="宋体" w:cs="宋体"/>
                <w:color w:val="auto"/>
                <w:sz w:val="24"/>
                <w:szCs w:val="24"/>
                <w:highlight w:val="none"/>
              </w:rPr>
            </w:pPr>
          </w:p>
        </w:tc>
      </w:tr>
      <w:tr w14:paraId="421A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restart"/>
            <w:noWrap w:val="0"/>
            <w:vAlign w:val="center"/>
          </w:tcPr>
          <w:p w14:paraId="712F5137">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95" w:type="dxa"/>
            <w:noWrap w:val="0"/>
            <w:vAlign w:val="center"/>
          </w:tcPr>
          <w:p w14:paraId="1DD8B053">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3D94E1BD">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663D0AA3">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2C844FF9">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1B974740">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62B9EA3A">
            <w:pPr>
              <w:shd w:val="clear" w:color="auto" w:fill="auto"/>
              <w:spacing w:line="360" w:lineRule="auto"/>
              <w:jc w:val="center"/>
              <w:rPr>
                <w:rFonts w:hint="eastAsia" w:ascii="宋体" w:hAnsi="宋体" w:eastAsia="宋体" w:cs="宋体"/>
                <w:color w:val="auto"/>
                <w:sz w:val="24"/>
                <w:szCs w:val="24"/>
                <w:highlight w:val="none"/>
              </w:rPr>
            </w:pPr>
          </w:p>
        </w:tc>
      </w:tr>
      <w:tr w14:paraId="6831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62B68A60">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0D5F0B6F">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01D2BAA8">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3794701E">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2378B59C">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0E1722B2">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347CE4BF">
            <w:pPr>
              <w:shd w:val="clear" w:color="auto" w:fill="auto"/>
              <w:spacing w:line="360" w:lineRule="auto"/>
              <w:jc w:val="center"/>
              <w:rPr>
                <w:rFonts w:hint="eastAsia" w:ascii="宋体" w:hAnsi="宋体" w:eastAsia="宋体" w:cs="宋体"/>
                <w:color w:val="auto"/>
                <w:sz w:val="24"/>
                <w:szCs w:val="24"/>
                <w:highlight w:val="none"/>
              </w:rPr>
            </w:pPr>
          </w:p>
        </w:tc>
      </w:tr>
      <w:tr w14:paraId="7787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01EFB834">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096F111F">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3D1BDABF">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343D8BC0">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7EA6ED47">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65605252">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53B1D0AB">
            <w:pPr>
              <w:shd w:val="clear" w:color="auto" w:fill="auto"/>
              <w:spacing w:line="360" w:lineRule="auto"/>
              <w:jc w:val="center"/>
              <w:rPr>
                <w:rFonts w:hint="eastAsia" w:ascii="宋体" w:hAnsi="宋体" w:eastAsia="宋体" w:cs="宋体"/>
                <w:color w:val="auto"/>
                <w:sz w:val="24"/>
                <w:szCs w:val="24"/>
                <w:highlight w:val="none"/>
              </w:rPr>
            </w:pPr>
          </w:p>
        </w:tc>
      </w:tr>
    </w:tbl>
    <w:p w14:paraId="7B46D95C">
      <w:pPr>
        <w:pageBreakBefore w:val="0"/>
        <w:wordWrap/>
        <w:topLinePunct w:val="0"/>
        <w:bidi w:val="0"/>
        <w:snapToGrid w:val="0"/>
        <w:spacing w:beforeAutospacing="0" w:line="36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w:t>
      </w:r>
      <w:r>
        <w:rPr>
          <w:rFonts w:hint="eastAsia" w:ascii="宋体" w:hAnsi="宋体" w:eastAsia="宋体" w:cs="宋体"/>
          <w:b/>
          <w:bCs/>
          <w:color w:val="auto"/>
          <w:sz w:val="24"/>
          <w:szCs w:val="24"/>
          <w:highlight w:val="none"/>
        </w:rPr>
        <w:t>以上</w:t>
      </w:r>
      <w:r>
        <w:rPr>
          <w:rFonts w:hint="eastAsia" w:ascii="宋体" w:hAnsi="宋体" w:eastAsia="宋体" w:cs="宋体"/>
          <w:b/>
          <w:bCs/>
          <w:color w:val="auto"/>
          <w:sz w:val="24"/>
          <w:szCs w:val="24"/>
          <w:highlight w:val="none"/>
          <w:lang w:val="en-US" w:eastAsia="zh-CN"/>
        </w:rPr>
        <w:t>提供相关人员</w:t>
      </w:r>
      <w:r>
        <w:rPr>
          <w:rFonts w:hint="eastAsia" w:ascii="宋体" w:hAnsi="宋体" w:eastAsia="宋体" w:cs="宋体"/>
          <w:b/>
          <w:bCs/>
          <w:color w:val="auto"/>
          <w:sz w:val="24"/>
          <w:szCs w:val="24"/>
          <w:highlight w:val="none"/>
        </w:rPr>
        <w:t>证明材料</w:t>
      </w:r>
      <w:r>
        <w:rPr>
          <w:rFonts w:hint="eastAsia" w:ascii="宋体" w:hAnsi="宋体" w:eastAsia="宋体" w:cs="宋体"/>
          <w:b/>
          <w:bCs/>
          <w:color w:val="auto"/>
          <w:sz w:val="24"/>
          <w:szCs w:val="24"/>
          <w:highlight w:val="none"/>
          <w:lang w:val="en-US" w:eastAsia="zh-CN"/>
        </w:rPr>
        <w:t>。</w:t>
      </w:r>
    </w:p>
    <w:p w14:paraId="369B8897">
      <w:pPr>
        <w:pageBreakBefore w:val="0"/>
        <w:wordWrap/>
        <w:topLinePunct w:val="0"/>
        <w:bidi w:val="0"/>
        <w:snapToGrid w:val="0"/>
        <w:spacing w:beforeAutospacing="0" w:line="240" w:lineRule="auto"/>
        <w:ind w:firstLine="602" w:firstLineChars="200"/>
        <w:jc w:val="center"/>
        <w:rPr>
          <w:rFonts w:hint="eastAsia" w:ascii="宋体" w:hAnsi="宋体" w:eastAsia="宋体" w:cs="宋体"/>
          <w:b/>
          <w:bCs/>
          <w:color w:val="auto"/>
          <w:sz w:val="30"/>
          <w:szCs w:val="30"/>
          <w:highlight w:val="none"/>
        </w:rPr>
      </w:pPr>
    </w:p>
    <w:p w14:paraId="05AC6FE0">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bookmarkEnd w:id="291"/>
    <w:p w14:paraId="5F8AA60A">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九、</w:t>
      </w:r>
      <w:r>
        <w:rPr>
          <w:rFonts w:hint="eastAsia" w:ascii="宋体" w:hAnsi="宋体" w:eastAsia="宋体" w:cs="宋体"/>
          <w:b/>
          <w:bCs/>
          <w:color w:val="auto"/>
          <w:kern w:val="0"/>
          <w:sz w:val="28"/>
          <w:szCs w:val="28"/>
          <w:highlight w:val="none"/>
          <w:lang w:val="zh-CN" w:eastAsia="zh-CN" w:bidi="ar-SA"/>
        </w:rPr>
        <w:t>中小企业声明函（</w:t>
      </w:r>
      <w:r>
        <w:rPr>
          <w:rFonts w:hint="eastAsia" w:ascii="宋体" w:hAnsi="宋体" w:eastAsia="宋体" w:cs="宋体"/>
          <w:b/>
          <w:bCs/>
          <w:color w:val="auto"/>
          <w:kern w:val="0"/>
          <w:sz w:val="28"/>
          <w:szCs w:val="28"/>
          <w:highlight w:val="none"/>
          <w:lang w:val="en-US" w:eastAsia="zh-CN" w:bidi="ar-SA"/>
        </w:rPr>
        <w:t>如涉及</w:t>
      </w:r>
      <w:r>
        <w:rPr>
          <w:rFonts w:hint="eastAsia" w:ascii="宋体" w:hAnsi="宋体" w:eastAsia="宋体" w:cs="宋体"/>
          <w:b/>
          <w:bCs/>
          <w:color w:val="auto"/>
          <w:kern w:val="0"/>
          <w:sz w:val="28"/>
          <w:szCs w:val="28"/>
          <w:highlight w:val="none"/>
          <w:lang w:val="zh-CN" w:eastAsia="zh-CN" w:bidi="ar-SA"/>
        </w:rPr>
        <w:t>）</w:t>
      </w:r>
    </w:p>
    <w:p w14:paraId="3FAA1D04">
      <w:pPr>
        <w:bidi w:val="0"/>
        <w:rPr>
          <w:rFonts w:hint="eastAsia" w:ascii="宋体" w:hAnsi="宋体" w:eastAsia="宋体" w:cs="宋体"/>
          <w:color w:val="auto"/>
          <w:lang w:val="zh-CN" w:eastAsia="zh-CN"/>
        </w:rPr>
      </w:pPr>
    </w:p>
    <w:p w14:paraId="713E7C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本公司（联合体）郑重声明，根据《政府采购促进中小企业发展管理办法》（财库﹝2020﹞46号）的规定，本公司（联合体）参加</w:t>
      </w:r>
      <w:r>
        <w:rPr>
          <w:rFonts w:hint="eastAsia" w:ascii="宋体" w:hAnsi="宋体" w:eastAsia="宋体" w:cs="宋体"/>
          <w:b w:val="0"/>
          <w:bCs w:val="0"/>
          <w:color w:val="auto"/>
          <w:kern w:val="0"/>
          <w:sz w:val="24"/>
          <w:szCs w:val="24"/>
          <w:highlight w:val="none"/>
          <w:u w:val="single"/>
          <w:lang w:val="zh-CN" w:eastAsia="zh-CN" w:bidi="ar-SA"/>
        </w:rPr>
        <w:t>（单位名称）的（项目名称）</w:t>
      </w:r>
      <w:r>
        <w:rPr>
          <w:rFonts w:hint="eastAsia" w:ascii="宋体" w:hAnsi="宋体" w:eastAsia="宋体" w:cs="宋体"/>
          <w:b w:val="0"/>
          <w:bCs w:val="0"/>
          <w:color w:val="auto"/>
          <w:kern w:val="0"/>
          <w:sz w:val="24"/>
          <w:szCs w:val="24"/>
          <w:highlight w:val="none"/>
          <w:lang w:val="zh-CN" w:eastAsia="zh-CN" w:bidi="ar-SA"/>
        </w:rPr>
        <w:t>采购活动，提供的货物全部由符合政策要求的中小企业制造。相关企业（含联合体中的中小企业、签订分包意向协议的中小企业）的具体情况如下：</w:t>
      </w:r>
    </w:p>
    <w:p w14:paraId="71BC99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1.</w:t>
      </w:r>
      <w:r>
        <w:rPr>
          <w:rFonts w:hint="eastAsia" w:ascii="宋体" w:hAnsi="宋体" w:eastAsia="宋体" w:cs="宋体"/>
          <w:b w:val="0"/>
          <w:bCs w:val="0"/>
          <w:color w:val="auto"/>
          <w:kern w:val="0"/>
          <w:sz w:val="24"/>
          <w:szCs w:val="24"/>
          <w:highlight w:val="none"/>
          <w:u w:val="single"/>
          <w:lang w:val="zh-CN" w:eastAsia="zh-CN" w:bidi="ar-SA"/>
        </w:rPr>
        <w:t>（标的名称）</w:t>
      </w:r>
      <w:r>
        <w:rPr>
          <w:rFonts w:hint="eastAsia" w:ascii="宋体" w:hAnsi="宋体" w:eastAsia="宋体" w:cs="宋体"/>
          <w:b w:val="0"/>
          <w:bCs w:val="0"/>
          <w:color w:val="auto"/>
          <w:kern w:val="0"/>
          <w:sz w:val="24"/>
          <w:szCs w:val="24"/>
          <w:highlight w:val="none"/>
          <w:lang w:val="zh-CN" w:eastAsia="zh-CN" w:bidi="ar-SA"/>
        </w:rPr>
        <w:t>，属于</w:t>
      </w:r>
      <w:r>
        <w:rPr>
          <w:rFonts w:hint="eastAsia" w:ascii="宋体" w:hAnsi="宋体" w:eastAsia="宋体" w:cs="宋体"/>
          <w:b w:val="0"/>
          <w:bCs w:val="0"/>
          <w:color w:val="auto"/>
          <w:kern w:val="0"/>
          <w:sz w:val="24"/>
          <w:szCs w:val="24"/>
          <w:highlight w:val="none"/>
          <w:u w:val="single"/>
          <w:lang w:val="zh-CN" w:eastAsia="zh-CN" w:bidi="ar-SA"/>
        </w:rPr>
        <w:t>（采购文件所属行业）</w:t>
      </w:r>
      <w:r>
        <w:rPr>
          <w:rFonts w:hint="eastAsia" w:ascii="宋体" w:hAnsi="宋体" w:eastAsia="宋体" w:cs="宋体"/>
          <w:b w:val="0"/>
          <w:bCs w:val="0"/>
          <w:color w:val="auto"/>
          <w:kern w:val="0"/>
          <w:sz w:val="24"/>
          <w:szCs w:val="24"/>
          <w:highlight w:val="none"/>
          <w:lang w:val="zh-CN" w:eastAsia="zh-CN" w:bidi="ar-SA"/>
        </w:rPr>
        <w:t>行业；制造商为</w:t>
      </w:r>
      <w:r>
        <w:rPr>
          <w:rFonts w:hint="eastAsia" w:ascii="宋体" w:hAnsi="宋体" w:eastAsia="宋体" w:cs="宋体"/>
          <w:b w:val="0"/>
          <w:bCs w:val="0"/>
          <w:color w:val="auto"/>
          <w:kern w:val="0"/>
          <w:sz w:val="24"/>
          <w:szCs w:val="24"/>
          <w:highlight w:val="none"/>
          <w:u w:val="single"/>
          <w:lang w:val="zh-CN" w:eastAsia="zh-CN" w:bidi="ar-SA"/>
        </w:rPr>
        <w:t>（企业名称）</w:t>
      </w:r>
      <w:r>
        <w:rPr>
          <w:rFonts w:hint="eastAsia" w:ascii="宋体" w:hAnsi="宋体" w:eastAsia="宋体" w:cs="宋体"/>
          <w:b w:val="0"/>
          <w:bCs w:val="0"/>
          <w:color w:val="auto"/>
          <w:kern w:val="0"/>
          <w:sz w:val="24"/>
          <w:szCs w:val="24"/>
          <w:highlight w:val="none"/>
          <w:lang w:val="zh-CN" w:eastAsia="zh-CN" w:bidi="ar-SA"/>
        </w:rPr>
        <w:t>，从业人员</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人，营业收入为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万元，资产总额为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万元，属于</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single"/>
          <w:lang w:val="zh-CN" w:eastAsia="zh-CN" w:bidi="ar-SA"/>
        </w:rPr>
        <w:t>（中型企业、小型企业、微型企业</w:t>
      </w:r>
      <w:r>
        <w:rPr>
          <w:rFonts w:hint="eastAsia" w:ascii="宋体" w:hAnsi="宋体" w:eastAsia="宋体" w:cs="宋体"/>
          <w:b w:val="0"/>
          <w:bCs w:val="0"/>
          <w:color w:val="auto"/>
          <w:kern w:val="0"/>
          <w:sz w:val="24"/>
          <w:szCs w:val="24"/>
          <w:highlight w:val="none"/>
          <w:lang w:val="zh-CN" w:eastAsia="zh-CN" w:bidi="ar-SA"/>
        </w:rPr>
        <w:t>）；</w:t>
      </w:r>
    </w:p>
    <w:p w14:paraId="177554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2.</w:t>
      </w:r>
      <w:r>
        <w:rPr>
          <w:rFonts w:hint="eastAsia" w:ascii="宋体" w:hAnsi="宋体" w:eastAsia="宋体" w:cs="宋体"/>
          <w:b w:val="0"/>
          <w:bCs w:val="0"/>
          <w:color w:val="auto"/>
          <w:kern w:val="0"/>
          <w:sz w:val="24"/>
          <w:szCs w:val="24"/>
          <w:highlight w:val="none"/>
          <w:u w:val="single"/>
          <w:lang w:val="zh-CN" w:eastAsia="zh-CN" w:bidi="ar-SA"/>
        </w:rPr>
        <w:t>（标的名称）</w:t>
      </w:r>
      <w:r>
        <w:rPr>
          <w:rFonts w:hint="eastAsia" w:ascii="宋体" w:hAnsi="宋体" w:eastAsia="宋体" w:cs="宋体"/>
          <w:b w:val="0"/>
          <w:bCs w:val="0"/>
          <w:color w:val="auto"/>
          <w:kern w:val="0"/>
          <w:sz w:val="24"/>
          <w:szCs w:val="24"/>
          <w:highlight w:val="none"/>
          <w:lang w:val="zh-CN" w:eastAsia="zh-CN" w:bidi="ar-SA"/>
        </w:rPr>
        <w:t>，属于</w:t>
      </w:r>
      <w:r>
        <w:rPr>
          <w:rFonts w:hint="eastAsia" w:ascii="宋体" w:hAnsi="宋体" w:eastAsia="宋体" w:cs="宋体"/>
          <w:b w:val="0"/>
          <w:bCs w:val="0"/>
          <w:color w:val="auto"/>
          <w:kern w:val="0"/>
          <w:sz w:val="24"/>
          <w:szCs w:val="24"/>
          <w:highlight w:val="none"/>
          <w:u w:val="single"/>
          <w:lang w:val="zh-CN" w:eastAsia="zh-CN" w:bidi="ar-SA"/>
        </w:rPr>
        <w:t>（采购文件所属行业）</w:t>
      </w:r>
      <w:r>
        <w:rPr>
          <w:rFonts w:hint="eastAsia" w:ascii="宋体" w:hAnsi="宋体" w:eastAsia="宋体" w:cs="宋体"/>
          <w:b w:val="0"/>
          <w:bCs w:val="0"/>
          <w:color w:val="auto"/>
          <w:kern w:val="0"/>
          <w:sz w:val="24"/>
          <w:szCs w:val="24"/>
          <w:highlight w:val="none"/>
          <w:lang w:val="zh-CN" w:eastAsia="zh-CN" w:bidi="ar-SA"/>
        </w:rPr>
        <w:t>行业；制造商为</w:t>
      </w:r>
      <w:r>
        <w:rPr>
          <w:rFonts w:hint="eastAsia" w:ascii="宋体" w:hAnsi="宋体" w:eastAsia="宋体" w:cs="宋体"/>
          <w:b w:val="0"/>
          <w:bCs w:val="0"/>
          <w:color w:val="auto"/>
          <w:kern w:val="0"/>
          <w:sz w:val="24"/>
          <w:szCs w:val="24"/>
          <w:highlight w:val="none"/>
          <w:u w:val="single"/>
          <w:lang w:val="zh-CN" w:eastAsia="zh-CN" w:bidi="ar-SA"/>
        </w:rPr>
        <w:t>（企业名称）</w:t>
      </w:r>
      <w:r>
        <w:rPr>
          <w:rFonts w:hint="eastAsia" w:ascii="宋体" w:hAnsi="宋体" w:eastAsia="宋体" w:cs="宋体"/>
          <w:b w:val="0"/>
          <w:bCs w:val="0"/>
          <w:color w:val="auto"/>
          <w:kern w:val="0"/>
          <w:sz w:val="24"/>
          <w:szCs w:val="24"/>
          <w:highlight w:val="none"/>
          <w:lang w:val="zh-CN" w:eastAsia="zh-CN" w:bidi="ar-SA"/>
        </w:rPr>
        <w:t>，从业人员</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人，营业收入为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万元，资产总额为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万元，属于</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single"/>
          <w:lang w:val="zh-CN" w:eastAsia="zh-CN" w:bidi="ar-SA"/>
        </w:rPr>
        <w:t>（中型企业、小型企业、微型企业</w:t>
      </w:r>
      <w:r>
        <w:rPr>
          <w:rFonts w:hint="eastAsia" w:ascii="宋体" w:hAnsi="宋体" w:eastAsia="宋体" w:cs="宋体"/>
          <w:b w:val="0"/>
          <w:bCs w:val="0"/>
          <w:color w:val="auto"/>
          <w:kern w:val="0"/>
          <w:sz w:val="24"/>
          <w:szCs w:val="24"/>
          <w:highlight w:val="none"/>
          <w:lang w:val="zh-CN" w:eastAsia="zh-CN" w:bidi="ar-SA"/>
        </w:rPr>
        <w:t>）；</w:t>
      </w:r>
    </w:p>
    <w:p w14:paraId="767D7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w:t>
      </w:r>
    </w:p>
    <w:p w14:paraId="2DC0BB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以上企业，不属于大企业的分支机构，不存在控股股东为大企业的情形，也不存在与大企业的负责人为同一人的情形。</w:t>
      </w:r>
    </w:p>
    <w:p w14:paraId="51C135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本企业对上述声明内容的真实性负责。如有虚假，将依法承担相应责任。</w:t>
      </w:r>
    </w:p>
    <w:p w14:paraId="3E0CA8EF">
      <w:pPr>
        <w:spacing w:line="360" w:lineRule="auto"/>
        <w:rPr>
          <w:rFonts w:hint="eastAsia" w:ascii="宋体" w:hAnsi="宋体" w:eastAsia="宋体" w:cs="宋体"/>
          <w:b w:val="0"/>
          <w:bCs w:val="0"/>
          <w:color w:val="auto"/>
          <w:kern w:val="0"/>
          <w:sz w:val="24"/>
          <w:szCs w:val="24"/>
          <w:highlight w:val="none"/>
          <w:lang w:val="zh-CN" w:eastAsia="zh-CN" w:bidi="ar-SA"/>
        </w:rPr>
      </w:pPr>
    </w:p>
    <w:p w14:paraId="270772DC">
      <w:pPr>
        <w:spacing w:line="360" w:lineRule="auto"/>
        <w:ind w:firstLine="4320" w:firstLineChars="1800"/>
        <w:jc w:val="left"/>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企业名称（电子公章）：</w:t>
      </w:r>
    </w:p>
    <w:p w14:paraId="1F0E6CDE">
      <w:pPr>
        <w:spacing w:line="360" w:lineRule="auto"/>
        <w:ind w:firstLine="4320" w:firstLineChars="1800"/>
        <w:jc w:val="left"/>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日期：</w:t>
      </w:r>
      <w:r>
        <w:rPr>
          <w:rFonts w:hint="eastAsia" w:ascii="宋体" w:hAnsi="宋体" w:eastAsia="宋体" w:cs="宋体"/>
          <w:b w:val="0"/>
          <w:bCs w:val="0"/>
          <w:color w:val="auto"/>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年</w:t>
      </w:r>
      <w:r>
        <w:rPr>
          <w:rFonts w:hint="eastAsia" w:ascii="宋体" w:hAnsi="宋体" w:eastAsia="宋体" w:cs="宋体"/>
          <w:b w:val="0"/>
          <w:bCs w:val="0"/>
          <w:color w:val="auto"/>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月</w:t>
      </w:r>
      <w:r>
        <w:rPr>
          <w:rFonts w:hint="eastAsia" w:ascii="宋体" w:hAnsi="宋体" w:eastAsia="宋体" w:cs="宋体"/>
          <w:b w:val="0"/>
          <w:bCs w:val="0"/>
          <w:color w:val="auto"/>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日</w:t>
      </w:r>
    </w:p>
    <w:p w14:paraId="266C61A8">
      <w:pPr>
        <w:spacing w:line="360" w:lineRule="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注：</w:t>
      </w:r>
    </w:p>
    <w:p w14:paraId="351411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从业人员、营业收入、资产总额填报上一年度数据，无上一年度数据的新成立企业可不填报。</w:t>
      </w:r>
    </w:p>
    <w:p w14:paraId="5F8843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请根据自己的真实情况出具《中小企业声明函》。依法享受中小企业优惠政策的，采购人或者采购代理机构在公告成交结果时，同时公告其《中小企业声明函》，接受社会监督。</w:t>
      </w:r>
    </w:p>
    <w:p w14:paraId="23C780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小型、微型企业提供中型企业提供的货物的，视同为中型企业。</w:t>
      </w:r>
    </w:p>
    <w:p w14:paraId="5A54ACC8">
      <w:pPr>
        <w:pageBreakBefore w:val="0"/>
        <w:widowControl/>
        <w:wordWrap/>
        <w:topLinePunct w:val="0"/>
        <w:bidi w:val="0"/>
        <w:spacing w:beforeAutospacing="0" w:line="240" w:lineRule="auto"/>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bCs/>
          <w:color w:val="auto"/>
          <w:sz w:val="28"/>
          <w:szCs w:val="28"/>
          <w:highlight w:val="none"/>
        </w:rPr>
        <w:t>附件1：</w:t>
      </w:r>
    </w:p>
    <w:p w14:paraId="193C798B">
      <w:pPr>
        <w:pageBreakBefore w:val="0"/>
        <w:wordWrap/>
        <w:topLinePunct w:val="0"/>
        <w:bidi w:val="0"/>
        <w:spacing w:beforeAutospacing="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中小微企业划型标准</w:t>
      </w:r>
    </w:p>
    <w:tbl>
      <w:tblPr>
        <w:tblStyle w:val="26"/>
        <w:tblW w:w="9335" w:type="dxa"/>
        <w:tblInd w:w="250" w:type="dxa"/>
        <w:tblLayout w:type="fixed"/>
        <w:tblCellMar>
          <w:top w:w="0" w:type="dxa"/>
          <w:left w:w="108" w:type="dxa"/>
          <w:bottom w:w="0" w:type="dxa"/>
          <w:right w:w="108" w:type="dxa"/>
        </w:tblCellMar>
      </w:tblPr>
      <w:tblGrid>
        <w:gridCol w:w="1594"/>
        <w:gridCol w:w="1375"/>
        <w:gridCol w:w="1000"/>
        <w:gridCol w:w="1175"/>
        <w:gridCol w:w="1550"/>
        <w:gridCol w:w="1462"/>
        <w:gridCol w:w="1179"/>
      </w:tblGrid>
      <w:tr w14:paraId="0F81940D">
        <w:tblPrEx>
          <w:tblCellMar>
            <w:top w:w="0" w:type="dxa"/>
            <w:left w:w="108" w:type="dxa"/>
            <w:bottom w:w="0" w:type="dxa"/>
            <w:right w:w="108" w:type="dxa"/>
          </w:tblCellMar>
        </w:tblPrEx>
        <w:trPr>
          <w:trHeight w:val="702" w:hRule="atLeast"/>
        </w:trPr>
        <w:tc>
          <w:tcPr>
            <w:tcW w:w="1594" w:type="dxa"/>
            <w:tcBorders>
              <w:top w:val="single" w:color="auto" w:sz="4" w:space="0"/>
              <w:left w:val="single" w:color="auto" w:sz="4" w:space="0"/>
              <w:bottom w:val="single" w:color="auto" w:sz="4" w:space="0"/>
              <w:right w:val="single" w:color="auto" w:sz="4" w:space="0"/>
            </w:tcBorders>
            <w:vAlign w:val="center"/>
          </w:tcPr>
          <w:p w14:paraId="53DEE40D">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75" w:type="dxa"/>
            <w:tcBorders>
              <w:top w:val="single" w:color="auto" w:sz="4" w:space="0"/>
              <w:left w:val="nil"/>
              <w:bottom w:val="single" w:color="auto" w:sz="4" w:space="0"/>
              <w:right w:val="single" w:color="auto" w:sz="4" w:space="0"/>
            </w:tcBorders>
            <w:vAlign w:val="center"/>
          </w:tcPr>
          <w:p w14:paraId="7CC6E928">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1000" w:type="dxa"/>
            <w:tcBorders>
              <w:top w:val="single" w:color="auto" w:sz="4" w:space="0"/>
              <w:left w:val="nil"/>
              <w:bottom w:val="single" w:color="auto" w:sz="4" w:space="0"/>
              <w:right w:val="single" w:color="auto" w:sz="4" w:space="0"/>
            </w:tcBorders>
            <w:vAlign w:val="center"/>
          </w:tcPr>
          <w:p w14:paraId="6250A517">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175" w:type="dxa"/>
            <w:tcBorders>
              <w:top w:val="single" w:color="auto" w:sz="4" w:space="0"/>
              <w:left w:val="nil"/>
              <w:bottom w:val="single" w:color="auto" w:sz="4" w:space="0"/>
              <w:right w:val="single" w:color="auto" w:sz="4" w:space="0"/>
            </w:tcBorders>
            <w:vAlign w:val="center"/>
          </w:tcPr>
          <w:p w14:paraId="71CBBF09">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大型</w:t>
            </w:r>
          </w:p>
        </w:tc>
        <w:tc>
          <w:tcPr>
            <w:tcW w:w="1550" w:type="dxa"/>
            <w:tcBorders>
              <w:top w:val="single" w:color="auto" w:sz="4" w:space="0"/>
              <w:left w:val="nil"/>
              <w:bottom w:val="single" w:color="auto" w:sz="4" w:space="0"/>
              <w:right w:val="single" w:color="auto" w:sz="4" w:space="0"/>
            </w:tcBorders>
            <w:vAlign w:val="center"/>
          </w:tcPr>
          <w:p w14:paraId="294021E5">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462" w:type="dxa"/>
            <w:tcBorders>
              <w:top w:val="single" w:color="auto" w:sz="4" w:space="0"/>
              <w:left w:val="nil"/>
              <w:bottom w:val="single" w:color="auto" w:sz="4" w:space="0"/>
              <w:right w:val="single" w:color="auto" w:sz="4" w:space="0"/>
            </w:tcBorders>
            <w:vAlign w:val="center"/>
          </w:tcPr>
          <w:p w14:paraId="32928892">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79" w:type="dxa"/>
            <w:tcBorders>
              <w:top w:val="single" w:color="auto" w:sz="4" w:space="0"/>
              <w:left w:val="nil"/>
              <w:bottom w:val="single" w:color="auto" w:sz="4" w:space="0"/>
              <w:right w:val="single" w:color="auto" w:sz="4" w:space="0"/>
            </w:tcBorders>
            <w:vAlign w:val="center"/>
          </w:tcPr>
          <w:p w14:paraId="772BB6BA">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6E6B3192">
        <w:tblPrEx>
          <w:tblCellMar>
            <w:top w:w="0" w:type="dxa"/>
            <w:left w:w="108" w:type="dxa"/>
            <w:bottom w:w="0" w:type="dxa"/>
            <w:right w:w="108" w:type="dxa"/>
          </w:tblCellMar>
        </w:tblPrEx>
        <w:trPr>
          <w:trHeight w:val="356" w:hRule="atLeast"/>
        </w:trPr>
        <w:tc>
          <w:tcPr>
            <w:tcW w:w="1594" w:type="dxa"/>
            <w:vMerge w:val="restart"/>
            <w:tcBorders>
              <w:top w:val="nil"/>
              <w:left w:val="single" w:color="auto" w:sz="4" w:space="0"/>
              <w:bottom w:val="single" w:color="auto" w:sz="4" w:space="0"/>
              <w:right w:val="single" w:color="auto" w:sz="4" w:space="0"/>
            </w:tcBorders>
            <w:vAlign w:val="center"/>
          </w:tcPr>
          <w:p w14:paraId="3620D844">
            <w:pPr>
              <w:pageBreakBefore w:val="0"/>
              <w:widowControl/>
              <w:wordWrap/>
              <w:topLinePunct w:val="0"/>
              <w:bidi w:val="0"/>
              <w:spacing w:beforeAutospacing="0" w:line="240" w:lineRule="auto"/>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工业</w:t>
            </w:r>
          </w:p>
        </w:tc>
        <w:tc>
          <w:tcPr>
            <w:tcW w:w="1375" w:type="dxa"/>
            <w:tcBorders>
              <w:top w:val="nil"/>
              <w:left w:val="nil"/>
              <w:bottom w:val="single" w:color="auto" w:sz="4" w:space="0"/>
              <w:right w:val="single" w:color="auto" w:sz="4" w:space="0"/>
            </w:tcBorders>
            <w:vAlign w:val="center"/>
          </w:tcPr>
          <w:p w14:paraId="5862F941">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000" w:type="dxa"/>
            <w:tcBorders>
              <w:top w:val="nil"/>
              <w:left w:val="nil"/>
              <w:bottom w:val="single" w:color="auto" w:sz="4" w:space="0"/>
              <w:right w:val="single" w:color="auto" w:sz="4" w:space="0"/>
            </w:tcBorders>
            <w:vAlign w:val="center"/>
          </w:tcPr>
          <w:p w14:paraId="18D18E2F">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175" w:type="dxa"/>
            <w:tcBorders>
              <w:top w:val="nil"/>
              <w:left w:val="nil"/>
              <w:bottom w:val="single" w:color="auto" w:sz="4" w:space="0"/>
              <w:right w:val="single" w:color="auto" w:sz="4" w:space="0"/>
            </w:tcBorders>
            <w:vAlign w:val="center"/>
          </w:tcPr>
          <w:p w14:paraId="64D277DF">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X≥1000</w:t>
            </w:r>
          </w:p>
        </w:tc>
        <w:tc>
          <w:tcPr>
            <w:tcW w:w="1550" w:type="dxa"/>
            <w:tcBorders>
              <w:top w:val="nil"/>
              <w:left w:val="nil"/>
              <w:bottom w:val="single" w:color="auto" w:sz="4" w:space="0"/>
              <w:right w:val="single" w:color="auto" w:sz="4" w:space="0"/>
            </w:tcBorders>
            <w:vAlign w:val="center"/>
          </w:tcPr>
          <w:p w14:paraId="4B468438">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300≤X＜1000</w:t>
            </w:r>
          </w:p>
        </w:tc>
        <w:tc>
          <w:tcPr>
            <w:tcW w:w="1462" w:type="dxa"/>
            <w:tcBorders>
              <w:top w:val="nil"/>
              <w:left w:val="nil"/>
              <w:bottom w:val="single" w:color="auto" w:sz="4" w:space="0"/>
              <w:right w:val="single" w:color="auto" w:sz="4" w:space="0"/>
            </w:tcBorders>
            <w:vAlign w:val="center"/>
          </w:tcPr>
          <w:p w14:paraId="49B61570">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20≤X＜300</w:t>
            </w:r>
          </w:p>
        </w:tc>
        <w:tc>
          <w:tcPr>
            <w:tcW w:w="1179" w:type="dxa"/>
            <w:tcBorders>
              <w:top w:val="nil"/>
              <w:left w:val="nil"/>
              <w:bottom w:val="single" w:color="auto" w:sz="4" w:space="0"/>
              <w:right w:val="single" w:color="auto" w:sz="4" w:space="0"/>
            </w:tcBorders>
            <w:vAlign w:val="center"/>
          </w:tcPr>
          <w:p w14:paraId="66B3EF61">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X＜20</w:t>
            </w:r>
          </w:p>
        </w:tc>
      </w:tr>
      <w:tr w14:paraId="779E3731">
        <w:tblPrEx>
          <w:tblCellMar>
            <w:top w:w="0" w:type="dxa"/>
            <w:left w:w="108" w:type="dxa"/>
            <w:bottom w:w="0" w:type="dxa"/>
            <w:right w:w="108" w:type="dxa"/>
          </w:tblCellMar>
        </w:tblPrEx>
        <w:trPr>
          <w:trHeight w:val="356" w:hRule="atLeast"/>
        </w:trPr>
        <w:tc>
          <w:tcPr>
            <w:tcW w:w="1594" w:type="dxa"/>
            <w:vMerge w:val="continue"/>
            <w:tcBorders>
              <w:top w:val="nil"/>
              <w:left w:val="single" w:color="auto" w:sz="4" w:space="0"/>
              <w:bottom w:val="single" w:color="auto" w:sz="4" w:space="0"/>
              <w:right w:val="single" w:color="auto" w:sz="4" w:space="0"/>
            </w:tcBorders>
            <w:vAlign w:val="center"/>
          </w:tcPr>
          <w:p w14:paraId="0B4A51E6">
            <w:pPr>
              <w:pageBreakBefore w:val="0"/>
              <w:widowControl/>
              <w:wordWrap/>
              <w:topLinePunct w:val="0"/>
              <w:bidi w:val="0"/>
              <w:spacing w:beforeAutospacing="0" w:line="240" w:lineRule="auto"/>
              <w:jc w:val="center"/>
              <w:rPr>
                <w:rFonts w:hint="eastAsia" w:ascii="宋体" w:hAnsi="宋体" w:eastAsia="宋体" w:cs="宋体"/>
                <w:b/>
                <w:bCs/>
                <w:color w:val="auto"/>
                <w:kern w:val="0"/>
                <w:sz w:val="20"/>
                <w:szCs w:val="20"/>
                <w:highlight w:val="none"/>
              </w:rPr>
            </w:pPr>
          </w:p>
        </w:tc>
        <w:tc>
          <w:tcPr>
            <w:tcW w:w="1375" w:type="dxa"/>
            <w:tcBorders>
              <w:top w:val="nil"/>
              <w:left w:val="nil"/>
              <w:bottom w:val="single" w:color="auto" w:sz="4" w:space="0"/>
              <w:right w:val="single" w:color="auto" w:sz="4" w:space="0"/>
            </w:tcBorders>
            <w:vAlign w:val="center"/>
          </w:tcPr>
          <w:p w14:paraId="23A27816">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000" w:type="dxa"/>
            <w:tcBorders>
              <w:top w:val="nil"/>
              <w:left w:val="nil"/>
              <w:bottom w:val="single" w:color="auto" w:sz="4" w:space="0"/>
              <w:right w:val="single" w:color="auto" w:sz="4" w:space="0"/>
            </w:tcBorders>
            <w:vAlign w:val="center"/>
          </w:tcPr>
          <w:p w14:paraId="148E8922">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175" w:type="dxa"/>
            <w:tcBorders>
              <w:top w:val="nil"/>
              <w:left w:val="nil"/>
              <w:bottom w:val="single" w:color="auto" w:sz="4" w:space="0"/>
              <w:right w:val="single" w:color="auto" w:sz="4" w:space="0"/>
            </w:tcBorders>
            <w:vAlign w:val="center"/>
          </w:tcPr>
          <w:p w14:paraId="16662BE4">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Y≥40000</w:t>
            </w:r>
          </w:p>
        </w:tc>
        <w:tc>
          <w:tcPr>
            <w:tcW w:w="1550" w:type="dxa"/>
            <w:tcBorders>
              <w:top w:val="nil"/>
              <w:left w:val="nil"/>
              <w:bottom w:val="single" w:color="auto" w:sz="4" w:space="0"/>
              <w:right w:val="single" w:color="auto" w:sz="4" w:space="0"/>
            </w:tcBorders>
            <w:vAlign w:val="center"/>
          </w:tcPr>
          <w:p w14:paraId="07559B3A">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2000≤Y＜40000</w:t>
            </w:r>
          </w:p>
        </w:tc>
        <w:tc>
          <w:tcPr>
            <w:tcW w:w="1462" w:type="dxa"/>
            <w:tcBorders>
              <w:top w:val="nil"/>
              <w:left w:val="nil"/>
              <w:bottom w:val="single" w:color="auto" w:sz="4" w:space="0"/>
              <w:right w:val="single" w:color="auto" w:sz="4" w:space="0"/>
            </w:tcBorders>
            <w:vAlign w:val="center"/>
          </w:tcPr>
          <w:p w14:paraId="046E41CA">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300≤Y＜2000</w:t>
            </w:r>
          </w:p>
        </w:tc>
        <w:tc>
          <w:tcPr>
            <w:tcW w:w="1179" w:type="dxa"/>
            <w:tcBorders>
              <w:top w:val="nil"/>
              <w:left w:val="nil"/>
              <w:bottom w:val="single" w:color="auto" w:sz="4" w:space="0"/>
              <w:right w:val="single" w:color="auto" w:sz="4" w:space="0"/>
            </w:tcBorders>
            <w:vAlign w:val="center"/>
          </w:tcPr>
          <w:p w14:paraId="00FE3244">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Y＜300</w:t>
            </w:r>
          </w:p>
        </w:tc>
      </w:tr>
    </w:tbl>
    <w:p w14:paraId="7655FBAD">
      <w:pPr>
        <w:pageBreakBefore w:val="0"/>
        <w:wordWrap/>
        <w:topLinePunct w:val="0"/>
        <w:bidi w:val="0"/>
        <w:spacing w:beforeAutospacing="0" w:line="240" w:lineRule="auto"/>
        <w:ind w:firstLine="550" w:firstLineChars="250"/>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rPr>
        <w:t>说明：大型、中型和小型企业须同时满足所列指标的下限；微型企业只须满足所列指标中的一项即可。</w:t>
      </w:r>
    </w:p>
    <w:p w14:paraId="3B199397">
      <w:pPr>
        <w:rPr>
          <w:rFonts w:hint="eastAsia" w:ascii="宋体" w:hAnsi="宋体" w:eastAsia="宋体" w:cs="宋体"/>
          <w:b/>
          <w:bCs/>
          <w:color w:val="auto"/>
          <w:sz w:val="30"/>
          <w:szCs w:val="30"/>
          <w:highlight w:val="none"/>
          <w:lang w:val="en-US" w:eastAsia="zh-CN"/>
        </w:rPr>
      </w:pPr>
    </w:p>
    <w:p w14:paraId="449D159B">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十</w:t>
      </w:r>
      <w:r>
        <w:rPr>
          <w:rFonts w:hint="eastAsia" w:ascii="宋体" w:hAnsi="宋体" w:eastAsia="宋体" w:cs="宋体"/>
          <w:b/>
          <w:bCs/>
          <w:color w:val="auto"/>
          <w:kern w:val="0"/>
          <w:sz w:val="28"/>
          <w:szCs w:val="28"/>
          <w:highlight w:val="none"/>
          <w:lang w:val="zh-CN" w:eastAsia="zh-CN" w:bidi="ar-SA"/>
        </w:rPr>
        <w:t>、产品及性能</w:t>
      </w:r>
    </w:p>
    <w:p w14:paraId="7C4D87FC">
      <w:pPr>
        <w:pageBreakBefore w:val="0"/>
        <w:wordWrap/>
        <w:topLinePunct w:val="0"/>
        <w:autoSpaceDE w:val="0"/>
        <w:autoSpaceDN w:val="0"/>
        <w:bidi w:val="0"/>
        <w:spacing w:before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根据采购需求及评分标准要求</w:t>
      </w: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lang w:val="en-US" w:eastAsia="zh-CN"/>
        </w:rPr>
        <w:t>行</w:t>
      </w:r>
      <w:r>
        <w:rPr>
          <w:rFonts w:hint="eastAsia" w:ascii="宋体" w:hAnsi="宋体" w:eastAsia="宋体" w:cs="宋体"/>
          <w:color w:val="auto"/>
          <w:sz w:val="24"/>
          <w:szCs w:val="24"/>
          <w:highlight w:val="none"/>
        </w:rPr>
        <w:t>编制</w:t>
      </w:r>
    </w:p>
    <w:p w14:paraId="0C987BD1">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p>
    <w:p w14:paraId="3BDB5AC6">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p>
    <w:p w14:paraId="2C9501B1">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p>
    <w:p w14:paraId="03A45CB7">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十一</w:t>
      </w:r>
      <w:r>
        <w:rPr>
          <w:rFonts w:hint="eastAsia" w:ascii="宋体" w:hAnsi="宋体" w:eastAsia="宋体" w:cs="宋体"/>
          <w:b/>
          <w:bCs/>
          <w:color w:val="auto"/>
          <w:kern w:val="0"/>
          <w:sz w:val="28"/>
          <w:szCs w:val="28"/>
          <w:highlight w:val="none"/>
          <w:lang w:val="zh-CN" w:eastAsia="zh-CN" w:bidi="ar-SA"/>
        </w:rPr>
        <w:t>、技术方案</w:t>
      </w:r>
    </w:p>
    <w:p w14:paraId="4BE01391">
      <w:pPr>
        <w:pageBreakBefore w:val="0"/>
        <w:wordWrap/>
        <w:topLinePunct w:val="0"/>
        <w:autoSpaceDE w:val="0"/>
        <w:autoSpaceDN w:val="0"/>
        <w:bidi w:val="0"/>
        <w:spacing w:before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根据采购需求及评分标准要求</w:t>
      </w: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lang w:val="en-US" w:eastAsia="zh-CN"/>
        </w:rPr>
        <w:t>行</w:t>
      </w:r>
      <w:r>
        <w:rPr>
          <w:rFonts w:hint="eastAsia" w:ascii="宋体" w:hAnsi="宋体" w:eastAsia="宋体" w:cs="宋体"/>
          <w:color w:val="auto"/>
          <w:sz w:val="24"/>
          <w:szCs w:val="24"/>
          <w:highlight w:val="none"/>
        </w:rPr>
        <w:t>编制</w:t>
      </w:r>
    </w:p>
    <w:p w14:paraId="47DA616C">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2AAF93F9">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47970FA6">
      <w:pPr>
        <w:pageBreakBefore w:val="0"/>
        <w:wordWrap/>
        <w:topLinePunct w:val="0"/>
        <w:bidi w:val="0"/>
        <w:snapToGrid w:val="0"/>
        <w:spacing w:beforeAutospacing="0" w:line="240" w:lineRule="auto"/>
        <w:jc w:val="both"/>
        <w:rPr>
          <w:rFonts w:hint="eastAsia" w:ascii="宋体" w:hAnsi="宋体" w:eastAsia="宋体" w:cs="宋体"/>
          <w:b/>
          <w:bCs/>
          <w:color w:val="auto"/>
          <w:sz w:val="30"/>
          <w:szCs w:val="30"/>
          <w:highlight w:val="none"/>
        </w:rPr>
      </w:pPr>
    </w:p>
    <w:p w14:paraId="79897B26">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40834208">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1970CDDC">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1148F2F3">
      <w:pP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br w:type="page"/>
      </w:r>
    </w:p>
    <w:p w14:paraId="4FB682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24" w:beforeAutospacing="0" w:after="24" w:afterAutospacing="0"/>
        <w:ind w:left="0" w:right="0" w:firstLine="0"/>
        <w:jc w:val="center"/>
        <w:textAlignment w:val="baseline"/>
        <w:outlineLvl w:val="2"/>
        <w:rPr>
          <w:rFonts w:hint="eastAsia" w:ascii="宋体" w:hAnsi="宋体" w:eastAsia="宋体" w:cs="宋体"/>
          <w:b/>
          <w:bCs/>
          <w:color w:val="auto"/>
          <w:spacing w:val="6"/>
          <w:sz w:val="28"/>
          <w:szCs w:val="28"/>
          <w:highlight w:val="none"/>
        </w:rPr>
      </w:pPr>
      <w:r>
        <w:rPr>
          <w:rFonts w:hint="eastAsia" w:ascii="宋体" w:hAnsi="宋体" w:eastAsia="宋体" w:cs="宋体"/>
          <w:b/>
          <w:bCs/>
          <w:color w:val="auto"/>
          <w:kern w:val="0"/>
          <w:sz w:val="28"/>
          <w:szCs w:val="28"/>
          <w:highlight w:val="none"/>
          <w:lang w:val="en-US" w:eastAsia="zh-CN" w:bidi="ar-SA"/>
        </w:rPr>
        <w:t>十二、</w:t>
      </w:r>
      <w:r>
        <w:rPr>
          <w:rFonts w:hint="eastAsia" w:ascii="宋体" w:hAnsi="宋体" w:eastAsia="宋体" w:cs="宋体"/>
          <w:b/>
          <w:bCs/>
          <w:color w:val="auto"/>
          <w:sz w:val="28"/>
          <w:szCs w:val="28"/>
          <w:highlight w:val="none"/>
          <w:lang w:val="en-US" w:eastAsia="zh-CN" w:bidi="ar-SA"/>
        </w:rPr>
        <w:t>关于符合本国产品标准的声明函</w:t>
      </w:r>
      <w:r>
        <w:rPr>
          <w:rFonts w:hint="eastAsia" w:ascii="宋体" w:hAnsi="宋体" w:eastAsia="宋体" w:cs="宋体"/>
          <w:b/>
          <w:bCs/>
          <w:color w:val="000000"/>
          <w:sz w:val="28"/>
          <w:szCs w:val="28"/>
          <w:highlight w:val="none"/>
          <w:lang w:eastAsia="zh-CN"/>
        </w:rPr>
        <w:t>（</w:t>
      </w:r>
      <w:r>
        <w:rPr>
          <w:rFonts w:hint="eastAsia" w:ascii="宋体" w:hAnsi="宋体" w:eastAsia="宋体" w:cs="宋体"/>
          <w:b/>
          <w:bCs/>
          <w:color w:val="000000"/>
          <w:sz w:val="28"/>
          <w:szCs w:val="28"/>
          <w:highlight w:val="none"/>
          <w:lang w:val="en-US" w:eastAsia="zh-CN"/>
        </w:rPr>
        <w:t>如涉及</w:t>
      </w:r>
      <w:r>
        <w:rPr>
          <w:rFonts w:hint="eastAsia" w:ascii="宋体" w:hAnsi="宋体" w:eastAsia="宋体" w:cs="宋体"/>
          <w:b/>
          <w:bCs/>
          <w:color w:val="000000"/>
          <w:sz w:val="28"/>
          <w:szCs w:val="28"/>
          <w:highlight w:val="none"/>
          <w:lang w:eastAsia="zh-CN"/>
        </w:rPr>
        <w:t>）</w:t>
      </w:r>
    </w:p>
    <w:p w14:paraId="0F5370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24" w:beforeAutospacing="0" w:after="24" w:afterAutospacing="0" w:line="440" w:lineRule="exact"/>
        <w:ind w:left="0" w:right="0" w:firstLine="0"/>
        <w:jc w:val="both"/>
        <w:textAlignment w:val="baseline"/>
        <w:rPr>
          <w:rFonts w:hint="eastAsia" w:ascii="宋体" w:hAnsi="宋体" w:eastAsia="宋体" w:cs="宋体"/>
          <w:b/>
          <w:bCs/>
          <w:caps w:val="0"/>
          <w:color w:val="auto"/>
          <w:spacing w:val="0"/>
          <w:sz w:val="24"/>
          <w:szCs w:val="24"/>
          <w:highlight w:val="none"/>
          <w:vertAlign w:val="baseline"/>
          <w:lang w:val="en-US" w:eastAsia="zh-CN"/>
        </w:rPr>
      </w:pPr>
      <w:r>
        <w:rPr>
          <w:rFonts w:hint="eastAsia" w:ascii="宋体" w:hAnsi="宋体" w:eastAsia="宋体" w:cs="宋体"/>
          <w:b/>
          <w:bCs/>
          <w:caps w:val="0"/>
          <w:color w:val="auto"/>
          <w:spacing w:val="0"/>
          <w:sz w:val="24"/>
          <w:szCs w:val="24"/>
          <w:highlight w:val="none"/>
          <w:vertAlign w:val="baseline"/>
          <w:lang w:val="en-US" w:eastAsia="zh-CN"/>
        </w:rPr>
        <w:t>注：</w:t>
      </w:r>
    </w:p>
    <w:p w14:paraId="243528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24" w:beforeAutospacing="0" w:after="24" w:afterAutospacing="0" w:line="440" w:lineRule="exact"/>
        <w:ind w:left="0" w:right="0" w:firstLine="480" w:firstLineChars="200"/>
        <w:jc w:val="both"/>
        <w:textAlignment w:val="baseline"/>
        <w:rPr>
          <w:rFonts w:hint="eastAsia" w:ascii="宋体" w:hAnsi="宋体" w:eastAsia="宋体" w:cs="宋体"/>
          <w:b w:val="0"/>
          <w:bCs w:val="0"/>
          <w:caps w:val="0"/>
          <w:color w:val="auto"/>
          <w:spacing w:val="0"/>
          <w:sz w:val="24"/>
          <w:szCs w:val="24"/>
          <w:highlight w:val="none"/>
          <w:vertAlign w:val="baseline"/>
          <w:lang w:val="en-US" w:eastAsia="zh-CN"/>
        </w:rPr>
      </w:pPr>
      <w:r>
        <w:rPr>
          <w:rFonts w:hint="eastAsia" w:ascii="宋体" w:hAnsi="宋体" w:eastAsia="宋体" w:cs="宋体"/>
          <w:b w:val="0"/>
          <w:bCs w:val="0"/>
          <w:caps w:val="0"/>
          <w:color w:val="auto"/>
          <w:spacing w:val="0"/>
          <w:sz w:val="24"/>
          <w:szCs w:val="24"/>
          <w:highlight w:val="none"/>
          <w:vertAlign w:val="baseline"/>
          <w:lang w:val="en-US" w:eastAsia="zh-CN"/>
        </w:rPr>
        <w:t>1.《</w:t>
      </w:r>
      <w:r>
        <w:rPr>
          <w:rFonts w:hint="eastAsia" w:ascii="宋体" w:hAnsi="宋体" w:eastAsia="宋体" w:cs="宋体"/>
          <w:b w:val="0"/>
          <w:bCs w:val="0"/>
          <w:caps w:val="0"/>
          <w:color w:val="auto"/>
          <w:spacing w:val="0"/>
          <w:sz w:val="24"/>
          <w:szCs w:val="24"/>
          <w:highlight w:val="none"/>
          <w:vertAlign w:val="baseline"/>
        </w:rPr>
        <w:t>国务院办公厅关于在政府采购中实施本国产品标准及相关政策的通知</w:t>
      </w:r>
      <w:r>
        <w:rPr>
          <w:rFonts w:hint="eastAsia" w:ascii="宋体" w:hAnsi="宋体" w:eastAsia="宋体" w:cs="宋体"/>
          <w:b w:val="0"/>
          <w:bCs w:val="0"/>
          <w:caps w:val="0"/>
          <w:color w:val="auto"/>
          <w:spacing w:val="0"/>
          <w:sz w:val="24"/>
          <w:szCs w:val="24"/>
          <w:highlight w:val="none"/>
          <w:vertAlign w:val="baseline"/>
          <w:lang w:eastAsia="zh-CN"/>
        </w:rPr>
        <w:t>》</w:t>
      </w:r>
      <w:r>
        <w:rPr>
          <w:rFonts w:hint="eastAsia" w:ascii="宋体" w:hAnsi="宋体" w:eastAsia="宋体" w:cs="宋体"/>
          <w:b w:val="0"/>
          <w:bCs w:val="0"/>
          <w:caps w:val="0"/>
          <w:color w:val="auto"/>
          <w:spacing w:val="0"/>
          <w:sz w:val="24"/>
          <w:szCs w:val="24"/>
          <w:highlight w:val="none"/>
          <w:vertAlign w:val="baseline"/>
          <w:lang w:val="en-US" w:eastAsia="zh-CN"/>
        </w:rPr>
        <w:t xml:space="preserve"> 第三条：三、对本国产品的支持政策：政府采购活动中既有本国产品又有非本国产品参与竞争的，依法对本国产品给予价格评审优惠，对本国产品的报价给予20%的价格扣除，用扣除后的价格参与评审。</w:t>
      </w:r>
    </w:p>
    <w:p w14:paraId="1370E2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24" w:beforeAutospacing="0" w:after="24" w:afterAutospacing="0" w:line="440" w:lineRule="exact"/>
        <w:ind w:right="0" w:firstLine="480" w:firstLineChars="200"/>
        <w:jc w:val="both"/>
        <w:textAlignment w:val="baseline"/>
        <w:rPr>
          <w:rFonts w:hint="eastAsia" w:ascii="宋体" w:hAnsi="宋体" w:eastAsia="宋体" w:cs="宋体"/>
          <w:b w:val="0"/>
          <w:bCs w:val="0"/>
          <w:caps w:val="0"/>
          <w:color w:val="auto"/>
          <w:spacing w:val="0"/>
          <w:sz w:val="24"/>
          <w:szCs w:val="24"/>
          <w:highlight w:val="none"/>
          <w:vertAlign w:val="baseline"/>
          <w:lang w:val="en-US" w:eastAsia="zh-CN"/>
        </w:rPr>
      </w:pPr>
      <w:r>
        <w:rPr>
          <w:rFonts w:hint="eastAsia" w:ascii="宋体" w:hAnsi="宋体" w:eastAsia="宋体" w:cs="宋体"/>
          <w:b w:val="0"/>
          <w:bCs w:val="0"/>
          <w:caps w:val="0"/>
          <w:color w:val="auto"/>
          <w:spacing w:val="0"/>
          <w:sz w:val="24"/>
          <w:szCs w:val="24"/>
          <w:highlight w:val="none"/>
          <w:vertAlign w:val="baseli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D9DCDEE">
      <w:pPr>
        <w:pStyle w:val="22"/>
        <w:keepNext w:val="0"/>
        <w:keepLines w:val="0"/>
        <w:pageBreakBefore w:val="0"/>
        <w:widowControl/>
        <w:numPr>
          <w:ilvl w:val="0"/>
          <w:numId w:val="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overflowPunct/>
        <w:topLinePunct w:val="0"/>
        <w:autoSpaceDE/>
        <w:autoSpaceDN/>
        <w:bidi w:val="0"/>
        <w:adjustRightInd/>
        <w:snapToGrid/>
        <w:ind w:left="0" w:leftChars="0" w:firstLine="480" w:firstLineChars="200"/>
        <w:rPr>
          <w:rFonts w:hint="eastAsia" w:ascii="宋体" w:hAnsi="宋体" w:eastAsia="宋体" w:cs="宋体"/>
          <w:b w:val="0"/>
          <w:bCs w:val="0"/>
          <w:caps w:val="0"/>
          <w:color w:val="auto"/>
          <w:spacing w:val="0"/>
          <w:sz w:val="24"/>
          <w:szCs w:val="24"/>
          <w:highlight w:val="none"/>
          <w:vertAlign w:val="baseline"/>
          <w:lang w:val="en-US" w:eastAsia="zh-CN"/>
        </w:rPr>
      </w:pPr>
      <w:r>
        <w:rPr>
          <w:rFonts w:hint="eastAsia" w:ascii="宋体" w:hAnsi="宋体" w:eastAsia="宋体" w:cs="宋体"/>
          <w:b w:val="0"/>
          <w:bCs w:val="0"/>
          <w:caps w:val="0"/>
          <w:color w:val="auto"/>
          <w:spacing w:val="0"/>
          <w:sz w:val="24"/>
          <w:szCs w:val="24"/>
          <w:highlight w:val="none"/>
          <w:vertAlign w:val="baseline"/>
          <w:lang w:val="en-US" w:eastAsia="zh-CN"/>
        </w:rPr>
        <w:t>投标人提供所投产品如全部为进口产品，或者提供符合本国标准的产品成本之和未占全部产品成本之和的比例未达到80%以上时，可不提供此声明函。</w:t>
      </w:r>
    </w:p>
    <w:p w14:paraId="4CAB6756">
      <w:pPr>
        <w:pStyle w:val="22"/>
        <w:keepNext w:val="0"/>
        <w:keepLines w:val="0"/>
        <w:pageBreakBefore w:val="0"/>
        <w:widowControl/>
        <w:numPr>
          <w:ilvl w:val="0"/>
          <w:numId w:val="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overflowPunct/>
        <w:topLinePunct w:val="0"/>
        <w:autoSpaceDE/>
        <w:autoSpaceDN/>
        <w:bidi w:val="0"/>
        <w:adjustRightInd/>
        <w:snapToGrid/>
        <w:ind w:left="0" w:leftChars="0" w:firstLine="480" w:firstLineChars="200"/>
        <w:rPr>
          <w:rFonts w:hint="eastAsia" w:ascii="宋体" w:hAnsi="宋体" w:eastAsia="宋体" w:cs="宋体"/>
          <w:b w:val="0"/>
          <w:bCs w:val="0"/>
          <w:caps w:val="0"/>
          <w:color w:val="auto"/>
          <w:spacing w:val="0"/>
          <w:sz w:val="24"/>
          <w:szCs w:val="24"/>
          <w:highlight w:val="none"/>
          <w:vertAlign w:val="baseline"/>
          <w:lang w:val="en-US" w:eastAsia="zh-CN"/>
        </w:rPr>
      </w:pPr>
      <w:r>
        <w:rPr>
          <w:rFonts w:hint="eastAsia" w:ascii="宋体" w:hAnsi="宋体" w:eastAsia="宋体" w:cs="宋体"/>
          <w:b w:val="0"/>
          <w:bCs w:val="0"/>
          <w:caps w:val="0"/>
          <w:color w:val="auto"/>
          <w:spacing w:val="0"/>
          <w:sz w:val="24"/>
          <w:szCs w:val="24"/>
          <w:highlight w:val="none"/>
          <w:vertAlign w:val="baseline"/>
          <w:lang w:val="en-US" w:eastAsia="zh-CN"/>
        </w:rPr>
        <w:t>如项目不接受进口产品，可不提供此声明函。</w:t>
      </w:r>
    </w:p>
    <w:p w14:paraId="7183F7FC">
      <w:pPr>
        <w:pStyle w:val="22"/>
        <w:keepNext w:val="0"/>
        <w:keepLines w:val="0"/>
        <w:pageBreakBefore w:val="0"/>
        <w:widowControl/>
        <w:numPr>
          <w:ilvl w:val="0"/>
          <w:numId w:val="0"/>
        </w:numPr>
        <w:shd w:val="clear" w:color="auto" w:fill="auto"/>
        <w:kinsoku/>
        <w:overflowPunct/>
        <w:topLinePunct w:val="0"/>
        <w:autoSpaceDE/>
        <w:autoSpaceDN/>
        <w:bidi w:val="0"/>
        <w:adjustRightInd/>
        <w:snapToGrid/>
        <w:ind w:leftChars="0" w:firstLine="480" w:firstLineChars="200"/>
        <w:rPr>
          <w:rFonts w:hint="default" w:ascii="宋体" w:hAnsi="宋体" w:eastAsia="宋体" w:cs="宋体"/>
          <w:b w:val="0"/>
          <w:bCs w:val="0"/>
          <w:caps w:val="0"/>
          <w:color w:val="auto"/>
          <w:spacing w:val="0"/>
          <w:sz w:val="24"/>
          <w:szCs w:val="24"/>
          <w:highlight w:val="none"/>
          <w:vertAlign w:val="baseline"/>
          <w:lang w:val="en-US" w:eastAsia="zh-CN"/>
        </w:rPr>
      </w:pPr>
      <w:r>
        <w:rPr>
          <w:rFonts w:hint="eastAsia" w:ascii="宋体" w:hAnsi="宋体" w:eastAsia="宋体" w:cs="宋体"/>
          <w:b w:val="0"/>
          <w:bCs w:val="0"/>
          <w:caps w:val="0"/>
          <w:color w:val="auto"/>
          <w:spacing w:val="0"/>
          <w:sz w:val="24"/>
          <w:szCs w:val="24"/>
          <w:highlight w:val="none"/>
          <w:vertAlign w:val="baseline"/>
          <w:lang w:val="en-US" w:eastAsia="zh-CN"/>
        </w:rPr>
        <w:t>4.未提供此声明函，则不享受相关</w:t>
      </w:r>
      <w:r>
        <w:rPr>
          <w:rFonts w:hint="eastAsia" w:ascii="宋体" w:hAnsi="宋体" w:eastAsia="宋体" w:cs="宋体"/>
          <w:b w:val="0"/>
          <w:bCs w:val="0"/>
          <w:caps w:val="0"/>
          <w:color w:val="auto"/>
          <w:spacing w:val="0"/>
          <w:sz w:val="24"/>
          <w:szCs w:val="24"/>
          <w:highlight w:val="none"/>
          <w:vertAlign w:val="baseline"/>
        </w:rPr>
        <w:t>政策</w:t>
      </w:r>
      <w:r>
        <w:rPr>
          <w:rFonts w:hint="eastAsia" w:ascii="宋体" w:hAnsi="宋体" w:eastAsia="宋体" w:cs="宋体"/>
          <w:b w:val="0"/>
          <w:bCs w:val="0"/>
          <w:caps w:val="0"/>
          <w:color w:val="auto"/>
          <w:spacing w:val="0"/>
          <w:sz w:val="24"/>
          <w:szCs w:val="24"/>
          <w:highlight w:val="none"/>
          <w:vertAlign w:val="baseline"/>
          <w:lang w:val="en-US" w:eastAsia="zh-CN"/>
        </w:rPr>
        <w:t>的优惠。</w:t>
      </w:r>
    </w:p>
    <w:p w14:paraId="4CDBA5A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24" w:beforeAutospacing="0" w:after="24" w:afterAutospacing="0"/>
        <w:ind w:left="0" w:right="0" w:firstLine="0"/>
        <w:jc w:val="center"/>
        <w:textAlignment w:val="baseline"/>
        <w:rPr>
          <w:rFonts w:hint="eastAsia" w:ascii="宋体" w:hAnsi="宋体" w:eastAsia="宋体" w:cs="宋体"/>
          <w:b/>
          <w:bCs/>
          <w:color w:val="auto"/>
          <w:spacing w:val="6"/>
          <w:sz w:val="24"/>
          <w:szCs w:val="24"/>
          <w:highlight w:val="none"/>
        </w:rPr>
      </w:pPr>
    </w:p>
    <w:p w14:paraId="475A77F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24" w:beforeAutospacing="0" w:after="24" w:afterAutospacing="0"/>
        <w:ind w:left="0" w:right="0" w:firstLine="0"/>
        <w:jc w:val="center"/>
        <w:textAlignment w:val="baseline"/>
        <w:rPr>
          <w:rFonts w:hint="eastAsia"/>
          <w:color w:val="auto"/>
          <w:sz w:val="24"/>
          <w:szCs w:val="24"/>
          <w:highlight w:val="none"/>
        </w:rPr>
      </w:pPr>
      <w:r>
        <w:rPr>
          <w:rFonts w:hint="eastAsia" w:ascii="宋体" w:hAnsi="宋体" w:eastAsia="宋体" w:cs="宋体"/>
          <w:b/>
          <w:bCs/>
          <w:color w:val="auto"/>
          <w:spacing w:val="6"/>
          <w:sz w:val="24"/>
          <w:szCs w:val="24"/>
          <w:highlight w:val="none"/>
        </w:rPr>
        <w:t>关于符合本国产品标准的声明函</w:t>
      </w:r>
    </w:p>
    <w:p w14:paraId="60C17220">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2A197CCC">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u w:val="single"/>
        </w:rPr>
        <w:t>（产品名称1）</w:t>
      </w: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u w:val="single"/>
        </w:rPr>
        <w:t>生产厂为（厂名）</w:t>
      </w: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6"/>
          <w:sz w:val="24"/>
          <w:szCs w:val="24"/>
          <w:highlight w:val="none"/>
          <w:u w:val="single"/>
        </w:rPr>
        <w:t>厂址为（生产厂址）</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u w:val="single"/>
        </w:rPr>
        <w:t>（产品名称1）</w:t>
      </w:r>
      <w:r>
        <w:rPr>
          <w:rFonts w:hint="eastAsia" w:ascii="宋体" w:hAnsi="宋体" w:eastAsia="宋体" w:cs="宋体"/>
          <w:color w:val="auto"/>
          <w:spacing w:val="6"/>
          <w:sz w:val="24"/>
          <w:szCs w:val="24"/>
          <w:highlight w:val="none"/>
        </w:rPr>
        <w:t>的中国境内生产的组件成本占比≥</w:t>
      </w:r>
      <w:r>
        <w:rPr>
          <w:rFonts w:hint="eastAsia" w:ascii="宋体" w:hAnsi="宋体" w:eastAsia="宋体" w:cs="宋体"/>
          <w:color w:val="auto"/>
          <w:spacing w:val="6"/>
          <w:sz w:val="24"/>
          <w:szCs w:val="24"/>
          <w:highlight w:val="none"/>
          <w:u w:val="single"/>
        </w:rPr>
        <w:t>（规定比例）</w:t>
      </w:r>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6"/>
          <w:sz w:val="24"/>
          <w:szCs w:val="24"/>
          <w:highlight w:val="none"/>
          <w:u w:val="single"/>
        </w:rPr>
        <w:t>（产品名称1）</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（关键组件）</w:t>
      </w:r>
      <w:r>
        <w:rPr>
          <w:rFonts w:hint="eastAsia" w:ascii="宋体" w:hAnsi="宋体" w:eastAsia="宋体" w:cs="宋体"/>
          <w:color w:val="auto"/>
          <w:spacing w:val="6"/>
          <w:sz w:val="24"/>
          <w:szCs w:val="24"/>
          <w:highlight w:val="none"/>
        </w:rPr>
        <w:t>4在中国境内生产。（</w:t>
      </w:r>
      <w:r>
        <w:rPr>
          <w:rFonts w:hint="eastAsia" w:ascii="宋体" w:hAnsi="宋体" w:eastAsia="宋体" w:cs="宋体"/>
          <w:color w:val="auto"/>
          <w:spacing w:val="6"/>
          <w:sz w:val="24"/>
          <w:szCs w:val="24"/>
          <w:highlight w:val="none"/>
          <w:u w:val="single"/>
        </w:rPr>
        <w:t>产品名称1）</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（关键工序）</w:t>
      </w:r>
      <w:r>
        <w:rPr>
          <w:rFonts w:hint="eastAsia" w:ascii="宋体" w:hAnsi="宋体" w:eastAsia="宋体" w:cs="宋体"/>
          <w:color w:val="auto"/>
          <w:spacing w:val="6"/>
          <w:sz w:val="24"/>
          <w:szCs w:val="24"/>
          <w:highlight w:val="none"/>
        </w:rPr>
        <w:t>5在中国境内完成。</w:t>
      </w:r>
    </w:p>
    <w:p w14:paraId="48F81F7B">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u w:val="single"/>
        </w:rPr>
        <w:t>（产品名称</w:t>
      </w:r>
      <w:r>
        <w:rPr>
          <w:rFonts w:hint="eastAsia" w:ascii="宋体" w:hAnsi="宋体" w:eastAsia="宋体" w:cs="宋体"/>
          <w:color w:val="auto"/>
          <w:spacing w:val="6"/>
          <w:sz w:val="24"/>
          <w:szCs w:val="24"/>
          <w:highlight w:val="none"/>
          <w:u w:val="single"/>
          <w:lang w:val="en-US" w:eastAsia="zh-CN"/>
        </w:rPr>
        <w:t>2</w:t>
      </w:r>
      <w:r>
        <w:rPr>
          <w:rFonts w:hint="eastAsia" w:ascii="宋体" w:hAnsi="宋体" w:eastAsia="宋体" w:cs="宋体"/>
          <w:color w:val="auto"/>
          <w:spacing w:val="6"/>
          <w:sz w:val="24"/>
          <w:szCs w:val="24"/>
          <w:highlight w:val="none"/>
          <w:u w:val="single"/>
        </w:rPr>
        <w:t>）</w:t>
      </w: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u w:val="single"/>
        </w:rPr>
        <w:t>生产厂为（厂名）</w:t>
      </w: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6"/>
          <w:sz w:val="24"/>
          <w:szCs w:val="24"/>
          <w:highlight w:val="none"/>
          <w:u w:val="single"/>
        </w:rPr>
        <w:t>厂址为（生产厂址）</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u w:val="single"/>
        </w:rPr>
        <w:t>（产品名称</w:t>
      </w:r>
      <w:r>
        <w:rPr>
          <w:rFonts w:hint="eastAsia" w:ascii="宋体" w:hAnsi="宋体" w:eastAsia="宋体" w:cs="宋体"/>
          <w:color w:val="auto"/>
          <w:spacing w:val="6"/>
          <w:sz w:val="24"/>
          <w:szCs w:val="24"/>
          <w:highlight w:val="none"/>
          <w:u w:val="single"/>
          <w:lang w:val="en-US" w:eastAsia="zh-CN"/>
        </w:rPr>
        <w:t>2</w:t>
      </w:r>
      <w:r>
        <w:rPr>
          <w:rFonts w:hint="eastAsia" w:ascii="宋体" w:hAnsi="宋体" w:eastAsia="宋体" w:cs="宋体"/>
          <w:color w:val="auto"/>
          <w:spacing w:val="6"/>
          <w:sz w:val="24"/>
          <w:szCs w:val="24"/>
          <w:highlight w:val="none"/>
          <w:u w:val="single"/>
        </w:rPr>
        <w:t>）</w:t>
      </w:r>
      <w:r>
        <w:rPr>
          <w:rFonts w:hint="eastAsia" w:ascii="宋体" w:hAnsi="宋体" w:eastAsia="宋体" w:cs="宋体"/>
          <w:color w:val="auto"/>
          <w:spacing w:val="6"/>
          <w:sz w:val="24"/>
          <w:szCs w:val="24"/>
          <w:highlight w:val="none"/>
        </w:rPr>
        <w:t>的中国境内生产的组件成本占比≥</w:t>
      </w:r>
      <w:r>
        <w:rPr>
          <w:rFonts w:hint="eastAsia" w:ascii="宋体" w:hAnsi="宋体" w:eastAsia="宋体" w:cs="宋体"/>
          <w:color w:val="auto"/>
          <w:spacing w:val="6"/>
          <w:sz w:val="24"/>
          <w:szCs w:val="24"/>
          <w:highlight w:val="none"/>
          <w:u w:val="single"/>
        </w:rPr>
        <w:t>（规定比例）</w:t>
      </w:r>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6"/>
          <w:sz w:val="24"/>
          <w:szCs w:val="24"/>
          <w:highlight w:val="none"/>
          <w:u w:val="single"/>
        </w:rPr>
        <w:t>（产品名称</w:t>
      </w:r>
      <w:r>
        <w:rPr>
          <w:rFonts w:hint="eastAsia" w:ascii="宋体" w:hAnsi="宋体" w:eastAsia="宋体" w:cs="宋体"/>
          <w:color w:val="auto"/>
          <w:spacing w:val="6"/>
          <w:sz w:val="24"/>
          <w:szCs w:val="24"/>
          <w:highlight w:val="none"/>
          <w:u w:val="single"/>
          <w:lang w:val="en-US" w:eastAsia="zh-CN"/>
        </w:rPr>
        <w:t>2</w:t>
      </w:r>
      <w:r>
        <w:rPr>
          <w:rFonts w:hint="eastAsia" w:ascii="宋体" w:hAnsi="宋体" w:eastAsia="宋体" w:cs="宋体"/>
          <w:color w:val="auto"/>
          <w:spacing w:val="6"/>
          <w:sz w:val="24"/>
          <w:szCs w:val="24"/>
          <w:highlight w:val="none"/>
          <w:u w:val="single"/>
        </w:rPr>
        <w:t>）</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（关键组件）</w:t>
      </w:r>
      <w:r>
        <w:rPr>
          <w:rFonts w:hint="eastAsia" w:ascii="宋体" w:hAnsi="宋体" w:eastAsia="宋体" w:cs="宋体"/>
          <w:color w:val="auto"/>
          <w:spacing w:val="6"/>
          <w:sz w:val="24"/>
          <w:szCs w:val="24"/>
          <w:highlight w:val="none"/>
        </w:rPr>
        <w:t>4在中国境内生产。（</w:t>
      </w:r>
      <w:r>
        <w:rPr>
          <w:rFonts w:hint="eastAsia" w:ascii="宋体" w:hAnsi="宋体" w:eastAsia="宋体" w:cs="宋体"/>
          <w:color w:val="auto"/>
          <w:spacing w:val="6"/>
          <w:sz w:val="24"/>
          <w:szCs w:val="24"/>
          <w:highlight w:val="none"/>
          <w:u w:val="single"/>
        </w:rPr>
        <w:t>产品名称1）</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（关键工序）</w:t>
      </w:r>
      <w:r>
        <w:rPr>
          <w:rFonts w:hint="eastAsia" w:ascii="宋体" w:hAnsi="宋体" w:eastAsia="宋体" w:cs="宋体"/>
          <w:color w:val="auto"/>
          <w:spacing w:val="6"/>
          <w:sz w:val="24"/>
          <w:szCs w:val="24"/>
          <w:highlight w:val="none"/>
        </w:rPr>
        <w:t>5在中国境内完成。</w:t>
      </w:r>
    </w:p>
    <w:p w14:paraId="353131B9">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p w14:paraId="036771C3">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p w14:paraId="715B1D5E">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本公司（单位）对上述声明内容的真实性负责。如有虚假，愿承担相应法律责任。</w:t>
      </w:r>
    </w:p>
    <w:p w14:paraId="20815E11">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w:t>
      </w:r>
    </w:p>
    <w:p w14:paraId="2E7C27C4">
      <w:pPr>
        <w:shd w:val="clear" w:color="auto" w:fill="auto"/>
        <w:adjustRightInd w:val="0"/>
        <w:snapToGrid w:val="0"/>
        <w:spacing w:line="440" w:lineRule="exact"/>
        <w:ind w:firstLine="504" w:firstLineChars="200"/>
        <w:jc w:val="righ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公司（单位）名称（盖章）：　        </w:t>
      </w:r>
    </w:p>
    <w:p w14:paraId="1F4547D8">
      <w:pPr>
        <w:shd w:val="clear" w:color="auto" w:fill="auto"/>
        <w:adjustRightInd w:val="0"/>
        <w:snapToGrid w:val="0"/>
        <w:spacing w:line="440" w:lineRule="exact"/>
        <w:ind w:firstLine="504" w:firstLineChars="200"/>
        <w:jc w:val="righ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　     年　  月　  日         </w:t>
      </w:r>
    </w:p>
    <w:p w14:paraId="34792F9D">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1.产品如有型号，请在“产品名称”栏一并填写。</w:t>
      </w:r>
    </w:p>
    <w:p w14:paraId="0571A56B">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2.生产厂名与厂址应与生产厂营业执照载明的相关信息保持一致。</w:t>
      </w:r>
    </w:p>
    <w:p w14:paraId="517C8103">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3.该产品的中国境内生产的组件成本占比相关要求实施前，“规定比例”栏可不填，下同。</w:t>
      </w:r>
    </w:p>
    <w:p w14:paraId="0FB0949E">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4.该产品的关键组件要求实施前，“关键组件”栏可不填，下同。</w:t>
      </w:r>
    </w:p>
    <w:p w14:paraId="17C27C91">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5.该产品的关键工序要求实施前，“关键工序”栏可不填，下同。</w:t>
      </w:r>
    </w:p>
    <w:p w14:paraId="6946D946">
      <w:pPr>
        <w:bidi w:val="0"/>
        <w:rPr>
          <w:rFonts w:hint="eastAsia" w:ascii="宋体" w:hAnsi="宋体" w:eastAsia="宋体" w:cs="宋体"/>
          <w:b/>
          <w:bCs/>
          <w:color w:val="auto"/>
          <w:kern w:val="0"/>
          <w:sz w:val="28"/>
          <w:szCs w:val="28"/>
          <w:highlight w:val="none"/>
          <w:lang w:val="en-US" w:eastAsia="zh-CN" w:bidi="ar-SA"/>
        </w:rPr>
      </w:pPr>
    </w:p>
    <w:p w14:paraId="08CEC852">
      <w:pPr>
        <w:bidi w:val="0"/>
        <w:rPr>
          <w:rFonts w:hint="eastAsia" w:ascii="宋体" w:hAnsi="宋体" w:eastAsia="宋体" w:cs="宋体"/>
          <w:b/>
          <w:bCs/>
          <w:color w:val="auto"/>
          <w:kern w:val="0"/>
          <w:sz w:val="28"/>
          <w:szCs w:val="28"/>
          <w:highlight w:val="none"/>
          <w:lang w:val="en-US" w:eastAsia="zh-CN" w:bidi="ar-SA"/>
        </w:rPr>
      </w:pPr>
    </w:p>
    <w:p w14:paraId="67DA9FC6">
      <w:pPr>
        <w:bidi w:val="0"/>
        <w:rPr>
          <w:rFonts w:hint="eastAsia" w:ascii="宋体" w:hAnsi="宋体" w:eastAsia="宋体" w:cs="宋体"/>
          <w:b/>
          <w:bCs/>
          <w:color w:val="auto"/>
          <w:kern w:val="0"/>
          <w:sz w:val="28"/>
          <w:szCs w:val="28"/>
          <w:highlight w:val="none"/>
          <w:lang w:val="en-US" w:eastAsia="zh-CN" w:bidi="ar-SA"/>
        </w:rPr>
      </w:pPr>
    </w:p>
    <w:p w14:paraId="4863F0A2">
      <w:pPr>
        <w:bidi w:val="0"/>
        <w:rPr>
          <w:rFonts w:hint="eastAsia" w:ascii="宋体" w:hAnsi="宋体" w:eastAsia="宋体" w:cs="宋体"/>
          <w:b/>
          <w:bCs/>
          <w:color w:val="auto"/>
          <w:kern w:val="0"/>
          <w:sz w:val="28"/>
          <w:szCs w:val="28"/>
          <w:highlight w:val="none"/>
          <w:lang w:val="en-US" w:eastAsia="zh-CN" w:bidi="ar-SA"/>
        </w:rPr>
      </w:pPr>
    </w:p>
    <w:p w14:paraId="17D9CA27">
      <w:pPr>
        <w:bidi w:val="0"/>
        <w:rPr>
          <w:rFonts w:hint="eastAsia" w:ascii="宋体" w:hAnsi="宋体" w:eastAsia="宋体" w:cs="宋体"/>
          <w:b/>
          <w:bCs/>
          <w:color w:val="auto"/>
          <w:kern w:val="0"/>
          <w:sz w:val="28"/>
          <w:szCs w:val="28"/>
          <w:highlight w:val="none"/>
          <w:lang w:val="en-US" w:eastAsia="zh-CN" w:bidi="ar-SA"/>
        </w:rPr>
      </w:pPr>
    </w:p>
    <w:p w14:paraId="5F563803">
      <w:pPr>
        <w:bidi w:val="0"/>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十三、</w:t>
      </w:r>
      <w:r>
        <w:rPr>
          <w:rFonts w:hint="eastAsia" w:ascii="宋体" w:hAnsi="宋体" w:eastAsia="宋体" w:cs="宋体"/>
          <w:b/>
          <w:bCs/>
          <w:color w:val="auto"/>
          <w:kern w:val="0"/>
          <w:sz w:val="28"/>
          <w:szCs w:val="28"/>
          <w:highlight w:val="none"/>
          <w:lang w:val="zh-CN" w:eastAsia="zh-CN" w:bidi="ar-SA"/>
        </w:rPr>
        <w:t>供应商认为需要提供的其他</w:t>
      </w:r>
      <w:r>
        <w:rPr>
          <w:rFonts w:hint="eastAsia" w:ascii="宋体" w:hAnsi="宋体" w:eastAsia="宋体" w:cs="宋体"/>
          <w:b/>
          <w:bCs/>
          <w:color w:val="auto"/>
          <w:kern w:val="0"/>
          <w:sz w:val="28"/>
          <w:szCs w:val="28"/>
          <w:highlight w:val="none"/>
          <w:lang w:val="en-US" w:eastAsia="zh-CN" w:bidi="ar-SA"/>
        </w:rPr>
        <w:t>证明</w:t>
      </w:r>
      <w:r>
        <w:rPr>
          <w:rFonts w:hint="eastAsia" w:ascii="宋体" w:hAnsi="宋体" w:eastAsia="宋体" w:cs="宋体"/>
          <w:b/>
          <w:bCs/>
          <w:color w:val="auto"/>
          <w:kern w:val="0"/>
          <w:sz w:val="28"/>
          <w:szCs w:val="28"/>
          <w:highlight w:val="none"/>
          <w:lang w:val="zh-CN" w:eastAsia="zh-CN" w:bidi="ar-SA"/>
        </w:rPr>
        <w:t>材料（如有）</w:t>
      </w:r>
    </w:p>
    <w:p w14:paraId="618A0FAB">
      <w:pPr>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zh-CN" w:eastAsia="zh-CN" w:bidi="ar-SA"/>
        </w:rPr>
        <w:br w:type="page"/>
      </w:r>
    </w:p>
    <w:p w14:paraId="3CF4551A">
      <w:pPr>
        <w:widowControl/>
        <w:jc w:val="left"/>
        <w:outlineLvl w:val="0"/>
        <w:rPr>
          <w:rFonts w:hint="eastAsia" w:ascii="宋体" w:hAnsi="宋体" w:eastAsia="宋体" w:cs="宋体"/>
          <w:b/>
          <w:bCs/>
          <w:color w:val="auto"/>
          <w:kern w:val="0"/>
          <w:sz w:val="28"/>
          <w:szCs w:val="28"/>
          <w:highlight w:val="yellow"/>
          <w:lang w:val="en-US" w:eastAsia="zh-CN" w:bidi="ar-SA"/>
        </w:rPr>
      </w:pPr>
      <w:bookmarkStart w:id="292" w:name="_Toc5239"/>
      <w:r>
        <w:rPr>
          <w:rFonts w:hint="eastAsia" w:ascii="宋体" w:hAnsi="宋体" w:eastAsia="宋体" w:cs="宋体"/>
          <w:b/>
          <w:bCs/>
          <w:color w:val="auto"/>
          <w:kern w:val="0"/>
          <w:sz w:val="28"/>
          <w:szCs w:val="28"/>
          <w:highlight w:val="yellow"/>
          <w:lang w:val="en-US" w:eastAsia="zh-CN" w:bidi="ar-SA"/>
        </w:rPr>
        <w:t>附件1：</w:t>
      </w:r>
      <w:bookmarkEnd w:id="292"/>
    </w:p>
    <w:p w14:paraId="41158618">
      <w:pPr>
        <w:keepNext w:val="0"/>
        <w:keepLines w:val="0"/>
        <w:pageBreakBefore w:val="0"/>
        <w:kinsoku/>
        <w:wordWrap/>
        <w:overflowPunct/>
        <w:topLinePunct w:val="0"/>
        <w:autoSpaceDE/>
        <w:autoSpaceDN/>
        <w:bidi w:val="0"/>
        <w:adjustRightInd/>
        <w:snapToGrid/>
        <w:spacing w:beforeAutospacing="0" w:line="360" w:lineRule="auto"/>
        <w:textAlignment w:val="auto"/>
        <w:outlineLvl w:val="2"/>
        <w:rPr>
          <w:rFonts w:hint="eastAsia" w:ascii="宋体" w:hAnsi="宋体" w:eastAsia="宋体" w:cs="宋体"/>
          <w:b/>
          <w:bCs w:val="0"/>
          <w:color w:val="auto"/>
          <w:sz w:val="24"/>
          <w:szCs w:val="24"/>
          <w:highlight w:val="yellow"/>
          <w:lang w:val="en-US" w:eastAsia="zh-CN"/>
        </w:rPr>
      </w:pPr>
      <w:r>
        <w:rPr>
          <w:rFonts w:hint="eastAsia" w:ascii="宋体" w:hAnsi="宋体" w:eastAsia="宋体" w:cs="宋体"/>
          <w:b/>
          <w:bCs w:val="0"/>
          <w:color w:val="auto"/>
          <w:sz w:val="24"/>
          <w:szCs w:val="24"/>
          <w:highlight w:val="yellow"/>
        </w:rPr>
        <w:t>评分方法</w:t>
      </w:r>
      <w:r>
        <w:rPr>
          <w:rFonts w:hint="eastAsia" w:ascii="宋体" w:hAnsi="宋体" w:eastAsia="宋体" w:cs="宋体"/>
          <w:b/>
          <w:bCs w:val="0"/>
          <w:color w:val="auto"/>
          <w:sz w:val="24"/>
          <w:szCs w:val="24"/>
          <w:highlight w:val="yellow"/>
          <w:lang w:eastAsia="zh-CN"/>
        </w:rPr>
        <w:t>：布鲁氏菌病活疫苗(BA0711株)</w:t>
      </w:r>
    </w:p>
    <w:tbl>
      <w:tblPr>
        <w:tblStyle w:val="26"/>
        <w:tblW w:w="10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2048"/>
        <w:gridCol w:w="923"/>
        <w:gridCol w:w="5960"/>
      </w:tblGrid>
      <w:tr w14:paraId="222C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363" w:type="dxa"/>
            <w:vAlign w:val="center"/>
          </w:tcPr>
          <w:p w14:paraId="0B569658">
            <w:pPr>
              <w:spacing w:line="360" w:lineRule="auto"/>
              <w:jc w:val="center"/>
              <w:outlineLvl w:val="0"/>
              <w:rPr>
                <w:rFonts w:hint="eastAsia" w:ascii="宋体" w:hAnsi="宋体" w:eastAsia="宋体" w:cs="宋体"/>
                <w:b/>
                <w:bCs/>
                <w:color w:val="auto"/>
                <w:sz w:val="24"/>
                <w:szCs w:val="24"/>
                <w:lang w:val="en-US" w:eastAsia="zh-CN"/>
              </w:rPr>
            </w:pPr>
            <w:bookmarkStart w:id="293" w:name="_Toc20165"/>
            <w:bookmarkStart w:id="294" w:name="_Toc18223"/>
            <w:r>
              <w:rPr>
                <w:rFonts w:hint="eastAsia" w:ascii="宋体" w:hAnsi="宋体" w:eastAsia="宋体" w:cs="宋体"/>
                <w:b/>
                <w:bCs/>
                <w:color w:val="auto"/>
                <w:sz w:val="24"/>
                <w:szCs w:val="24"/>
                <w:lang w:val="en-US" w:eastAsia="zh-CN"/>
              </w:rPr>
              <w:t>评审因素</w:t>
            </w:r>
            <w:bookmarkEnd w:id="293"/>
            <w:bookmarkEnd w:id="294"/>
          </w:p>
        </w:tc>
        <w:tc>
          <w:tcPr>
            <w:tcW w:w="2048" w:type="dxa"/>
            <w:vAlign w:val="center"/>
          </w:tcPr>
          <w:p w14:paraId="2B521F44">
            <w:pPr>
              <w:spacing w:line="360" w:lineRule="auto"/>
              <w:jc w:val="center"/>
              <w:outlineLvl w:val="0"/>
              <w:rPr>
                <w:rFonts w:hint="eastAsia" w:ascii="宋体" w:hAnsi="宋体" w:eastAsia="宋体" w:cs="宋体"/>
                <w:b/>
                <w:bCs/>
                <w:color w:val="auto"/>
                <w:sz w:val="24"/>
                <w:szCs w:val="24"/>
                <w:lang w:val="en-US" w:eastAsia="zh-CN"/>
              </w:rPr>
            </w:pPr>
            <w:bookmarkStart w:id="295" w:name="_Toc29549"/>
            <w:bookmarkStart w:id="296" w:name="_Toc4239"/>
            <w:r>
              <w:rPr>
                <w:rFonts w:hint="eastAsia" w:ascii="宋体" w:hAnsi="宋体" w:eastAsia="宋体" w:cs="宋体"/>
                <w:b/>
                <w:bCs/>
                <w:color w:val="auto"/>
                <w:sz w:val="24"/>
                <w:szCs w:val="24"/>
                <w:lang w:val="en-US" w:eastAsia="zh-CN"/>
              </w:rPr>
              <w:t>评审项目</w:t>
            </w:r>
            <w:bookmarkEnd w:id="295"/>
            <w:bookmarkEnd w:id="296"/>
          </w:p>
        </w:tc>
        <w:tc>
          <w:tcPr>
            <w:tcW w:w="923" w:type="dxa"/>
            <w:vAlign w:val="center"/>
          </w:tcPr>
          <w:p w14:paraId="7075BC38">
            <w:pPr>
              <w:spacing w:line="360" w:lineRule="auto"/>
              <w:jc w:val="center"/>
              <w:outlineLvl w:val="0"/>
              <w:rPr>
                <w:rFonts w:hint="eastAsia" w:ascii="宋体" w:hAnsi="宋体" w:eastAsia="宋体" w:cs="宋体"/>
                <w:b/>
                <w:bCs/>
                <w:color w:val="auto"/>
                <w:sz w:val="24"/>
                <w:szCs w:val="24"/>
                <w:lang w:val="en-US" w:eastAsia="zh-CN"/>
              </w:rPr>
            </w:pPr>
            <w:bookmarkStart w:id="297" w:name="_Toc26309"/>
            <w:bookmarkStart w:id="298" w:name="_Toc20125"/>
            <w:r>
              <w:rPr>
                <w:rFonts w:hint="eastAsia" w:ascii="宋体" w:hAnsi="宋体" w:eastAsia="宋体" w:cs="宋体"/>
                <w:b/>
                <w:bCs/>
                <w:color w:val="auto"/>
                <w:sz w:val="24"/>
                <w:szCs w:val="24"/>
                <w:lang w:val="en-US" w:eastAsia="zh-CN"/>
              </w:rPr>
              <w:t>分值</w:t>
            </w:r>
            <w:bookmarkEnd w:id="297"/>
            <w:bookmarkEnd w:id="298"/>
          </w:p>
        </w:tc>
        <w:tc>
          <w:tcPr>
            <w:tcW w:w="5960" w:type="dxa"/>
            <w:vAlign w:val="center"/>
          </w:tcPr>
          <w:p w14:paraId="2876154B">
            <w:pPr>
              <w:spacing w:line="360" w:lineRule="auto"/>
              <w:jc w:val="center"/>
              <w:outlineLvl w:val="0"/>
              <w:rPr>
                <w:rFonts w:hint="eastAsia" w:ascii="宋体" w:hAnsi="宋体" w:eastAsia="宋体" w:cs="宋体"/>
                <w:b/>
                <w:bCs/>
                <w:color w:val="auto"/>
                <w:sz w:val="24"/>
                <w:szCs w:val="24"/>
                <w:lang w:val="en-US" w:eastAsia="zh-CN"/>
              </w:rPr>
            </w:pPr>
            <w:bookmarkStart w:id="299" w:name="_Toc26500"/>
            <w:bookmarkStart w:id="300" w:name="_Toc2131"/>
            <w:r>
              <w:rPr>
                <w:rFonts w:hint="eastAsia" w:ascii="宋体" w:hAnsi="宋体" w:eastAsia="宋体" w:cs="宋体"/>
                <w:b/>
                <w:bCs/>
                <w:color w:val="auto"/>
                <w:sz w:val="24"/>
                <w:szCs w:val="24"/>
                <w:lang w:val="en-US" w:eastAsia="zh-CN"/>
              </w:rPr>
              <w:t>内     容</w:t>
            </w:r>
            <w:bookmarkEnd w:id="299"/>
            <w:bookmarkEnd w:id="300"/>
          </w:p>
        </w:tc>
      </w:tr>
      <w:tr w14:paraId="2A6F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3" w:type="dxa"/>
            <w:shd w:val="clear" w:color="auto" w:fill="auto"/>
            <w:vAlign w:val="center"/>
          </w:tcPr>
          <w:p w14:paraId="77DC7B92">
            <w:pPr>
              <w:spacing w:line="360" w:lineRule="auto"/>
              <w:jc w:val="center"/>
              <w:outlineLvl w:val="0"/>
              <w:rPr>
                <w:rFonts w:hint="eastAsia" w:ascii="宋体" w:hAnsi="宋体" w:eastAsia="宋体" w:cs="宋体"/>
                <w:color w:val="auto"/>
                <w:sz w:val="24"/>
                <w:szCs w:val="24"/>
                <w:lang w:val="en-US" w:eastAsia="zh-CN"/>
              </w:rPr>
            </w:pPr>
            <w:bookmarkStart w:id="301" w:name="_Toc17798"/>
            <w:bookmarkStart w:id="302" w:name="_Toc19358"/>
            <w:r>
              <w:rPr>
                <w:rFonts w:hint="eastAsia" w:ascii="宋体" w:hAnsi="宋体" w:eastAsia="宋体" w:cs="宋体"/>
                <w:color w:val="auto"/>
                <w:sz w:val="24"/>
                <w:szCs w:val="24"/>
                <w:lang w:val="en-US" w:eastAsia="zh-CN"/>
              </w:rPr>
              <w:t>报价因素（30%）</w:t>
            </w:r>
            <w:bookmarkEnd w:id="301"/>
            <w:bookmarkEnd w:id="302"/>
          </w:p>
        </w:tc>
        <w:tc>
          <w:tcPr>
            <w:tcW w:w="2048" w:type="dxa"/>
            <w:vAlign w:val="center"/>
          </w:tcPr>
          <w:p w14:paraId="4E47B631">
            <w:pPr>
              <w:spacing w:line="360" w:lineRule="auto"/>
              <w:jc w:val="center"/>
              <w:outlineLvl w:val="0"/>
              <w:rPr>
                <w:rFonts w:hint="eastAsia" w:ascii="宋体" w:hAnsi="宋体" w:eastAsia="宋体" w:cs="宋体"/>
                <w:color w:val="auto"/>
                <w:sz w:val="24"/>
                <w:szCs w:val="24"/>
                <w:lang w:val="en-US" w:eastAsia="zh-CN"/>
              </w:rPr>
            </w:pPr>
            <w:bookmarkStart w:id="303" w:name="_Toc15621"/>
            <w:bookmarkStart w:id="304" w:name="_Toc18515"/>
            <w:r>
              <w:rPr>
                <w:rFonts w:hint="eastAsia" w:ascii="宋体" w:hAnsi="宋体" w:eastAsia="宋体" w:cs="宋体"/>
                <w:color w:val="auto"/>
                <w:sz w:val="24"/>
                <w:szCs w:val="24"/>
                <w:lang w:val="en-US" w:eastAsia="zh-CN"/>
              </w:rPr>
              <w:t>报价</w:t>
            </w:r>
            <w:bookmarkEnd w:id="303"/>
            <w:bookmarkEnd w:id="304"/>
          </w:p>
        </w:tc>
        <w:tc>
          <w:tcPr>
            <w:tcW w:w="923" w:type="dxa"/>
            <w:vAlign w:val="center"/>
          </w:tcPr>
          <w:p w14:paraId="31D00107">
            <w:pPr>
              <w:spacing w:line="360" w:lineRule="auto"/>
              <w:jc w:val="center"/>
              <w:outlineLvl w:val="0"/>
              <w:rPr>
                <w:rFonts w:hint="eastAsia" w:ascii="宋体" w:hAnsi="宋体" w:eastAsia="宋体" w:cs="宋体"/>
                <w:color w:val="auto"/>
                <w:sz w:val="24"/>
                <w:szCs w:val="24"/>
                <w:lang w:val="en-US" w:eastAsia="zh-CN"/>
              </w:rPr>
            </w:pPr>
            <w:bookmarkStart w:id="305" w:name="_Toc30422"/>
            <w:bookmarkStart w:id="306" w:name="_Toc19250"/>
            <w:r>
              <w:rPr>
                <w:rFonts w:hint="eastAsia" w:ascii="宋体" w:hAnsi="宋体" w:eastAsia="宋体" w:cs="宋体"/>
                <w:color w:val="auto"/>
                <w:sz w:val="24"/>
                <w:szCs w:val="24"/>
                <w:lang w:val="en-US" w:eastAsia="zh-CN"/>
              </w:rPr>
              <w:t>30分</w:t>
            </w:r>
            <w:bookmarkEnd w:id="305"/>
            <w:bookmarkEnd w:id="306"/>
          </w:p>
        </w:tc>
        <w:tc>
          <w:tcPr>
            <w:tcW w:w="5960" w:type="dxa"/>
            <w:vAlign w:val="center"/>
          </w:tcPr>
          <w:p w14:paraId="40C39454">
            <w:pPr>
              <w:spacing w:line="360" w:lineRule="auto"/>
              <w:ind w:firstLine="480" w:firstLineChars="200"/>
              <w:outlineLvl w:val="0"/>
              <w:rPr>
                <w:rFonts w:hint="eastAsia" w:ascii="宋体" w:hAnsi="宋体" w:eastAsia="宋体" w:cs="宋体"/>
                <w:color w:val="auto"/>
                <w:sz w:val="24"/>
                <w:szCs w:val="24"/>
                <w:lang w:val="en-US" w:eastAsia="zh-CN"/>
              </w:rPr>
            </w:pPr>
            <w:bookmarkStart w:id="307" w:name="_Toc31969"/>
            <w:r>
              <w:rPr>
                <w:rFonts w:hint="eastAsia" w:ascii="宋体" w:hAnsi="宋体" w:eastAsia="宋体" w:cs="宋体"/>
                <w:color w:val="auto"/>
                <w:sz w:val="24"/>
                <w:szCs w:val="24"/>
                <w:lang w:val="en-US" w:eastAsia="zh-CN"/>
              </w:rPr>
              <w:t>投标报价得分=（评标基准价/投标报价）×30%×100</w:t>
            </w:r>
            <w:bookmarkEnd w:id="307"/>
          </w:p>
          <w:p w14:paraId="5A9A57B1">
            <w:pPr>
              <w:spacing w:line="360" w:lineRule="auto"/>
              <w:ind w:firstLine="480" w:firstLineChars="200"/>
              <w:outlineLvl w:val="0"/>
              <w:rPr>
                <w:rFonts w:hint="eastAsia" w:ascii="宋体" w:hAnsi="宋体" w:eastAsia="宋体" w:cs="宋体"/>
                <w:color w:val="auto"/>
                <w:sz w:val="24"/>
                <w:szCs w:val="24"/>
                <w:lang w:val="en-US" w:eastAsia="zh-CN"/>
              </w:rPr>
            </w:pPr>
            <w:bookmarkStart w:id="308" w:name="_Toc25764"/>
            <w:bookmarkStart w:id="309" w:name="_Toc27645"/>
            <w:r>
              <w:rPr>
                <w:rFonts w:hint="eastAsia" w:ascii="宋体" w:hAnsi="宋体" w:eastAsia="宋体" w:cs="宋体"/>
                <w:color w:val="auto"/>
                <w:sz w:val="24"/>
                <w:szCs w:val="24"/>
                <w:lang w:val="en-US" w:eastAsia="zh-CN"/>
              </w:rPr>
              <w:t>1、评标基准价：满足招标文件要求且经算术修正，依据政府采购政策进行价格扣除后的最低投标报价为评标基准价；</w:t>
            </w:r>
            <w:bookmarkEnd w:id="308"/>
            <w:bookmarkEnd w:id="309"/>
          </w:p>
          <w:p w14:paraId="7BB15301">
            <w:pPr>
              <w:spacing w:line="360" w:lineRule="auto"/>
              <w:ind w:firstLine="480" w:firstLineChars="200"/>
              <w:outlineLvl w:val="0"/>
              <w:rPr>
                <w:rFonts w:hint="eastAsia" w:ascii="宋体" w:hAnsi="宋体" w:eastAsia="宋体" w:cs="宋体"/>
                <w:color w:val="auto"/>
                <w:sz w:val="24"/>
                <w:szCs w:val="24"/>
                <w:lang w:val="en-US" w:eastAsia="zh-CN"/>
              </w:rPr>
            </w:pPr>
            <w:bookmarkStart w:id="310" w:name="_Toc17053"/>
            <w:bookmarkStart w:id="311" w:name="_Toc14416"/>
            <w:r>
              <w:rPr>
                <w:rFonts w:hint="eastAsia" w:ascii="宋体" w:hAnsi="宋体" w:eastAsia="宋体" w:cs="宋体"/>
                <w:color w:val="auto"/>
                <w:sz w:val="24"/>
                <w:szCs w:val="24"/>
                <w:lang w:val="en-US" w:eastAsia="zh-CN"/>
              </w:rPr>
              <w:t>2、投标报价：评标委员会以开标一览表中报价为基础，对其进行算术修正，依据政府采购政策进行价格扣除后，作为投标报价得分计算的依据。</w:t>
            </w:r>
            <w:bookmarkEnd w:id="310"/>
            <w:bookmarkEnd w:id="311"/>
          </w:p>
        </w:tc>
      </w:tr>
      <w:tr w14:paraId="63EC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3" w:type="dxa"/>
            <w:vMerge w:val="restart"/>
            <w:vAlign w:val="center"/>
          </w:tcPr>
          <w:p w14:paraId="3937F360">
            <w:pPr>
              <w:spacing w:line="360" w:lineRule="auto"/>
              <w:jc w:val="center"/>
              <w:outlineLvl w:val="0"/>
              <w:rPr>
                <w:rFonts w:hint="eastAsia" w:ascii="宋体" w:hAnsi="宋体" w:eastAsia="宋体" w:cs="宋体"/>
                <w:color w:val="auto"/>
                <w:sz w:val="24"/>
                <w:szCs w:val="24"/>
                <w:lang w:val="en-US" w:eastAsia="zh-CN"/>
              </w:rPr>
            </w:pPr>
            <w:bookmarkStart w:id="312" w:name="_Toc1498"/>
            <w:bookmarkStart w:id="313" w:name="_Toc16658"/>
            <w:r>
              <w:rPr>
                <w:rFonts w:hint="eastAsia" w:ascii="宋体" w:hAnsi="宋体" w:eastAsia="宋体" w:cs="宋体"/>
                <w:color w:val="auto"/>
                <w:sz w:val="24"/>
                <w:szCs w:val="24"/>
                <w:lang w:val="en-US" w:eastAsia="zh-CN"/>
              </w:rPr>
              <w:t>技术因素（30%）</w:t>
            </w:r>
            <w:bookmarkEnd w:id="312"/>
            <w:bookmarkEnd w:id="313"/>
          </w:p>
        </w:tc>
        <w:tc>
          <w:tcPr>
            <w:tcW w:w="2048" w:type="dxa"/>
            <w:vAlign w:val="center"/>
          </w:tcPr>
          <w:p w14:paraId="66B807D6">
            <w:pPr>
              <w:spacing w:line="360" w:lineRule="auto"/>
              <w:jc w:val="center"/>
              <w:outlineLvl w:val="0"/>
              <w:rPr>
                <w:rFonts w:hint="eastAsia" w:ascii="宋体" w:hAnsi="宋体" w:eastAsia="宋体" w:cs="宋体"/>
                <w:color w:val="auto"/>
                <w:sz w:val="24"/>
                <w:szCs w:val="24"/>
                <w:lang w:val="en-US" w:eastAsia="zh-CN"/>
              </w:rPr>
            </w:pPr>
            <w:bookmarkStart w:id="314" w:name="_Toc9592"/>
            <w:bookmarkStart w:id="315" w:name="_Toc3545"/>
            <w:r>
              <w:rPr>
                <w:rFonts w:hint="eastAsia" w:ascii="宋体" w:hAnsi="宋体" w:eastAsia="宋体" w:cs="宋体"/>
                <w:color w:val="auto"/>
                <w:sz w:val="24"/>
                <w:szCs w:val="24"/>
                <w:lang w:val="en-US" w:eastAsia="zh-CN"/>
              </w:rPr>
              <w:t>技术参数响应</w:t>
            </w:r>
            <w:bookmarkEnd w:id="314"/>
            <w:bookmarkEnd w:id="315"/>
          </w:p>
        </w:tc>
        <w:tc>
          <w:tcPr>
            <w:tcW w:w="923" w:type="dxa"/>
            <w:vAlign w:val="center"/>
          </w:tcPr>
          <w:p w14:paraId="5DB3AEA1">
            <w:pPr>
              <w:spacing w:line="360" w:lineRule="auto"/>
              <w:jc w:val="center"/>
              <w:outlineLvl w:val="0"/>
              <w:rPr>
                <w:rFonts w:hint="eastAsia" w:ascii="宋体" w:hAnsi="宋体" w:eastAsia="宋体" w:cs="宋体"/>
                <w:color w:val="auto"/>
                <w:sz w:val="24"/>
                <w:szCs w:val="24"/>
                <w:lang w:val="en-US" w:eastAsia="zh-CN"/>
              </w:rPr>
            </w:pPr>
            <w:bookmarkStart w:id="316" w:name="_Toc1971"/>
            <w:bookmarkStart w:id="317" w:name="_Toc1319"/>
            <w:r>
              <w:rPr>
                <w:rFonts w:hint="eastAsia" w:ascii="宋体" w:hAnsi="宋体" w:eastAsia="宋体" w:cs="宋体"/>
                <w:color w:val="auto"/>
                <w:sz w:val="24"/>
                <w:szCs w:val="24"/>
                <w:lang w:val="en-US" w:eastAsia="zh-CN"/>
              </w:rPr>
              <w:t>4分</w:t>
            </w:r>
            <w:bookmarkEnd w:id="316"/>
            <w:bookmarkEnd w:id="317"/>
          </w:p>
        </w:tc>
        <w:tc>
          <w:tcPr>
            <w:tcW w:w="5960" w:type="dxa"/>
            <w:vAlign w:val="center"/>
          </w:tcPr>
          <w:p w14:paraId="34BF1889">
            <w:pPr>
              <w:spacing w:line="360" w:lineRule="auto"/>
              <w:ind w:firstLine="480" w:firstLineChars="200"/>
              <w:outlineLvl w:val="0"/>
              <w:rPr>
                <w:rFonts w:hint="eastAsia" w:ascii="宋体" w:hAnsi="宋体" w:eastAsia="宋体" w:cs="宋体"/>
                <w:color w:val="auto"/>
                <w:sz w:val="24"/>
                <w:szCs w:val="24"/>
                <w:lang w:val="en-US" w:eastAsia="zh-CN"/>
              </w:rPr>
            </w:pPr>
            <w:bookmarkStart w:id="318" w:name="_Toc9223"/>
            <w:bookmarkStart w:id="319" w:name="_Toc20592"/>
            <w:r>
              <w:rPr>
                <w:rFonts w:hint="eastAsia" w:ascii="宋体" w:hAnsi="宋体" w:eastAsia="宋体" w:cs="宋体"/>
                <w:color w:val="auto"/>
                <w:sz w:val="24"/>
                <w:szCs w:val="24"/>
                <w:lang w:val="en-US" w:eastAsia="zh-CN"/>
              </w:rPr>
              <w:t>技术参数完全满足招标文件要求得4分；技术参数每负偏离一条扣1分，扣完为止，最高得4分。</w:t>
            </w:r>
            <w:bookmarkEnd w:id="318"/>
            <w:bookmarkEnd w:id="319"/>
          </w:p>
          <w:p w14:paraId="39326BA9">
            <w:pPr>
              <w:spacing w:line="360" w:lineRule="auto"/>
              <w:outlineLvl w:val="0"/>
              <w:rPr>
                <w:rFonts w:hint="eastAsia" w:ascii="宋体" w:hAnsi="宋体" w:eastAsia="宋体" w:cs="宋体"/>
                <w:color w:val="auto"/>
                <w:sz w:val="24"/>
                <w:szCs w:val="24"/>
                <w:lang w:val="en-US" w:eastAsia="zh-CN"/>
              </w:rPr>
            </w:pPr>
            <w:bookmarkStart w:id="320" w:name="_Toc24828"/>
            <w:bookmarkStart w:id="321" w:name="_Toc3809"/>
            <w:r>
              <w:rPr>
                <w:rFonts w:hint="eastAsia" w:ascii="宋体" w:hAnsi="宋体" w:eastAsia="宋体" w:cs="宋体"/>
                <w:color w:val="auto"/>
                <w:sz w:val="24"/>
                <w:szCs w:val="24"/>
                <w:lang w:val="en-US" w:eastAsia="zh-CN"/>
              </w:rPr>
              <w:t>注：技术参数响应指标以投标产品检验报告以及官网截图为准，若投标文件中技术支持资料参数与技术规格偏离表应答不符或无支持资料应答，而供应商又未在投标文件中作出说明和解释的，视为不响应该条技术参数要求。</w:t>
            </w:r>
            <w:bookmarkEnd w:id="320"/>
            <w:bookmarkEnd w:id="321"/>
          </w:p>
        </w:tc>
      </w:tr>
      <w:tr w14:paraId="126A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1363" w:type="dxa"/>
            <w:vMerge w:val="continue"/>
            <w:shd w:val="clear" w:color="auto" w:fill="auto"/>
            <w:vAlign w:val="center"/>
          </w:tcPr>
          <w:p w14:paraId="6489A919">
            <w:pPr>
              <w:spacing w:line="360" w:lineRule="auto"/>
              <w:jc w:val="center"/>
              <w:outlineLvl w:val="0"/>
              <w:rPr>
                <w:rFonts w:hint="eastAsia" w:ascii="宋体" w:hAnsi="宋体" w:eastAsia="宋体" w:cs="宋体"/>
                <w:color w:val="auto"/>
                <w:sz w:val="24"/>
                <w:szCs w:val="24"/>
                <w:lang w:val="en-US" w:eastAsia="zh-CN"/>
              </w:rPr>
            </w:pPr>
          </w:p>
        </w:tc>
        <w:tc>
          <w:tcPr>
            <w:tcW w:w="2048" w:type="dxa"/>
            <w:shd w:val="clear" w:color="auto" w:fill="auto"/>
            <w:vAlign w:val="center"/>
          </w:tcPr>
          <w:p w14:paraId="2F3D5D6E">
            <w:pPr>
              <w:spacing w:line="360" w:lineRule="auto"/>
              <w:jc w:val="center"/>
              <w:outlineLvl w:val="0"/>
              <w:rPr>
                <w:rFonts w:hint="eastAsia" w:ascii="宋体" w:hAnsi="宋体" w:eastAsia="宋体" w:cs="宋体"/>
                <w:color w:val="auto"/>
                <w:sz w:val="24"/>
                <w:szCs w:val="24"/>
                <w:lang w:val="en-US" w:eastAsia="zh-CN"/>
              </w:rPr>
            </w:pPr>
            <w:bookmarkStart w:id="322" w:name="_Toc9617"/>
            <w:bookmarkStart w:id="323" w:name="_Toc5313"/>
            <w:r>
              <w:rPr>
                <w:rFonts w:hint="eastAsia" w:ascii="宋体" w:hAnsi="宋体" w:eastAsia="宋体" w:cs="宋体"/>
                <w:color w:val="auto"/>
                <w:sz w:val="24"/>
                <w:szCs w:val="24"/>
                <w:lang w:val="en-US" w:eastAsia="zh-CN"/>
              </w:rPr>
              <w:t>生产能力</w:t>
            </w:r>
            <w:bookmarkEnd w:id="322"/>
            <w:bookmarkEnd w:id="323"/>
          </w:p>
        </w:tc>
        <w:tc>
          <w:tcPr>
            <w:tcW w:w="923" w:type="dxa"/>
            <w:shd w:val="clear" w:color="auto" w:fill="auto"/>
            <w:vAlign w:val="center"/>
          </w:tcPr>
          <w:p w14:paraId="0A81630D">
            <w:pPr>
              <w:spacing w:line="360" w:lineRule="auto"/>
              <w:jc w:val="center"/>
              <w:outlineLvl w:val="0"/>
              <w:rPr>
                <w:rFonts w:hint="eastAsia" w:ascii="宋体" w:hAnsi="宋体" w:eastAsia="宋体" w:cs="宋体"/>
                <w:color w:val="auto"/>
                <w:sz w:val="24"/>
                <w:szCs w:val="24"/>
                <w:lang w:val="en-US" w:eastAsia="zh-CN"/>
              </w:rPr>
            </w:pPr>
            <w:bookmarkStart w:id="324" w:name="_Toc24051"/>
            <w:bookmarkStart w:id="325" w:name="_Toc19688"/>
            <w:r>
              <w:rPr>
                <w:rFonts w:hint="eastAsia" w:ascii="宋体" w:hAnsi="宋体" w:eastAsia="宋体" w:cs="宋体"/>
                <w:color w:val="auto"/>
                <w:sz w:val="24"/>
                <w:szCs w:val="24"/>
                <w:lang w:val="en-US" w:eastAsia="zh-CN"/>
              </w:rPr>
              <w:t>5分</w:t>
            </w:r>
            <w:bookmarkEnd w:id="324"/>
            <w:bookmarkEnd w:id="325"/>
          </w:p>
        </w:tc>
        <w:tc>
          <w:tcPr>
            <w:tcW w:w="5960" w:type="dxa"/>
            <w:shd w:val="clear" w:color="auto" w:fill="auto"/>
            <w:vAlign w:val="center"/>
          </w:tcPr>
          <w:p w14:paraId="5F8F0C56">
            <w:pPr>
              <w:spacing w:line="360" w:lineRule="auto"/>
              <w:ind w:firstLine="480" w:firstLineChars="200"/>
              <w:outlineLvl w:val="0"/>
              <w:rPr>
                <w:rFonts w:hint="eastAsia" w:ascii="宋体" w:hAnsi="宋体" w:eastAsia="宋体" w:cs="宋体"/>
                <w:color w:val="auto"/>
                <w:sz w:val="24"/>
                <w:szCs w:val="24"/>
                <w:lang w:val="en-US" w:eastAsia="zh-CN"/>
              </w:rPr>
            </w:pPr>
            <w:bookmarkStart w:id="326" w:name="_Toc22169"/>
            <w:bookmarkStart w:id="327" w:name="_Toc334"/>
            <w:r>
              <w:rPr>
                <w:rFonts w:hint="eastAsia" w:ascii="宋体" w:hAnsi="宋体" w:eastAsia="宋体" w:cs="宋体"/>
                <w:color w:val="auto"/>
                <w:sz w:val="24"/>
                <w:szCs w:val="24"/>
                <w:lang w:val="en-US" w:eastAsia="zh-CN"/>
              </w:rPr>
              <w:t>供应商提供投标疫苗2025年1月以来中国兽医药品监察所签发的连续5个批次《兽用生物制品生产与检验报告》。（需同时提供中国兽药信息网国家兽药产品基础数据库批签发数据查询截图）</w:t>
            </w:r>
            <w:bookmarkEnd w:id="326"/>
            <w:bookmarkEnd w:id="327"/>
          </w:p>
          <w:p w14:paraId="7132C13E">
            <w:pPr>
              <w:spacing w:line="360" w:lineRule="auto"/>
              <w:ind w:firstLine="480" w:firstLineChars="200"/>
              <w:outlineLvl w:val="0"/>
              <w:rPr>
                <w:rFonts w:hint="eastAsia" w:ascii="宋体" w:hAnsi="宋体" w:eastAsia="宋体" w:cs="宋体"/>
                <w:color w:val="auto"/>
                <w:sz w:val="24"/>
                <w:szCs w:val="24"/>
                <w:lang w:val="en-US" w:eastAsia="zh-CN"/>
              </w:rPr>
            </w:pPr>
            <w:bookmarkStart w:id="328" w:name="_Toc485"/>
            <w:bookmarkStart w:id="329" w:name="_Toc1992"/>
            <w:r>
              <w:rPr>
                <w:rFonts w:hint="eastAsia" w:ascii="宋体" w:hAnsi="宋体" w:eastAsia="宋体" w:cs="宋体"/>
                <w:color w:val="auto"/>
                <w:sz w:val="24"/>
                <w:szCs w:val="24"/>
                <w:lang w:val="en-US" w:eastAsia="zh-CN"/>
              </w:rPr>
              <w:t>5个批次在30天内生产的得 5分；在60天内生产的得 3 分；在半年内生产的得2分,超过半年生产的或不足5批的得1分。</w:t>
            </w:r>
            <w:bookmarkEnd w:id="328"/>
            <w:bookmarkEnd w:id="329"/>
          </w:p>
        </w:tc>
      </w:tr>
      <w:tr w14:paraId="4310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63" w:type="dxa"/>
            <w:vMerge w:val="continue"/>
            <w:shd w:val="clear" w:color="auto" w:fill="auto"/>
            <w:vAlign w:val="center"/>
          </w:tcPr>
          <w:p w14:paraId="57D02FA3">
            <w:pPr>
              <w:spacing w:line="360" w:lineRule="auto"/>
              <w:jc w:val="center"/>
              <w:outlineLvl w:val="0"/>
              <w:rPr>
                <w:rFonts w:hint="eastAsia" w:ascii="宋体" w:hAnsi="宋体" w:eastAsia="宋体" w:cs="宋体"/>
                <w:color w:val="auto"/>
                <w:sz w:val="24"/>
                <w:szCs w:val="24"/>
                <w:lang w:val="en-US" w:eastAsia="zh-CN"/>
              </w:rPr>
            </w:pPr>
          </w:p>
        </w:tc>
        <w:tc>
          <w:tcPr>
            <w:tcW w:w="2048" w:type="dxa"/>
            <w:shd w:val="clear" w:color="auto" w:fill="auto"/>
            <w:vAlign w:val="center"/>
          </w:tcPr>
          <w:p w14:paraId="69047AAA">
            <w:pPr>
              <w:spacing w:line="360" w:lineRule="auto"/>
              <w:jc w:val="center"/>
              <w:outlineLvl w:val="0"/>
              <w:rPr>
                <w:rFonts w:hint="eastAsia" w:ascii="宋体" w:hAnsi="宋体" w:eastAsia="宋体" w:cs="宋体"/>
                <w:color w:val="auto"/>
                <w:sz w:val="24"/>
                <w:szCs w:val="24"/>
                <w:lang w:val="en-US" w:eastAsia="zh-CN"/>
              </w:rPr>
            </w:pPr>
            <w:bookmarkStart w:id="330" w:name="_Toc19067"/>
            <w:bookmarkStart w:id="331" w:name="_Toc24710"/>
            <w:r>
              <w:rPr>
                <w:rFonts w:hint="eastAsia" w:ascii="宋体" w:hAnsi="宋体" w:eastAsia="宋体" w:cs="宋体"/>
                <w:color w:val="auto"/>
                <w:sz w:val="24"/>
                <w:szCs w:val="24"/>
                <w:lang w:val="en-US" w:eastAsia="zh-CN"/>
              </w:rPr>
              <w:t>活菌数含量</w:t>
            </w:r>
            <w:bookmarkEnd w:id="330"/>
            <w:bookmarkEnd w:id="331"/>
          </w:p>
        </w:tc>
        <w:tc>
          <w:tcPr>
            <w:tcW w:w="923" w:type="dxa"/>
            <w:shd w:val="clear" w:color="auto" w:fill="auto"/>
            <w:vAlign w:val="center"/>
          </w:tcPr>
          <w:p w14:paraId="6D34F1BB">
            <w:pPr>
              <w:spacing w:line="360" w:lineRule="auto"/>
              <w:jc w:val="center"/>
              <w:outlineLvl w:val="0"/>
              <w:rPr>
                <w:rFonts w:hint="eastAsia" w:ascii="宋体" w:hAnsi="宋体" w:eastAsia="宋体" w:cs="宋体"/>
                <w:color w:val="auto"/>
                <w:sz w:val="24"/>
                <w:szCs w:val="24"/>
                <w:lang w:val="en-US" w:eastAsia="zh-CN"/>
              </w:rPr>
            </w:pPr>
            <w:bookmarkStart w:id="332" w:name="_Toc19513"/>
            <w:bookmarkStart w:id="333" w:name="_Toc12987"/>
            <w:r>
              <w:rPr>
                <w:rFonts w:hint="eastAsia" w:ascii="宋体" w:hAnsi="宋体" w:eastAsia="宋体" w:cs="宋体"/>
                <w:color w:val="auto"/>
                <w:sz w:val="24"/>
                <w:szCs w:val="24"/>
                <w:lang w:val="en-US" w:eastAsia="zh-CN"/>
              </w:rPr>
              <w:t>7分</w:t>
            </w:r>
            <w:bookmarkEnd w:id="332"/>
            <w:bookmarkEnd w:id="333"/>
          </w:p>
        </w:tc>
        <w:tc>
          <w:tcPr>
            <w:tcW w:w="5960" w:type="dxa"/>
            <w:shd w:val="clear" w:color="auto" w:fill="auto"/>
            <w:vAlign w:val="center"/>
          </w:tcPr>
          <w:p w14:paraId="148F46D7">
            <w:pPr>
              <w:keepNext w:val="0"/>
              <w:keepLines w:val="0"/>
              <w:widowControl/>
              <w:suppressLineNumbers w:val="0"/>
              <w:spacing w:line="360" w:lineRule="auto"/>
              <w:ind w:firstLine="480" w:firstLineChars="20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布鲁氏菌病活疫苗(BA0711株)活菌计数均达到国家标准，每头份疫苗含活菌数在2.0×10</w:t>
            </w:r>
            <w:r>
              <w:rPr>
                <w:rFonts w:hint="eastAsia" w:ascii="宋体" w:hAnsi="宋体" w:eastAsia="宋体" w:cs="宋体"/>
                <w:color w:val="auto"/>
                <w:kern w:val="0"/>
                <w:sz w:val="40"/>
                <w:szCs w:val="40"/>
                <w:vertAlign w:val="superscript"/>
                <w:lang w:val="en-US" w:eastAsia="zh-CN" w:bidi="ar"/>
              </w:rPr>
              <w:t>9</w:t>
            </w:r>
            <w:r>
              <w:rPr>
                <w:rFonts w:hint="eastAsia" w:ascii="宋体" w:hAnsi="宋体" w:eastAsia="宋体" w:cs="宋体"/>
                <w:color w:val="auto"/>
                <w:kern w:val="0"/>
                <w:sz w:val="24"/>
                <w:szCs w:val="24"/>
                <w:lang w:val="en-US" w:eastAsia="zh-CN" w:bidi="ar"/>
              </w:rPr>
              <w:t>CFU到3.0×10</w:t>
            </w:r>
            <w:r>
              <w:rPr>
                <w:rFonts w:hint="eastAsia" w:ascii="宋体" w:hAnsi="宋体" w:eastAsia="宋体" w:cs="宋体"/>
                <w:color w:val="auto"/>
                <w:kern w:val="0"/>
                <w:sz w:val="40"/>
                <w:szCs w:val="40"/>
                <w:vertAlign w:val="superscript"/>
                <w:lang w:val="en-US" w:eastAsia="zh-CN" w:bidi="ar"/>
              </w:rPr>
              <w:t>9</w:t>
            </w:r>
            <w:r>
              <w:rPr>
                <w:rFonts w:hint="eastAsia" w:ascii="宋体" w:hAnsi="宋体" w:eastAsia="宋体" w:cs="宋体"/>
                <w:color w:val="auto"/>
                <w:kern w:val="0"/>
                <w:sz w:val="24"/>
                <w:szCs w:val="24"/>
                <w:lang w:val="en-US" w:eastAsia="zh-CN" w:bidi="ar"/>
              </w:rPr>
              <w:t>CFU的得7分，</w:t>
            </w:r>
          </w:p>
          <w:p w14:paraId="1A0DD1FA">
            <w:pPr>
              <w:keepNext w:val="0"/>
              <w:keepLines w:val="0"/>
              <w:widowControl/>
              <w:suppressLineNumbers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每头份疫苗含活菌数＜2.0×10</w:t>
            </w:r>
            <w:r>
              <w:rPr>
                <w:rFonts w:hint="eastAsia" w:ascii="宋体" w:hAnsi="宋体" w:eastAsia="宋体" w:cs="宋体"/>
                <w:color w:val="auto"/>
                <w:kern w:val="0"/>
                <w:sz w:val="40"/>
                <w:szCs w:val="40"/>
                <w:vertAlign w:val="superscript"/>
                <w:lang w:val="en-US" w:eastAsia="zh-CN" w:bidi="ar"/>
              </w:rPr>
              <w:t>9</w:t>
            </w:r>
            <w:r>
              <w:rPr>
                <w:rFonts w:hint="eastAsia" w:ascii="宋体" w:hAnsi="宋体" w:eastAsia="宋体" w:cs="宋体"/>
                <w:color w:val="auto"/>
                <w:kern w:val="0"/>
                <w:sz w:val="24"/>
                <w:szCs w:val="24"/>
                <w:lang w:val="en-US" w:eastAsia="zh-CN" w:bidi="ar"/>
              </w:rPr>
              <w:t>CFU或＞3.0×10</w:t>
            </w:r>
            <w:r>
              <w:rPr>
                <w:rFonts w:hint="eastAsia" w:ascii="宋体" w:hAnsi="宋体" w:eastAsia="宋体" w:cs="宋体"/>
                <w:color w:val="auto"/>
                <w:kern w:val="0"/>
                <w:sz w:val="40"/>
                <w:szCs w:val="40"/>
                <w:vertAlign w:val="superscript"/>
                <w:lang w:val="en-US" w:eastAsia="zh-CN" w:bidi="ar"/>
              </w:rPr>
              <w:t>9</w:t>
            </w:r>
            <w:r>
              <w:rPr>
                <w:rFonts w:hint="eastAsia" w:ascii="宋体" w:hAnsi="宋体" w:eastAsia="宋体" w:cs="宋体"/>
                <w:color w:val="auto"/>
                <w:kern w:val="0"/>
                <w:sz w:val="24"/>
                <w:szCs w:val="24"/>
                <w:lang w:val="en-US" w:eastAsia="zh-CN" w:bidi="ar"/>
              </w:rPr>
              <w:t xml:space="preserve">CFU均不得分； </w:t>
            </w:r>
          </w:p>
        </w:tc>
      </w:tr>
      <w:tr w14:paraId="1AED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3" w:hRule="atLeast"/>
          <w:jc w:val="center"/>
        </w:trPr>
        <w:tc>
          <w:tcPr>
            <w:tcW w:w="1363" w:type="dxa"/>
            <w:vMerge w:val="continue"/>
            <w:shd w:val="clear" w:color="auto" w:fill="auto"/>
            <w:vAlign w:val="center"/>
          </w:tcPr>
          <w:p w14:paraId="6620221B">
            <w:pPr>
              <w:spacing w:line="360" w:lineRule="auto"/>
              <w:jc w:val="center"/>
              <w:outlineLvl w:val="0"/>
              <w:rPr>
                <w:rFonts w:hint="eastAsia" w:ascii="宋体" w:hAnsi="宋体" w:eastAsia="宋体" w:cs="宋体"/>
                <w:color w:val="auto"/>
                <w:sz w:val="24"/>
                <w:szCs w:val="24"/>
                <w:lang w:val="en-US" w:eastAsia="zh-CN"/>
              </w:rPr>
            </w:pPr>
          </w:p>
        </w:tc>
        <w:tc>
          <w:tcPr>
            <w:tcW w:w="2048" w:type="dxa"/>
            <w:shd w:val="clear" w:color="auto" w:fill="auto"/>
            <w:vAlign w:val="center"/>
          </w:tcPr>
          <w:p w14:paraId="2972AAE3">
            <w:pPr>
              <w:spacing w:line="360" w:lineRule="auto"/>
              <w:jc w:val="center"/>
              <w:outlineLvl w:val="0"/>
              <w:rPr>
                <w:rFonts w:hint="eastAsia" w:ascii="宋体" w:hAnsi="宋体" w:eastAsia="宋体" w:cs="宋体"/>
                <w:color w:val="auto"/>
                <w:sz w:val="24"/>
                <w:szCs w:val="24"/>
                <w:lang w:val="en-US" w:eastAsia="zh-CN"/>
              </w:rPr>
            </w:pPr>
            <w:bookmarkStart w:id="334" w:name="_Toc14347"/>
            <w:r>
              <w:rPr>
                <w:rFonts w:hint="eastAsia" w:ascii="宋体" w:hAnsi="宋体" w:eastAsia="宋体" w:cs="宋体"/>
                <w:color w:val="auto"/>
                <w:sz w:val="24"/>
                <w:szCs w:val="24"/>
                <w:lang w:val="en-US" w:eastAsia="zh-CN"/>
              </w:rPr>
              <w:t>产品质量控制</w:t>
            </w:r>
            <w:bookmarkEnd w:id="334"/>
          </w:p>
        </w:tc>
        <w:tc>
          <w:tcPr>
            <w:tcW w:w="923" w:type="dxa"/>
            <w:shd w:val="clear" w:color="auto" w:fill="auto"/>
            <w:vAlign w:val="center"/>
          </w:tcPr>
          <w:p w14:paraId="2A43899A">
            <w:pPr>
              <w:spacing w:line="360" w:lineRule="auto"/>
              <w:jc w:val="center"/>
              <w:outlineLvl w:val="0"/>
              <w:rPr>
                <w:rFonts w:hint="eastAsia" w:ascii="宋体" w:hAnsi="宋体" w:eastAsia="宋体" w:cs="宋体"/>
                <w:color w:val="auto"/>
                <w:sz w:val="24"/>
                <w:szCs w:val="24"/>
                <w:lang w:val="en-US" w:eastAsia="zh-CN"/>
              </w:rPr>
            </w:pPr>
            <w:bookmarkStart w:id="335" w:name="_Toc30149"/>
            <w:r>
              <w:rPr>
                <w:rFonts w:hint="eastAsia" w:ascii="宋体" w:hAnsi="宋体" w:eastAsia="宋体" w:cs="宋体"/>
                <w:color w:val="auto"/>
                <w:sz w:val="24"/>
                <w:szCs w:val="24"/>
                <w:lang w:val="en-US" w:eastAsia="zh-CN"/>
              </w:rPr>
              <w:t>5分</w:t>
            </w:r>
            <w:bookmarkEnd w:id="335"/>
          </w:p>
        </w:tc>
        <w:tc>
          <w:tcPr>
            <w:tcW w:w="5960" w:type="dxa"/>
            <w:shd w:val="clear" w:color="auto" w:fill="auto"/>
            <w:vAlign w:val="center"/>
          </w:tcPr>
          <w:p w14:paraId="286BD29D">
            <w:pPr>
              <w:spacing w:line="360" w:lineRule="auto"/>
              <w:ind w:firstLine="480" w:firstLineChars="200"/>
              <w:outlineLvl w:val="0"/>
              <w:rPr>
                <w:rFonts w:hint="eastAsia" w:ascii="宋体" w:hAnsi="宋体" w:eastAsia="宋体" w:cs="宋体"/>
                <w:color w:val="auto"/>
                <w:sz w:val="24"/>
                <w:szCs w:val="24"/>
                <w:lang w:val="en-US" w:eastAsia="zh-CN"/>
              </w:rPr>
            </w:pPr>
            <w:bookmarkStart w:id="336" w:name="_Toc20280"/>
            <w:r>
              <w:rPr>
                <w:rFonts w:hint="eastAsia" w:ascii="宋体" w:hAnsi="宋体" w:eastAsia="宋体" w:cs="宋体"/>
                <w:color w:val="auto"/>
                <w:sz w:val="24"/>
                <w:szCs w:val="24"/>
                <w:lang w:val="en-US" w:eastAsia="zh-CN"/>
              </w:rPr>
              <w:t>1、优质原、辅材料（3分）：供应商提供2025年所投产品使用佐剂等优质原、辅料购货清单或供货合同的，得1分，未提供不得分：提供优质原辅料足量用于实际生产的佐证资料的，得1分，未提供不得分。</w:t>
            </w:r>
            <w:bookmarkEnd w:id="336"/>
          </w:p>
          <w:p w14:paraId="6640D4F6">
            <w:pPr>
              <w:spacing w:line="360" w:lineRule="auto"/>
              <w:ind w:firstLine="480" w:firstLineChars="200"/>
              <w:outlineLvl w:val="0"/>
              <w:rPr>
                <w:rFonts w:hint="eastAsia" w:ascii="宋体" w:hAnsi="宋体" w:eastAsia="宋体" w:cs="宋体"/>
                <w:color w:val="auto"/>
                <w:sz w:val="24"/>
                <w:szCs w:val="24"/>
                <w:lang w:val="en-US" w:eastAsia="zh-CN"/>
              </w:rPr>
            </w:pPr>
            <w:bookmarkStart w:id="337" w:name="_Toc2155"/>
            <w:r>
              <w:rPr>
                <w:rFonts w:hint="eastAsia" w:ascii="宋体" w:hAnsi="宋体" w:eastAsia="宋体" w:cs="宋体"/>
                <w:color w:val="auto"/>
                <w:sz w:val="24"/>
                <w:szCs w:val="24"/>
                <w:lang w:val="en-US" w:eastAsia="zh-CN"/>
              </w:rPr>
              <w:t>2、供应商提供地市级以上农业农村（畜牧兽医）部门或动物防疫机构出具的2025年1月以来类似产品使用效果合格的反馈报告，每提供1份得0.2分，最高得2分。</w:t>
            </w:r>
            <w:bookmarkEnd w:id="337"/>
          </w:p>
        </w:tc>
      </w:tr>
      <w:tr w14:paraId="502F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363" w:type="dxa"/>
            <w:vMerge w:val="continue"/>
            <w:shd w:val="clear" w:color="auto" w:fill="auto"/>
            <w:vAlign w:val="center"/>
          </w:tcPr>
          <w:p w14:paraId="797DFF07">
            <w:pPr>
              <w:spacing w:line="360" w:lineRule="auto"/>
              <w:jc w:val="center"/>
              <w:outlineLvl w:val="0"/>
              <w:rPr>
                <w:rFonts w:hint="eastAsia" w:ascii="宋体" w:hAnsi="宋体" w:eastAsia="宋体" w:cs="宋体"/>
                <w:color w:val="auto"/>
                <w:sz w:val="24"/>
                <w:szCs w:val="24"/>
                <w:lang w:val="en-US" w:eastAsia="zh-CN"/>
              </w:rPr>
            </w:pPr>
          </w:p>
        </w:tc>
        <w:tc>
          <w:tcPr>
            <w:tcW w:w="2048" w:type="dxa"/>
            <w:shd w:val="clear" w:color="auto" w:fill="auto"/>
            <w:vAlign w:val="center"/>
          </w:tcPr>
          <w:p w14:paraId="41F8070A">
            <w:pPr>
              <w:spacing w:line="360" w:lineRule="auto"/>
              <w:jc w:val="center"/>
              <w:outlineLvl w:val="0"/>
              <w:rPr>
                <w:rFonts w:hint="eastAsia" w:ascii="宋体" w:hAnsi="宋体" w:eastAsia="宋体" w:cs="宋体"/>
                <w:color w:val="auto"/>
                <w:sz w:val="24"/>
                <w:szCs w:val="24"/>
                <w:lang w:val="en-US" w:eastAsia="zh-CN"/>
              </w:rPr>
            </w:pPr>
            <w:bookmarkStart w:id="338" w:name="_Toc21465"/>
            <w:bookmarkStart w:id="339" w:name="_Toc5511"/>
            <w:r>
              <w:rPr>
                <w:rFonts w:hint="eastAsia" w:ascii="宋体" w:hAnsi="宋体" w:eastAsia="宋体" w:cs="宋体"/>
                <w:color w:val="auto"/>
                <w:sz w:val="24"/>
                <w:szCs w:val="24"/>
                <w:lang w:val="en-US" w:eastAsia="zh-CN"/>
              </w:rPr>
              <w:t>企业研发实力</w:t>
            </w:r>
            <w:bookmarkEnd w:id="338"/>
            <w:bookmarkEnd w:id="339"/>
          </w:p>
        </w:tc>
        <w:tc>
          <w:tcPr>
            <w:tcW w:w="923" w:type="dxa"/>
            <w:shd w:val="clear" w:color="auto" w:fill="auto"/>
            <w:vAlign w:val="center"/>
          </w:tcPr>
          <w:p w14:paraId="625978A8">
            <w:pPr>
              <w:spacing w:line="360" w:lineRule="auto"/>
              <w:jc w:val="center"/>
              <w:outlineLvl w:val="0"/>
              <w:rPr>
                <w:rFonts w:hint="eastAsia" w:ascii="宋体" w:hAnsi="宋体" w:eastAsia="宋体" w:cs="宋体"/>
                <w:color w:val="auto"/>
                <w:sz w:val="24"/>
                <w:szCs w:val="24"/>
                <w:lang w:val="en-US" w:eastAsia="zh-CN"/>
              </w:rPr>
            </w:pPr>
            <w:bookmarkStart w:id="340" w:name="_Toc27724"/>
            <w:bookmarkStart w:id="341" w:name="_Toc30064"/>
            <w:r>
              <w:rPr>
                <w:rFonts w:hint="eastAsia" w:ascii="宋体" w:hAnsi="宋体" w:eastAsia="宋体" w:cs="宋体"/>
                <w:color w:val="auto"/>
                <w:sz w:val="24"/>
                <w:szCs w:val="24"/>
                <w:lang w:val="en-US" w:eastAsia="zh-CN"/>
              </w:rPr>
              <w:t>5分</w:t>
            </w:r>
            <w:bookmarkEnd w:id="340"/>
            <w:bookmarkEnd w:id="341"/>
          </w:p>
        </w:tc>
        <w:tc>
          <w:tcPr>
            <w:tcW w:w="5960" w:type="dxa"/>
            <w:shd w:val="clear" w:color="auto" w:fill="auto"/>
            <w:vAlign w:val="center"/>
          </w:tcPr>
          <w:p w14:paraId="665D1C3C">
            <w:pPr>
              <w:spacing w:line="360" w:lineRule="auto"/>
              <w:outlineLvl w:val="0"/>
              <w:rPr>
                <w:rFonts w:hint="eastAsia" w:ascii="宋体" w:hAnsi="宋体" w:eastAsia="宋体" w:cs="宋体"/>
                <w:color w:val="auto"/>
                <w:sz w:val="24"/>
                <w:szCs w:val="24"/>
                <w:lang w:val="en-US" w:eastAsia="zh-CN"/>
              </w:rPr>
            </w:pPr>
            <w:bookmarkStart w:id="342" w:name="_Toc2620"/>
            <w:bookmarkStart w:id="343" w:name="_Toc24628"/>
            <w:r>
              <w:rPr>
                <w:rFonts w:hint="eastAsia" w:ascii="宋体" w:hAnsi="宋体" w:eastAsia="宋体" w:cs="宋体"/>
                <w:color w:val="auto"/>
                <w:sz w:val="24"/>
                <w:szCs w:val="24"/>
                <w:lang w:val="en-US" w:eastAsia="zh-CN"/>
              </w:rPr>
              <w:t>对于所投产品的研发实力、技术革新或专利（5分）：</w:t>
            </w:r>
            <w:bookmarkEnd w:id="342"/>
            <w:bookmarkEnd w:id="343"/>
          </w:p>
          <w:p w14:paraId="531A6226">
            <w:pPr>
              <w:spacing w:line="360" w:lineRule="auto"/>
              <w:ind w:firstLine="480" w:firstLineChars="200"/>
              <w:outlineLvl w:val="0"/>
              <w:rPr>
                <w:rFonts w:hint="eastAsia" w:ascii="宋体" w:hAnsi="宋体" w:eastAsia="宋体" w:cs="宋体"/>
                <w:color w:val="auto"/>
                <w:sz w:val="24"/>
                <w:szCs w:val="24"/>
                <w:lang w:val="en-US" w:eastAsia="zh-CN"/>
              </w:rPr>
            </w:pPr>
            <w:bookmarkStart w:id="344" w:name="_Toc3988"/>
            <w:bookmarkStart w:id="345" w:name="_Toc10078"/>
            <w:r>
              <w:rPr>
                <w:rFonts w:hint="eastAsia" w:ascii="宋体" w:hAnsi="宋体" w:eastAsia="宋体" w:cs="宋体"/>
                <w:color w:val="auto"/>
                <w:sz w:val="24"/>
                <w:szCs w:val="24"/>
                <w:lang w:val="en-US" w:eastAsia="zh-CN"/>
              </w:rPr>
              <w:t>1、投标企业获得“国家认定企业技术中心”的得2分，没有的不得分（提供证明材料）；</w:t>
            </w:r>
            <w:bookmarkEnd w:id="344"/>
            <w:bookmarkEnd w:id="345"/>
          </w:p>
          <w:p w14:paraId="2F80E980">
            <w:pPr>
              <w:spacing w:line="360" w:lineRule="auto"/>
              <w:ind w:firstLine="480" w:firstLineChars="200"/>
              <w:outlineLvl w:val="0"/>
              <w:rPr>
                <w:rFonts w:hint="eastAsia" w:ascii="宋体" w:hAnsi="宋体" w:eastAsia="宋体" w:cs="宋体"/>
                <w:color w:val="auto"/>
                <w:sz w:val="24"/>
                <w:szCs w:val="24"/>
                <w:lang w:val="en-US" w:eastAsia="zh-CN"/>
              </w:rPr>
            </w:pPr>
            <w:bookmarkStart w:id="346" w:name="_Toc25352"/>
            <w:bookmarkStart w:id="347" w:name="_Toc5655"/>
            <w:r>
              <w:rPr>
                <w:rFonts w:hint="eastAsia" w:ascii="宋体" w:hAnsi="宋体" w:eastAsia="宋体" w:cs="宋体"/>
                <w:color w:val="auto"/>
                <w:sz w:val="24"/>
                <w:szCs w:val="24"/>
                <w:lang w:val="en-US" w:eastAsia="zh-CN"/>
              </w:rPr>
              <w:t>2、对于所投产品获得国家发明专利技术的有一项得0.5分，最高得2分（提供证明材料）；</w:t>
            </w:r>
            <w:bookmarkEnd w:id="346"/>
            <w:bookmarkEnd w:id="347"/>
          </w:p>
          <w:p w14:paraId="069E38C0">
            <w:pPr>
              <w:spacing w:line="360" w:lineRule="auto"/>
              <w:ind w:firstLine="480" w:firstLineChars="200"/>
              <w:outlineLvl w:val="0"/>
              <w:rPr>
                <w:rFonts w:hint="eastAsia" w:ascii="宋体" w:hAnsi="宋体" w:eastAsia="宋体" w:cs="宋体"/>
                <w:color w:val="auto"/>
                <w:sz w:val="24"/>
                <w:szCs w:val="24"/>
                <w:lang w:val="en-US" w:eastAsia="zh-CN"/>
              </w:rPr>
            </w:pPr>
            <w:bookmarkStart w:id="348" w:name="_Toc29222"/>
            <w:bookmarkStart w:id="349" w:name="_Toc28701"/>
            <w:r>
              <w:rPr>
                <w:rFonts w:hint="eastAsia" w:ascii="宋体" w:hAnsi="宋体" w:eastAsia="宋体" w:cs="宋体"/>
                <w:color w:val="auto"/>
                <w:sz w:val="24"/>
                <w:szCs w:val="24"/>
                <w:lang w:val="en-US" w:eastAsia="zh-CN"/>
              </w:rPr>
              <w:t>3、对于所投产品技术革新或新成果：有国家有关部门或农业农村部认可的项目和成果的，1项得0.5分，没有不得分，最高得1分（提供证明材料）。</w:t>
            </w:r>
            <w:bookmarkEnd w:id="348"/>
            <w:bookmarkEnd w:id="349"/>
          </w:p>
        </w:tc>
      </w:tr>
      <w:tr w14:paraId="796C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63" w:type="dxa"/>
            <w:vMerge w:val="continue"/>
            <w:shd w:val="clear" w:color="auto" w:fill="auto"/>
            <w:vAlign w:val="center"/>
          </w:tcPr>
          <w:p w14:paraId="2A73864E">
            <w:pPr>
              <w:spacing w:line="360" w:lineRule="auto"/>
              <w:jc w:val="center"/>
              <w:outlineLvl w:val="0"/>
              <w:rPr>
                <w:rFonts w:hint="eastAsia" w:ascii="宋体" w:hAnsi="宋体" w:eastAsia="宋体" w:cs="宋体"/>
                <w:color w:val="auto"/>
                <w:sz w:val="24"/>
                <w:szCs w:val="24"/>
                <w:lang w:val="en-US" w:eastAsia="zh-CN"/>
              </w:rPr>
            </w:pPr>
          </w:p>
        </w:tc>
        <w:tc>
          <w:tcPr>
            <w:tcW w:w="2048" w:type="dxa"/>
            <w:shd w:val="clear" w:color="auto" w:fill="auto"/>
            <w:vAlign w:val="center"/>
          </w:tcPr>
          <w:p w14:paraId="6F4642E7">
            <w:pPr>
              <w:spacing w:line="360" w:lineRule="auto"/>
              <w:jc w:val="center"/>
              <w:outlineLvl w:val="0"/>
              <w:rPr>
                <w:rFonts w:hint="eastAsia" w:ascii="宋体" w:hAnsi="宋体" w:eastAsia="宋体" w:cs="宋体"/>
                <w:color w:val="auto"/>
                <w:sz w:val="24"/>
                <w:szCs w:val="24"/>
                <w:lang w:val="en-US" w:eastAsia="zh-CN"/>
              </w:rPr>
            </w:pPr>
            <w:bookmarkStart w:id="350" w:name="_Toc19596"/>
            <w:bookmarkStart w:id="351" w:name="_Toc14828"/>
            <w:r>
              <w:rPr>
                <w:rFonts w:hint="eastAsia" w:ascii="宋体" w:hAnsi="宋体" w:eastAsia="宋体" w:cs="宋体"/>
                <w:color w:val="auto"/>
                <w:sz w:val="24"/>
                <w:szCs w:val="24"/>
                <w:lang w:val="en-US" w:eastAsia="zh-CN"/>
              </w:rPr>
              <w:t>冷链运输</w:t>
            </w:r>
            <w:bookmarkEnd w:id="350"/>
            <w:bookmarkEnd w:id="351"/>
          </w:p>
        </w:tc>
        <w:tc>
          <w:tcPr>
            <w:tcW w:w="923" w:type="dxa"/>
            <w:shd w:val="clear" w:color="auto" w:fill="auto"/>
            <w:vAlign w:val="center"/>
          </w:tcPr>
          <w:p w14:paraId="6BD44EC9">
            <w:pPr>
              <w:spacing w:line="360" w:lineRule="auto"/>
              <w:jc w:val="center"/>
              <w:outlineLvl w:val="0"/>
              <w:rPr>
                <w:rFonts w:hint="eastAsia" w:ascii="宋体" w:hAnsi="宋体" w:eastAsia="宋体" w:cs="宋体"/>
                <w:color w:val="auto"/>
                <w:sz w:val="24"/>
                <w:szCs w:val="24"/>
                <w:lang w:val="en-US" w:eastAsia="zh-CN"/>
              </w:rPr>
            </w:pPr>
            <w:bookmarkStart w:id="352" w:name="_Toc31118"/>
            <w:bookmarkStart w:id="353" w:name="_Toc13709"/>
            <w:r>
              <w:rPr>
                <w:rFonts w:hint="eastAsia" w:ascii="宋体" w:hAnsi="宋体" w:eastAsia="宋体" w:cs="宋体"/>
                <w:color w:val="auto"/>
                <w:sz w:val="24"/>
                <w:szCs w:val="24"/>
                <w:lang w:val="en-US" w:eastAsia="zh-CN"/>
              </w:rPr>
              <w:t>3分</w:t>
            </w:r>
            <w:bookmarkEnd w:id="352"/>
            <w:bookmarkEnd w:id="353"/>
          </w:p>
        </w:tc>
        <w:tc>
          <w:tcPr>
            <w:tcW w:w="5960" w:type="dxa"/>
            <w:shd w:val="clear" w:color="auto" w:fill="auto"/>
            <w:vAlign w:val="center"/>
          </w:tcPr>
          <w:p w14:paraId="6DC2838C">
            <w:pPr>
              <w:spacing w:line="360" w:lineRule="auto"/>
              <w:ind w:firstLine="480" w:firstLineChars="200"/>
              <w:outlineLvl w:val="0"/>
              <w:rPr>
                <w:rFonts w:hint="eastAsia" w:ascii="宋体" w:hAnsi="宋体" w:eastAsia="宋体" w:cs="宋体"/>
                <w:color w:val="auto"/>
                <w:sz w:val="24"/>
                <w:szCs w:val="24"/>
                <w:lang w:val="en-US" w:eastAsia="zh-CN"/>
              </w:rPr>
            </w:pPr>
            <w:bookmarkStart w:id="354" w:name="_Toc21869"/>
            <w:bookmarkStart w:id="355" w:name="_Toc918"/>
            <w:r>
              <w:rPr>
                <w:rFonts w:hint="eastAsia" w:ascii="宋体" w:hAnsi="宋体" w:eastAsia="宋体" w:cs="宋体"/>
                <w:color w:val="auto"/>
                <w:sz w:val="24"/>
                <w:szCs w:val="24"/>
                <w:lang w:val="en-US" w:eastAsia="zh-CN"/>
              </w:rPr>
              <w:t>1、供应商提供包含冷链运输方式、全程温度管理、突发事件处理等方面内容的冷链运输方案的，得1分；</w:t>
            </w:r>
            <w:bookmarkEnd w:id="354"/>
            <w:bookmarkEnd w:id="355"/>
          </w:p>
          <w:p w14:paraId="5F6BA61A">
            <w:pPr>
              <w:spacing w:line="360" w:lineRule="auto"/>
              <w:ind w:firstLine="480" w:firstLineChars="200"/>
              <w:outlineLvl w:val="0"/>
              <w:rPr>
                <w:rFonts w:hint="eastAsia" w:ascii="宋体" w:hAnsi="宋体" w:eastAsia="宋体" w:cs="宋体"/>
                <w:color w:val="auto"/>
                <w:sz w:val="24"/>
                <w:szCs w:val="24"/>
                <w:lang w:val="en-US" w:eastAsia="zh-CN"/>
              </w:rPr>
            </w:pPr>
            <w:bookmarkStart w:id="356" w:name="_Toc9139"/>
            <w:bookmarkStart w:id="357" w:name="_Toc8515"/>
            <w:r>
              <w:rPr>
                <w:rFonts w:hint="eastAsia" w:ascii="宋体" w:hAnsi="宋体" w:eastAsia="宋体" w:cs="宋体"/>
                <w:color w:val="auto"/>
                <w:sz w:val="24"/>
                <w:szCs w:val="24"/>
                <w:lang w:val="en-US" w:eastAsia="zh-CN"/>
              </w:rPr>
              <w:t>2、根据供应商提供的2025年1月以来有疫苗冷链保障体系、有全过程冷链储运记录的证明材料的，有一套完整材料的得0.5分，满分2分。</w:t>
            </w:r>
            <w:bookmarkEnd w:id="356"/>
            <w:bookmarkEnd w:id="357"/>
          </w:p>
        </w:tc>
      </w:tr>
      <w:tr w14:paraId="26AE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363" w:type="dxa"/>
            <w:vMerge w:val="continue"/>
            <w:shd w:val="clear" w:color="auto" w:fill="auto"/>
            <w:vAlign w:val="center"/>
          </w:tcPr>
          <w:p w14:paraId="419CE4D5">
            <w:pPr>
              <w:spacing w:line="360" w:lineRule="auto"/>
              <w:jc w:val="center"/>
              <w:outlineLvl w:val="0"/>
              <w:rPr>
                <w:rFonts w:hint="eastAsia" w:ascii="宋体" w:hAnsi="宋体" w:eastAsia="宋体" w:cs="宋体"/>
                <w:color w:val="auto"/>
                <w:sz w:val="24"/>
                <w:szCs w:val="24"/>
                <w:lang w:val="en-US" w:eastAsia="zh-CN"/>
              </w:rPr>
            </w:pPr>
          </w:p>
        </w:tc>
        <w:tc>
          <w:tcPr>
            <w:tcW w:w="2048" w:type="dxa"/>
            <w:shd w:val="clear" w:color="auto" w:fill="auto"/>
            <w:vAlign w:val="center"/>
          </w:tcPr>
          <w:p w14:paraId="1473830B">
            <w:pPr>
              <w:spacing w:line="360" w:lineRule="auto"/>
              <w:jc w:val="center"/>
              <w:outlineLvl w:val="0"/>
              <w:rPr>
                <w:rFonts w:hint="eastAsia" w:ascii="宋体" w:hAnsi="宋体" w:eastAsia="宋体" w:cs="宋体"/>
                <w:color w:val="auto"/>
                <w:sz w:val="24"/>
                <w:szCs w:val="24"/>
                <w:lang w:val="en-US" w:eastAsia="zh-CN"/>
              </w:rPr>
            </w:pPr>
            <w:bookmarkStart w:id="358" w:name="_Toc2081"/>
            <w:bookmarkStart w:id="359" w:name="_Toc15523"/>
            <w:r>
              <w:rPr>
                <w:rFonts w:hint="eastAsia" w:ascii="宋体" w:hAnsi="宋体" w:eastAsia="宋体" w:cs="宋体"/>
                <w:color w:val="auto"/>
                <w:sz w:val="24"/>
                <w:szCs w:val="24"/>
                <w:lang w:val="en-US" w:eastAsia="zh-CN"/>
              </w:rPr>
              <w:t>产品保险</w:t>
            </w:r>
            <w:bookmarkEnd w:id="358"/>
            <w:bookmarkEnd w:id="359"/>
          </w:p>
        </w:tc>
        <w:tc>
          <w:tcPr>
            <w:tcW w:w="923" w:type="dxa"/>
            <w:shd w:val="clear" w:color="auto" w:fill="auto"/>
            <w:vAlign w:val="center"/>
          </w:tcPr>
          <w:p w14:paraId="6D3C93DE">
            <w:pPr>
              <w:spacing w:line="360" w:lineRule="auto"/>
              <w:jc w:val="center"/>
              <w:outlineLvl w:val="0"/>
              <w:rPr>
                <w:rFonts w:hint="eastAsia" w:ascii="宋体" w:hAnsi="宋体" w:eastAsia="宋体" w:cs="宋体"/>
                <w:color w:val="auto"/>
                <w:sz w:val="24"/>
                <w:szCs w:val="24"/>
                <w:lang w:val="en-US" w:eastAsia="zh-CN"/>
              </w:rPr>
            </w:pPr>
            <w:bookmarkStart w:id="360" w:name="_Toc31299"/>
            <w:bookmarkStart w:id="361" w:name="_Toc32315"/>
            <w:r>
              <w:rPr>
                <w:rFonts w:hint="eastAsia" w:ascii="宋体" w:hAnsi="宋体" w:eastAsia="宋体" w:cs="宋体"/>
                <w:color w:val="auto"/>
                <w:sz w:val="24"/>
                <w:szCs w:val="24"/>
                <w:lang w:val="en-US" w:eastAsia="zh-CN"/>
              </w:rPr>
              <w:t>1分</w:t>
            </w:r>
            <w:bookmarkEnd w:id="360"/>
            <w:bookmarkEnd w:id="361"/>
          </w:p>
        </w:tc>
        <w:tc>
          <w:tcPr>
            <w:tcW w:w="5960" w:type="dxa"/>
            <w:shd w:val="clear" w:color="auto" w:fill="auto"/>
            <w:vAlign w:val="center"/>
          </w:tcPr>
          <w:p w14:paraId="0A9A5365">
            <w:pPr>
              <w:spacing w:line="360" w:lineRule="auto"/>
              <w:ind w:firstLine="480" w:firstLineChars="200"/>
              <w:outlineLvl w:val="0"/>
              <w:rPr>
                <w:rFonts w:hint="eastAsia" w:ascii="宋体" w:hAnsi="宋体" w:eastAsia="宋体" w:cs="宋体"/>
                <w:color w:val="auto"/>
                <w:sz w:val="24"/>
                <w:szCs w:val="24"/>
                <w:lang w:val="en-US" w:eastAsia="zh-CN"/>
              </w:rPr>
            </w:pPr>
            <w:bookmarkStart w:id="362" w:name="_Toc15450"/>
            <w:bookmarkStart w:id="363" w:name="_Toc3368"/>
            <w:r>
              <w:rPr>
                <w:rFonts w:hint="eastAsia" w:ascii="宋体" w:hAnsi="宋体" w:eastAsia="宋体" w:cs="宋体"/>
                <w:color w:val="auto"/>
                <w:sz w:val="24"/>
                <w:szCs w:val="24"/>
                <w:lang w:val="en-US" w:eastAsia="zh-CN"/>
              </w:rPr>
              <w:t>提供所投产品有在保险有效期内的产品投保证明（须提供有效的证明材料）得1分，没有或过期的不得分（满分1分）</w:t>
            </w:r>
            <w:bookmarkEnd w:id="362"/>
            <w:bookmarkEnd w:id="363"/>
          </w:p>
        </w:tc>
      </w:tr>
      <w:tr w14:paraId="0C09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3" w:type="dxa"/>
            <w:vMerge w:val="restart"/>
            <w:shd w:val="clear" w:color="auto" w:fill="auto"/>
            <w:vAlign w:val="center"/>
          </w:tcPr>
          <w:p w14:paraId="4A68AADB">
            <w:pPr>
              <w:spacing w:line="360" w:lineRule="auto"/>
              <w:jc w:val="center"/>
              <w:outlineLvl w:val="0"/>
              <w:rPr>
                <w:rFonts w:hint="eastAsia" w:ascii="宋体" w:hAnsi="宋体" w:eastAsia="宋体" w:cs="宋体"/>
                <w:color w:val="auto"/>
                <w:sz w:val="24"/>
                <w:szCs w:val="24"/>
                <w:lang w:val="en-US" w:eastAsia="zh-CN"/>
              </w:rPr>
            </w:pPr>
            <w:bookmarkStart w:id="364" w:name="_Toc14965"/>
            <w:bookmarkStart w:id="365" w:name="_Toc18060"/>
            <w:r>
              <w:rPr>
                <w:rFonts w:hint="eastAsia" w:ascii="宋体" w:hAnsi="宋体" w:eastAsia="宋体" w:cs="宋体"/>
                <w:color w:val="auto"/>
                <w:sz w:val="24"/>
                <w:szCs w:val="24"/>
                <w:lang w:val="en-US" w:eastAsia="zh-CN"/>
              </w:rPr>
              <w:t>商务因素（40%）</w:t>
            </w:r>
            <w:bookmarkEnd w:id="364"/>
            <w:bookmarkEnd w:id="365"/>
          </w:p>
        </w:tc>
        <w:tc>
          <w:tcPr>
            <w:tcW w:w="2048" w:type="dxa"/>
            <w:shd w:val="clear" w:color="auto" w:fill="auto"/>
            <w:vAlign w:val="center"/>
          </w:tcPr>
          <w:p w14:paraId="66AFD7A2">
            <w:pPr>
              <w:spacing w:line="360" w:lineRule="auto"/>
              <w:jc w:val="center"/>
              <w:outlineLvl w:val="0"/>
              <w:rPr>
                <w:rFonts w:hint="eastAsia" w:ascii="宋体" w:hAnsi="宋体" w:eastAsia="宋体" w:cs="宋体"/>
                <w:color w:val="auto"/>
                <w:sz w:val="24"/>
                <w:szCs w:val="24"/>
                <w:lang w:val="en-US" w:eastAsia="zh-CN"/>
              </w:rPr>
            </w:pPr>
            <w:bookmarkStart w:id="366" w:name="_Toc10436"/>
            <w:r>
              <w:rPr>
                <w:rFonts w:hint="eastAsia" w:ascii="宋体" w:hAnsi="宋体" w:eastAsia="宋体" w:cs="宋体"/>
                <w:color w:val="auto"/>
                <w:sz w:val="24"/>
                <w:szCs w:val="24"/>
                <w:lang w:val="en-US" w:eastAsia="zh-CN"/>
              </w:rPr>
              <w:t>产品业绩</w:t>
            </w:r>
            <w:bookmarkEnd w:id="366"/>
          </w:p>
        </w:tc>
        <w:tc>
          <w:tcPr>
            <w:tcW w:w="923" w:type="dxa"/>
            <w:shd w:val="clear" w:color="auto" w:fill="auto"/>
            <w:vAlign w:val="center"/>
          </w:tcPr>
          <w:p w14:paraId="1DD290E6">
            <w:pPr>
              <w:spacing w:line="360" w:lineRule="auto"/>
              <w:jc w:val="center"/>
              <w:outlineLvl w:val="0"/>
              <w:rPr>
                <w:rFonts w:hint="eastAsia" w:ascii="宋体" w:hAnsi="宋体" w:eastAsia="宋体" w:cs="宋体"/>
                <w:color w:val="auto"/>
                <w:sz w:val="24"/>
                <w:szCs w:val="24"/>
                <w:lang w:val="en-US" w:eastAsia="zh-CN"/>
              </w:rPr>
            </w:pPr>
            <w:bookmarkStart w:id="367" w:name="_Toc26920"/>
            <w:r>
              <w:rPr>
                <w:rFonts w:hint="eastAsia" w:ascii="宋体" w:hAnsi="宋体" w:eastAsia="宋体" w:cs="宋体"/>
                <w:color w:val="auto"/>
                <w:sz w:val="24"/>
                <w:szCs w:val="24"/>
                <w:lang w:val="en-US" w:eastAsia="zh-CN"/>
              </w:rPr>
              <w:t>6分</w:t>
            </w:r>
            <w:bookmarkEnd w:id="367"/>
          </w:p>
        </w:tc>
        <w:tc>
          <w:tcPr>
            <w:tcW w:w="5960" w:type="dxa"/>
            <w:shd w:val="clear" w:color="auto" w:fill="auto"/>
            <w:vAlign w:val="center"/>
          </w:tcPr>
          <w:p w14:paraId="0031A746">
            <w:pPr>
              <w:spacing w:line="360" w:lineRule="auto"/>
              <w:ind w:firstLine="480" w:firstLineChars="200"/>
              <w:outlineLvl w:val="0"/>
              <w:rPr>
                <w:rFonts w:hint="eastAsia" w:ascii="宋体" w:hAnsi="宋体" w:eastAsia="宋体" w:cs="宋体"/>
                <w:color w:val="auto"/>
                <w:sz w:val="24"/>
                <w:szCs w:val="24"/>
                <w:lang w:val="en-US" w:eastAsia="zh-CN"/>
              </w:rPr>
            </w:pPr>
            <w:bookmarkStart w:id="368" w:name="_Toc30339"/>
            <w:r>
              <w:rPr>
                <w:rFonts w:hint="eastAsia" w:ascii="宋体" w:hAnsi="宋体" w:eastAsia="宋体" w:cs="宋体"/>
                <w:color w:val="auto"/>
                <w:sz w:val="24"/>
                <w:szCs w:val="24"/>
                <w:lang w:val="en-US" w:eastAsia="zh-CN"/>
              </w:rPr>
              <w:t>所投产品2025年1月以来</w:t>
            </w:r>
            <w:r>
              <w:rPr>
                <w:rFonts w:hint="eastAsia" w:ascii="宋体" w:hAnsi="宋体" w:eastAsia="宋体" w:cs="宋体"/>
                <w:b w:val="0"/>
                <w:bCs w:val="0"/>
                <w:color w:val="auto"/>
                <w:sz w:val="24"/>
                <w:szCs w:val="24"/>
                <w:lang w:val="en-US" w:eastAsia="zh-CN"/>
              </w:rPr>
              <w:t>已完成的地市级以上</w:t>
            </w:r>
            <w:r>
              <w:rPr>
                <w:rFonts w:hint="eastAsia" w:ascii="宋体" w:hAnsi="宋体" w:eastAsia="宋体" w:cs="宋体"/>
                <w:color w:val="auto"/>
                <w:sz w:val="24"/>
                <w:szCs w:val="24"/>
                <w:lang w:val="en-US" w:eastAsia="zh-CN"/>
              </w:rPr>
              <w:t>政府采购同种类疫苗产品的业绩，须提供合同及中标（成交）通知书（复印件并加盖公章），1份有效业绩得0.5分，最高得分为6分，无法辨识或未提供不计分。</w:t>
            </w:r>
            <w:bookmarkEnd w:id="368"/>
          </w:p>
        </w:tc>
      </w:tr>
      <w:tr w14:paraId="79E9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3" w:type="dxa"/>
            <w:vMerge w:val="continue"/>
            <w:shd w:val="clear" w:color="auto" w:fill="auto"/>
            <w:vAlign w:val="center"/>
          </w:tcPr>
          <w:p w14:paraId="22DAE831">
            <w:pPr>
              <w:spacing w:line="360" w:lineRule="auto"/>
              <w:jc w:val="center"/>
              <w:outlineLvl w:val="0"/>
              <w:rPr>
                <w:rFonts w:hint="eastAsia" w:ascii="宋体" w:hAnsi="宋体" w:eastAsia="宋体" w:cs="宋体"/>
                <w:color w:val="auto"/>
                <w:sz w:val="24"/>
                <w:szCs w:val="24"/>
                <w:lang w:val="en-US" w:eastAsia="zh-CN"/>
              </w:rPr>
            </w:pPr>
          </w:p>
        </w:tc>
        <w:tc>
          <w:tcPr>
            <w:tcW w:w="2048" w:type="dxa"/>
            <w:shd w:val="clear" w:color="auto" w:fill="auto"/>
            <w:vAlign w:val="center"/>
          </w:tcPr>
          <w:p w14:paraId="12625ED7">
            <w:pPr>
              <w:spacing w:line="360" w:lineRule="auto"/>
              <w:jc w:val="center"/>
              <w:outlineLvl w:val="0"/>
              <w:rPr>
                <w:rFonts w:hint="eastAsia" w:ascii="宋体" w:hAnsi="宋体" w:eastAsia="宋体" w:cs="宋体"/>
                <w:color w:val="auto"/>
                <w:kern w:val="2"/>
                <w:sz w:val="24"/>
                <w:szCs w:val="24"/>
                <w:lang w:val="en-US" w:eastAsia="zh-CN" w:bidi="ar-SA"/>
              </w:rPr>
            </w:pPr>
            <w:bookmarkStart w:id="369" w:name="_Toc6090"/>
            <w:bookmarkStart w:id="370" w:name="_Toc18452"/>
            <w:r>
              <w:rPr>
                <w:rFonts w:hint="eastAsia" w:ascii="宋体" w:hAnsi="宋体" w:eastAsia="宋体" w:cs="宋体"/>
                <w:color w:val="auto"/>
                <w:sz w:val="24"/>
                <w:szCs w:val="24"/>
                <w:lang w:val="en-US" w:eastAsia="zh-CN"/>
              </w:rPr>
              <w:t>副反应处置</w:t>
            </w:r>
            <w:bookmarkEnd w:id="369"/>
            <w:bookmarkEnd w:id="370"/>
          </w:p>
        </w:tc>
        <w:tc>
          <w:tcPr>
            <w:tcW w:w="923" w:type="dxa"/>
            <w:shd w:val="clear" w:color="auto" w:fill="auto"/>
            <w:vAlign w:val="center"/>
          </w:tcPr>
          <w:p w14:paraId="3F8EA4A4">
            <w:pPr>
              <w:spacing w:line="360" w:lineRule="auto"/>
              <w:jc w:val="center"/>
              <w:outlineLvl w:val="0"/>
              <w:rPr>
                <w:rFonts w:hint="eastAsia" w:ascii="宋体" w:hAnsi="宋体" w:eastAsia="宋体" w:cs="宋体"/>
                <w:color w:val="auto"/>
                <w:kern w:val="2"/>
                <w:sz w:val="24"/>
                <w:szCs w:val="24"/>
                <w:lang w:val="en-US" w:eastAsia="zh-CN" w:bidi="ar-SA"/>
              </w:rPr>
            </w:pPr>
            <w:bookmarkStart w:id="371" w:name="_Toc31009"/>
            <w:bookmarkStart w:id="372" w:name="_Toc14577"/>
            <w:r>
              <w:rPr>
                <w:rFonts w:hint="eastAsia" w:ascii="宋体" w:hAnsi="宋体" w:eastAsia="宋体" w:cs="宋体"/>
                <w:color w:val="auto"/>
                <w:sz w:val="24"/>
                <w:szCs w:val="24"/>
                <w:lang w:val="en-US" w:eastAsia="zh-CN"/>
              </w:rPr>
              <w:t>18分</w:t>
            </w:r>
            <w:bookmarkEnd w:id="371"/>
            <w:bookmarkEnd w:id="372"/>
          </w:p>
        </w:tc>
        <w:tc>
          <w:tcPr>
            <w:tcW w:w="5960" w:type="dxa"/>
            <w:shd w:val="clear" w:color="auto" w:fill="auto"/>
            <w:vAlign w:val="center"/>
          </w:tcPr>
          <w:p w14:paraId="534E8B8F">
            <w:pPr>
              <w:spacing w:line="360" w:lineRule="auto"/>
              <w:ind w:firstLine="480" w:firstLineChars="200"/>
              <w:outlineLvl w:val="0"/>
              <w:rPr>
                <w:rFonts w:hint="eastAsia" w:ascii="宋体" w:hAnsi="宋体" w:eastAsia="宋体" w:cs="宋体"/>
                <w:color w:val="auto"/>
                <w:sz w:val="24"/>
                <w:szCs w:val="24"/>
                <w:lang w:val="en-US" w:eastAsia="zh-CN"/>
              </w:rPr>
            </w:pPr>
            <w:bookmarkStart w:id="373" w:name="_Toc25096"/>
            <w:bookmarkStart w:id="374" w:name="_Toc2673"/>
            <w:r>
              <w:rPr>
                <w:rFonts w:hint="eastAsia" w:ascii="宋体" w:hAnsi="宋体" w:eastAsia="宋体" w:cs="宋体"/>
                <w:color w:val="auto"/>
                <w:sz w:val="24"/>
                <w:szCs w:val="24"/>
                <w:lang w:val="en-US" w:eastAsia="zh-CN"/>
              </w:rPr>
              <w:t>1、供应商根据采购需求本项目制定疫苗副反应理赔方案，包含但不限于（2分）：</w:t>
            </w:r>
            <w:bookmarkEnd w:id="373"/>
            <w:bookmarkEnd w:id="374"/>
          </w:p>
          <w:p w14:paraId="3072C15F">
            <w:pPr>
              <w:spacing w:line="360" w:lineRule="auto"/>
              <w:outlineLvl w:val="0"/>
              <w:rPr>
                <w:rFonts w:hint="eastAsia" w:ascii="宋体" w:hAnsi="宋体" w:eastAsia="宋体" w:cs="宋体"/>
                <w:color w:val="auto"/>
                <w:sz w:val="24"/>
                <w:szCs w:val="24"/>
                <w:lang w:val="en-US" w:eastAsia="zh-CN"/>
              </w:rPr>
            </w:pPr>
            <w:bookmarkStart w:id="375" w:name="_Toc11073"/>
            <w:bookmarkStart w:id="376" w:name="_Toc14152"/>
            <w:r>
              <w:rPr>
                <w:rFonts w:hint="eastAsia" w:ascii="宋体" w:hAnsi="宋体" w:eastAsia="宋体" w:cs="宋体"/>
                <w:color w:val="auto"/>
                <w:sz w:val="24"/>
                <w:szCs w:val="24"/>
                <w:lang w:val="en-US" w:eastAsia="zh-CN"/>
              </w:rPr>
              <w:t>（1）核定办法、赔偿标准、保障措施等；</w:t>
            </w:r>
            <w:bookmarkEnd w:id="375"/>
            <w:bookmarkEnd w:id="376"/>
          </w:p>
          <w:p w14:paraId="59566AD6">
            <w:pPr>
              <w:spacing w:line="360" w:lineRule="auto"/>
              <w:outlineLvl w:val="0"/>
              <w:rPr>
                <w:rFonts w:hint="eastAsia" w:ascii="宋体" w:hAnsi="宋体" w:eastAsia="宋体" w:cs="宋体"/>
                <w:color w:val="auto"/>
                <w:sz w:val="24"/>
                <w:szCs w:val="24"/>
                <w:lang w:val="en-US" w:eastAsia="zh-CN"/>
              </w:rPr>
            </w:pPr>
            <w:bookmarkStart w:id="377" w:name="_Toc24487"/>
            <w:bookmarkStart w:id="378" w:name="_Toc952"/>
            <w:r>
              <w:rPr>
                <w:rFonts w:hint="eastAsia" w:ascii="宋体" w:hAnsi="宋体" w:eastAsia="宋体" w:cs="宋体"/>
                <w:color w:val="auto"/>
                <w:sz w:val="24"/>
                <w:szCs w:val="24"/>
                <w:lang w:val="en-US" w:eastAsia="zh-CN"/>
              </w:rPr>
              <w:t>（2）资金赔付的时限和方式；</w:t>
            </w:r>
            <w:bookmarkEnd w:id="377"/>
            <w:bookmarkEnd w:id="378"/>
          </w:p>
          <w:p w14:paraId="50411269">
            <w:pPr>
              <w:spacing w:line="360" w:lineRule="auto"/>
              <w:outlineLvl w:val="0"/>
              <w:rPr>
                <w:rFonts w:hint="eastAsia" w:ascii="宋体" w:hAnsi="宋体" w:eastAsia="宋体" w:cs="宋体"/>
                <w:color w:val="auto"/>
                <w:sz w:val="24"/>
                <w:szCs w:val="24"/>
                <w:lang w:val="en-US" w:eastAsia="zh-CN"/>
              </w:rPr>
            </w:pPr>
            <w:bookmarkStart w:id="379" w:name="_Toc24093"/>
            <w:bookmarkStart w:id="380" w:name="_Toc13530"/>
            <w:r>
              <w:rPr>
                <w:rFonts w:hint="eastAsia" w:ascii="宋体" w:hAnsi="宋体" w:eastAsia="宋体" w:cs="宋体"/>
                <w:color w:val="auto"/>
                <w:sz w:val="24"/>
                <w:szCs w:val="24"/>
                <w:lang w:val="en-US" w:eastAsia="zh-CN"/>
              </w:rPr>
              <w:t>方案内容齐全、描述详细、实用性好、可行性强，贴合本项目需求和新疆实际情况的，得2分，任意一项内容缺失扣1分，内容存在不贴合新疆实际、可操作性差等情形的，每有一处扣0.5分，扣完为止。</w:t>
            </w:r>
            <w:bookmarkEnd w:id="379"/>
            <w:r>
              <w:rPr>
                <w:rFonts w:hint="eastAsia" w:ascii="宋体" w:hAnsi="宋体" w:eastAsia="宋体" w:cs="宋体"/>
                <w:color w:val="auto"/>
                <w:sz w:val="24"/>
                <w:szCs w:val="24"/>
                <w:lang w:val="en-US" w:eastAsia="zh-CN"/>
              </w:rPr>
              <w:t xml:space="preserve">  </w:t>
            </w:r>
          </w:p>
          <w:p w14:paraId="017A06B6">
            <w:pPr>
              <w:spacing w:line="360" w:lineRule="auto"/>
              <w:ind w:firstLine="480" w:firstLineChars="200"/>
              <w:outlineLvl w:val="0"/>
              <w:rPr>
                <w:rFonts w:hint="eastAsia" w:ascii="宋体" w:hAnsi="宋体" w:eastAsia="宋体" w:cs="宋体"/>
                <w:color w:val="auto"/>
                <w:sz w:val="24"/>
                <w:szCs w:val="24"/>
                <w:lang w:val="en-US" w:eastAsia="zh-CN"/>
              </w:rPr>
            </w:pPr>
            <w:bookmarkStart w:id="381" w:name="_Toc25347"/>
            <w:r>
              <w:rPr>
                <w:rFonts w:hint="eastAsia" w:ascii="宋体" w:hAnsi="宋体" w:eastAsia="宋体" w:cs="宋体"/>
                <w:color w:val="auto"/>
                <w:sz w:val="24"/>
                <w:szCs w:val="24"/>
                <w:lang w:val="en-US" w:eastAsia="zh-CN"/>
              </w:rPr>
              <w:t>2、响应时间（1分）</w:t>
            </w:r>
            <w:bookmarkEnd w:id="380"/>
            <w:bookmarkEnd w:id="381"/>
          </w:p>
          <w:p w14:paraId="14B17A13">
            <w:pPr>
              <w:spacing w:line="360" w:lineRule="auto"/>
              <w:outlineLvl w:val="0"/>
              <w:rPr>
                <w:rFonts w:hint="eastAsia" w:ascii="宋体" w:hAnsi="宋体" w:eastAsia="宋体" w:cs="宋体"/>
                <w:color w:val="auto"/>
                <w:sz w:val="24"/>
                <w:szCs w:val="24"/>
                <w:lang w:val="en-US" w:eastAsia="zh-CN"/>
              </w:rPr>
            </w:pPr>
            <w:bookmarkStart w:id="382" w:name="_Toc6594"/>
            <w:bookmarkStart w:id="383" w:name="_Toc24910"/>
            <w:r>
              <w:rPr>
                <w:rFonts w:hint="eastAsia" w:ascii="宋体" w:hAnsi="宋体" w:eastAsia="宋体" w:cs="宋体"/>
                <w:color w:val="auto"/>
                <w:sz w:val="24"/>
                <w:szCs w:val="24"/>
                <w:lang w:val="en-US" w:eastAsia="zh-CN"/>
              </w:rPr>
              <w:t>承诺在接到发生严重疫苗副反应情况时，能及时作出响应：8小时内响应得1分；24小时内响应得0.5分；不能及时响应不得分（提供承诺函，格式自拟）。</w:t>
            </w:r>
            <w:bookmarkEnd w:id="382"/>
            <w:bookmarkEnd w:id="383"/>
          </w:p>
          <w:p w14:paraId="6FF4C642">
            <w:pPr>
              <w:spacing w:line="360" w:lineRule="auto"/>
              <w:ind w:firstLine="480" w:firstLineChars="200"/>
              <w:outlineLvl w:val="0"/>
              <w:rPr>
                <w:rFonts w:hint="eastAsia" w:ascii="宋体" w:hAnsi="宋体" w:eastAsia="宋体" w:cs="宋体"/>
                <w:color w:val="auto"/>
                <w:sz w:val="24"/>
                <w:szCs w:val="24"/>
                <w:lang w:val="en-US" w:eastAsia="zh-CN"/>
              </w:rPr>
            </w:pPr>
            <w:bookmarkStart w:id="384" w:name="_Toc24607"/>
            <w:bookmarkStart w:id="385" w:name="_Toc5342"/>
            <w:r>
              <w:rPr>
                <w:rFonts w:hint="eastAsia" w:ascii="宋体" w:hAnsi="宋体" w:eastAsia="宋体" w:cs="宋体"/>
                <w:color w:val="auto"/>
                <w:sz w:val="24"/>
                <w:szCs w:val="24"/>
                <w:lang w:val="en-US" w:eastAsia="zh-CN"/>
              </w:rPr>
              <w:t>3、建立补偿准备金（1分）</w:t>
            </w:r>
            <w:bookmarkEnd w:id="384"/>
            <w:bookmarkEnd w:id="385"/>
          </w:p>
          <w:p w14:paraId="350DE332">
            <w:pPr>
              <w:spacing w:line="360" w:lineRule="auto"/>
              <w:outlineLvl w:val="0"/>
              <w:rPr>
                <w:rFonts w:hint="eastAsia" w:ascii="宋体" w:hAnsi="宋体" w:eastAsia="宋体" w:cs="宋体"/>
                <w:color w:val="auto"/>
                <w:sz w:val="24"/>
                <w:szCs w:val="24"/>
                <w:lang w:val="en-US" w:eastAsia="zh-CN"/>
              </w:rPr>
            </w:pPr>
            <w:bookmarkStart w:id="386" w:name="_Toc23657"/>
            <w:bookmarkStart w:id="387" w:name="_Toc5207"/>
            <w:r>
              <w:rPr>
                <w:rFonts w:hint="eastAsia" w:ascii="宋体" w:hAnsi="宋体" w:eastAsia="宋体" w:cs="宋体"/>
                <w:color w:val="auto"/>
                <w:sz w:val="24"/>
                <w:szCs w:val="24"/>
                <w:lang w:val="en-US" w:eastAsia="zh-CN"/>
              </w:rPr>
              <w:t>建立疫苗副反应死亡补偿准备金，不低于预算金额10％的，得1分，未建立准备金或低于10％的不得分。（出具证明材料）。</w:t>
            </w:r>
            <w:bookmarkEnd w:id="386"/>
            <w:bookmarkEnd w:id="387"/>
          </w:p>
          <w:p w14:paraId="30313962">
            <w:pPr>
              <w:spacing w:line="360" w:lineRule="auto"/>
              <w:ind w:firstLine="480" w:firstLineChars="200"/>
              <w:outlineLvl w:val="0"/>
              <w:rPr>
                <w:rFonts w:hint="eastAsia" w:ascii="宋体" w:hAnsi="宋体" w:eastAsia="宋体" w:cs="宋体"/>
                <w:color w:val="auto"/>
                <w:sz w:val="24"/>
                <w:szCs w:val="24"/>
                <w:lang w:val="en-US" w:eastAsia="zh-CN"/>
              </w:rPr>
            </w:pPr>
            <w:bookmarkStart w:id="388" w:name="_Toc3030"/>
            <w:bookmarkStart w:id="389" w:name="_Toc14493"/>
            <w:r>
              <w:rPr>
                <w:rFonts w:hint="eastAsia" w:ascii="宋体" w:hAnsi="宋体" w:eastAsia="宋体" w:cs="宋体"/>
                <w:color w:val="auto"/>
                <w:sz w:val="24"/>
                <w:szCs w:val="24"/>
                <w:lang w:val="en-US" w:eastAsia="zh-CN"/>
              </w:rPr>
              <w:t>4、应激死亡赔付证明材料（10分）</w:t>
            </w:r>
            <w:bookmarkEnd w:id="388"/>
            <w:bookmarkEnd w:id="389"/>
          </w:p>
          <w:p w14:paraId="673DD831">
            <w:pPr>
              <w:spacing w:line="360" w:lineRule="auto"/>
              <w:outlineLvl w:val="0"/>
              <w:rPr>
                <w:rFonts w:hint="eastAsia" w:ascii="宋体" w:hAnsi="宋体" w:eastAsia="宋体" w:cs="宋体"/>
                <w:color w:val="auto"/>
                <w:sz w:val="24"/>
                <w:szCs w:val="24"/>
                <w:lang w:val="en-US" w:eastAsia="zh-CN"/>
              </w:rPr>
            </w:pPr>
            <w:bookmarkStart w:id="390" w:name="_Toc20522"/>
            <w:bookmarkStart w:id="391" w:name="_Toc6496"/>
            <w:r>
              <w:rPr>
                <w:rFonts w:hint="eastAsia" w:ascii="宋体" w:hAnsi="宋体" w:eastAsia="宋体" w:cs="宋体"/>
                <w:color w:val="auto"/>
                <w:sz w:val="24"/>
                <w:szCs w:val="24"/>
                <w:lang w:val="en-US" w:eastAsia="zh-CN"/>
              </w:rPr>
              <w:t>提供2025年以来疫苗赔付完成的证明材料（疫苗相对应），赔付证明材料内容必须包含当年疫苗使用数量、疫苗副反应死亡数、赔付完成数等详尽数据说明和完成内容，并能准确反映该地区的疫苗副反应死亡补偿总体完成情况，同时附上该地区中标通知书，经县市级或以上农业农村（畜牧兽医）主管部门或动物疫控机构盖章确认的，提供无副反应死亡证明或完全补偿到位的每提供一份得0.5分，满分10分。提供证明材料中未完全补偿到位、内容含糊不清、以表格或附件等替代证明材料、县市级以下部门单位盖章确认的都视为无效证明材料，均不得分。</w:t>
            </w:r>
            <w:bookmarkEnd w:id="390"/>
            <w:bookmarkEnd w:id="391"/>
          </w:p>
          <w:p w14:paraId="6F9AC031">
            <w:pPr>
              <w:spacing w:line="360" w:lineRule="auto"/>
              <w:ind w:firstLine="480" w:firstLineChars="200"/>
              <w:outlineLvl w:val="0"/>
              <w:rPr>
                <w:rFonts w:hint="eastAsia" w:ascii="宋体" w:hAnsi="宋体" w:eastAsia="宋体" w:cs="宋体"/>
                <w:color w:val="auto"/>
                <w:sz w:val="24"/>
                <w:szCs w:val="24"/>
                <w:lang w:val="en-US" w:eastAsia="zh-CN"/>
              </w:rPr>
            </w:pPr>
            <w:bookmarkStart w:id="392" w:name="_Toc17216"/>
            <w:bookmarkStart w:id="393" w:name="_Toc30485"/>
            <w:r>
              <w:rPr>
                <w:rFonts w:hint="eastAsia" w:ascii="宋体" w:hAnsi="宋体" w:eastAsia="宋体" w:cs="宋体"/>
                <w:color w:val="auto"/>
                <w:sz w:val="24"/>
                <w:szCs w:val="24"/>
                <w:lang w:val="en-US" w:eastAsia="zh-CN"/>
              </w:rPr>
              <w:t>5、赔偿标准（4分）</w:t>
            </w:r>
            <w:bookmarkEnd w:id="392"/>
            <w:bookmarkEnd w:id="393"/>
          </w:p>
          <w:p w14:paraId="43642A45">
            <w:pPr>
              <w:spacing w:line="360" w:lineRule="auto"/>
              <w:outlineLvl w:val="0"/>
              <w:rPr>
                <w:rFonts w:hint="eastAsia" w:ascii="宋体" w:hAnsi="宋体" w:eastAsia="宋体" w:cs="宋体"/>
                <w:color w:val="auto"/>
                <w:sz w:val="24"/>
                <w:szCs w:val="24"/>
                <w:lang w:val="en-US" w:eastAsia="zh-CN"/>
              </w:rPr>
            </w:pPr>
            <w:bookmarkStart w:id="394" w:name="_Toc7255"/>
            <w:bookmarkStart w:id="395" w:name="_Toc2443"/>
            <w:r>
              <w:rPr>
                <w:rFonts w:hint="eastAsia" w:ascii="宋体" w:hAnsi="宋体" w:eastAsia="宋体" w:cs="宋体"/>
                <w:color w:val="auto"/>
                <w:sz w:val="24"/>
                <w:szCs w:val="24"/>
                <w:lang w:val="en-US" w:eastAsia="zh-CN"/>
              </w:rPr>
              <w:t>（1）投标企业承诺因疫苗反应、免疫失败、产品质量导致畜禽死亡或流产造成损失的进行赔付补偿的得1分，无承诺不得分（提供承诺函，格式自拟）；</w:t>
            </w:r>
            <w:bookmarkEnd w:id="394"/>
            <w:bookmarkEnd w:id="395"/>
          </w:p>
          <w:p w14:paraId="6C5A3F4F">
            <w:pPr>
              <w:spacing w:line="360" w:lineRule="auto"/>
              <w:outlineLvl w:val="0"/>
              <w:rPr>
                <w:rFonts w:hint="eastAsia" w:ascii="宋体" w:hAnsi="宋体" w:eastAsia="宋体" w:cs="宋体"/>
                <w:color w:val="auto"/>
                <w:kern w:val="2"/>
                <w:sz w:val="24"/>
                <w:szCs w:val="24"/>
                <w:lang w:val="en-US" w:eastAsia="zh-CN" w:bidi="ar-SA"/>
              </w:rPr>
            </w:pPr>
            <w:bookmarkStart w:id="396" w:name="_Toc25181"/>
            <w:bookmarkStart w:id="397" w:name="_Toc3255"/>
            <w:r>
              <w:rPr>
                <w:rFonts w:hint="eastAsia" w:ascii="宋体" w:hAnsi="宋体" w:eastAsia="宋体" w:cs="宋体"/>
                <w:color w:val="auto"/>
                <w:sz w:val="24"/>
                <w:szCs w:val="24"/>
                <w:lang w:val="en-US" w:eastAsia="zh-CN"/>
              </w:rPr>
              <w:t>（2）投标企业制定的赔偿标准高于国家强制扑杀标准的且充分考虑畜禽品种、体重、市场价值等内容，补偿标准制定合理、操作性强，有明确的赔付时效等内容的，得3分；</w:t>
            </w:r>
            <w:r>
              <w:rPr>
                <w:rFonts w:hint="eastAsia" w:ascii="宋体" w:hAnsi="宋体" w:eastAsia="宋体" w:cs="宋体"/>
                <w:color w:val="auto"/>
                <w:lang w:val="en-US" w:eastAsia="zh-CN"/>
              </w:rPr>
              <w:t>未</w:t>
            </w:r>
            <w:r>
              <w:rPr>
                <w:rFonts w:hint="eastAsia" w:ascii="宋体" w:hAnsi="宋体" w:eastAsia="宋体" w:cs="宋体"/>
                <w:color w:val="auto"/>
                <w:sz w:val="24"/>
                <w:szCs w:val="24"/>
                <w:lang w:val="en-US" w:eastAsia="zh-CN"/>
              </w:rPr>
              <w:t>考虑畜禽品种、体重、市场价值等因素，仅按国家强制扑杀标准赔偿的得1分；其它不得分。</w:t>
            </w:r>
            <w:bookmarkEnd w:id="396"/>
            <w:bookmarkEnd w:id="397"/>
          </w:p>
        </w:tc>
      </w:tr>
      <w:tr w14:paraId="57A6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363" w:type="dxa"/>
            <w:vMerge w:val="continue"/>
            <w:shd w:val="clear" w:color="auto" w:fill="auto"/>
            <w:vAlign w:val="center"/>
          </w:tcPr>
          <w:p w14:paraId="6C7711CA">
            <w:pPr>
              <w:spacing w:line="360" w:lineRule="auto"/>
              <w:jc w:val="center"/>
              <w:outlineLvl w:val="0"/>
              <w:rPr>
                <w:rFonts w:hint="eastAsia" w:ascii="宋体" w:hAnsi="宋体" w:eastAsia="宋体" w:cs="宋体"/>
                <w:color w:val="auto"/>
                <w:sz w:val="24"/>
                <w:szCs w:val="24"/>
                <w:lang w:val="en-US" w:eastAsia="zh-CN"/>
              </w:rPr>
            </w:pPr>
          </w:p>
        </w:tc>
        <w:tc>
          <w:tcPr>
            <w:tcW w:w="2048" w:type="dxa"/>
            <w:shd w:val="clear" w:color="auto" w:fill="auto"/>
            <w:vAlign w:val="center"/>
          </w:tcPr>
          <w:p w14:paraId="38236658">
            <w:pPr>
              <w:spacing w:line="360" w:lineRule="auto"/>
              <w:jc w:val="center"/>
              <w:outlineLvl w:val="0"/>
              <w:rPr>
                <w:rFonts w:hint="eastAsia" w:ascii="宋体" w:hAnsi="宋体" w:eastAsia="宋体" w:cs="宋体"/>
                <w:color w:val="auto"/>
                <w:kern w:val="2"/>
                <w:sz w:val="24"/>
                <w:szCs w:val="24"/>
                <w:lang w:val="en-US" w:eastAsia="zh-CN" w:bidi="ar-SA"/>
              </w:rPr>
            </w:pPr>
            <w:bookmarkStart w:id="398" w:name="_Toc23577"/>
            <w:r>
              <w:rPr>
                <w:rFonts w:hint="eastAsia" w:ascii="宋体" w:hAnsi="宋体" w:eastAsia="宋体" w:cs="宋体"/>
                <w:color w:val="auto"/>
                <w:sz w:val="24"/>
                <w:szCs w:val="24"/>
                <w:lang w:val="en-US" w:eastAsia="zh-CN"/>
              </w:rPr>
              <w:t>技术培训</w:t>
            </w:r>
            <w:bookmarkEnd w:id="398"/>
          </w:p>
        </w:tc>
        <w:tc>
          <w:tcPr>
            <w:tcW w:w="923" w:type="dxa"/>
            <w:shd w:val="clear" w:color="auto" w:fill="auto"/>
            <w:vAlign w:val="center"/>
          </w:tcPr>
          <w:p w14:paraId="4A0D7191">
            <w:pPr>
              <w:spacing w:line="360" w:lineRule="auto"/>
              <w:jc w:val="center"/>
              <w:outlineLvl w:val="0"/>
              <w:rPr>
                <w:rFonts w:hint="eastAsia" w:ascii="宋体" w:hAnsi="宋体" w:eastAsia="宋体" w:cs="宋体"/>
                <w:color w:val="auto"/>
                <w:kern w:val="2"/>
                <w:sz w:val="24"/>
                <w:szCs w:val="24"/>
                <w:lang w:val="en-US" w:eastAsia="zh-CN" w:bidi="ar-SA"/>
              </w:rPr>
            </w:pPr>
            <w:bookmarkStart w:id="399" w:name="_Toc3186"/>
            <w:r>
              <w:rPr>
                <w:rFonts w:hint="eastAsia" w:ascii="宋体" w:hAnsi="宋体" w:eastAsia="宋体" w:cs="宋体"/>
                <w:color w:val="auto"/>
                <w:sz w:val="24"/>
                <w:szCs w:val="24"/>
                <w:lang w:val="en-US" w:eastAsia="zh-CN"/>
              </w:rPr>
              <w:t>11分</w:t>
            </w:r>
            <w:bookmarkEnd w:id="399"/>
          </w:p>
        </w:tc>
        <w:tc>
          <w:tcPr>
            <w:tcW w:w="5960" w:type="dxa"/>
            <w:shd w:val="clear" w:color="auto" w:fill="auto"/>
            <w:vAlign w:val="center"/>
          </w:tcPr>
          <w:p w14:paraId="46BF5F1D">
            <w:pPr>
              <w:spacing w:line="360" w:lineRule="auto"/>
              <w:ind w:firstLine="480" w:firstLineChars="200"/>
              <w:outlineLvl w:val="0"/>
              <w:rPr>
                <w:rFonts w:hint="eastAsia" w:ascii="宋体" w:hAnsi="宋体" w:eastAsia="宋体" w:cs="宋体"/>
                <w:color w:val="auto"/>
                <w:sz w:val="24"/>
                <w:szCs w:val="24"/>
                <w:lang w:val="en-US" w:eastAsia="zh-CN"/>
              </w:rPr>
            </w:pPr>
            <w:bookmarkStart w:id="400" w:name="_Toc24557"/>
            <w:r>
              <w:rPr>
                <w:rFonts w:hint="eastAsia" w:ascii="宋体" w:hAnsi="宋体" w:eastAsia="宋体" w:cs="宋体"/>
                <w:color w:val="auto"/>
                <w:sz w:val="24"/>
                <w:szCs w:val="24"/>
                <w:lang w:val="en-US" w:eastAsia="zh-CN"/>
              </w:rPr>
              <w:t>1、供应商根据采购需求出具培训承诺函得1分，未出具不得分（1分）；</w:t>
            </w:r>
            <w:bookmarkEnd w:id="400"/>
          </w:p>
          <w:p w14:paraId="52BE68A0">
            <w:pPr>
              <w:spacing w:line="360" w:lineRule="auto"/>
              <w:ind w:firstLine="480" w:firstLineChars="200"/>
              <w:outlineLvl w:val="0"/>
              <w:rPr>
                <w:rFonts w:hint="eastAsia" w:ascii="宋体" w:hAnsi="宋体" w:eastAsia="宋体" w:cs="宋体"/>
                <w:color w:val="auto"/>
                <w:sz w:val="24"/>
                <w:szCs w:val="24"/>
                <w:lang w:val="en-US" w:eastAsia="zh-CN"/>
              </w:rPr>
            </w:pPr>
            <w:bookmarkStart w:id="401" w:name="_Toc16470"/>
            <w:r>
              <w:rPr>
                <w:rFonts w:hint="eastAsia" w:ascii="宋体" w:hAnsi="宋体" w:eastAsia="宋体" w:cs="宋体"/>
                <w:color w:val="auto"/>
                <w:sz w:val="24"/>
                <w:szCs w:val="24"/>
                <w:lang w:val="en-US" w:eastAsia="zh-CN"/>
              </w:rPr>
              <w:t>2、供应商根据采购需求制定本项目培训方案，内容包括但不限于（2分）：</w:t>
            </w:r>
            <w:bookmarkEnd w:id="401"/>
          </w:p>
          <w:p w14:paraId="2497D496">
            <w:pPr>
              <w:spacing w:line="360" w:lineRule="auto"/>
              <w:outlineLvl w:val="0"/>
              <w:rPr>
                <w:rFonts w:hint="eastAsia" w:ascii="宋体" w:hAnsi="宋体" w:eastAsia="宋体" w:cs="宋体"/>
                <w:color w:val="auto"/>
                <w:sz w:val="24"/>
                <w:szCs w:val="24"/>
                <w:lang w:val="en-US" w:eastAsia="zh-CN"/>
              </w:rPr>
            </w:pPr>
            <w:bookmarkStart w:id="402" w:name="_Toc13631"/>
            <w:r>
              <w:rPr>
                <w:rFonts w:hint="eastAsia" w:ascii="宋体" w:hAnsi="宋体" w:eastAsia="宋体" w:cs="宋体"/>
                <w:color w:val="auto"/>
                <w:sz w:val="24"/>
                <w:szCs w:val="24"/>
                <w:lang w:val="en-US" w:eastAsia="zh-CN"/>
              </w:rPr>
              <w:t>（1）理论培训、实际操作培训（使用方法、操作规范、免疫程序）；</w:t>
            </w:r>
            <w:bookmarkEnd w:id="402"/>
          </w:p>
          <w:p w14:paraId="1E1E0CCD">
            <w:pPr>
              <w:spacing w:line="360" w:lineRule="auto"/>
              <w:outlineLvl w:val="0"/>
              <w:rPr>
                <w:rFonts w:hint="eastAsia" w:ascii="宋体" w:hAnsi="宋体" w:eastAsia="宋体" w:cs="宋体"/>
                <w:color w:val="auto"/>
                <w:sz w:val="24"/>
                <w:szCs w:val="24"/>
                <w:lang w:val="en-US" w:eastAsia="zh-CN"/>
              </w:rPr>
            </w:pPr>
            <w:bookmarkStart w:id="403" w:name="_Toc24588"/>
            <w:r>
              <w:rPr>
                <w:rFonts w:hint="eastAsia" w:ascii="宋体" w:hAnsi="宋体" w:eastAsia="宋体" w:cs="宋体"/>
                <w:color w:val="auto"/>
                <w:sz w:val="24"/>
                <w:szCs w:val="24"/>
                <w:lang w:val="en-US" w:eastAsia="zh-CN"/>
              </w:rPr>
              <w:t>（2）技术资料交付及培训拟投入师资力量等；</w:t>
            </w:r>
            <w:bookmarkEnd w:id="403"/>
          </w:p>
          <w:p w14:paraId="3E912069">
            <w:pPr>
              <w:spacing w:line="360" w:lineRule="auto"/>
              <w:outlineLvl w:val="0"/>
              <w:rPr>
                <w:rFonts w:hint="eastAsia" w:ascii="宋体" w:hAnsi="宋体" w:eastAsia="宋体" w:cs="宋体"/>
                <w:color w:val="auto"/>
                <w:sz w:val="24"/>
                <w:szCs w:val="24"/>
                <w:lang w:val="en-US" w:eastAsia="zh-CN"/>
              </w:rPr>
            </w:pPr>
            <w:bookmarkStart w:id="404" w:name="_Toc7993"/>
            <w:r>
              <w:rPr>
                <w:rFonts w:hint="eastAsia" w:ascii="宋体" w:hAnsi="宋体" w:eastAsia="宋体" w:cs="宋体"/>
                <w:color w:val="auto"/>
                <w:sz w:val="24"/>
                <w:szCs w:val="24"/>
                <w:lang w:val="en-US" w:eastAsia="zh-CN"/>
              </w:rPr>
              <w:t>方案内容齐全、描述详细、实用性好、可行性强，贴合本项目需求和新疆实际情况的，得2分，任意一项内容缺失扣1分，内容存在不贴合新疆实际、可操作性差等情形的，每有一处扣0.5分，扣完为止。</w:t>
            </w:r>
            <w:bookmarkEnd w:id="404"/>
            <w:r>
              <w:rPr>
                <w:rFonts w:hint="eastAsia" w:ascii="宋体" w:hAnsi="宋体" w:eastAsia="宋体" w:cs="宋体"/>
                <w:color w:val="auto"/>
                <w:sz w:val="24"/>
                <w:szCs w:val="24"/>
                <w:lang w:val="en-US" w:eastAsia="zh-CN"/>
              </w:rPr>
              <w:t xml:space="preserve"> </w:t>
            </w:r>
          </w:p>
          <w:p w14:paraId="4F8B12EB">
            <w:pPr>
              <w:spacing w:line="360" w:lineRule="auto"/>
              <w:ind w:firstLine="480" w:firstLineChars="200"/>
              <w:outlineLvl w:val="0"/>
              <w:rPr>
                <w:rFonts w:hint="eastAsia" w:ascii="宋体" w:hAnsi="宋体" w:eastAsia="宋体" w:cs="宋体"/>
                <w:color w:val="auto"/>
                <w:sz w:val="24"/>
                <w:szCs w:val="24"/>
                <w:lang w:val="en-US" w:eastAsia="zh-CN"/>
              </w:rPr>
            </w:pPr>
            <w:bookmarkStart w:id="405" w:name="_Toc20071"/>
            <w:r>
              <w:rPr>
                <w:rFonts w:hint="eastAsia" w:ascii="宋体" w:hAnsi="宋体" w:eastAsia="宋体" w:cs="宋体"/>
                <w:color w:val="auto"/>
                <w:sz w:val="24"/>
                <w:szCs w:val="24"/>
                <w:lang w:val="en-US" w:eastAsia="zh-CN"/>
              </w:rPr>
              <w:t>3、提供2025年内受训地州市和省级畜牧兽医主管部门或动物疫控机构出具的针对中标产品的培训履约证明材料。（8分）</w:t>
            </w:r>
            <w:bookmarkEnd w:id="405"/>
          </w:p>
          <w:p w14:paraId="012A0AB6">
            <w:pPr>
              <w:spacing w:line="360" w:lineRule="auto"/>
              <w:outlineLvl w:val="0"/>
              <w:rPr>
                <w:rFonts w:hint="eastAsia" w:ascii="宋体" w:hAnsi="宋体" w:eastAsia="宋体" w:cs="宋体"/>
                <w:color w:val="auto"/>
                <w:kern w:val="2"/>
                <w:sz w:val="24"/>
                <w:szCs w:val="24"/>
                <w:lang w:val="en-US" w:eastAsia="zh-CN" w:bidi="ar-SA"/>
              </w:rPr>
            </w:pPr>
            <w:bookmarkStart w:id="406" w:name="_Toc14448"/>
            <w:r>
              <w:rPr>
                <w:rFonts w:hint="eastAsia" w:ascii="宋体" w:hAnsi="宋体" w:eastAsia="宋体" w:cs="宋体"/>
                <w:color w:val="auto"/>
                <w:sz w:val="24"/>
                <w:szCs w:val="24"/>
                <w:lang w:val="en-US" w:eastAsia="zh-CN"/>
              </w:rPr>
              <w:t>每提供1份有效证明材料得0.5分，最高得分为8分</w:t>
            </w:r>
            <w:bookmarkEnd w:id="406"/>
          </w:p>
        </w:tc>
      </w:tr>
      <w:tr w14:paraId="4C2F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363" w:type="dxa"/>
            <w:vMerge w:val="continue"/>
            <w:shd w:val="clear" w:color="auto" w:fill="auto"/>
            <w:vAlign w:val="center"/>
          </w:tcPr>
          <w:p w14:paraId="61DBBA14">
            <w:pPr>
              <w:spacing w:line="360" w:lineRule="auto"/>
              <w:jc w:val="center"/>
              <w:outlineLvl w:val="0"/>
              <w:rPr>
                <w:rFonts w:hint="eastAsia" w:ascii="宋体" w:hAnsi="宋体" w:eastAsia="宋体" w:cs="宋体"/>
                <w:color w:val="auto"/>
                <w:sz w:val="24"/>
                <w:szCs w:val="24"/>
                <w:lang w:val="en-US" w:eastAsia="zh-CN"/>
              </w:rPr>
            </w:pPr>
          </w:p>
        </w:tc>
        <w:tc>
          <w:tcPr>
            <w:tcW w:w="2048" w:type="dxa"/>
            <w:shd w:val="clear" w:color="auto" w:fill="auto"/>
            <w:vAlign w:val="center"/>
          </w:tcPr>
          <w:p w14:paraId="177013CB">
            <w:pPr>
              <w:spacing w:line="360" w:lineRule="auto"/>
              <w:jc w:val="center"/>
              <w:outlineLvl w:val="0"/>
              <w:rPr>
                <w:rFonts w:hint="eastAsia" w:ascii="宋体" w:hAnsi="宋体" w:eastAsia="宋体" w:cs="宋体"/>
                <w:color w:val="auto"/>
                <w:sz w:val="24"/>
                <w:szCs w:val="24"/>
                <w:lang w:val="en-US" w:eastAsia="zh-CN"/>
              </w:rPr>
            </w:pPr>
            <w:bookmarkStart w:id="407" w:name="_Toc6789"/>
            <w:r>
              <w:rPr>
                <w:rFonts w:hint="eastAsia" w:ascii="宋体" w:hAnsi="宋体" w:eastAsia="宋体" w:cs="宋体"/>
                <w:color w:val="auto"/>
                <w:sz w:val="24"/>
                <w:szCs w:val="24"/>
                <w:lang w:val="en-US" w:eastAsia="zh-CN"/>
              </w:rPr>
              <w:t>售后服务方案</w:t>
            </w:r>
            <w:bookmarkEnd w:id="407"/>
          </w:p>
        </w:tc>
        <w:tc>
          <w:tcPr>
            <w:tcW w:w="923" w:type="dxa"/>
            <w:shd w:val="clear" w:color="auto" w:fill="auto"/>
            <w:vAlign w:val="center"/>
          </w:tcPr>
          <w:p w14:paraId="4D962804">
            <w:pPr>
              <w:spacing w:line="360" w:lineRule="auto"/>
              <w:jc w:val="center"/>
              <w:outlineLvl w:val="0"/>
              <w:rPr>
                <w:rFonts w:hint="eastAsia" w:ascii="宋体" w:hAnsi="宋体" w:eastAsia="宋体" w:cs="宋体"/>
                <w:color w:val="auto"/>
                <w:sz w:val="24"/>
                <w:szCs w:val="24"/>
                <w:lang w:val="en-US" w:eastAsia="zh-CN"/>
              </w:rPr>
            </w:pPr>
            <w:bookmarkStart w:id="408" w:name="_Toc16099"/>
            <w:r>
              <w:rPr>
                <w:rFonts w:hint="eastAsia" w:ascii="宋体" w:hAnsi="宋体" w:eastAsia="宋体" w:cs="宋体"/>
                <w:color w:val="auto"/>
                <w:sz w:val="24"/>
                <w:szCs w:val="24"/>
                <w:lang w:val="en-US" w:eastAsia="zh-CN"/>
              </w:rPr>
              <w:t>3分</w:t>
            </w:r>
            <w:bookmarkEnd w:id="408"/>
          </w:p>
        </w:tc>
        <w:tc>
          <w:tcPr>
            <w:tcW w:w="5960" w:type="dxa"/>
            <w:shd w:val="clear" w:color="auto" w:fill="auto"/>
            <w:vAlign w:val="top"/>
          </w:tcPr>
          <w:p w14:paraId="2A0C437C">
            <w:pPr>
              <w:spacing w:line="360" w:lineRule="auto"/>
              <w:ind w:firstLine="480" w:firstLineChars="200"/>
              <w:outlineLvl w:val="0"/>
              <w:rPr>
                <w:rFonts w:hint="eastAsia" w:ascii="宋体" w:hAnsi="宋体" w:eastAsia="宋体" w:cs="宋体"/>
                <w:color w:val="auto"/>
                <w:sz w:val="24"/>
                <w:szCs w:val="24"/>
                <w:lang w:val="en-US" w:eastAsia="zh-CN"/>
              </w:rPr>
            </w:pPr>
            <w:bookmarkStart w:id="409" w:name="_Toc12387"/>
            <w:r>
              <w:rPr>
                <w:rFonts w:hint="eastAsia" w:ascii="宋体" w:hAnsi="宋体" w:eastAsia="宋体" w:cs="宋体"/>
                <w:color w:val="auto"/>
                <w:sz w:val="24"/>
                <w:szCs w:val="24"/>
                <w:lang w:val="en-US" w:eastAsia="zh-CN"/>
              </w:rPr>
              <w:t>供应商根据采购需求制定本项目售后服务方案，包括但不限于：</w:t>
            </w:r>
            <w:bookmarkEnd w:id="409"/>
          </w:p>
          <w:p w14:paraId="35FE0DD0">
            <w:pPr>
              <w:spacing w:line="360" w:lineRule="auto"/>
              <w:outlineLvl w:val="0"/>
              <w:rPr>
                <w:rFonts w:hint="eastAsia" w:ascii="宋体" w:hAnsi="宋体" w:eastAsia="宋体" w:cs="宋体"/>
                <w:color w:val="auto"/>
                <w:sz w:val="24"/>
                <w:szCs w:val="24"/>
                <w:lang w:val="en-US" w:eastAsia="zh-CN"/>
              </w:rPr>
            </w:pPr>
            <w:bookmarkStart w:id="410" w:name="_Toc17609"/>
            <w:r>
              <w:rPr>
                <w:rFonts w:hint="eastAsia" w:ascii="宋体" w:hAnsi="宋体" w:eastAsia="宋体" w:cs="宋体"/>
                <w:color w:val="auto"/>
                <w:sz w:val="24"/>
                <w:szCs w:val="24"/>
                <w:lang w:val="en-US" w:eastAsia="zh-CN"/>
              </w:rPr>
              <w:t>（1）产品售后服务（包括小规格疫苗配发、小批量发货、储存和使用等环节）；</w:t>
            </w:r>
            <w:bookmarkEnd w:id="410"/>
          </w:p>
          <w:p w14:paraId="0E7403E6">
            <w:pPr>
              <w:spacing w:line="360" w:lineRule="auto"/>
              <w:outlineLvl w:val="0"/>
              <w:rPr>
                <w:rFonts w:hint="eastAsia" w:ascii="宋体" w:hAnsi="宋体" w:eastAsia="宋体" w:cs="宋体"/>
                <w:color w:val="auto"/>
                <w:sz w:val="24"/>
                <w:szCs w:val="24"/>
                <w:lang w:val="en-US" w:eastAsia="zh-CN"/>
              </w:rPr>
            </w:pPr>
            <w:bookmarkStart w:id="411" w:name="_Toc32474"/>
            <w:r>
              <w:rPr>
                <w:rFonts w:hint="eastAsia" w:ascii="宋体" w:hAnsi="宋体" w:eastAsia="宋体" w:cs="宋体"/>
                <w:color w:val="auto"/>
                <w:sz w:val="24"/>
                <w:szCs w:val="24"/>
                <w:lang w:val="en-US" w:eastAsia="zh-CN"/>
              </w:rPr>
              <w:t>（2）技术支持、技术服务人员配置；</w:t>
            </w:r>
            <w:bookmarkEnd w:id="411"/>
          </w:p>
          <w:p w14:paraId="194D0891">
            <w:pPr>
              <w:spacing w:line="360" w:lineRule="auto"/>
              <w:outlineLvl w:val="0"/>
              <w:rPr>
                <w:rFonts w:hint="eastAsia" w:ascii="宋体" w:hAnsi="宋体" w:eastAsia="宋体" w:cs="宋体"/>
                <w:color w:val="auto"/>
                <w:sz w:val="24"/>
                <w:szCs w:val="24"/>
                <w:lang w:val="en-US" w:eastAsia="zh-CN"/>
              </w:rPr>
            </w:pPr>
            <w:bookmarkStart w:id="412" w:name="_Toc5385"/>
            <w:r>
              <w:rPr>
                <w:rFonts w:hint="eastAsia" w:ascii="宋体" w:hAnsi="宋体" w:eastAsia="宋体" w:cs="宋体"/>
                <w:color w:val="auto"/>
                <w:sz w:val="24"/>
                <w:szCs w:val="24"/>
                <w:lang w:val="en-US" w:eastAsia="zh-CN"/>
              </w:rPr>
              <w:t>（3）退换货方案/售后保障服务网点等方案；</w:t>
            </w:r>
            <w:bookmarkEnd w:id="412"/>
          </w:p>
          <w:p w14:paraId="0FD3F5FF">
            <w:pPr>
              <w:spacing w:line="360" w:lineRule="auto"/>
              <w:outlineLvl w:val="0"/>
              <w:rPr>
                <w:rFonts w:hint="eastAsia" w:ascii="宋体" w:hAnsi="宋体" w:eastAsia="宋体" w:cs="宋体"/>
                <w:color w:val="auto"/>
                <w:sz w:val="24"/>
                <w:szCs w:val="24"/>
                <w:lang w:val="en-US" w:eastAsia="zh-CN"/>
              </w:rPr>
            </w:pPr>
            <w:bookmarkStart w:id="413" w:name="_Toc18121"/>
            <w:r>
              <w:rPr>
                <w:rFonts w:hint="eastAsia" w:ascii="宋体" w:hAnsi="宋体" w:eastAsia="宋体" w:cs="宋体"/>
                <w:color w:val="auto"/>
                <w:sz w:val="24"/>
                <w:szCs w:val="24"/>
                <w:lang w:val="en-US" w:eastAsia="zh-CN"/>
              </w:rPr>
              <w:t>方案内容齐全、描述详细、实用性好、可行性强，贴合本项目需求和新疆实际情况的，得3分，任意一项内容缺失扣1分；内容存在不贴合新疆实际、可操作性差等情形的，每有一处扣0.5分，扣完为止。</w:t>
            </w:r>
            <w:bookmarkEnd w:id="413"/>
            <w:r>
              <w:rPr>
                <w:rFonts w:hint="eastAsia" w:ascii="宋体" w:hAnsi="宋体" w:eastAsia="宋体" w:cs="宋体"/>
                <w:color w:val="auto"/>
                <w:sz w:val="24"/>
                <w:szCs w:val="24"/>
                <w:lang w:val="en-US" w:eastAsia="zh-CN"/>
              </w:rPr>
              <w:t xml:space="preserve"> </w:t>
            </w:r>
          </w:p>
        </w:tc>
      </w:tr>
      <w:tr w14:paraId="50B1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363" w:type="dxa"/>
            <w:vMerge w:val="continue"/>
            <w:shd w:val="clear" w:color="auto" w:fill="auto"/>
            <w:vAlign w:val="center"/>
          </w:tcPr>
          <w:p w14:paraId="5755D52C">
            <w:pPr>
              <w:spacing w:line="360" w:lineRule="auto"/>
              <w:jc w:val="center"/>
              <w:outlineLvl w:val="0"/>
              <w:rPr>
                <w:rFonts w:hint="eastAsia" w:ascii="宋体" w:hAnsi="宋体" w:eastAsia="宋体" w:cs="宋体"/>
                <w:color w:val="auto"/>
                <w:sz w:val="24"/>
                <w:szCs w:val="24"/>
                <w:lang w:val="en-US" w:eastAsia="zh-CN"/>
              </w:rPr>
            </w:pPr>
          </w:p>
        </w:tc>
        <w:tc>
          <w:tcPr>
            <w:tcW w:w="2048" w:type="dxa"/>
            <w:shd w:val="clear" w:color="auto" w:fill="auto"/>
            <w:vAlign w:val="center"/>
          </w:tcPr>
          <w:p w14:paraId="2529C52F">
            <w:pPr>
              <w:spacing w:line="360" w:lineRule="auto"/>
              <w:jc w:val="center"/>
              <w:outlineLvl w:val="0"/>
              <w:rPr>
                <w:rFonts w:hint="eastAsia" w:ascii="宋体" w:hAnsi="宋体" w:eastAsia="宋体" w:cs="宋体"/>
                <w:color w:val="auto"/>
                <w:sz w:val="24"/>
                <w:szCs w:val="24"/>
                <w:lang w:val="en-US" w:eastAsia="zh-CN"/>
              </w:rPr>
            </w:pPr>
            <w:bookmarkStart w:id="414" w:name="_Toc20567"/>
            <w:r>
              <w:rPr>
                <w:rFonts w:hint="eastAsia" w:ascii="宋体" w:hAnsi="宋体" w:eastAsia="宋体" w:cs="宋体"/>
                <w:color w:val="auto"/>
                <w:sz w:val="24"/>
                <w:szCs w:val="24"/>
                <w:lang w:val="en-US" w:eastAsia="zh-CN"/>
              </w:rPr>
              <w:t>应急预案</w:t>
            </w:r>
            <w:bookmarkEnd w:id="414"/>
          </w:p>
        </w:tc>
        <w:tc>
          <w:tcPr>
            <w:tcW w:w="923" w:type="dxa"/>
            <w:shd w:val="clear" w:color="auto" w:fill="auto"/>
            <w:vAlign w:val="center"/>
          </w:tcPr>
          <w:p w14:paraId="51CBBCAC">
            <w:pPr>
              <w:spacing w:line="360" w:lineRule="auto"/>
              <w:jc w:val="center"/>
              <w:outlineLvl w:val="0"/>
              <w:rPr>
                <w:rFonts w:hint="eastAsia" w:ascii="宋体" w:hAnsi="宋体" w:eastAsia="宋体" w:cs="宋体"/>
                <w:color w:val="auto"/>
                <w:sz w:val="24"/>
                <w:szCs w:val="24"/>
                <w:lang w:val="en-US" w:eastAsia="zh-CN"/>
              </w:rPr>
            </w:pPr>
            <w:bookmarkStart w:id="415" w:name="_Toc9264"/>
            <w:r>
              <w:rPr>
                <w:rFonts w:hint="eastAsia" w:ascii="宋体" w:hAnsi="宋体" w:eastAsia="宋体" w:cs="宋体"/>
                <w:color w:val="auto"/>
                <w:sz w:val="24"/>
                <w:szCs w:val="24"/>
                <w:lang w:val="en-US" w:eastAsia="zh-CN"/>
              </w:rPr>
              <w:t>2分</w:t>
            </w:r>
            <w:bookmarkEnd w:id="415"/>
          </w:p>
        </w:tc>
        <w:tc>
          <w:tcPr>
            <w:tcW w:w="5960" w:type="dxa"/>
            <w:shd w:val="clear" w:color="auto" w:fill="auto"/>
            <w:vAlign w:val="center"/>
          </w:tcPr>
          <w:p w14:paraId="6F3E1569">
            <w:pPr>
              <w:spacing w:line="360" w:lineRule="auto"/>
              <w:ind w:firstLine="480" w:firstLineChars="200"/>
              <w:outlineLvl w:val="0"/>
              <w:rPr>
                <w:rFonts w:hint="eastAsia" w:ascii="宋体" w:hAnsi="宋体" w:eastAsia="宋体" w:cs="宋体"/>
                <w:color w:val="auto"/>
                <w:sz w:val="24"/>
                <w:szCs w:val="24"/>
                <w:lang w:val="en-US" w:eastAsia="zh-CN"/>
              </w:rPr>
            </w:pPr>
            <w:bookmarkStart w:id="416" w:name="_Toc12358"/>
            <w:r>
              <w:rPr>
                <w:rFonts w:hint="eastAsia" w:ascii="宋体" w:hAnsi="宋体" w:eastAsia="宋体" w:cs="宋体"/>
                <w:color w:val="auto"/>
                <w:sz w:val="24"/>
                <w:szCs w:val="24"/>
                <w:lang w:val="en-US" w:eastAsia="zh-CN"/>
              </w:rPr>
              <w:t>供应商根据采购需求制定本项目的应急预案，内容包含但不限于：</w:t>
            </w:r>
            <w:bookmarkEnd w:id="416"/>
          </w:p>
          <w:p w14:paraId="47B74A29">
            <w:pPr>
              <w:spacing w:line="360" w:lineRule="auto"/>
              <w:outlineLvl w:val="0"/>
              <w:rPr>
                <w:rFonts w:hint="eastAsia" w:ascii="宋体" w:hAnsi="宋体" w:eastAsia="宋体" w:cs="宋体"/>
                <w:color w:val="auto"/>
                <w:sz w:val="24"/>
                <w:szCs w:val="24"/>
                <w:lang w:val="en-US" w:eastAsia="zh-CN"/>
              </w:rPr>
            </w:pPr>
            <w:bookmarkStart w:id="417" w:name="_Toc10637"/>
            <w:r>
              <w:rPr>
                <w:rFonts w:hint="eastAsia" w:ascii="宋体" w:hAnsi="宋体" w:eastAsia="宋体" w:cs="宋体"/>
                <w:color w:val="auto"/>
                <w:sz w:val="24"/>
                <w:szCs w:val="24"/>
                <w:lang w:val="en-US" w:eastAsia="zh-CN"/>
              </w:rPr>
              <w:t>（1）突发疫情等状况需要疫苗紧急供应，快速送达；</w:t>
            </w:r>
            <w:bookmarkEnd w:id="417"/>
          </w:p>
          <w:p w14:paraId="61F45A99">
            <w:pPr>
              <w:spacing w:line="360" w:lineRule="auto"/>
              <w:outlineLvl w:val="0"/>
              <w:rPr>
                <w:rFonts w:hint="eastAsia" w:ascii="宋体" w:hAnsi="宋体" w:eastAsia="宋体" w:cs="宋体"/>
                <w:color w:val="auto"/>
                <w:sz w:val="24"/>
                <w:szCs w:val="24"/>
                <w:lang w:val="en-US" w:eastAsia="zh-CN"/>
              </w:rPr>
            </w:pPr>
            <w:bookmarkStart w:id="418" w:name="_Toc1998"/>
            <w:r>
              <w:rPr>
                <w:rFonts w:hint="eastAsia" w:ascii="宋体" w:hAnsi="宋体" w:eastAsia="宋体" w:cs="宋体"/>
                <w:color w:val="auto"/>
                <w:sz w:val="24"/>
                <w:szCs w:val="24"/>
                <w:lang w:val="en-US" w:eastAsia="zh-CN"/>
              </w:rPr>
              <w:t>（2）恶劣天气或自然灾害造成疫苗无法按时到位；</w:t>
            </w:r>
            <w:bookmarkEnd w:id="418"/>
          </w:p>
          <w:p w14:paraId="609E16B0">
            <w:pPr>
              <w:spacing w:line="360" w:lineRule="auto"/>
              <w:outlineLvl w:val="0"/>
              <w:rPr>
                <w:rFonts w:hint="eastAsia" w:ascii="宋体" w:hAnsi="宋体" w:eastAsia="宋体" w:cs="宋体"/>
                <w:color w:val="auto"/>
                <w:sz w:val="24"/>
                <w:szCs w:val="24"/>
                <w:lang w:val="en-US" w:eastAsia="zh-CN"/>
              </w:rPr>
            </w:pPr>
            <w:bookmarkStart w:id="419" w:name="_Toc26299"/>
            <w:r>
              <w:rPr>
                <w:rFonts w:hint="eastAsia" w:ascii="宋体" w:hAnsi="宋体" w:eastAsia="宋体" w:cs="宋体"/>
                <w:color w:val="auto"/>
                <w:sz w:val="24"/>
                <w:szCs w:val="24"/>
                <w:lang w:val="en-US" w:eastAsia="zh-CN"/>
              </w:rPr>
              <w:t>预案内容详实、可操作性强，贴合项目需求和新疆实际情况，得2分；任意一项内容缺失扣1分；内容存在不贴合新疆实际、可操作性差等情形的，每有一处扣0.5分，扣完为止。</w:t>
            </w:r>
            <w:bookmarkEnd w:id="419"/>
          </w:p>
        </w:tc>
      </w:tr>
    </w:tbl>
    <w:p w14:paraId="384AEB5A">
      <w:pPr>
        <w:widowControl/>
        <w:jc w:val="left"/>
        <w:rPr>
          <w:rFonts w:hint="eastAsia" w:ascii="宋体" w:hAnsi="宋体" w:eastAsia="宋体" w:cs="宋体"/>
          <w:b/>
          <w:bCs/>
          <w:color w:val="auto"/>
          <w:kern w:val="0"/>
          <w:sz w:val="28"/>
          <w:szCs w:val="28"/>
          <w:highlight w:val="none"/>
          <w:lang w:val="en-US" w:eastAsia="zh-CN" w:bidi="ar-SA"/>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D0A13">
    <w:pPr>
      <w:pStyle w:val="15"/>
      <w:tabs>
        <w:tab w:val="clear" w:pos="4153"/>
      </w:tabs>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0E04C">
    <w:pPr>
      <w:pStyle w:val="15"/>
      <w:tabs>
        <w:tab w:val="clear" w:pos="4153"/>
      </w:tabs>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66B5E">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F66B5E">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47E4F">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4DDF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24DDF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2A812">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12D21">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B12D21">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C9E3"/>
    <w:multiLevelType w:val="singleLevel"/>
    <w:tmpl w:val="99AAC9E3"/>
    <w:lvl w:ilvl="0" w:tentative="0">
      <w:start w:val="1"/>
      <w:numFmt w:val="decimal"/>
      <w:lvlText w:val="%1."/>
      <w:lvlJc w:val="left"/>
      <w:pPr>
        <w:tabs>
          <w:tab w:val="left" w:pos="312"/>
        </w:tabs>
      </w:pPr>
    </w:lvl>
  </w:abstractNum>
  <w:abstractNum w:abstractNumId="1">
    <w:nsid w:val="9CA52263"/>
    <w:multiLevelType w:val="singleLevel"/>
    <w:tmpl w:val="9CA52263"/>
    <w:lvl w:ilvl="0" w:tentative="0">
      <w:start w:val="1"/>
      <w:numFmt w:val="decimal"/>
      <w:lvlText w:val="%1"/>
      <w:lvlJc w:val="center"/>
      <w:pPr>
        <w:tabs>
          <w:tab w:val="left" w:pos="397"/>
        </w:tabs>
        <w:ind w:left="454" w:leftChars="0" w:hanging="227" w:firstLineChars="0"/>
      </w:pPr>
      <w:rPr>
        <w:rFonts w:hint="default"/>
      </w:rPr>
    </w:lvl>
  </w:abstractNum>
  <w:abstractNum w:abstractNumId="2">
    <w:nsid w:val="F1A74B8C"/>
    <w:multiLevelType w:val="singleLevel"/>
    <w:tmpl w:val="F1A74B8C"/>
    <w:lvl w:ilvl="0" w:tentative="0">
      <w:start w:val="1"/>
      <w:numFmt w:val="decimal"/>
      <w:lvlText w:val="%1"/>
      <w:lvlJc w:val="center"/>
      <w:pPr>
        <w:tabs>
          <w:tab w:val="left" w:pos="397"/>
        </w:tabs>
        <w:ind w:left="454" w:leftChars="0" w:hanging="227" w:firstLineChars="0"/>
      </w:pPr>
      <w:rPr>
        <w:rFonts w:hint="default"/>
      </w:rPr>
    </w:lvl>
  </w:abstractNum>
  <w:abstractNum w:abstractNumId="3">
    <w:nsid w:val="127ED683"/>
    <w:multiLevelType w:val="singleLevel"/>
    <w:tmpl w:val="127ED683"/>
    <w:lvl w:ilvl="0" w:tentative="0">
      <w:start w:val="1"/>
      <w:numFmt w:val="chineseCounting"/>
      <w:suff w:val="nothing"/>
      <w:lvlText w:val="%1、"/>
      <w:lvlJc w:val="left"/>
      <w:rPr>
        <w:rFonts w:hint="eastAsia"/>
      </w:rPr>
    </w:lvl>
  </w:abstractNum>
  <w:abstractNum w:abstractNumId="4">
    <w:nsid w:val="36410F74"/>
    <w:multiLevelType w:val="singleLevel"/>
    <w:tmpl w:val="36410F74"/>
    <w:lvl w:ilvl="0" w:tentative="0">
      <w:start w:val="1"/>
      <w:numFmt w:val="decimal"/>
      <w:lvlText w:val="%1"/>
      <w:lvlJc w:val="center"/>
      <w:pPr>
        <w:tabs>
          <w:tab w:val="left" w:pos="397"/>
        </w:tabs>
        <w:ind w:left="454" w:leftChars="0" w:hanging="227" w:firstLineChars="0"/>
      </w:pPr>
      <w:rPr>
        <w:rFont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ZjY2NzUxMjgyMzc2MWUyZjBkZjYzYTZmMzdhMDkifQ=="/>
  </w:docVars>
  <w:rsids>
    <w:rsidRoot w:val="00842759"/>
    <w:rsid w:val="00002D33"/>
    <w:rsid w:val="0000458F"/>
    <w:rsid w:val="00005EE3"/>
    <w:rsid w:val="000060AE"/>
    <w:rsid w:val="0000731E"/>
    <w:rsid w:val="00007AB7"/>
    <w:rsid w:val="00013640"/>
    <w:rsid w:val="00015ACE"/>
    <w:rsid w:val="00015AFC"/>
    <w:rsid w:val="000325A4"/>
    <w:rsid w:val="00032F93"/>
    <w:rsid w:val="000339E6"/>
    <w:rsid w:val="00033AFE"/>
    <w:rsid w:val="00036D9A"/>
    <w:rsid w:val="000415B2"/>
    <w:rsid w:val="00044A9B"/>
    <w:rsid w:val="00044B5B"/>
    <w:rsid w:val="00070FD9"/>
    <w:rsid w:val="0007247A"/>
    <w:rsid w:val="00074837"/>
    <w:rsid w:val="0007526F"/>
    <w:rsid w:val="00077328"/>
    <w:rsid w:val="000800BC"/>
    <w:rsid w:val="00080981"/>
    <w:rsid w:val="00082962"/>
    <w:rsid w:val="000840A3"/>
    <w:rsid w:val="00087345"/>
    <w:rsid w:val="000960FD"/>
    <w:rsid w:val="00096D96"/>
    <w:rsid w:val="000A15BC"/>
    <w:rsid w:val="000A30B6"/>
    <w:rsid w:val="000A4A96"/>
    <w:rsid w:val="000A4BC8"/>
    <w:rsid w:val="000A4FB0"/>
    <w:rsid w:val="000B5659"/>
    <w:rsid w:val="000C3010"/>
    <w:rsid w:val="000C6F8C"/>
    <w:rsid w:val="000D5C97"/>
    <w:rsid w:val="000E3B52"/>
    <w:rsid w:val="000E7D57"/>
    <w:rsid w:val="000F02CF"/>
    <w:rsid w:val="000F3108"/>
    <w:rsid w:val="000F4355"/>
    <w:rsid w:val="000F5371"/>
    <w:rsid w:val="00110945"/>
    <w:rsid w:val="0011219C"/>
    <w:rsid w:val="00115CDC"/>
    <w:rsid w:val="00116B33"/>
    <w:rsid w:val="00117CD2"/>
    <w:rsid w:val="00117D05"/>
    <w:rsid w:val="0012301F"/>
    <w:rsid w:val="00123FEC"/>
    <w:rsid w:val="00136C8A"/>
    <w:rsid w:val="00141FE2"/>
    <w:rsid w:val="001423C1"/>
    <w:rsid w:val="001440AB"/>
    <w:rsid w:val="00145D05"/>
    <w:rsid w:val="00150DFC"/>
    <w:rsid w:val="00153268"/>
    <w:rsid w:val="001534FD"/>
    <w:rsid w:val="001544F4"/>
    <w:rsid w:val="0015472B"/>
    <w:rsid w:val="00154EEA"/>
    <w:rsid w:val="00163307"/>
    <w:rsid w:val="001638C5"/>
    <w:rsid w:val="00172209"/>
    <w:rsid w:val="00172C42"/>
    <w:rsid w:val="00173E0A"/>
    <w:rsid w:val="00176066"/>
    <w:rsid w:val="00185425"/>
    <w:rsid w:val="0019025C"/>
    <w:rsid w:val="0019294D"/>
    <w:rsid w:val="00197B79"/>
    <w:rsid w:val="001B0FE8"/>
    <w:rsid w:val="001B7150"/>
    <w:rsid w:val="001C1CF4"/>
    <w:rsid w:val="001C5BF9"/>
    <w:rsid w:val="001D1382"/>
    <w:rsid w:val="001D138A"/>
    <w:rsid w:val="001D5FFF"/>
    <w:rsid w:val="001D7B62"/>
    <w:rsid w:val="002019AF"/>
    <w:rsid w:val="00203A99"/>
    <w:rsid w:val="00205C92"/>
    <w:rsid w:val="002116DD"/>
    <w:rsid w:val="00224BDB"/>
    <w:rsid w:val="00230838"/>
    <w:rsid w:val="00233F84"/>
    <w:rsid w:val="00234EAB"/>
    <w:rsid w:val="00247469"/>
    <w:rsid w:val="00251420"/>
    <w:rsid w:val="0025312D"/>
    <w:rsid w:val="002542E6"/>
    <w:rsid w:val="00256FFD"/>
    <w:rsid w:val="002633F8"/>
    <w:rsid w:val="00263B22"/>
    <w:rsid w:val="0026459C"/>
    <w:rsid w:val="0026752A"/>
    <w:rsid w:val="0027538B"/>
    <w:rsid w:val="00275F6E"/>
    <w:rsid w:val="00275F7C"/>
    <w:rsid w:val="00281EC3"/>
    <w:rsid w:val="00282E0B"/>
    <w:rsid w:val="002856A6"/>
    <w:rsid w:val="00294D19"/>
    <w:rsid w:val="00296EEC"/>
    <w:rsid w:val="002A0B80"/>
    <w:rsid w:val="002A74E2"/>
    <w:rsid w:val="002B05E0"/>
    <w:rsid w:val="002B2412"/>
    <w:rsid w:val="002B25A3"/>
    <w:rsid w:val="002B27F3"/>
    <w:rsid w:val="002B76D7"/>
    <w:rsid w:val="002C1F3B"/>
    <w:rsid w:val="002D019B"/>
    <w:rsid w:val="002D6441"/>
    <w:rsid w:val="002E5592"/>
    <w:rsid w:val="002F0353"/>
    <w:rsid w:val="002F4DFB"/>
    <w:rsid w:val="002F74A6"/>
    <w:rsid w:val="002F7B55"/>
    <w:rsid w:val="00307ADE"/>
    <w:rsid w:val="00310915"/>
    <w:rsid w:val="00310AD8"/>
    <w:rsid w:val="00313E5E"/>
    <w:rsid w:val="0031709D"/>
    <w:rsid w:val="00317C56"/>
    <w:rsid w:val="00330B4C"/>
    <w:rsid w:val="00333849"/>
    <w:rsid w:val="0033764E"/>
    <w:rsid w:val="00340AD2"/>
    <w:rsid w:val="00342C78"/>
    <w:rsid w:val="003465AC"/>
    <w:rsid w:val="0034791A"/>
    <w:rsid w:val="00361CF6"/>
    <w:rsid w:val="003631C6"/>
    <w:rsid w:val="00363FC3"/>
    <w:rsid w:val="00371282"/>
    <w:rsid w:val="00373A88"/>
    <w:rsid w:val="0038379B"/>
    <w:rsid w:val="00397316"/>
    <w:rsid w:val="003A01C4"/>
    <w:rsid w:val="003A3495"/>
    <w:rsid w:val="003A6106"/>
    <w:rsid w:val="003B24FD"/>
    <w:rsid w:val="003D1B21"/>
    <w:rsid w:val="003D2C8E"/>
    <w:rsid w:val="003D5363"/>
    <w:rsid w:val="003E2EA2"/>
    <w:rsid w:val="003E5A86"/>
    <w:rsid w:val="003F4D63"/>
    <w:rsid w:val="0040493B"/>
    <w:rsid w:val="0040750B"/>
    <w:rsid w:val="0041094F"/>
    <w:rsid w:val="004133F2"/>
    <w:rsid w:val="00414339"/>
    <w:rsid w:val="004150BE"/>
    <w:rsid w:val="004159C8"/>
    <w:rsid w:val="004179F9"/>
    <w:rsid w:val="004201A4"/>
    <w:rsid w:val="004209A0"/>
    <w:rsid w:val="004218A3"/>
    <w:rsid w:val="00422E9D"/>
    <w:rsid w:val="00423F16"/>
    <w:rsid w:val="004244CB"/>
    <w:rsid w:val="00426DD7"/>
    <w:rsid w:val="00437DA2"/>
    <w:rsid w:val="004408D8"/>
    <w:rsid w:val="004425B2"/>
    <w:rsid w:val="004447B3"/>
    <w:rsid w:val="00444D79"/>
    <w:rsid w:val="004453AB"/>
    <w:rsid w:val="00445D84"/>
    <w:rsid w:val="004465D1"/>
    <w:rsid w:val="004466EF"/>
    <w:rsid w:val="00452FA2"/>
    <w:rsid w:val="00453374"/>
    <w:rsid w:val="00455DDA"/>
    <w:rsid w:val="00456A1C"/>
    <w:rsid w:val="00457FF0"/>
    <w:rsid w:val="0046572D"/>
    <w:rsid w:val="00472E06"/>
    <w:rsid w:val="00473E3A"/>
    <w:rsid w:val="00473F4E"/>
    <w:rsid w:val="00474C90"/>
    <w:rsid w:val="00476B5E"/>
    <w:rsid w:val="004772C3"/>
    <w:rsid w:val="00477411"/>
    <w:rsid w:val="004863F1"/>
    <w:rsid w:val="00486663"/>
    <w:rsid w:val="00486892"/>
    <w:rsid w:val="0049003C"/>
    <w:rsid w:val="00494534"/>
    <w:rsid w:val="00496BB1"/>
    <w:rsid w:val="004A0B74"/>
    <w:rsid w:val="004A4265"/>
    <w:rsid w:val="004A4D2C"/>
    <w:rsid w:val="004A5B5A"/>
    <w:rsid w:val="004A63C2"/>
    <w:rsid w:val="004B29AC"/>
    <w:rsid w:val="004B5046"/>
    <w:rsid w:val="004B549D"/>
    <w:rsid w:val="004B554E"/>
    <w:rsid w:val="004B5FBD"/>
    <w:rsid w:val="004C0660"/>
    <w:rsid w:val="004C7460"/>
    <w:rsid w:val="004D3CCD"/>
    <w:rsid w:val="004E1CD5"/>
    <w:rsid w:val="004E77BD"/>
    <w:rsid w:val="004F383C"/>
    <w:rsid w:val="004F67B1"/>
    <w:rsid w:val="004F7916"/>
    <w:rsid w:val="0050299F"/>
    <w:rsid w:val="00502A0C"/>
    <w:rsid w:val="00503DDB"/>
    <w:rsid w:val="00504884"/>
    <w:rsid w:val="005123A2"/>
    <w:rsid w:val="00516428"/>
    <w:rsid w:val="0052029D"/>
    <w:rsid w:val="005222F0"/>
    <w:rsid w:val="0053285C"/>
    <w:rsid w:val="00536A1D"/>
    <w:rsid w:val="0054503E"/>
    <w:rsid w:val="00547FAF"/>
    <w:rsid w:val="00560C31"/>
    <w:rsid w:val="00565C9F"/>
    <w:rsid w:val="00576AA1"/>
    <w:rsid w:val="00590A58"/>
    <w:rsid w:val="005A7451"/>
    <w:rsid w:val="005A756A"/>
    <w:rsid w:val="005A7D01"/>
    <w:rsid w:val="005B2714"/>
    <w:rsid w:val="005B3DB5"/>
    <w:rsid w:val="005C2DE3"/>
    <w:rsid w:val="005C4F35"/>
    <w:rsid w:val="005D70FA"/>
    <w:rsid w:val="005E0C0A"/>
    <w:rsid w:val="005E492A"/>
    <w:rsid w:val="005E6E2D"/>
    <w:rsid w:val="005F1089"/>
    <w:rsid w:val="005F672F"/>
    <w:rsid w:val="00601419"/>
    <w:rsid w:val="0060143B"/>
    <w:rsid w:val="006022AA"/>
    <w:rsid w:val="00617959"/>
    <w:rsid w:val="0062088D"/>
    <w:rsid w:val="00620A14"/>
    <w:rsid w:val="006241F2"/>
    <w:rsid w:val="00624300"/>
    <w:rsid w:val="00624E11"/>
    <w:rsid w:val="00635095"/>
    <w:rsid w:val="00640EF3"/>
    <w:rsid w:val="0064410D"/>
    <w:rsid w:val="00644FC8"/>
    <w:rsid w:val="006467B6"/>
    <w:rsid w:val="00647C3A"/>
    <w:rsid w:val="00650ADF"/>
    <w:rsid w:val="00651626"/>
    <w:rsid w:val="00653116"/>
    <w:rsid w:val="006619B0"/>
    <w:rsid w:val="0066324F"/>
    <w:rsid w:val="006633BA"/>
    <w:rsid w:val="00663EC6"/>
    <w:rsid w:val="00665EEF"/>
    <w:rsid w:val="00666C06"/>
    <w:rsid w:val="00670967"/>
    <w:rsid w:val="0067792B"/>
    <w:rsid w:val="00682601"/>
    <w:rsid w:val="00683AB2"/>
    <w:rsid w:val="00684AB8"/>
    <w:rsid w:val="00691C64"/>
    <w:rsid w:val="006A0F3E"/>
    <w:rsid w:val="006A4703"/>
    <w:rsid w:val="006A574A"/>
    <w:rsid w:val="006A729D"/>
    <w:rsid w:val="006A7DD4"/>
    <w:rsid w:val="006B733A"/>
    <w:rsid w:val="006C6FCB"/>
    <w:rsid w:val="006D3C6E"/>
    <w:rsid w:val="006D7803"/>
    <w:rsid w:val="006D7C7E"/>
    <w:rsid w:val="006E0542"/>
    <w:rsid w:val="006E605F"/>
    <w:rsid w:val="006E6878"/>
    <w:rsid w:val="006E7672"/>
    <w:rsid w:val="006F4886"/>
    <w:rsid w:val="0070666C"/>
    <w:rsid w:val="00707C39"/>
    <w:rsid w:val="00710215"/>
    <w:rsid w:val="0071174C"/>
    <w:rsid w:val="00712D8E"/>
    <w:rsid w:val="00715A6C"/>
    <w:rsid w:val="00717433"/>
    <w:rsid w:val="007202DA"/>
    <w:rsid w:val="0073523F"/>
    <w:rsid w:val="00736401"/>
    <w:rsid w:val="00750F1C"/>
    <w:rsid w:val="00755ECA"/>
    <w:rsid w:val="00764108"/>
    <w:rsid w:val="00765B41"/>
    <w:rsid w:val="00766948"/>
    <w:rsid w:val="00772FC7"/>
    <w:rsid w:val="00776982"/>
    <w:rsid w:val="00777F1D"/>
    <w:rsid w:val="007906BB"/>
    <w:rsid w:val="00793B8C"/>
    <w:rsid w:val="00796D99"/>
    <w:rsid w:val="007A2A6B"/>
    <w:rsid w:val="007A399D"/>
    <w:rsid w:val="007A52C9"/>
    <w:rsid w:val="007B336F"/>
    <w:rsid w:val="007B38B8"/>
    <w:rsid w:val="007C0F75"/>
    <w:rsid w:val="007D05B8"/>
    <w:rsid w:val="007D2538"/>
    <w:rsid w:val="007D2860"/>
    <w:rsid w:val="007D2D00"/>
    <w:rsid w:val="007D3D4E"/>
    <w:rsid w:val="007D5DD6"/>
    <w:rsid w:val="007D7E8B"/>
    <w:rsid w:val="007E3432"/>
    <w:rsid w:val="007E4F7A"/>
    <w:rsid w:val="007F108F"/>
    <w:rsid w:val="007F3369"/>
    <w:rsid w:val="007F50F1"/>
    <w:rsid w:val="00813030"/>
    <w:rsid w:val="008154E1"/>
    <w:rsid w:val="00821DAA"/>
    <w:rsid w:val="00826984"/>
    <w:rsid w:val="008309BF"/>
    <w:rsid w:val="00842759"/>
    <w:rsid w:val="008429AC"/>
    <w:rsid w:val="00854540"/>
    <w:rsid w:val="008575E0"/>
    <w:rsid w:val="00857ADF"/>
    <w:rsid w:val="0086191E"/>
    <w:rsid w:val="00864B9B"/>
    <w:rsid w:val="00864FD1"/>
    <w:rsid w:val="00867393"/>
    <w:rsid w:val="00876A93"/>
    <w:rsid w:val="00881DCA"/>
    <w:rsid w:val="008924B1"/>
    <w:rsid w:val="008954F3"/>
    <w:rsid w:val="00896579"/>
    <w:rsid w:val="008A1CE7"/>
    <w:rsid w:val="008A3B2E"/>
    <w:rsid w:val="008A6B9B"/>
    <w:rsid w:val="008B015E"/>
    <w:rsid w:val="008B31ED"/>
    <w:rsid w:val="008C18F7"/>
    <w:rsid w:val="008C3653"/>
    <w:rsid w:val="008C46CC"/>
    <w:rsid w:val="008C4B93"/>
    <w:rsid w:val="008D12C5"/>
    <w:rsid w:val="008E47FD"/>
    <w:rsid w:val="008E534A"/>
    <w:rsid w:val="008E5D4D"/>
    <w:rsid w:val="008F3EA1"/>
    <w:rsid w:val="008F4061"/>
    <w:rsid w:val="008F4F9C"/>
    <w:rsid w:val="008F55C7"/>
    <w:rsid w:val="00902833"/>
    <w:rsid w:val="00903C7E"/>
    <w:rsid w:val="00903FCE"/>
    <w:rsid w:val="0090420C"/>
    <w:rsid w:val="00910FE9"/>
    <w:rsid w:val="0091308F"/>
    <w:rsid w:val="0091533B"/>
    <w:rsid w:val="00916E44"/>
    <w:rsid w:val="0092105A"/>
    <w:rsid w:val="009223FC"/>
    <w:rsid w:val="00923A7E"/>
    <w:rsid w:val="00926E2A"/>
    <w:rsid w:val="00930FC2"/>
    <w:rsid w:val="009316CC"/>
    <w:rsid w:val="0093618D"/>
    <w:rsid w:val="009451E2"/>
    <w:rsid w:val="00945A18"/>
    <w:rsid w:val="00946E10"/>
    <w:rsid w:val="00946F86"/>
    <w:rsid w:val="00955DC8"/>
    <w:rsid w:val="00961D04"/>
    <w:rsid w:val="00974D9F"/>
    <w:rsid w:val="009762BA"/>
    <w:rsid w:val="0097782A"/>
    <w:rsid w:val="00980495"/>
    <w:rsid w:val="00980C88"/>
    <w:rsid w:val="00987C35"/>
    <w:rsid w:val="009943B4"/>
    <w:rsid w:val="00994514"/>
    <w:rsid w:val="009A13AA"/>
    <w:rsid w:val="009C3387"/>
    <w:rsid w:val="009E75DF"/>
    <w:rsid w:val="009F4EAD"/>
    <w:rsid w:val="00A00F8E"/>
    <w:rsid w:val="00A03587"/>
    <w:rsid w:val="00A118AF"/>
    <w:rsid w:val="00A1429B"/>
    <w:rsid w:val="00A14451"/>
    <w:rsid w:val="00A2045F"/>
    <w:rsid w:val="00A2189E"/>
    <w:rsid w:val="00A2551F"/>
    <w:rsid w:val="00A26917"/>
    <w:rsid w:val="00A31F44"/>
    <w:rsid w:val="00A3299E"/>
    <w:rsid w:val="00A35C1F"/>
    <w:rsid w:val="00A41136"/>
    <w:rsid w:val="00A433F1"/>
    <w:rsid w:val="00A453B0"/>
    <w:rsid w:val="00A45960"/>
    <w:rsid w:val="00A459A6"/>
    <w:rsid w:val="00A4738E"/>
    <w:rsid w:val="00A475A4"/>
    <w:rsid w:val="00A47D31"/>
    <w:rsid w:val="00A50AAC"/>
    <w:rsid w:val="00A517EC"/>
    <w:rsid w:val="00A5224B"/>
    <w:rsid w:val="00A5353E"/>
    <w:rsid w:val="00A637D3"/>
    <w:rsid w:val="00A7393F"/>
    <w:rsid w:val="00A7709F"/>
    <w:rsid w:val="00A77BB4"/>
    <w:rsid w:val="00A87768"/>
    <w:rsid w:val="00A87C64"/>
    <w:rsid w:val="00A96E8A"/>
    <w:rsid w:val="00AA1741"/>
    <w:rsid w:val="00AA37E3"/>
    <w:rsid w:val="00AA3D9A"/>
    <w:rsid w:val="00AB091F"/>
    <w:rsid w:val="00AB1C11"/>
    <w:rsid w:val="00AB3161"/>
    <w:rsid w:val="00AB612C"/>
    <w:rsid w:val="00AB6874"/>
    <w:rsid w:val="00AB73BB"/>
    <w:rsid w:val="00AB7767"/>
    <w:rsid w:val="00AC130D"/>
    <w:rsid w:val="00AC13F8"/>
    <w:rsid w:val="00AC41F7"/>
    <w:rsid w:val="00AC653D"/>
    <w:rsid w:val="00AC6A8D"/>
    <w:rsid w:val="00AD5AE8"/>
    <w:rsid w:val="00AD7524"/>
    <w:rsid w:val="00AE1EAC"/>
    <w:rsid w:val="00AE5FE4"/>
    <w:rsid w:val="00AF260F"/>
    <w:rsid w:val="00AF347E"/>
    <w:rsid w:val="00AF54FE"/>
    <w:rsid w:val="00AF6C4E"/>
    <w:rsid w:val="00AF7D5D"/>
    <w:rsid w:val="00B03E22"/>
    <w:rsid w:val="00B11947"/>
    <w:rsid w:val="00B13BAA"/>
    <w:rsid w:val="00B16217"/>
    <w:rsid w:val="00B25960"/>
    <w:rsid w:val="00B25989"/>
    <w:rsid w:val="00B32A25"/>
    <w:rsid w:val="00B33067"/>
    <w:rsid w:val="00B349BC"/>
    <w:rsid w:val="00B43DB6"/>
    <w:rsid w:val="00B456BC"/>
    <w:rsid w:val="00B53C2B"/>
    <w:rsid w:val="00B55CD5"/>
    <w:rsid w:val="00B55E3F"/>
    <w:rsid w:val="00B609E7"/>
    <w:rsid w:val="00B65943"/>
    <w:rsid w:val="00B66A8A"/>
    <w:rsid w:val="00B70818"/>
    <w:rsid w:val="00B80340"/>
    <w:rsid w:val="00B82698"/>
    <w:rsid w:val="00B8358F"/>
    <w:rsid w:val="00B840B8"/>
    <w:rsid w:val="00BA17D0"/>
    <w:rsid w:val="00BA3185"/>
    <w:rsid w:val="00BB1C30"/>
    <w:rsid w:val="00BB2432"/>
    <w:rsid w:val="00BB49FE"/>
    <w:rsid w:val="00BB73A1"/>
    <w:rsid w:val="00BC1CBD"/>
    <w:rsid w:val="00BC6B8D"/>
    <w:rsid w:val="00BD3B67"/>
    <w:rsid w:val="00BD4B3F"/>
    <w:rsid w:val="00BE4F0A"/>
    <w:rsid w:val="00BE5487"/>
    <w:rsid w:val="00BF0EAA"/>
    <w:rsid w:val="00BF4E60"/>
    <w:rsid w:val="00C01A66"/>
    <w:rsid w:val="00C030D9"/>
    <w:rsid w:val="00C07517"/>
    <w:rsid w:val="00C1323B"/>
    <w:rsid w:val="00C318D2"/>
    <w:rsid w:val="00C32DE1"/>
    <w:rsid w:val="00C351D9"/>
    <w:rsid w:val="00C373F7"/>
    <w:rsid w:val="00C375BF"/>
    <w:rsid w:val="00C37C80"/>
    <w:rsid w:val="00C42F96"/>
    <w:rsid w:val="00C46541"/>
    <w:rsid w:val="00C466D0"/>
    <w:rsid w:val="00C52FA1"/>
    <w:rsid w:val="00C64514"/>
    <w:rsid w:val="00C74432"/>
    <w:rsid w:val="00C7612D"/>
    <w:rsid w:val="00C76434"/>
    <w:rsid w:val="00C7686C"/>
    <w:rsid w:val="00C768EC"/>
    <w:rsid w:val="00C813C0"/>
    <w:rsid w:val="00C90AAB"/>
    <w:rsid w:val="00C93D19"/>
    <w:rsid w:val="00C971E9"/>
    <w:rsid w:val="00CA78F5"/>
    <w:rsid w:val="00CB29FA"/>
    <w:rsid w:val="00CC1D15"/>
    <w:rsid w:val="00CC46C2"/>
    <w:rsid w:val="00CC7041"/>
    <w:rsid w:val="00CC75A0"/>
    <w:rsid w:val="00CD0EFB"/>
    <w:rsid w:val="00CD1500"/>
    <w:rsid w:val="00CD5987"/>
    <w:rsid w:val="00CD6998"/>
    <w:rsid w:val="00CE069D"/>
    <w:rsid w:val="00CE1FFD"/>
    <w:rsid w:val="00CE3C34"/>
    <w:rsid w:val="00CF58EE"/>
    <w:rsid w:val="00D005A9"/>
    <w:rsid w:val="00D00FAC"/>
    <w:rsid w:val="00D019CF"/>
    <w:rsid w:val="00D12FA0"/>
    <w:rsid w:val="00D147C5"/>
    <w:rsid w:val="00D2107C"/>
    <w:rsid w:val="00D307FC"/>
    <w:rsid w:val="00D31844"/>
    <w:rsid w:val="00D328CE"/>
    <w:rsid w:val="00D36D78"/>
    <w:rsid w:val="00D41624"/>
    <w:rsid w:val="00D45E17"/>
    <w:rsid w:val="00D46BFE"/>
    <w:rsid w:val="00D50702"/>
    <w:rsid w:val="00D53760"/>
    <w:rsid w:val="00D55AA7"/>
    <w:rsid w:val="00D57153"/>
    <w:rsid w:val="00D610F2"/>
    <w:rsid w:val="00D61B57"/>
    <w:rsid w:val="00D70C83"/>
    <w:rsid w:val="00D771E2"/>
    <w:rsid w:val="00D801A6"/>
    <w:rsid w:val="00D81E0D"/>
    <w:rsid w:val="00D867C6"/>
    <w:rsid w:val="00D91EA9"/>
    <w:rsid w:val="00D9297D"/>
    <w:rsid w:val="00D97111"/>
    <w:rsid w:val="00DA1DEC"/>
    <w:rsid w:val="00DA2622"/>
    <w:rsid w:val="00DA44BC"/>
    <w:rsid w:val="00DA6177"/>
    <w:rsid w:val="00DA7D1A"/>
    <w:rsid w:val="00DB760E"/>
    <w:rsid w:val="00DC5696"/>
    <w:rsid w:val="00DC6BF5"/>
    <w:rsid w:val="00DD3F90"/>
    <w:rsid w:val="00DD478F"/>
    <w:rsid w:val="00DD7649"/>
    <w:rsid w:val="00DE1217"/>
    <w:rsid w:val="00DE3AA1"/>
    <w:rsid w:val="00DE3C32"/>
    <w:rsid w:val="00DE7503"/>
    <w:rsid w:val="00DF07A0"/>
    <w:rsid w:val="00DF2C0A"/>
    <w:rsid w:val="00E015F6"/>
    <w:rsid w:val="00E0512F"/>
    <w:rsid w:val="00E05AA8"/>
    <w:rsid w:val="00E1334A"/>
    <w:rsid w:val="00E13955"/>
    <w:rsid w:val="00E1588B"/>
    <w:rsid w:val="00E23272"/>
    <w:rsid w:val="00E23588"/>
    <w:rsid w:val="00E25C3D"/>
    <w:rsid w:val="00E31A45"/>
    <w:rsid w:val="00E31BED"/>
    <w:rsid w:val="00E31BF6"/>
    <w:rsid w:val="00E36844"/>
    <w:rsid w:val="00E40ADB"/>
    <w:rsid w:val="00E416A9"/>
    <w:rsid w:val="00E56408"/>
    <w:rsid w:val="00E5702A"/>
    <w:rsid w:val="00E609EA"/>
    <w:rsid w:val="00E6662A"/>
    <w:rsid w:val="00E84D02"/>
    <w:rsid w:val="00E87B77"/>
    <w:rsid w:val="00E922B4"/>
    <w:rsid w:val="00E92B05"/>
    <w:rsid w:val="00E92D50"/>
    <w:rsid w:val="00E9356C"/>
    <w:rsid w:val="00E97C6E"/>
    <w:rsid w:val="00E97E1B"/>
    <w:rsid w:val="00EB07FC"/>
    <w:rsid w:val="00EB7B96"/>
    <w:rsid w:val="00ED2A8E"/>
    <w:rsid w:val="00ED2F81"/>
    <w:rsid w:val="00ED31D6"/>
    <w:rsid w:val="00ED5393"/>
    <w:rsid w:val="00EE4873"/>
    <w:rsid w:val="00EE74E8"/>
    <w:rsid w:val="00EF3FBB"/>
    <w:rsid w:val="00EF5139"/>
    <w:rsid w:val="00EF5AF2"/>
    <w:rsid w:val="00EF791E"/>
    <w:rsid w:val="00F055EC"/>
    <w:rsid w:val="00F0662A"/>
    <w:rsid w:val="00F076EF"/>
    <w:rsid w:val="00F12A10"/>
    <w:rsid w:val="00F16100"/>
    <w:rsid w:val="00F22388"/>
    <w:rsid w:val="00F23967"/>
    <w:rsid w:val="00F26336"/>
    <w:rsid w:val="00F27DCE"/>
    <w:rsid w:val="00F33462"/>
    <w:rsid w:val="00F36205"/>
    <w:rsid w:val="00F4155F"/>
    <w:rsid w:val="00F440E9"/>
    <w:rsid w:val="00F4467E"/>
    <w:rsid w:val="00F45342"/>
    <w:rsid w:val="00F52585"/>
    <w:rsid w:val="00F539E4"/>
    <w:rsid w:val="00F57824"/>
    <w:rsid w:val="00F62ACD"/>
    <w:rsid w:val="00F720D9"/>
    <w:rsid w:val="00F72606"/>
    <w:rsid w:val="00F72B92"/>
    <w:rsid w:val="00F759FD"/>
    <w:rsid w:val="00F81D87"/>
    <w:rsid w:val="00F8570E"/>
    <w:rsid w:val="00F92663"/>
    <w:rsid w:val="00F93E43"/>
    <w:rsid w:val="00F94E32"/>
    <w:rsid w:val="00FA6024"/>
    <w:rsid w:val="00FB21F0"/>
    <w:rsid w:val="00FB637E"/>
    <w:rsid w:val="00FC4B18"/>
    <w:rsid w:val="00FD1947"/>
    <w:rsid w:val="00FD22EB"/>
    <w:rsid w:val="00FD3857"/>
    <w:rsid w:val="00FD3BB1"/>
    <w:rsid w:val="00FD6FAF"/>
    <w:rsid w:val="00FE6830"/>
    <w:rsid w:val="00FF0456"/>
    <w:rsid w:val="01033FD4"/>
    <w:rsid w:val="01541E74"/>
    <w:rsid w:val="04AE7B23"/>
    <w:rsid w:val="076F4905"/>
    <w:rsid w:val="086A5B0F"/>
    <w:rsid w:val="08F21DCD"/>
    <w:rsid w:val="0B5111E3"/>
    <w:rsid w:val="0C053458"/>
    <w:rsid w:val="0C2B6A43"/>
    <w:rsid w:val="0EDD1CCB"/>
    <w:rsid w:val="1045133B"/>
    <w:rsid w:val="10863702"/>
    <w:rsid w:val="12EB3CF0"/>
    <w:rsid w:val="14C0404D"/>
    <w:rsid w:val="164C0405"/>
    <w:rsid w:val="177E3384"/>
    <w:rsid w:val="1C33298F"/>
    <w:rsid w:val="1C9A5312"/>
    <w:rsid w:val="1CE02186"/>
    <w:rsid w:val="20472DB0"/>
    <w:rsid w:val="24D25D21"/>
    <w:rsid w:val="2734580E"/>
    <w:rsid w:val="28090A48"/>
    <w:rsid w:val="2867513A"/>
    <w:rsid w:val="2B40111A"/>
    <w:rsid w:val="2C864D5D"/>
    <w:rsid w:val="2CE25AD1"/>
    <w:rsid w:val="2CEF4A5A"/>
    <w:rsid w:val="2D2123F9"/>
    <w:rsid w:val="2E4654D0"/>
    <w:rsid w:val="2F4967E6"/>
    <w:rsid w:val="32B62FD1"/>
    <w:rsid w:val="33C24ADF"/>
    <w:rsid w:val="35AF0E81"/>
    <w:rsid w:val="36DB5CA6"/>
    <w:rsid w:val="3862042D"/>
    <w:rsid w:val="3D4F6AA6"/>
    <w:rsid w:val="3D78029F"/>
    <w:rsid w:val="3EA250FB"/>
    <w:rsid w:val="3FC90D91"/>
    <w:rsid w:val="43D30430"/>
    <w:rsid w:val="44421AC2"/>
    <w:rsid w:val="45285203"/>
    <w:rsid w:val="469E52FF"/>
    <w:rsid w:val="46DA54D4"/>
    <w:rsid w:val="47ED4286"/>
    <w:rsid w:val="481553CE"/>
    <w:rsid w:val="4A5676C5"/>
    <w:rsid w:val="4FA36773"/>
    <w:rsid w:val="509C604E"/>
    <w:rsid w:val="51766B16"/>
    <w:rsid w:val="527A416D"/>
    <w:rsid w:val="528F5E6A"/>
    <w:rsid w:val="54C108F5"/>
    <w:rsid w:val="54D44008"/>
    <w:rsid w:val="5511309A"/>
    <w:rsid w:val="58367E18"/>
    <w:rsid w:val="58B94FED"/>
    <w:rsid w:val="5C8A2690"/>
    <w:rsid w:val="60161979"/>
    <w:rsid w:val="64EA33D4"/>
    <w:rsid w:val="661572E9"/>
    <w:rsid w:val="67116BC2"/>
    <w:rsid w:val="67664676"/>
    <w:rsid w:val="679F4002"/>
    <w:rsid w:val="683A3D2B"/>
    <w:rsid w:val="687436E1"/>
    <w:rsid w:val="68832D89"/>
    <w:rsid w:val="6947772A"/>
    <w:rsid w:val="69BF367D"/>
    <w:rsid w:val="6B1B42E7"/>
    <w:rsid w:val="6C6302B1"/>
    <w:rsid w:val="6C643A6C"/>
    <w:rsid w:val="6D0635A9"/>
    <w:rsid w:val="6E4753F3"/>
    <w:rsid w:val="6EA97E5C"/>
    <w:rsid w:val="70FE5FD2"/>
    <w:rsid w:val="726522EC"/>
    <w:rsid w:val="727D13E4"/>
    <w:rsid w:val="765024B1"/>
    <w:rsid w:val="76F0011C"/>
    <w:rsid w:val="795D3C37"/>
    <w:rsid w:val="7A4423A1"/>
    <w:rsid w:val="7C9B6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8"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33"/>
    <w:qFormat/>
    <w:uiPriority w:val="9"/>
    <w:pPr>
      <w:keepNext/>
      <w:keepLines/>
      <w:spacing w:before="340" w:after="330" w:line="578" w:lineRule="auto"/>
      <w:outlineLvl w:val="0"/>
    </w:pPr>
    <w:rPr>
      <w:kern w:val="44"/>
      <w:sz w:val="44"/>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98"/>
    <w:pPr>
      <w:spacing w:before="240" w:after="60"/>
      <w:jc w:val="center"/>
      <w:outlineLvl w:val="0"/>
    </w:pPr>
    <w:rPr>
      <w:rFonts w:ascii="等线 Light" w:hAnsi="等线 Light"/>
      <w:b/>
      <w:bCs/>
      <w:sz w:val="32"/>
      <w:szCs w:val="32"/>
    </w:rPr>
  </w:style>
  <w:style w:type="paragraph" w:styleId="6">
    <w:name w:val="Normal Indent"/>
    <w:basedOn w:val="1"/>
    <w:link w:val="54"/>
    <w:qFormat/>
    <w:uiPriority w:val="99"/>
    <w:pPr>
      <w:spacing w:line="360" w:lineRule="auto"/>
      <w:ind w:firstLine="200" w:firstLineChars="200"/>
    </w:pPr>
    <w:rPr>
      <w:rFonts w:ascii="Times New Roman" w:hAnsi="Times New Roman" w:eastAsia="宋体" w:cs="Times New Roman"/>
      <w:sz w:val="28"/>
      <w:szCs w:val="20"/>
    </w:rPr>
  </w:style>
  <w:style w:type="paragraph" w:styleId="7">
    <w:name w:val="toa heading"/>
    <w:basedOn w:val="1"/>
    <w:next w:val="1"/>
    <w:qFormat/>
    <w:uiPriority w:val="0"/>
    <w:pPr>
      <w:spacing w:before="120"/>
    </w:pPr>
    <w:rPr>
      <w:rFonts w:ascii="Arial" w:hAnsi="Arial" w:eastAsia="微软雅黑" w:cs="Times New Roman"/>
      <w:sz w:val="24"/>
      <w:szCs w:val="21"/>
    </w:rPr>
  </w:style>
  <w:style w:type="paragraph" w:styleId="8">
    <w:name w:val="annotation text"/>
    <w:basedOn w:val="1"/>
    <w:qFormat/>
    <w:uiPriority w:val="99"/>
    <w:pPr>
      <w:widowControl/>
      <w:jc w:val="left"/>
    </w:pPr>
    <w:rPr>
      <w:rFonts w:ascii="Times New Roman" w:hAnsi="Times New Roman" w:eastAsia="宋体" w:cs="Times New Roman"/>
      <w:sz w:val="28"/>
      <w:szCs w:val="20"/>
    </w:rPr>
  </w:style>
  <w:style w:type="paragraph" w:styleId="9">
    <w:name w:val="Body Text"/>
    <w:basedOn w:val="1"/>
    <w:link w:val="38"/>
    <w:semiHidden/>
    <w:unhideWhenUsed/>
    <w:qFormat/>
    <w:uiPriority w:val="99"/>
    <w:pPr>
      <w:spacing w:after="120"/>
    </w:pPr>
  </w:style>
  <w:style w:type="paragraph" w:styleId="10">
    <w:name w:val="Body Text Indent"/>
    <w:basedOn w:val="1"/>
    <w:link w:val="44"/>
    <w:semiHidden/>
    <w:unhideWhenUsed/>
    <w:qFormat/>
    <w:uiPriority w:val="99"/>
    <w:pPr>
      <w:spacing w:after="120"/>
      <w:ind w:left="420" w:leftChars="200"/>
    </w:pPr>
  </w:style>
  <w:style w:type="paragraph" w:styleId="11">
    <w:name w:val="toc 3"/>
    <w:basedOn w:val="1"/>
    <w:next w:val="1"/>
    <w:unhideWhenUsed/>
    <w:qFormat/>
    <w:uiPriority w:val="39"/>
    <w:pPr>
      <w:widowControl/>
      <w:spacing w:after="100" w:line="259" w:lineRule="auto"/>
      <w:ind w:left="440"/>
      <w:jc w:val="left"/>
    </w:pPr>
    <w:rPr>
      <w:rFonts w:cs="Times New Roman"/>
      <w:kern w:val="0"/>
      <w:sz w:val="22"/>
    </w:rPr>
  </w:style>
  <w:style w:type="paragraph" w:styleId="12">
    <w:name w:val="Plain Text"/>
    <w:basedOn w:val="1"/>
    <w:link w:val="47"/>
    <w:qFormat/>
    <w:uiPriority w:val="0"/>
    <w:rPr>
      <w:rFonts w:ascii="宋体" w:hAnsi="Courier New" w:eastAsia="宋体"/>
    </w:rPr>
  </w:style>
  <w:style w:type="paragraph" w:styleId="13">
    <w:name w:val="Body Text Indent 2"/>
    <w:basedOn w:val="1"/>
    <w:link w:val="45"/>
    <w:semiHidden/>
    <w:unhideWhenUsed/>
    <w:qFormat/>
    <w:uiPriority w:val="99"/>
    <w:pPr>
      <w:spacing w:after="120" w:line="480" w:lineRule="auto"/>
      <w:ind w:left="420" w:leftChars="200"/>
    </w:pPr>
  </w:style>
  <w:style w:type="paragraph" w:styleId="14">
    <w:name w:val="Balloon Text"/>
    <w:basedOn w:val="1"/>
    <w:link w:val="41"/>
    <w:semiHidden/>
    <w:qFormat/>
    <w:uiPriority w:val="0"/>
    <w:rPr>
      <w:sz w:val="18"/>
      <w:szCs w:val="18"/>
    </w:rPr>
  </w:style>
  <w:style w:type="paragraph" w:styleId="15">
    <w:name w:val="footer"/>
    <w:basedOn w:val="1"/>
    <w:link w:val="32"/>
    <w:unhideWhenUsed/>
    <w:qFormat/>
    <w:uiPriority w:val="99"/>
    <w:pPr>
      <w:tabs>
        <w:tab w:val="center" w:pos="4153"/>
        <w:tab w:val="right" w:pos="8306"/>
      </w:tabs>
      <w:snapToGrid w:val="0"/>
      <w:jc w:val="left"/>
    </w:pPr>
    <w:rPr>
      <w:sz w:val="18"/>
      <w:szCs w:val="18"/>
    </w:rPr>
  </w:style>
  <w:style w:type="paragraph" w:styleId="16">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17">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59" w:lineRule="auto"/>
      <w:jc w:val="left"/>
    </w:pPr>
    <w:rPr>
      <w:rFonts w:cs="Times New Roman"/>
      <w:kern w:val="0"/>
      <w:sz w:val="22"/>
    </w:rPr>
  </w:style>
  <w:style w:type="paragraph" w:styleId="19">
    <w:name w:val="Body Text Indent 3"/>
    <w:basedOn w:val="1"/>
    <w:link w:val="46"/>
    <w:qFormat/>
    <w:uiPriority w:val="0"/>
    <w:pPr>
      <w:spacing w:after="120"/>
      <w:ind w:left="420" w:leftChars="200"/>
    </w:pPr>
    <w:rPr>
      <w:sz w:val="16"/>
      <w:szCs w:val="16"/>
    </w:rPr>
  </w:style>
  <w:style w:type="paragraph" w:styleId="20">
    <w:name w:val="toc 2"/>
    <w:basedOn w:val="1"/>
    <w:next w:val="1"/>
    <w:unhideWhenUsed/>
    <w:qFormat/>
    <w:uiPriority w:val="39"/>
    <w:pPr>
      <w:widowControl/>
      <w:spacing w:after="100" w:line="259" w:lineRule="auto"/>
      <w:ind w:left="220"/>
      <w:jc w:val="left"/>
    </w:pPr>
    <w:rPr>
      <w:rFonts w:cs="Times New Roman"/>
      <w:kern w:val="0"/>
      <w:sz w:val="22"/>
    </w:rPr>
  </w:style>
  <w:style w:type="paragraph" w:styleId="21">
    <w:name w:val="Message Header"/>
    <w:basedOn w:val="1"/>
    <w:qFormat/>
    <w:uiPriority w:val="0"/>
    <w:pPr>
      <w:keepLines/>
      <w:widowControl/>
      <w:spacing w:after="40" w:line="140" w:lineRule="atLeast"/>
      <w:ind w:left="360"/>
      <w:jc w:val="left"/>
    </w:pPr>
    <w:rPr>
      <w:rFonts w:ascii="Garamond" w:hAnsi="Garamond" w:eastAsia="PMingLiU"/>
      <w:spacing w:val="-5"/>
      <w:kern w:val="0"/>
      <w:sz w:val="24"/>
      <w:szCs w:val="20"/>
      <w:lang w:eastAsia="zh-TW"/>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23">
    <w:name w:val="Normal (Web)"/>
    <w:basedOn w:val="1"/>
    <w:qFormat/>
    <w:uiPriority w:val="0"/>
    <w:pPr>
      <w:widowControl w:val="0"/>
      <w:adjustRightInd w:val="0"/>
      <w:spacing w:line="360" w:lineRule="atLeast"/>
      <w:jc w:val="both"/>
      <w:textAlignment w:val="baseline"/>
    </w:pPr>
    <w:rPr>
      <w:rFonts w:ascii="Verdana" w:hAnsi="宋体" w:eastAsia="华文细黑" w:cs="Times New Roman"/>
      <w:sz w:val="24"/>
      <w:szCs w:val="24"/>
      <w:lang w:val="en-US" w:eastAsia="zh-CN" w:bidi="ar-SA"/>
    </w:rPr>
  </w:style>
  <w:style w:type="paragraph" w:styleId="24">
    <w:name w:val="Body Text First Indent"/>
    <w:basedOn w:val="9"/>
    <w:next w:val="1"/>
    <w:link w:val="39"/>
    <w:qFormat/>
    <w:uiPriority w:val="0"/>
    <w:pPr>
      <w:autoSpaceDE w:val="0"/>
      <w:autoSpaceDN w:val="0"/>
      <w:adjustRightInd w:val="0"/>
      <w:spacing w:line="312" w:lineRule="atLeast"/>
      <w:ind w:firstLine="420"/>
    </w:pPr>
    <w:rPr>
      <w:rFonts w:ascii="宋体" w:hAnsi="Times New Roman" w:eastAsia="宋体" w:cs="Times New Roman"/>
      <w:kern w:val="0"/>
      <w:szCs w:val="24"/>
    </w:rPr>
  </w:style>
  <w:style w:type="paragraph" w:styleId="25">
    <w:name w:val="Body Text First Indent 2"/>
    <w:basedOn w:val="10"/>
    <w:next w:val="1"/>
    <w:qFormat/>
    <w:uiPriority w:val="0"/>
    <w:pPr>
      <w:ind w:firstLine="420" w:firstLineChars="200"/>
    </w:pPr>
    <w:rPr>
      <w:rFonts w:ascii="Verdana" w:hAnsi="宋体" w:eastAsia="华文细黑" w:cs="Times New Roman"/>
      <w:kern w:val="0"/>
      <w:sz w:val="20"/>
      <w:szCs w:val="24"/>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Hyperlink"/>
    <w:basedOn w:val="28"/>
    <w:unhideWhenUsed/>
    <w:qFormat/>
    <w:uiPriority w:val="99"/>
    <w:rPr>
      <w:color w:val="0563C1" w:themeColor="hyperlink"/>
      <w:u w:val="single"/>
      <w14:textFill>
        <w14:solidFill>
          <w14:schemeClr w14:val="hlink"/>
        </w14:solidFill>
      </w14:textFill>
    </w:rPr>
  </w:style>
  <w:style w:type="character" w:customStyle="1" w:styleId="31">
    <w:name w:val="页眉 字符"/>
    <w:basedOn w:val="28"/>
    <w:link w:val="17"/>
    <w:qFormat/>
    <w:uiPriority w:val="99"/>
    <w:rPr>
      <w:sz w:val="18"/>
      <w:szCs w:val="18"/>
    </w:rPr>
  </w:style>
  <w:style w:type="character" w:customStyle="1" w:styleId="32">
    <w:name w:val="页脚 字符"/>
    <w:basedOn w:val="28"/>
    <w:link w:val="15"/>
    <w:qFormat/>
    <w:uiPriority w:val="99"/>
    <w:rPr>
      <w:sz w:val="18"/>
      <w:szCs w:val="18"/>
    </w:rPr>
  </w:style>
  <w:style w:type="character" w:customStyle="1" w:styleId="33">
    <w:name w:val="标题 1 字符"/>
    <w:basedOn w:val="28"/>
    <w:link w:val="2"/>
    <w:qFormat/>
    <w:uiPriority w:val="9"/>
    <w:rPr>
      <w:b/>
      <w:bCs/>
      <w:kern w:val="44"/>
      <w:sz w:val="44"/>
      <w:szCs w:val="44"/>
    </w:rPr>
  </w:style>
  <w:style w:type="character" w:customStyle="1" w:styleId="34">
    <w:name w:val="无间隔 字符"/>
    <w:link w:val="35"/>
    <w:qFormat/>
    <w:locked/>
    <w:uiPriority w:val="1"/>
    <w:rPr>
      <w:rFonts w:ascii="等线" w:hAnsi="等线" w:eastAsia="等线"/>
    </w:rPr>
  </w:style>
  <w:style w:type="paragraph" w:styleId="35">
    <w:name w:val="No Spacing"/>
    <w:link w:val="34"/>
    <w:qFormat/>
    <w:uiPriority w:val="1"/>
    <w:pPr>
      <w:widowControl w:val="0"/>
      <w:jc w:val="both"/>
    </w:pPr>
    <w:rPr>
      <w:rFonts w:ascii="等线" w:hAnsi="等线" w:eastAsia="等线" w:cstheme="minorBidi"/>
      <w:kern w:val="2"/>
      <w:sz w:val="21"/>
      <w:szCs w:val="22"/>
      <w:lang w:val="en-US" w:eastAsia="zh-CN" w:bidi="ar-SA"/>
    </w:rPr>
  </w:style>
  <w:style w:type="paragraph" w:customStyle="1" w:styleId="36">
    <w:name w:val="Normal Indent1"/>
    <w:basedOn w:val="1"/>
    <w:qFormat/>
    <w:uiPriority w:val="0"/>
    <w:pPr>
      <w:ind w:firstLine="200" w:firstLineChars="200"/>
    </w:pPr>
    <w:rPr>
      <w:rFonts w:ascii="Times New Roman" w:hAnsi="Times New Roman" w:eastAsia="Arial" w:cs="Times New Roman"/>
      <w:szCs w:val="24"/>
    </w:rPr>
  </w:style>
  <w:style w:type="character" w:customStyle="1" w:styleId="37">
    <w:name w:val="标题 2 字符"/>
    <w:basedOn w:val="28"/>
    <w:link w:val="4"/>
    <w:qFormat/>
    <w:uiPriority w:val="9"/>
    <w:rPr>
      <w:rFonts w:asciiTheme="majorHAnsi" w:hAnsiTheme="majorHAnsi" w:eastAsiaTheme="majorEastAsia" w:cstheme="majorBidi"/>
      <w:b/>
      <w:bCs/>
      <w:sz w:val="32"/>
      <w:szCs w:val="32"/>
    </w:rPr>
  </w:style>
  <w:style w:type="character" w:customStyle="1" w:styleId="38">
    <w:name w:val="正文文本 字符"/>
    <w:basedOn w:val="28"/>
    <w:link w:val="9"/>
    <w:semiHidden/>
    <w:qFormat/>
    <w:uiPriority w:val="99"/>
  </w:style>
  <w:style w:type="character" w:customStyle="1" w:styleId="39">
    <w:name w:val="正文文本首行缩进 字符"/>
    <w:basedOn w:val="38"/>
    <w:link w:val="24"/>
    <w:qFormat/>
    <w:uiPriority w:val="0"/>
    <w:rPr>
      <w:rFonts w:ascii="宋体" w:hAnsi="Times New Roman" w:eastAsia="宋体" w:cs="Times New Roman"/>
      <w:kern w:val="0"/>
      <w:szCs w:val="24"/>
    </w:rPr>
  </w:style>
  <w:style w:type="paragraph" w:customStyle="1" w:styleId="40">
    <w:name w:val="Table Paragraph"/>
    <w:basedOn w:val="1"/>
    <w:qFormat/>
    <w:uiPriority w:val="1"/>
    <w:pPr>
      <w:jc w:val="left"/>
    </w:pPr>
    <w:rPr>
      <w:rFonts w:ascii="宋体" w:hAnsi="宋体" w:eastAsia="宋体" w:cs="宋体"/>
      <w:kern w:val="0"/>
      <w:sz w:val="22"/>
      <w:lang w:eastAsia="en-US"/>
    </w:rPr>
  </w:style>
  <w:style w:type="character" w:customStyle="1" w:styleId="41">
    <w:name w:val="批注框文本 字符1"/>
    <w:link w:val="14"/>
    <w:semiHidden/>
    <w:qFormat/>
    <w:uiPriority w:val="0"/>
    <w:rPr>
      <w:sz w:val="18"/>
      <w:szCs w:val="18"/>
    </w:rPr>
  </w:style>
  <w:style w:type="character" w:customStyle="1" w:styleId="42">
    <w:name w:val="批注框文本 字符"/>
    <w:basedOn w:val="28"/>
    <w:semiHidden/>
    <w:qFormat/>
    <w:uiPriority w:val="99"/>
    <w:rPr>
      <w:sz w:val="18"/>
      <w:szCs w:val="18"/>
    </w:rPr>
  </w:style>
  <w:style w:type="paragraph" w:customStyle="1" w:styleId="43">
    <w:name w:val="正文_29_3_4"/>
    <w:qFormat/>
    <w:uiPriority w:val="0"/>
    <w:pPr>
      <w:widowControl w:val="0"/>
      <w:jc w:val="both"/>
    </w:pPr>
    <w:rPr>
      <w:rFonts w:ascii="Calibri" w:hAnsi="Calibri" w:eastAsia="宋体" w:cs="Times New Roman"/>
      <w:kern w:val="2"/>
      <w:sz w:val="21"/>
      <w:szCs w:val="24"/>
      <w:lang w:val="en-US" w:eastAsia="zh-CN" w:bidi="ar-SA"/>
    </w:rPr>
  </w:style>
  <w:style w:type="character" w:customStyle="1" w:styleId="44">
    <w:name w:val="正文文本缩进 字符"/>
    <w:basedOn w:val="28"/>
    <w:link w:val="10"/>
    <w:semiHidden/>
    <w:qFormat/>
    <w:uiPriority w:val="99"/>
  </w:style>
  <w:style w:type="character" w:customStyle="1" w:styleId="45">
    <w:name w:val="正文文本缩进 2 字符"/>
    <w:basedOn w:val="28"/>
    <w:link w:val="13"/>
    <w:semiHidden/>
    <w:qFormat/>
    <w:uiPriority w:val="99"/>
  </w:style>
  <w:style w:type="character" w:customStyle="1" w:styleId="46">
    <w:name w:val="正文文本缩进 3 字符1"/>
    <w:link w:val="19"/>
    <w:qFormat/>
    <w:uiPriority w:val="0"/>
    <w:rPr>
      <w:sz w:val="16"/>
      <w:szCs w:val="16"/>
    </w:rPr>
  </w:style>
  <w:style w:type="character" w:customStyle="1" w:styleId="47">
    <w:name w:val="纯文本 字符1"/>
    <w:link w:val="12"/>
    <w:qFormat/>
    <w:locked/>
    <w:uiPriority w:val="0"/>
    <w:rPr>
      <w:rFonts w:ascii="宋体" w:hAnsi="Courier New" w:eastAsia="宋体"/>
    </w:rPr>
  </w:style>
  <w:style w:type="character" w:customStyle="1" w:styleId="48">
    <w:name w:val="正文文本缩进 3 字符"/>
    <w:basedOn w:val="28"/>
    <w:semiHidden/>
    <w:qFormat/>
    <w:uiPriority w:val="99"/>
    <w:rPr>
      <w:sz w:val="16"/>
      <w:szCs w:val="16"/>
    </w:rPr>
  </w:style>
  <w:style w:type="character" w:customStyle="1" w:styleId="49">
    <w:name w:val="纯文本 字符"/>
    <w:basedOn w:val="28"/>
    <w:qFormat/>
    <w:uiPriority w:val="0"/>
    <w:rPr>
      <w:rFonts w:hAnsi="Courier New" w:cs="Courier New" w:asciiTheme="minorEastAsia"/>
    </w:rPr>
  </w:style>
  <w:style w:type="paragraph" w:customStyle="1" w:styleId="50">
    <w:name w:val="head"/>
    <w:basedOn w:val="1"/>
    <w:qFormat/>
    <w:uiPriority w:val="0"/>
    <w:pPr>
      <w:widowControl/>
      <w:spacing w:before="100" w:beforeAutospacing="1" w:after="100" w:afterAutospacing="1"/>
      <w:jc w:val="center"/>
    </w:pPr>
    <w:rPr>
      <w:rFonts w:hint="eastAsia" w:ascii="黑体" w:hAnsi="宋体" w:eastAsia="黑体" w:cs="Times New Roman"/>
      <w:b/>
      <w:bCs/>
      <w:kern w:val="0"/>
      <w:sz w:val="28"/>
      <w:szCs w:val="28"/>
    </w:rPr>
  </w:style>
  <w:style w:type="paragraph" w:customStyle="1" w:styleId="5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2">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eastAsia="宋体" w:cs="Times New Roman"/>
      <w:b/>
      <w:bCs/>
      <w:kern w:val="0"/>
      <w:szCs w:val="20"/>
    </w:rPr>
  </w:style>
  <w:style w:type="paragraph" w:customStyle="1" w:styleId="53">
    <w:name w:val="样式1"/>
    <w:basedOn w:val="1"/>
    <w:qFormat/>
    <w:uiPriority w:val="0"/>
    <w:pPr>
      <w:tabs>
        <w:tab w:val="left" w:pos="480"/>
      </w:tabs>
      <w:adjustRightInd w:val="0"/>
      <w:ind w:left="480" w:hanging="480"/>
      <w:textAlignment w:val="baseline"/>
    </w:pPr>
    <w:rPr>
      <w:rFonts w:ascii="宋体" w:hAnsi="宋体" w:eastAsia="宋体" w:cs="Times New Roman"/>
      <w:kern w:val="0"/>
      <w:szCs w:val="21"/>
    </w:rPr>
  </w:style>
  <w:style w:type="character" w:customStyle="1" w:styleId="54">
    <w:name w:val="正文缩进 字符"/>
    <w:link w:val="6"/>
    <w:qFormat/>
    <w:uiPriority w:val="99"/>
    <w:rPr>
      <w:rFonts w:ascii="Times New Roman" w:hAnsi="Times New Roman" w:eastAsia="宋体" w:cs="Times New Roman"/>
      <w:sz w:val="28"/>
      <w:szCs w:val="20"/>
    </w:rPr>
  </w:style>
  <w:style w:type="paragraph" w:customStyle="1" w:styleId="5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56">
    <w:name w:val="未处理的提及1"/>
    <w:basedOn w:val="28"/>
    <w:semiHidden/>
    <w:unhideWhenUsed/>
    <w:qFormat/>
    <w:uiPriority w:val="99"/>
    <w:rPr>
      <w:color w:val="605E5C"/>
      <w:shd w:val="clear" w:color="auto" w:fill="E1DFDD"/>
    </w:rPr>
  </w:style>
  <w:style w:type="paragraph" w:customStyle="1" w:styleId="57">
    <w:name w:val="样式 样式 样式 左侧:  2 字符1 + 首行缩进:  2 字符1 + 首行缩进:  2 字符"/>
    <w:basedOn w:val="1"/>
    <w:qFormat/>
    <w:uiPriority w:val="0"/>
    <w:pPr>
      <w:widowControl/>
      <w:adjustRightInd w:val="0"/>
      <w:spacing w:before="60" w:after="120" w:line="440" w:lineRule="atLeast"/>
      <w:ind w:firstLine="480"/>
      <w:jc w:val="left"/>
      <w:textAlignment w:val="baseline"/>
    </w:pPr>
    <w:rPr>
      <w:rFonts w:ascii="宋体" w:hAnsi="宋体" w:eastAsia="宋体" w:cs="宋体"/>
      <w:kern w:val="0"/>
      <w:sz w:val="24"/>
      <w:szCs w:val="24"/>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2"/>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0">
    <w:name w:val="List Paragraph"/>
    <w:basedOn w:val="1"/>
    <w:qFormat/>
    <w:uiPriority w:val="34"/>
    <w:pPr>
      <w:ind w:firstLine="420" w:firstLineChars="200"/>
    </w:pPr>
  </w:style>
  <w:style w:type="table" w:customStyle="1" w:styleId="61">
    <w:name w:val="网格型3"/>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
    <w:name w:val="普通(网站)1"/>
    <w:basedOn w:val="1"/>
    <w:qFormat/>
    <w:uiPriority w:val="0"/>
    <w:pPr>
      <w:widowControl/>
      <w:spacing w:before="100" w:beforeAutospacing="1" w:after="100" w:afterAutospacing="1"/>
      <w:jc w:val="left"/>
    </w:pPr>
    <w:rPr>
      <w:rFonts w:ascii="宋体" w:hAnsi="宋体" w:eastAsia="华文细黑" w:cs="宋体"/>
      <w:kern w:val="0"/>
      <w:sz w:val="24"/>
      <w:szCs w:val="24"/>
    </w:rPr>
  </w:style>
  <w:style w:type="character" w:customStyle="1" w:styleId="63">
    <w:name w:val="标题 3 字符"/>
    <w:basedOn w:val="28"/>
    <w:link w:val="5"/>
    <w:qFormat/>
    <w:uiPriority w:val="0"/>
    <w:rPr>
      <w:rFonts w:ascii="Times New Roman" w:hAnsi="Times New Roman" w:eastAsia="宋体" w:cs="Times New Roman"/>
      <w:b/>
      <w:bCs/>
      <w:kern w:val="2"/>
      <w:sz w:val="32"/>
      <w:szCs w:val="32"/>
    </w:rPr>
  </w:style>
  <w:style w:type="paragraph" w:customStyle="1" w:styleId="64">
    <w:name w:val="NormalIndent"/>
    <w:qFormat/>
    <w:uiPriority w:val="0"/>
    <w:pPr>
      <w:widowControl w:val="0"/>
      <w:ind w:firstLine="420" w:firstLineChars="200"/>
      <w:jc w:val="both"/>
      <w:textAlignment w:val="baseline"/>
    </w:pPr>
    <w:rPr>
      <w:rFonts w:ascii="Verdana" w:hAnsi="宋体" w:eastAsia="华文细黑" w:cs="Times New Roman"/>
      <w:kern w:val="2"/>
      <w:sz w:val="21"/>
      <w:szCs w:val="24"/>
      <w:lang w:val="en-US" w:eastAsia="zh-CN" w:bidi="ar-SA"/>
    </w:rPr>
  </w:style>
  <w:style w:type="paragraph" w:customStyle="1" w:styleId="65">
    <w:name w:val="BodyText1I2"/>
    <w:qFormat/>
    <w:uiPriority w:val="0"/>
    <w:pPr>
      <w:widowControl w:val="0"/>
      <w:ind w:firstLine="420" w:firstLineChars="200"/>
      <w:jc w:val="both"/>
      <w:textAlignment w:val="baseline"/>
    </w:pPr>
    <w:rPr>
      <w:rFonts w:ascii="宋体" w:hAnsi="宋体" w:eastAsia="华文细黑" w:cs="Times New Roman"/>
      <w:kern w:val="2"/>
      <w:sz w:val="24"/>
      <w:szCs w:val="24"/>
      <w:lang w:val="en-US" w:eastAsia="zh-CN" w:bidi="ar-SA"/>
    </w:rPr>
  </w:style>
  <w:style w:type="paragraph" w:customStyle="1" w:styleId="66">
    <w:name w:val="BodyTextIndent"/>
    <w:qFormat/>
    <w:uiPriority w:val="0"/>
    <w:pPr>
      <w:widowControl w:val="0"/>
      <w:ind w:firstLine="480"/>
      <w:jc w:val="both"/>
      <w:textAlignment w:val="baseline"/>
    </w:pPr>
    <w:rPr>
      <w:rFonts w:ascii="宋体" w:hAnsi="宋体" w:eastAsia="华文细黑" w:cs="Times New Roman"/>
      <w:kern w:val="2"/>
      <w:sz w:val="24"/>
      <w:szCs w:val="24"/>
      <w:lang w:val="en-US" w:eastAsia="zh-CN" w:bidi="ar-SA"/>
    </w:rPr>
  </w:style>
  <w:style w:type="paragraph" w:customStyle="1" w:styleId="67">
    <w:name w:val="È±Ê¡ÎÄ±¾"/>
    <w:qFormat/>
    <w:uiPriority w:val="0"/>
    <w:pPr>
      <w:overflowPunct w:val="0"/>
      <w:autoSpaceDE w:val="0"/>
      <w:autoSpaceDN w:val="0"/>
      <w:adjustRightInd w:val="0"/>
      <w:textAlignment w:val="baseline"/>
    </w:pPr>
    <w:rPr>
      <w:rFonts w:ascii="Verdana" w:hAnsi="宋体" w:eastAsia="华文细黑" w:cs="Times New Roman"/>
      <w:sz w:val="24"/>
      <w:lang w:val="en-US" w:eastAsia="zh-CN" w:bidi="ar-SA"/>
    </w:rPr>
  </w:style>
  <w:style w:type="paragraph" w:customStyle="1" w:styleId="68">
    <w:name w:val="文档正文"/>
    <w:basedOn w:val="6"/>
    <w:qFormat/>
    <w:uiPriority w:val="0"/>
    <w:pPr>
      <w:spacing w:line="360" w:lineRule="auto"/>
    </w:pPr>
    <w:rPr>
      <w:rFonts w:ascii="宋体" w:hAnsi="宋体"/>
      <w:b/>
      <w:bCs/>
    </w:rPr>
  </w:style>
  <w:style w:type="paragraph" w:customStyle="1" w:styleId="69">
    <w:name w:val="UserStyle_0"/>
    <w:next w:val="1"/>
    <w:qFormat/>
    <w:uiPriority w:val="0"/>
    <w:pPr>
      <w:textAlignment w:val="baseline"/>
    </w:pPr>
    <w:rPr>
      <w:rFonts w:ascii="宋体" w:hAnsi="宋体" w:eastAsia="宋体" w:cs="Times New Roman"/>
      <w:color w:val="000000"/>
      <w:sz w:val="24"/>
      <w:szCs w:val="24"/>
      <w:lang w:val="en-US" w:eastAsia="zh-CN" w:bidi="ar-SA"/>
    </w:rPr>
  </w:style>
  <w:style w:type="character" w:customStyle="1" w:styleId="70">
    <w:name w:val="NormalCharacter"/>
    <w:qFormat/>
    <w:uiPriority w:val="0"/>
  </w:style>
  <w:style w:type="paragraph" w:customStyle="1" w:styleId="71">
    <w:name w:val="正文_5"/>
    <w:basedOn w:val="72"/>
    <w:next w:val="7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正文_6"/>
    <w:next w:val="7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列表_1"/>
    <w:basedOn w:val="72"/>
    <w:semiHidden/>
    <w:qFormat/>
    <w:locked/>
    <w:uiPriority w:val="0"/>
    <w:pPr>
      <w:ind w:left="200" w:hanging="200" w:hangingChars="200"/>
    </w:pPr>
  </w:style>
  <w:style w:type="paragraph" w:customStyle="1" w:styleId="74">
    <w:name w:val="段_0"/>
    <w:next w:val="71"/>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5">
    <w:name w:val="Normal_0"/>
    <w:qFormat/>
    <w:uiPriority w:val="0"/>
    <w:rPr>
      <w:rFonts w:ascii="Times New Roman" w:hAnsi="Times New Roman" w:eastAsia="Times New Roman" w:cs="Times New Roman"/>
      <w:sz w:val="24"/>
      <w:szCs w:val="24"/>
      <w:lang w:val="en-US" w:eastAsia="zh-CN" w:bidi="ar-SA"/>
    </w:rPr>
  </w:style>
  <w:style w:type="paragraph" w:customStyle="1" w:styleId="7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7">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78">
    <w:name w:val="正文_2_1"/>
    <w:basedOn w:val="79"/>
    <w:next w:val="8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No Spacing_0"/>
    <w:basedOn w:val="71"/>
    <w:qFormat/>
    <w:uiPriority w:val="1"/>
  </w:style>
  <w:style w:type="paragraph" w:customStyle="1" w:styleId="81">
    <w:name w:val="正文_0_1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Table Paragraph_1"/>
    <w:basedOn w:val="83"/>
    <w:qFormat/>
    <w:uiPriority w:val="0"/>
    <w:pPr>
      <w:jc w:val="left"/>
    </w:pPr>
    <w:rPr>
      <w:kern w:val="0"/>
      <w:sz w:val="22"/>
      <w:lang w:eastAsia="en-US"/>
    </w:rPr>
  </w:style>
  <w:style w:type="paragraph" w:customStyle="1" w:styleId="83">
    <w:name w:val="正文_6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732950-80B7-4485-B79F-CF2A8F6DA7DB}">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21356</Words>
  <Characters>22800</Characters>
  <Lines>326</Lines>
  <Paragraphs>91</Paragraphs>
  <TotalTime>3</TotalTime>
  <ScaleCrop>false</ScaleCrop>
  <LinksUpToDate>false</LinksUpToDate>
  <CharactersWithSpaces>23035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2024-09-10T02:41:00Z</dcterms:created>
  <dc:creator>YOS</dc:creator>
  <cp:lastModifiedBy>热小喵</cp:lastModifiedBy>
  <cp:lastPrinted>2024-09-10T03:49:00Z</cp:lastPrinted>
  <dcterms:modified xsi:type="dcterms:W3CDTF">2026-05-22T06:33:46Z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8CCE50DDB3504D5FA07A769A2AD7173D_13</vt:lpwstr>
  </property>
  <property fmtid="{D5CDD505-2E9C-101B-9397-08002B2CF9AE}" pid="4" name="KSOTemplateDocerSaveRecord">
    <vt:lpwstr>eyJoZGlkIjoiMWMwMzg0NzY1NGVmMWJkODQ1YTY3NzkzZWExMjI0NjEiLCJ1c2VySWQiOiIxMTc0MTk5NTUzIn0=</vt:lpwstr>
  </property>
</Properties>
</file>