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B9BC">
      <w:pPr>
        <w:pStyle w:val="3"/>
        <w:spacing w:line="360" w:lineRule="auto"/>
        <w:jc w:val="center"/>
        <w:rPr>
          <w:rFonts w:ascii="仿宋" w:hAnsi="仿宋" w:eastAsia="仿宋" w:cs="仿宋"/>
          <w:bCs/>
          <w:color w:val="auto"/>
          <w:kern w:val="0"/>
          <w:sz w:val="52"/>
          <w:szCs w:val="52"/>
        </w:rPr>
      </w:pPr>
      <w:bookmarkStart w:id="0" w:name="_Toc1156"/>
      <w:r>
        <w:rPr>
          <w:rFonts w:hint="eastAsia" w:eastAsia="宋体"/>
          <w:color w:val="auto"/>
          <w:lang w:eastAsia="zh-CN"/>
        </w:rPr>
        <w:drawing>
          <wp:anchor distT="0" distB="0" distL="114300" distR="114300" simplePos="0" relativeHeight="251659264" behindDoc="0" locked="0" layoutInCell="1" allowOverlap="1">
            <wp:simplePos x="0" y="0"/>
            <wp:positionH relativeFrom="column">
              <wp:posOffset>-871855</wp:posOffset>
            </wp:positionH>
            <wp:positionV relativeFrom="paragraph">
              <wp:posOffset>-851535</wp:posOffset>
            </wp:positionV>
            <wp:extent cx="7324090" cy="10355580"/>
            <wp:effectExtent l="0" t="0" r="6350" b="7620"/>
            <wp:wrapNone/>
            <wp:docPr id="3" name="图片 3" descr="2026-5-13竞争性磋商文件-昆明市晋宁区人民法院移动安全办案办公服务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5-13竞争性磋商文件-昆明市晋宁区人民法院移动安全办案办公服务项目)_01"/>
                    <pic:cNvPicPr>
                      <a:picLocks noChangeAspect="1"/>
                    </pic:cNvPicPr>
                  </pic:nvPicPr>
                  <pic:blipFill>
                    <a:blip r:embed="rId7"/>
                    <a:stretch>
                      <a:fillRect/>
                    </a:stretch>
                  </pic:blipFill>
                  <pic:spPr>
                    <a:xfrm>
                      <a:off x="0" y="0"/>
                      <a:ext cx="7324090" cy="10355580"/>
                    </a:xfrm>
                    <a:prstGeom prst="rect">
                      <a:avLst/>
                    </a:prstGeom>
                  </pic:spPr>
                </pic:pic>
              </a:graphicData>
            </a:graphic>
          </wp:anchor>
        </w:drawing>
      </w:r>
      <w:r>
        <w:rPr>
          <w:rFonts w:hint="eastAsia" w:ascii="仿宋" w:hAnsi="仿宋" w:eastAsia="仿宋" w:cs="仿宋"/>
          <w:bCs/>
          <w:color w:val="auto"/>
          <w:kern w:val="0"/>
          <w:sz w:val="52"/>
          <w:szCs w:val="52"/>
        </w:rPr>
        <w:t>昆明市晋宁区人民法院移动安全办案办公服务项目</w:t>
      </w:r>
    </w:p>
    <w:p w14:paraId="260D7ACF">
      <w:pPr>
        <w:rPr>
          <w:rFonts w:ascii="仿宋" w:hAnsi="仿宋" w:eastAsia="仿宋" w:cs="仿宋"/>
          <w:b/>
          <w:bCs/>
          <w:color w:val="auto"/>
          <w:kern w:val="0"/>
          <w:sz w:val="52"/>
          <w:szCs w:val="52"/>
        </w:rPr>
      </w:pPr>
    </w:p>
    <w:p w14:paraId="423E130C">
      <w:pPr>
        <w:pStyle w:val="5"/>
        <w:rPr>
          <w:color w:val="auto"/>
        </w:rPr>
      </w:pPr>
    </w:p>
    <w:p w14:paraId="3F2F3AD1">
      <w:pPr>
        <w:widowControl/>
        <w:spacing w:line="360" w:lineRule="auto"/>
        <w:jc w:val="center"/>
        <w:rPr>
          <w:rFonts w:ascii="仿宋" w:hAnsi="仿宋" w:eastAsia="仿宋" w:cs="仿宋"/>
          <w:b/>
          <w:color w:val="auto"/>
          <w:sz w:val="52"/>
          <w:szCs w:val="52"/>
        </w:rPr>
      </w:pPr>
    </w:p>
    <w:p w14:paraId="415695FF">
      <w:pPr>
        <w:pStyle w:val="5"/>
        <w:rPr>
          <w:color w:val="auto"/>
        </w:rPr>
      </w:pPr>
    </w:p>
    <w:p w14:paraId="527B4438">
      <w:pPr>
        <w:pStyle w:val="5"/>
        <w:rPr>
          <w:color w:val="auto"/>
        </w:rPr>
      </w:pPr>
    </w:p>
    <w:p w14:paraId="245204B6">
      <w:pPr>
        <w:spacing w:line="360" w:lineRule="auto"/>
        <w:jc w:val="center"/>
        <w:rPr>
          <w:rFonts w:ascii="仿宋" w:hAnsi="仿宋" w:eastAsia="仿宋" w:cs="仿宋"/>
          <w:b/>
          <w:color w:val="auto"/>
          <w:sz w:val="72"/>
          <w:szCs w:val="72"/>
        </w:rPr>
      </w:pPr>
      <w:r>
        <w:rPr>
          <w:rFonts w:hint="eastAsia" w:ascii="仿宋" w:hAnsi="仿宋" w:eastAsia="仿宋" w:cs="仿宋"/>
          <w:b/>
          <w:color w:val="auto"/>
          <w:sz w:val="72"/>
          <w:szCs w:val="72"/>
        </w:rPr>
        <w:t>竞争性磋商文件</w:t>
      </w:r>
    </w:p>
    <w:p w14:paraId="19D9D6EE">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0"/>
          <w:szCs w:val="30"/>
        </w:rPr>
        <w:t>项目编号：KMKHZB[2026]1-037</w:t>
      </w:r>
    </w:p>
    <w:p w14:paraId="630739FF">
      <w:pPr>
        <w:spacing w:line="360" w:lineRule="auto"/>
        <w:jc w:val="center"/>
        <w:rPr>
          <w:rFonts w:ascii="仿宋" w:hAnsi="仿宋" w:eastAsia="仿宋" w:cs="仿宋"/>
          <w:b/>
          <w:color w:val="auto"/>
          <w:sz w:val="32"/>
          <w:szCs w:val="32"/>
        </w:rPr>
      </w:pPr>
    </w:p>
    <w:p w14:paraId="698C8756">
      <w:pPr>
        <w:spacing w:line="360" w:lineRule="auto"/>
        <w:rPr>
          <w:rFonts w:ascii="仿宋" w:hAnsi="仿宋" w:eastAsia="仿宋" w:cs="仿宋"/>
          <w:b/>
          <w:color w:val="auto"/>
          <w:sz w:val="36"/>
          <w:szCs w:val="36"/>
        </w:rPr>
      </w:pPr>
    </w:p>
    <w:p w14:paraId="1DE22201">
      <w:pPr>
        <w:pStyle w:val="5"/>
        <w:rPr>
          <w:rFonts w:ascii="仿宋" w:hAnsi="仿宋" w:eastAsia="仿宋" w:cs="仿宋"/>
          <w:b/>
          <w:color w:val="auto"/>
          <w:sz w:val="36"/>
          <w:szCs w:val="36"/>
        </w:rPr>
      </w:pPr>
    </w:p>
    <w:p w14:paraId="6CE1CCB0">
      <w:pPr>
        <w:rPr>
          <w:color w:val="auto"/>
        </w:rPr>
      </w:pPr>
    </w:p>
    <w:p w14:paraId="55B43A6E">
      <w:pPr>
        <w:pStyle w:val="5"/>
        <w:rPr>
          <w:color w:val="auto"/>
        </w:rPr>
      </w:pPr>
    </w:p>
    <w:p w14:paraId="64D482E1">
      <w:pPr>
        <w:rPr>
          <w:color w:val="auto"/>
        </w:rPr>
      </w:pPr>
    </w:p>
    <w:p w14:paraId="7F0E10A0">
      <w:pPr>
        <w:pStyle w:val="5"/>
        <w:rPr>
          <w:rFonts w:hint="eastAsia" w:eastAsia="宋体"/>
          <w:color w:val="auto"/>
          <w:lang w:eastAsia="zh-CN"/>
        </w:rPr>
      </w:pPr>
    </w:p>
    <w:p w14:paraId="2F2D13B3">
      <w:pPr>
        <w:pStyle w:val="48"/>
        <w:spacing w:line="360" w:lineRule="auto"/>
        <w:jc w:val="left"/>
        <w:rPr>
          <w:rFonts w:ascii="仿宋" w:hAnsi="仿宋" w:eastAsia="仿宋" w:cs="仿宋"/>
          <w:b/>
          <w:color w:val="auto"/>
          <w:sz w:val="32"/>
          <w:szCs w:val="32"/>
        </w:rPr>
      </w:pPr>
    </w:p>
    <w:p w14:paraId="4D0273EA">
      <w:pPr>
        <w:pStyle w:val="48"/>
        <w:spacing w:line="360" w:lineRule="auto"/>
        <w:ind w:firstLine="1285" w:firstLineChars="400"/>
        <w:jc w:val="both"/>
        <w:rPr>
          <w:rFonts w:ascii="仿宋" w:hAnsi="仿宋" w:eastAsia="仿宋" w:cs="仿宋"/>
          <w:b/>
          <w:color w:val="auto"/>
          <w:sz w:val="32"/>
          <w:szCs w:val="32"/>
        </w:rPr>
      </w:pPr>
      <w:r>
        <w:rPr>
          <w:rFonts w:hint="eastAsia" w:ascii="仿宋" w:hAnsi="仿宋" w:eastAsia="仿宋" w:cs="仿宋"/>
          <w:b/>
          <w:color w:val="auto"/>
          <w:sz w:val="32"/>
          <w:szCs w:val="32"/>
        </w:rPr>
        <w:t>采   购  人： 昆明市晋宁区人民法院</w:t>
      </w:r>
    </w:p>
    <w:p w14:paraId="1ACCEF30">
      <w:pPr>
        <w:pStyle w:val="48"/>
        <w:spacing w:line="360" w:lineRule="auto"/>
        <w:rPr>
          <w:rFonts w:ascii="仿宋" w:hAnsi="仿宋" w:eastAsia="仿宋" w:cs="仿宋"/>
          <w:b/>
          <w:color w:val="auto"/>
          <w:sz w:val="32"/>
          <w:szCs w:val="32"/>
        </w:rPr>
      </w:pPr>
      <w:r>
        <w:rPr>
          <w:rFonts w:hint="eastAsia" w:ascii="仿宋" w:hAnsi="仿宋" w:eastAsia="仿宋" w:cs="仿宋"/>
          <w:b/>
          <w:color w:val="auto"/>
          <w:sz w:val="32"/>
          <w:szCs w:val="32"/>
        </w:rPr>
        <w:t>采购代理机构：昆明阔海建设工程咨询有限公司</w:t>
      </w:r>
    </w:p>
    <w:p w14:paraId="77B1B97B">
      <w:pPr>
        <w:pStyle w:val="48"/>
        <w:spacing w:line="360" w:lineRule="auto"/>
        <w:rPr>
          <w:rFonts w:ascii="仿宋" w:hAnsi="仿宋" w:eastAsia="仿宋" w:cs="仿宋"/>
          <w:b/>
          <w:color w:val="auto"/>
          <w:sz w:val="32"/>
          <w:szCs w:val="32"/>
        </w:rPr>
      </w:pPr>
      <w:r>
        <w:rPr>
          <w:rFonts w:hint="eastAsia" w:ascii="仿宋" w:hAnsi="仿宋" w:eastAsia="仿宋" w:cs="仿宋"/>
          <w:b/>
          <w:color w:val="auto"/>
          <w:sz w:val="32"/>
          <w:szCs w:val="32"/>
        </w:rPr>
        <w:t>二〇二六年</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月</w:t>
      </w:r>
    </w:p>
    <w:p w14:paraId="225F83A7">
      <w:pPr>
        <w:keepNext/>
        <w:ind w:left="-317"/>
        <w:jc w:val="center"/>
        <w:outlineLvl w:val="0"/>
        <w:rPr>
          <w:rFonts w:ascii="仿宋" w:hAnsi="仿宋" w:eastAsia="仿宋" w:cs="仿宋"/>
          <w:b/>
          <w:color w:val="auto"/>
          <w:sz w:val="32"/>
          <w:szCs w:val="32"/>
        </w:rPr>
      </w:pPr>
      <w:r>
        <w:rPr>
          <w:rFonts w:hint="eastAsia" w:ascii="仿宋" w:hAnsi="仿宋" w:eastAsia="仿宋" w:cs="仿宋"/>
          <w:color w:val="auto"/>
          <w:sz w:val="44"/>
          <w:szCs w:val="44"/>
          <w:lang w:val="zh-CN"/>
        </w:rPr>
        <w:br w:type="page"/>
      </w:r>
      <w:r>
        <w:rPr>
          <w:rFonts w:hint="eastAsia" w:ascii="仿宋" w:hAnsi="仿宋" w:eastAsia="仿宋" w:cs="仿宋"/>
          <w:b/>
          <w:color w:val="auto"/>
          <w:sz w:val="32"/>
          <w:szCs w:val="32"/>
        </w:rPr>
        <w:t>特别提示</w:t>
      </w:r>
      <w:bookmarkStart w:id="132" w:name="_GoBack"/>
      <w:bookmarkEnd w:id="132"/>
    </w:p>
    <w:p w14:paraId="0ABD29C4">
      <w:pPr>
        <w:wordWrap w:val="0"/>
        <w:spacing w:line="432" w:lineRule="auto"/>
        <w:jc w:val="left"/>
        <w:rPr>
          <w:rFonts w:ascii="仿宋" w:hAnsi="仿宋" w:eastAsia="仿宋" w:cs="仿宋"/>
          <w:b/>
          <w:bCs/>
          <w:color w:val="auto"/>
          <w:szCs w:val="21"/>
        </w:rPr>
      </w:pPr>
      <w:r>
        <w:rPr>
          <w:rFonts w:hint="eastAsia" w:ascii="仿宋" w:hAnsi="仿宋" w:eastAsia="仿宋" w:cs="仿宋"/>
          <w:b/>
          <w:bCs/>
          <w:color w:val="auto"/>
          <w:szCs w:val="21"/>
        </w:rPr>
        <w:t>一、本项目采用网上开标，最后报价为线上填报，供应商需在政采云电子投标客户端（政采云电子投标客户端下载路径：https://customer.zcygov.cn/CA-driver-download?utm=web-cafront.3ddc8fbb.0.0.87133ef03d5611eca03abdd942cbc4e6）上传响应文件后，在系统上等待代理机构通知最后报价，无需到现场参加开标会。请各供应商仔细阅读“供应商政府采购电子交易平台操作指南”，因供应商操作带来的损失由供应商自行承担。</w:t>
      </w:r>
    </w:p>
    <w:p w14:paraId="018F0A3A">
      <w:pPr>
        <w:pStyle w:val="10"/>
        <w:spacing w:before="1" w:line="365" w:lineRule="auto"/>
        <w:jc w:val="left"/>
        <w:rPr>
          <w:rFonts w:ascii="仿宋" w:hAnsi="仿宋" w:eastAsia="仿宋" w:cs="仿宋"/>
          <w:b/>
          <w:bCs/>
          <w:color w:val="auto"/>
          <w:szCs w:val="21"/>
        </w:rPr>
      </w:pPr>
      <w:r>
        <w:rPr>
          <w:rFonts w:hint="eastAsia" w:ascii="仿宋" w:hAnsi="仿宋" w:eastAsia="仿宋" w:cs="仿宋"/>
          <w:b/>
          <w:bCs/>
          <w:color w:val="auto"/>
          <w:szCs w:val="21"/>
        </w:rPr>
        <w:t>二、因本项目采用全电子化采购，采购人或代理机构无法主动联系潜在供应商，供应商应时常关注云南省政府采购网（http://www.yngp.com/）或政府采购云平台（https://www.zcygov.cn/），查看本项目是否发有补遗、答疑文件、延期组织磋商通知或发布终止公告等情形。</w:t>
      </w:r>
    </w:p>
    <w:p w14:paraId="530F186D">
      <w:pPr>
        <w:pStyle w:val="10"/>
        <w:spacing w:before="1" w:line="364" w:lineRule="auto"/>
        <w:ind w:right="686"/>
        <w:jc w:val="left"/>
        <w:rPr>
          <w:rFonts w:ascii="仿宋" w:hAnsi="仿宋" w:eastAsia="仿宋" w:cs="仿宋"/>
          <w:b/>
          <w:bCs/>
          <w:color w:val="auto"/>
          <w:szCs w:val="21"/>
        </w:rPr>
      </w:pPr>
      <w:r>
        <w:rPr>
          <w:rFonts w:hint="eastAsia" w:ascii="仿宋" w:hAnsi="仿宋" w:eastAsia="仿宋" w:cs="仿宋"/>
          <w:b/>
          <w:bCs/>
          <w:color w:val="auto"/>
          <w:szCs w:val="21"/>
        </w:rPr>
        <w:t>三、本项目无需提交投标（谈判、磋商）保证金。</w:t>
      </w:r>
    </w:p>
    <w:p w14:paraId="6E833870">
      <w:pPr>
        <w:pStyle w:val="44"/>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br w:type="page"/>
      </w:r>
      <w:r>
        <w:rPr>
          <w:rFonts w:hint="eastAsia" w:ascii="仿宋" w:hAnsi="仿宋" w:eastAsia="仿宋" w:cs="仿宋"/>
          <w:color w:val="auto"/>
          <w:sz w:val="44"/>
          <w:szCs w:val="44"/>
          <w:lang w:val="zh-CN"/>
        </w:rPr>
        <w:t>目  录</w:t>
      </w:r>
      <w:bookmarkEnd w:id="0"/>
    </w:p>
    <w:p w14:paraId="203E5E07">
      <w:pPr>
        <w:pStyle w:val="21"/>
        <w:tabs>
          <w:tab w:val="right" w:leader="dot" w:pos="8620"/>
        </w:tabs>
        <w:spacing w:line="480" w:lineRule="auto"/>
        <w:rPr>
          <w:rFonts w:ascii="仿宋" w:hAnsi="仿宋" w:eastAsia="仿宋" w:cs="仿宋"/>
          <w:color w:val="auto"/>
        </w:rPr>
      </w:pPr>
      <w:r>
        <w:rPr>
          <w:rFonts w:hint="eastAsia" w:ascii="仿宋" w:hAnsi="仿宋" w:eastAsia="仿宋" w:cs="仿宋"/>
          <w:b/>
          <w:bCs/>
          <w:color w:val="auto"/>
          <w:sz w:val="24"/>
        </w:rPr>
        <w:fldChar w:fldCharType="begin"/>
      </w:r>
      <w:r>
        <w:rPr>
          <w:rFonts w:hint="eastAsia" w:ascii="仿宋" w:hAnsi="仿宋" w:eastAsia="仿宋" w:cs="仿宋"/>
          <w:b/>
          <w:bCs/>
          <w:color w:val="auto"/>
          <w:sz w:val="24"/>
        </w:rPr>
        <w:instrText xml:space="preserve">TOC \o "1-1" \h \u </w:instrText>
      </w:r>
      <w:r>
        <w:rPr>
          <w:rFonts w:hint="eastAsia" w:ascii="仿宋" w:hAnsi="仿宋" w:eastAsia="仿宋" w:cs="仿宋"/>
          <w:b/>
          <w:bCs/>
          <w:color w:val="auto"/>
          <w:sz w:val="24"/>
        </w:rPr>
        <w:fldChar w:fldCharType="separate"/>
      </w:r>
      <w:r>
        <w:rPr>
          <w:color w:val="auto"/>
        </w:rPr>
        <w:fldChar w:fldCharType="begin"/>
      </w:r>
      <w:r>
        <w:rPr>
          <w:color w:val="auto"/>
        </w:rPr>
        <w:instrText xml:space="preserve"> HYPERLINK \l "_Toc2923" </w:instrText>
      </w:r>
      <w:r>
        <w:rPr>
          <w:color w:val="auto"/>
        </w:rPr>
        <w:fldChar w:fldCharType="separate"/>
      </w:r>
      <w:r>
        <w:rPr>
          <w:rFonts w:hint="eastAsia" w:ascii="仿宋" w:hAnsi="仿宋" w:eastAsia="仿宋" w:cs="仿宋"/>
          <w:color w:val="auto"/>
        </w:rPr>
        <w:t>第一章 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_Toc2923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C22E898">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"_Toc10394" </w:instrText>
      </w:r>
      <w:r>
        <w:rPr>
          <w:color w:val="auto"/>
        </w:rPr>
        <w:fldChar w:fldCharType="separate"/>
      </w:r>
      <w:r>
        <w:rPr>
          <w:rFonts w:hint="eastAsia" w:ascii="仿宋" w:hAnsi="仿宋" w:eastAsia="仿宋" w:cs="仿宋"/>
          <w:color w:val="auto"/>
        </w:rPr>
        <w:t>第二章 响应文件内容及格式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_Toc10394 \h </w:instrText>
      </w:r>
      <w:r>
        <w:rPr>
          <w:rFonts w:hint="eastAsia" w:ascii="仿宋" w:hAnsi="仿宋" w:eastAsia="仿宋" w:cs="仿宋"/>
          <w:color w:val="auto"/>
        </w:rPr>
        <w:fldChar w:fldCharType="separate"/>
      </w:r>
      <w:r>
        <w:rPr>
          <w:rFonts w:hint="eastAsia" w:ascii="仿宋" w:hAnsi="仿宋" w:eastAsia="仿宋" w:cs="仿宋"/>
          <w:color w:val="auto"/>
        </w:rPr>
        <w:t>30</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864CAEA">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"_Toc3323" </w:instrText>
      </w:r>
      <w:r>
        <w:rPr>
          <w:color w:val="auto"/>
        </w:rPr>
        <w:fldChar w:fldCharType="separate"/>
      </w:r>
      <w:r>
        <w:rPr>
          <w:rFonts w:hint="eastAsia" w:ascii="仿宋" w:hAnsi="仿宋" w:eastAsia="仿宋" w:cs="仿宋"/>
          <w:color w:val="auto"/>
        </w:rPr>
        <w:t>第三章 采购需求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_Toc3323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6429B32">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"_Toc13567" </w:instrText>
      </w:r>
      <w:r>
        <w:rPr>
          <w:color w:val="auto"/>
        </w:rPr>
        <w:fldChar w:fldCharType="separate"/>
      </w:r>
      <w:r>
        <w:rPr>
          <w:rFonts w:hint="eastAsia" w:ascii="仿宋" w:hAnsi="仿宋" w:eastAsia="仿宋" w:cs="仿宋"/>
          <w:color w:val="auto"/>
        </w:rPr>
        <w:t>第四章 磋商内容、磋商过程中可能实质性变动的内容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_Toc13567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90013CD">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"_Toc25260" </w:instrText>
      </w:r>
      <w:r>
        <w:rPr>
          <w:color w:val="auto"/>
        </w:rPr>
        <w:fldChar w:fldCharType="separate"/>
      </w:r>
      <w:r>
        <w:rPr>
          <w:rFonts w:hint="eastAsia" w:ascii="仿宋" w:hAnsi="仿宋" w:eastAsia="仿宋" w:cs="仿宋"/>
          <w:color w:val="auto"/>
        </w:rPr>
        <w:t>第五章 评审办法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_Toc25260 \h </w:instrText>
      </w:r>
      <w:r>
        <w:rPr>
          <w:rFonts w:hint="eastAsia" w:ascii="仿宋" w:hAnsi="仿宋" w:eastAsia="仿宋" w:cs="仿宋"/>
          <w:color w:val="auto"/>
        </w:rPr>
        <w:fldChar w:fldCharType="separate"/>
      </w:r>
      <w:r>
        <w:rPr>
          <w:rFonts w:hint="eastAsia" w:ascii="仿宋" w:hAnsi="仿宋" w:eastAsia="仿宋" w:cs="仿宋"/>
          <w:color w:val="auto"/>
        </w:rPr>
        <w:t>46</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D316669">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"_Toc14568" </w:instrText>
      </w:r>
      <w:r>
        <w:rPr>
          <w:color w:val="auto"/>
        </w:rPr>
        <w:fldChar w:fldCharType="separate"/>
      </w:r>
      <w:r>
        <w:rPr>
          <w:rFonts w:hint="eastAsia" w:ascii="仿宋" w:hAnsi="仿宋" w:eastAsia="仿宋" w:cs="仿宋"/>
          <w:color w:val="auto"/>
        </w:rPr>
        <w:t>第六章 政府采购合同条款及格式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_Toc14568 \h </w:instrText>
      </w:r>
      <w:r>
        <w:rPr>
          <w:rFonts w:hint="eastAsia" w:ascii="仿宋" w:hAnsi="仿宋" w:eastAsia="仿宋" w:cs="仿宋"/>
          <w:color w:val="auto"/>
        </w:rPr>
        <w:fldChar w:fldCharType="separate"/>
      </w:r>
      <w:r>
        <w:rPr>
          <w:rFonts w:hint="eastAsia" w:ascii="仿宋" w:hAnsi="仿宋" w:eastAsia="仿宋" w:cs="仿宋"/>
          <w:color w:val="auto"/>
        </w:rPr>
        <w:t>55</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9B5E3BD">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"_Toc26392" </w:instrText>
      </w:r>
      <w:r>
        <w:rPr>
          <w:color w:val="auto"/>
        </w:rPr>
        <w:fldChar w:fldCharType="separate"/>
      </w:r>
      <w:r>
        <w:rPr>
          <w:rFonts w:hint="eastAsia" w:ascii="仿宋" w:hAnsi="仿宋" w:eastAsia="仿宋" w:cs="仿宋"/>
          <w:color w:val="auto"/>
          <w:kern w:val="44"/>
        </w:rPr>
        <w:t>第七章 竞争性磋商文件补充内容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_Toc26392 \h </w:instrText>
      </w:r>
      <w:r>
        <w:rPr>
          <w:rFonts w:hint="eastAsia" w:ascii="仿宋" w:hAnsi="仿宋" w:eastAsia="仿宋" w:cs="仿宋"/>
          <w:color w:val="auto"/>
        </w:rPr>
        <w:fldChar w:fldCharType="separate"/>
      </w:r>
      <w:r>
        <w:rPr>
          <w:rFonts w:hint="eastAsia" w:ascii="仿宋" w:hAnsi="仿宋" w:eastAsia="仿宋" w:cs="仿宋"/>
          <w:color w:val="auto"/>
        </w:rPr>
        <w:t>65</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4DBD2C8">
      <w:pPr>
        <w:spacing w:line="480" w:lineRule="auto"/>
        <w:rPr>
          <w:rFonts w:ascii="仿宋" w:hAnsi="仿宋" w:eastAsia="仿宋" w:cs="仿宋"/>
          <w:color w:val="auto"/>
          <w:sz w:val="24"/>
        </w:rPr>
      </w:pPr>
      <w:r>
        <w:rPr>
          <w:rFonts w:hint="eastAsia" w:ascii="仿宋" w:hAnsi="仿宋" w:eastAsia="仿宋" w:cs="仿宋"/>
          <w:bCs/>
          <w:color w:val="auto"/>
        </w:rPr>
        <w:fldChar w:fldCharType="end"/>
      </w:r>
    </w:p>
    <w:p w14:paraId="56E449CF">
      <w:pPr>
        <w:adjustRightInd w:val="0"/>
        <w:snapToGrid w:val="0"/>
        <w:spacing w:line="360" w:lineRule="auto"/>
        <w:jc w:val="center"/>
        <w:rPr>
          <w:rFonts w:ascii="仿宋" w:hAnsi="仿宋" w:eastAsia="仿宋" w:cs="仿宋"/>
          <w:b/>
          <w:color w:val="auto"/>
          <w:sz w:val="30"/>
          <w:szCs w:val="30"/>
        </w:rPr>
      </w:pPr>
      <w:bookmarkStart w:id="1" w:name="_Toc4485616"/>
      <w:r>
        <w:rPr>
          <w:rFonts w:hint="eastAsia" w:ascii="仿宋" w:hAnsi="仿宋" w:eastAsia="仿宋" w:cs="仿宋"/>
          <w:bCs/>
          <w:color w:val="auto"/>
        </w:rPr>
        <w:br w:type="page"/>
      </w:r>
      <w:r>
        <w:rPr>
          <w:rFonts w:hint="eastAsia" w:ascii="仿宋" w:hAnsi="仿宋" w:eastAsia="仿宋" w:cs="仿宋"/>
          <w:b/>
          <w:color w:val="auto"/>
          <w:sz w:val="30"/>
          <w:szCs w:val="30"/>
        </w:rPr>
        <w:t>昆明市晋宁区人民法院移动安全办案办公服务项目</w:t>
      </w:r>
    </w:p>
    <w:p w14:paraId="2C69D3C1">
      <w:pPr>
        <w:adjustRightInd w:val="0"/>
        <w:snapToGrid w:val="0"/>
        <w:spacing w:line="360" w:lineRule="auto"/>
        <w:jc w:val="center"/>
        <w:rPr>
          <w:rFonts w:ascii="仿宋" w:hAnsi="仿宋" w:eastAsia="仿宋" w:cs="仿宋"/>
          <w:b/>
          <w:color w:val="auto"/>
          <w:sz w:val="30"/>
          <w:szCs w:val="30"/>
        </w:rPr>
      </w:pPr>
      <w:r>
        <w:rPr>
          <w:rFonts w:hint="eastAsia" w:ascii="仿宋" w:hAnsi="仿宋" w:eastAsia="仿宋" w:cs="仿宋"/>
          <w:b/>
          <w:color w:val="auto"/>
          <w:sz w:val="30"/>
          <w:szCs w:val="30"/>
        </w:rPr>
        <w:t>竞争性磋商公告</w:t>
      </w:r>
    </w:p>
    <w:bookmarkEnd w:id="1"/>
    <w:p w14:paraId="6665CDE3">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color w:val="auto"/>
          <w:sz w:val="24"/>
        </w:rPr>
      </w:pPr>
      <w:bookmarkStart w:id="2" w:name="_Toc28359012"/>
      <w:bookmarkStart w:id="3" w:name="_Toc35393629"/>
      <w:bookmarkStart w:id="4" w:name="_Toc35393798"/>
      <w:bookmarkStart w:id="5" w:name="_Toc5030"/>
      <w:bookmarkStart w:id="6" w:name="_Toc24184"/>
      <w:bookmarkStart w:id="7" w:name="_Toc28359089"/>
      <w:bookmarkStart w:id="8" w:name="_Toc4485617"/>
      <w:bookmarkStart w:id="9" w:name="_Toc2923"/>
      <w:r>
        <w:rPr>
          <w:rFonts w:hint="eastAsia" w:ascii="仿宋" w:hAnsi="仿宋" w:eastAsia="仿宋" w:cs="仿宋"/>
          <w:color w:val="auto"/>
          <w:sz w:val="24"/>
        </w:rPr>
        <w:t>项目概况：</w:t>
      </w:r>
    </w:p>
    <w:p w14:paraId="2EC4F414">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昆明市晋宁区人民法院移动安全办案办公服务项目</w:t>
      </w:r>
      <w:r>
        <w:rPr>
          <w:rFonts w:hint="eastAsia" w:ascii="仿宋" w:hAnsi="仿宋" w:eastAsia="仿宋" w:cs="仿宋"/>
          <w:color w:val="auto"/>
          <w:sz w:val="24"/>
        </w:rPr>
        <w:t>的潜在供应商应于</w:t>
      </w:r>
      <w:r>
        <w:rPr>
          <w:rFonts w:hint="eastAsia" w:ascii="仿宋" w:hAnsi="仿宋" w:eastAsia="仿宋" w:cs="仿宋"/>
          <w:color w:val="auto"/>
          <w:sz w:val="24"/>
          <w:u w:val="single"/>
        </w:rPr>
        <w:t>2026</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06</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01</w:t>
      </w:r>
      <w:r>
        <w:rPr>
          <w:rFonts w:hint="eastAsia" w:ascii="仿宋" w:hAnsi="仿宋" w:eastAsia="仿宋" w:cs="仿宋"/>
          <w:bCs/>
          <w:color w:val="auto"/>
          <w:sz w:val="24"/>
          <w:u w:val="single"/>
        </w:rPr>
        <w:t>日09点30分（</w:t>
      </w:r>
      <w:r>
        <w:rPr>
          <w:rFonts w:hint="eastAsia" w:ascii="仿宋" w:hAnsi="仿宋" w:eastAsia="仿宋" w:cs="仿宋"/>
          <w:bCs/>
          <w:color w:val="auto"/>
          <w:sz w:val="24"/>
        </w:rPr>
        <w:t>北京时间）前在政府采购云平台（https://www.zcygov.cn/）</w:t>
      </w:r>
      <w:r>
        <w:rPr>
          <w:rFonts w:hint="eastAsia" w:ascii="仿宋" w:hAnsi="仿宋" w:eastAsia="仿宋" w:cs="仿宋"/>
          <w:bCs/>
          <w:color w:val="auto"/>
          <w:sz w:val="24"/>
        </w:rPr>
        <w:t>递交响应文件</w:t>
      </w:r>
      <w:r>
        <w:rPr>
          <w:rFonts w:hint="eastAsia" w:ascii="仿宋" w:hAnsi="仿宋" w:eastAsia="仿宋" w:cs="仿宋"/>
          <w:color w:val="auto"/>
          <w:sz w:val="24"/>
        </w:rPr>
        <w:t>。</w:t>
      </w:r>
    </w:p>
    <w:p w14:paraId="68BCF0F2">
      <w:pPr>
        <w:pStyle w:val="3"/>
        <w:spacing w:line="240" w:lineRule="auto"/>
        <w:rPr>
          <w:rFonts w:ascii="仿宋" w:hAnsi="仿宋" w:eastAsia="仿宋" w:cs="仿宋"/>
          <w:color w:val="auto"/>
          <w:sz w:val="24"/>
        </w:rPr>
      </w:pPr>
      <w:r>
        <w:rPr>
          <w:rFonts w:hint="eastAsia" w:ascii="仿宋" w:hAnsi="仿宋" w:eastAsia="仿宋" w:cs="仿宋"/>
          <w:color w:val="auto"/>
          <w:sz w:val="24"/>
        </w:rPr>
        <w:t>一、项目基本情况</w:t>
      </w:r>
      <w:bookmarkEnd w:id="2"/>
      <w:bookmarkEnd w:id="3"/>
      <w:bookmarkEnd w:id="4"/>
      <w:bookmarkEnd w:id="5"/>
      <w:bookmarkEnd w:id="6"/>
      <w:bookmarkEnd w:id="7"/>
    </w:p>
    <w:p w14:paraId="5A41C4C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1.政府采购计划编号：</w:t>
      </w:r>
      <w:r>
        <w:rPr>
          <w:rFonts w:hint="eastAsia" w:ascii="仿宋" w:hAnsi="仿宋" w:eastAsia="仿宋" w:cs="仿宋"/>
          <w:color w:val="auto"/>
          <w:sz w:val="24"/>
          <w:u w:val="single"/>
          <w:lang w:val="en-US" w:eastAsia="zh-CN"/>
        </w:rPr>
        <w:t>4530000JH202611580</w:t>
      </w:r>
    </w:p>
    <w:p w14:paraId="4B7312A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2.项目名称：昆明市晋宁区人民法院移动安全办案办公服务项目</w:t>
      </w:r>
    </w:p>
    <w:p w14:paraId="384AC8B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3.采购方式：竞争性磋商</w:t>
      </w:r>
    </w:p>
    <w:p w14:paraId="386C95C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4.预算金额：4</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0万元/年（一采三年）</w:t>
      </w:r>
    </w:p>
    <w:p w14:paraId="3FA238C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5.最高限价：4</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0万元/年（一采三年）</w:t>
      </w:r>
    </w:p>
    <w:p w14:paraId="3AAD5FD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采购需求：本项目主要采购移动办公办案平台服务，提供满足移动审务和无纸化办公办案和审判机关、派出法庭正常运行所需的5G网络、通信、应用、数据传输交换等方面的支持服务及其他增值服务，具体内容详见竞争性磋商文件第三章采购需求。</w:t>
      </w:r>
    </w:p>
    <w:p w14:paraId="0BEF9372">
      <w:pPr>
        <w:spacing w:line="360" w:lineRule="auto"/>
        <w:ind w:firstLine="480" w:firstLineChars="200"/>
        <w:rPr>
          <w:color w:val="auto"/>
        </w:rPr>
      </w:pPr>
      <w:r>
        <w:rPr>
          <w:rFonts w:hint="eastAsia" w:ascii="仿宋" w:hAnsi="仿宋" w:eastAsia="仿宋" w:cs="仿宋"/>
          <w:color w:val="auto"/>
          <w:sz w:val="24"/>
        </w:rPr>
        <w:t>7.服务地点：昆明市晋宁区人民法院，采购人指定地点。</w:t>
      </w:r>
    </w:p>
    <w:p w14:paraId="09E7E7D7">
      <w:pPr>
        <w:spacing w:line="360" w:lineRule="auto"/>
        <w:ind w:firstLine="480" w:firstLineChars="200"/>
        <w:rPr>
          <w:rFonts w:hint="eastAsia" w:ascii="仿宋" w:hAnsi="仿宋" w:eastAsia="仿宋" w:cs="仿宋"/>
          <w:color w:val="auto"/>
          <w:sz w:val="24"/>
        </w:rPr>
      </w:pPr>
      <w:bookmarkStart w:id="10" w:name="_Toc28359013"/>
      <w:bookmarkStart w:id="11" w:name="_Toc28359090"/>
      <w:bookmarkStart w:id="12" w:name="_Toc35393799"/>
      <w:bookmarkStart w:id="13" w:name="_Toc18135"/>
      <w:bookmarkStart w:id="14" w:name="_Toc2381"/>
      <w:bookmarkStart w:id="15" w:name="_Toc35393630"/>
      <w:r>
        <w:rPr>
          <w:rFonts w:hint="eastAsia" w:ascii="仿宋" w:hAnsi="仿宋" w:eastAsia="仿宋" w:cs="仿宋"/>
          <w:color w:val="auto"/>
          <w:sz w:val="24"/>
        </w:rPr>
        <w:t>8.服务期限：3年，合同一年一签（服务期满一年后，由采购人对服务方进行考核，考核合格后方可续签下一年度合同）。</w:t>
      </w:r>
    </w:p>
    <w:p w14:paraId="04563951">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9.质量要求：符合现行国家及行业最新标准、规范和强制性条文，并满足采购人就本项目提出的相关合理合规要求。</w:t>
      </w:r>
    </w:p>
    <w:p w14:paraId="4EB8114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rPr>
        <w:t>.本项目不接受联合体参与磋商。</w:t>
      </w:r>
    </w:p>
    <w:p w14:paraId="46AC52CE">
      <w:pPr>
        <w:pStyle w:val="3"/>
        <w:spacing w:line="240" w:lineRule="auto"/>
        <w:rPr>
          <w:rFonts w:ascii="仿宋" w:hAnsi="仿宋" w:eastAsia="仿宋" w:cs="仿宋"/>
          <w:color w:val="auto"/>
          <w:sz w:val="24"/>
        </w:rPr>
      </w:pPr>
      <w:r>
        <w:rPr>
          <w:rFonts w:hint="eastAsia" w:ascii="仿宋" w:hAnsi="仿宋" w:eastAsia="仿宋" w:cs="仿宋"/>
          <w:color w:val="auto"/>
          <w:sz w:val="24"/>
        </w:rPr>
        <w:t>二、申请人的资格要求：</w:t>
      </w:r>
      <w:bookmarkEnd w:id="10"/>
      <w:bookmarkEnd w:id="11"/>
      <w:bookmarkEnd w:id="12"/>
      <w:bookmarkEnd w:id="13"/>
      <w:bookmarkEnd w:id="14"/>
      <w:bookmarkEnd w:id="15"/>
    </w:p>
    <w:p w14:paraId="41A2E3E1">
      <w:pPr>
        <w:spacing w:line="360" w:lineRule="auto"/>
        <w:ind w:firstLine="482" w:firstLineChars="200"/>
        <w:rPr>
          <w:rFonts w:ascii="仿宋" w:hAnsi="仿宋" w:eastAsia="仿宋" w:cs="仿宋"/>
          <w:b/>
          <w:bCs/>
          <w:color w:val="auto"/>
          <w:sz w:val="24"/>
        </w:rPr>
      </w:pPr>
      <w:bookmarkStart w:id="16" w:name="_Toc35393631"/>
      <w:bookmarkStart w:id="17" w:name="_Toc35393800"/>
      <w:bookmarkStart w:id="18" w:name="_Toc28359014"/>
      <w:bookmarkStart w:id="19" w:name="_Toc30545"/>
      <w:bookmarkStart w:id="20" w:name="_Toc1697"/>
      <w:bookmarkStart w:id="21" w:name="_Toc28359091"/>
      <w:r>
        <w:rPr>
          <w:rFonts w:hint="eastAsia" w:ascii="仿宋" w:hAnsi="仿宋" w:eastAsia="仿宋" w:cs="仿宋"/>
          <w:b/>
          <w:bCs/>
          <w:color w:val="auto"/>
          <w:sz w:val="24"/>
        </w:rPr>
        <w:t>1.满足《中华人民共和国政府采购法》第二十二条规定。</w:t>
      </w:r>
    </w:p>
    <w:p w14:paraId="22EB9D5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（1）具有独立承担民事责任的能力；</w:t>
      </w:r>
    </w:p>
    <w:p w14:paraId="72FCA07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（2）具有良好的商业信誉和健全的财务会计制度；</w:t>
      </w:r>
    </w:p>
    <w:p w14:paraId="4E75DFA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796BB05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（4）有依法缴纳税收和社会保障资金的良好记录；</w:t>
      </w:r>
    </w:p>
    <w:p w14:paraId="05CF18E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325298F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（6）法律、行政法规规定的其他条件。</w:t>
      </w:r>
    </w:p>
    <w:p w14:paraId="216E9F35">
      <w:pPr>
        <w:spacing w:line="360" w:lineRule="auto"/>
        <w:ind w:firstLine="482" w:firstLineChars="200"/>
        <w:rPr>
          <w:rFonts w:ascii="仿宋" w:hAnsi="仿宋" w:eastAsia="仿宋" w:cs="仿宋"/>
          <w:color w:val="auto"/>
          <w:sz w:val="24"/>
        </w:rPr>
      </w:pPr>
      <w:r>
        <w:rPr>
          <w:rFonts w:hint="eastAsia" w:ascii="仿宋" w:hAnsi="仿宋" w:eastAsia="仿宋" w:cs="仿宋"/>
          <w:b/>
          <w:bCs/>
          <w:color w:val="auto"/>
          <w:sz w:val="24"/>
        </w:rPr>
        <w:t>2.落实政府采购政策需满足的资格要求：</w:t>
      </w:r>
      <w:r>
        <w:rPr>
          <w:rFonts w:hint="eastAsia" w:ascii="仿宋" w:hAnsi="仿宋" w:eastAsia="仿宋" w:cs="仿宋"/>
          <w:color w:val="auto"/>
          <w:sz w:val="24"/>
        </w:rPr>
        <w:t>无，本项目非专门面向中小企业采购。</w:t>
      </w:r>
    </w:p>
    <w:p w14:paraId="5E3134E8">
      <w:pPr>
        <w:pStyle w:val="10"/>
        <w:ind w:firstLine="482" w:firstLineChars="200"/>
        <w:rPr>
          <w:rFonts w:ascii="仿宋" w:hAnsi="仿宋" w:eastAsia="仿宋" w:cs="仿宋"/>
          <w:b/>
          <w:bCs/>
          <w:color w:val="auto"/>
          <w:sz w:val="24"/>
        </w:rPr>
      </w:pPr>
      <w:r>
        <w:rPr>
          <w:rFonts w:hint="eastAsia" w:ascii="仿宋" w:hAnsi="仿宋" w:eastAsia="仿宋" w:cs="仿宋"/>
          <w:b/>
          <w:bCs/>
          <w:color w:val="auto"/>
          <w:sz w:val="24"/>
        </w:rPr>
        <w:t>3.本项目的特定资格要求：</w:t>
      </w:r>
    </w:p>
    <w:p w14:paraId="5367895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（1）供应商中标后不得将采购项目整体转包给其他主体实施。</w:t>
      </w:r>
    </w:p>
    <w:p w14:paraId="3FD1D8B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（2）为本采购项目提供整体设计、规范编制或者项目管理、监理、检测等服务的供应商，不允许参加本次采购活动。</w:t>
      </w:r>
    </w:p>
    <w:p w14:paraId="12AB593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（3）单位负责人为同一人或者存在控股、管理关系的不同单位，不得同时参加本项目。</w:t>
      </w:r>
    </w:p>
    <w:p w14:paraId="65BE3397">
      <w:pPr>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（4）供应商在参加政府采购活动前3年内因违法经营被禁止在一定期限内参加政府采购活动，期限届满的，可以参加本次政府采购活动。</w:t>
      </w:r>
    </w:p>
    <w:p w14:paraId="4DAA22A3">
      <w:pPr>
        <w:pStyle w:val="3"/>
        <w:spacing w:line="240" w:lineRule="auto"/>
        <w:rPr>
          <w:rFonts w:ascii="仿宋" w:hAnsi="仿宋" w:eastAsia="仿宋" w:cs="仿宋"/>
          <w:color w:val="auto"/>
          <w:sz w:val="24"/>
        </w:rPr>
      </w:pPr>
      <w:r>
        <w:rPr>
          <w:rFonts w:hint="eastAsia" w:ascii="仿宋" w:hAnsi="仿宋" w:eastAsia="仿宋" w:cs="仿宋"/>
          <w:color w:val="auto"/>
          <w:sz w:val="24"/>
        </w:rPr>
        <w:t>三、获取采购文件</w:t>
      </w:r>
      <w:bookmarkEnd w:id="16"/>
      <w:bookmarkEnd w:id="17"/>
      <w:bookmarkEnd w:id="18"/>
      <w:bookmarkEnd w:id="19"/>
      <w:bookmarkEnd w:id="20"/>
      <w:bookmarkEnd w:id="21"/>
    </w:p>
    <w:p w14:paraId="4CDB94BF">
      <w:pPr>
        <w:adjustRightInd w:val="0"/>
        <w:snapToGrid w:val="0"/>
        <w:spacing w:line="360" w:lineRule="auto"/>
        <w:ind w:firstLine="480" w:firstLineChars="200"/>
        <w:rPr>
          <w:rFonts w:ascii="仿宋" w:hAnsi="仿宋" w:eastAsia="仿宋" w:cs="仿宋"/>
          <w:color w:val="auto"/>
          <w:sz w:val="24"/>
        </w:rPr>
      </w:pPr>
      <w:bookmarkStart w:id="22" w:name="_Toc28359015"/>
      <w:bookmarkStart w:id="23" w:name="_Toc28359092"/>
      <w:bookmarkStart w:id="24" w:name="_Toc35393632"/>
      <w:bookmarkStart w:id="25" w:name="_Toc35393801"/>
      <w:bookmarkStart w:id="26" w:name="_Toc26320"/>
      <w:bookmarkStart w:id="27" w:name="_Toc15164"/>
      <w:r>
        <w:rPr>
          <w:rFonts w:hint="eastAsia" w:ascii="仿宋" w:hAnsi="仿宋" w:eastAsia="仿宋" w:cs="仿宋"/>
          <w:color w:val="auto"/>
          <w:sz w:val="24"/>
        </w:rPr>
        <w:t>1.时间：</w:t>
      </w:r>
      <w:r>
        <w:rPr>
          <w:rFonts w:hint="eastAsia" w:ascii="仿宋" w:hAnsi="仿宋" w:eastAsia="仿宋" w:cs="仿宋"/>
          <w:color w:val="auto"/>
          <w:sz w:val="24"/>
          <w:u w:val="single"/>
        </w:rPr>
        <w:t>2026</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5</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19</w:t>
      </w:r>
      <w:r>
        <w:rPr>
          <w:rFonts w:hint="eastAsia" w:ascii="仿宋" w:hAnsi="仿宋" w:eastAsia="仿宋" w:cs="仿宋"/>
          <w:color w:val="auto"/>
          <w:sz w:val="24"/>
        </w:rPr>
        <w:t xml:space="preserve">日00时00分至 </w:t>
      </w:r>
      <w:r>
        <w:rPr>
          <w:rFonts w:hint="eastAsia" w:ascii="仿宋" w:hAnsi="仿宋" w:eastAsia="仿宋" w:cs="仿宋"/>
          <w:color w:val="auto"/>
          <w:sz w:val="24"/>
          <w:u w:val="single"/>
        </w:rPr>
        <w:t>2026</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5</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26</w:t>
      </w:r>
      <w:r>
        <w:rPr>
          <w:rFonts w:hint="eastAsia" w:ascii="仿宋" w:hAnsi="仿宋" w:eastAsia="仿宋" w:cs="仿宋"/>
          <w:color w:val="auto"/>
          <w:sz w:val="24"/>
        </w:rPr>
        <w:t>日23时59分</w:t>
      </w:r>
      <w:r>
        <w:rPr>
          <w:rFonts w:hint="eastAsia" w:ascii="仿宋" w:hAnsi="仿宋" w:eastAsia="仿宋" w:cs="仿宋"/>
          <w:color w:val="auto"/>
          <w:sz w:val="24"/>
        </w:rPr>
        <w:t>，每天上午</w:t>
      </w:r>
      <w:r>
        <w:rPr>
          <w:rFonts w:hint="eastAsia" w:ascii="仿宋" w:hAnsi="仿宋" w:eastAsia="仿宋" w:cs="仿宋"/>
          <w:color w:val="auto"/>
          <w:sz w:val="24"/>
          <w:u w:val="single"/>
        </w:rPr>
        <w:t>06:00</w:t>
      </w:r>
      <w:r>
        <w:rPr>
          <w:rFonts w:hint="eastAsia" w:ascii="仿宋" w:hAnsi="仿宋" w:eastAsia="仿宋" w:cs="仿宋"/>
          <w:color w:val="auto"/>
          <w:sz w:val="24"/>
        </w:rPr>
        <w:t>至</w:t>
      </w:r>
      <w:r>
        <w:rPr>
          <w:rFonts w:hint="eastAsia" w:ascii="仿宋" w:hAnsi="仿宋" w:eastAsia="仿宋" w:cs="仿宋"/>
          <w:color w:val="auto"/>
          <w:sz w:val="24"/>
          <w:u w:val="single"/>
        </w:rPr>
        <w:t>12:00</w:t>
      </w:r>
      <w:r>
        <w:rPr>
          <w:rFonts w:hint="eastAsia" w:ascii="仿宋" w:hAnsi="仿宋" w:eastAsia="仿宋" w:cs="仿宋"/>
          <w:color w:val="auto"/>
          <w:sz w:val="24"/>
        </w:rPr>
        <w:t>，下午</w:t>
      </w:r>
      <w:r>
        <w:rPr>
          <w:rFonts w:hint="eastAsia" w:ascii="仿宋" w:hAnsi="仿宋" w:eastAsia="仿宋" w:cs="仿宋"/>
          <w:color w:val="auto"/>
          <w:sz w:val="24"/>
          <w:u w:val="single"/>
        </w:rPr>
        <w:t>12:00</w:t>
      </w:r>
      <w:r>
        <w:rPr>
          <w:rFonts w:hint="eastAsia" w:ascii="仿宋" w:hAnsi="仿宋" w:eastAsia="仿宋" w:cs="仿宋"/>
          <w:color w:val="auto"/>
          <w:sz w:val="24"/>
        </w:rPr>
        <w:t>至</w:t>
      </w:r>
      <w:r>
        <w:rPr>
          <w:rFonts w:hint="eastAsia" w:ascii="仿宋" w:hAnsi="仿宋" w:eastAsia="仿宋" w:cs="仿宋"/>
          <w:color w:val="auto"/>
          <w:sz w:val="24"/>
          <w:u w:val="single"/>
        </w:rPr>
        <w:t>23:59</w:t>
      </w:r>
      <w:r>
        <w:rPr>
          <w:rFonts w:hint="eastAsia" w:ascii="仿宋" w:hAnsi="仿宋" w:eastAsia="仿宋" w:cs="仿宋"/>
          <w:color w:val="auto"/>
          <w:sz w:val="24"/>
        </w:rPr>
        <w:t>（北京时间，法定节假日除外）；</w:t>
      </w:r>
    </w:p>
    <w:p w14:paraId="2EB6DA15">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2.地点：政府采购云平台（https://www.zcygov.cn/）</w:t>
      </w:r>
    </w:p>
    <w:p w14:paraId="24A40D58">
      <w:pPr>
        <w:wordWrap w:val="0"/>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方式：须在政采云平台办理数字证书（CA），CA申领链接：https://middle.zcygov.cn/ca/apply/list?_app_=zcy.sys，并在政采云绑定数字证书（CA）后在网上获取磋商文件及其它采购资料，数字证书（CA）详见其办理流程。此为报名获取磋商文件的唯一途径；</w:t>
      </w:r>
    </w:p>
    <w:p w14:paraId="1BEF3E29">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4.售价：磋商文件免费提供。</w:t>
      </w:r>
    </w:p>
    <w:p w14:paraId="70CE723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w:t>
      </w:r>
    </w:p>
    <w:p w14:paraId="4578FBEF">
      <w:pPr>
        <w:pStyle w:val="3"/>
        <w:spacing w:line="240" w:lineRule="auto"/>
        <w:rPr>
          <w:rFonts w:ascii="仿宋" w:hAnsi="仿宋" w:eastAsia="仿宋" w:cs="仿宋"/>
          <w:color w:val="auto"/>
          <w:sz w:val="24"/>
        </w:rPr>
      </w:pPr>
      <w:r>
        <w:rPr>
          <w:rFonts w:hint="eastAsia" w:ascii="仿宋" w:hAnsi="仿宋" w:eastAsia="仿宋" w:cs="仿宋"/>
          <w:color w:val="auto"/>
          <w:sz w:val="24"/>
        </w:rPr>
        <w:t>四、响应文件提交</w:t>
      </w:r>
      <w:bookmarkEnd w:id="22"/>
      <w:bookmarkEnd w:id="23"/>
      <w:bookmarkEnd w:id="24"/>
      <w:bookmarkEnd w:id="25"/>
      <w:bookmarkEnd w:id="26"/>
      <w:bookmarkEnd w:id="27"/>
    </w:p>
    <w:p w14:paraId="7A10253B">
      <w:pPr>
        <w:adjustRightInd w:val="0"/>
        <w:snapToGrid w:val="0"/>
        <w:spacing w:line="360" w:lineRule="auto"/>
        <w:ind w:firstLine="480" w:firstLineChars="200"/>
        <w:rPr>
          <w:rFonts w:ascii="仿宋" w:hAnsi="仿宋" w:eastAsia="仿宋" w:cs="仿宋"/>
          <w:color w:val="auto"/>
          <w:sz w:val="24"/>
        </w:rPr>
      </w:pPr>
      <w:bookmarkStart w:id="28" w:name="_Toc14433"/>
      <w:bookmarkStart w:id="29" w:name="_Toc28359016"/>
      <w:bookmarkStart w:id="30" w:name="_Toc28359093"/>
      <w:bookmarkStart w:id="31" w:name="_Toc35393633"/>
      <w:bookmarkStart w:id="32" w:name="_Toc35393802"/>
      <w:bookmarkStart w:id="33" w:name="_Toc25971"/>
      <w:r>
        <w:rPr>
          <w:rFonts w:hint="eastAsia" w:ascii="仿宋" w:hAnsi="仿宋" w:eastAsia="仿宋" w:cs="仿宋"/>
          <w:color w:val="auto"/>
          <w:sz w:val="24"/>
        </w:rPr>
        <w:t>1.响应文件递交截止时间</w:t>
      </w:r>
      <w:r>
        <w:rPr>
          <w:rFonts w:hint="eastAsia" w:ascii="仿宋" w:hAnsi="仿宋" w:eastAsia="仿宋" w:cs="仿宋"/>
          <w:color w:val="auto"/>
          <w:sz w:val="24"/>
        </w:rPr>
        <w:t>：2026年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01</w:t>
      </w:r>
      <w:r>
        <w:rPr>
          <w:rFonts w:hint="eastAsia" w:ascii="仿宋" w:hAnsi="仿宋" w:eastAsia="仿宋" w:cs="仿宋"/>
          <w:color w:val="auto"/>
          <w:sz w:val="24"/>
        </w:rPr>
        <w:t>日 09:30</w:t>
      </w:r>
      <w:r>
        <w:rPr>
          <w:rFonts w:hint="eastAsia" w:ascii="仿宋" w:hAnsi="仿宋" w:eastAsia="仿宋" w:cs="仿宋"/>
          <w:color w:val="auto"/>
          <w:sz w:val="24"/>
        </w:rPr>
        <w:t>（北京时间）</w:t>
      </w:r>
    </w:p>
    <w:p w14:paraId="3F8679C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2.递交方式：网上递交。</w:t>
      </w:r>
    </w:p>
    <w:p w14:paraId="58CB27B6">
      <w:pPr>
        <w:wordWrap w:val="0"/>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3.递交地点：</w:t>
      </w:r>
      <w:r>
        <w:rPr>
          <w:rFonts w:hint="eastAsia" w:ascii="仿宋" w:hAnsi="仿宋" w:eastAsia="仿宋" w:cs="仿宋"/>
          <w:bCs/>
          <w:color w:val="auto"/>
          <w:sz w:val="24"/>
        </w:rPr>
        <w:t>请登录政采云投标客户端递交响应文件（政采云电子投标投标客户端下载路径</w:t>
      </w:r>
      <w:r>
        <w:rPr>
          <w:rFonts w:hint="eastAsia" w:ascii="仿宋" w:hAnsi="仿宋" w:eastAsia="仿宋" w:cs="仿宋"/>
          <w:color w:val="auto"/>
          <w:sz w:val="24"/>
        </w:rPr>
        <w:t>：https://customer.zcygov.cn/CA-driver-download?utm=web-cafront.3ddc8fbb.0.0.87133ef03d5611eca03abdd942cbc4e6）。</w:t>
      </w:r>
    </w:p>
    <w:p w14:paraId="39A07D3A">
      <w:pPr>
        <w:spacing w:line="360" w:lineRule="auto"/>
        <w:ind w:firstLine="540"/>
        <w:rPr>
          <w:rFonts w:ascii="仿宋" w:hAnsi="仿宋" w:eastAsia="仿宋" w:cs="仿宋"/>
          <w:color w:val="auto"/>
          <w:sz w:val="24"/>
        </w:rPr>
      </w:pPr>
      <w:r>
        <w:rPr>
          <w:rFonts w:hint="eastAsia" w:ascii="仿宋" w:hAnsi="仿宋" w:eastAsia="仿宋" w:cs="仿宋"/>
          <w:color w:val="auto"/>
          <w:sz w:val="24"/>
        </w:rPr>
        <w:t>注：因本项目采购方式为竞争性磋商，最后报价为线上填报，供应商需在政采云电子投标客户端上传响应文件后，在系统上等待代理机构通知最后报价，最后报价时间为响应文件递交截止时间当天14:00之后。</w:t>
      </w:r>
    </w:p>
    <w:p w14:paraId="6574F038">
      <w:pPr>
        <w:pStyle w:val="3"/>
        <w:spacing w:line="240" w:lineRule="auto"/>
        <w:rPr>
          <w:rFonts w:ascii="仿宋" w:hAnsi="仿宋" w:eastAsia="仿宋" w:cs="仿宋"/>
          <w:color w:val="auto"/>
          <w:sz w:val="24"/>
        </w:rPr>
      </w:pPr>
      <w:r>
        <w:rPr>
          <w:rFonts w:hint="eastAsia" w:ascii="仿宋" w:hAnsi="仿宋" w:eastAsia="仿宋" w:cs="仿宋"/>
          <w:color w:val="auto"/>
          <w:sz w:val="24"/>
        </w:rPr>
        <w:t>五、开启</w:t>
      </w:r>
      <w:bookmarkEnd w:id="28"/>
      <w:bookmarkEnd w:id="29"/>
      <w:bookmarkEnd w:id="30"/>
      <w:bookmarkEnd w:id="31"/>
      <w:bookmarkEnd w:id="32"/>
      <w:bookmarkEnd w:id="33"/>
    </w:p>
    <w:p w14:paraId="07EEB85B">
      <w:pPr>
        <w:spacing w:line="360" w:lineRule="auto"/>
        <w:ind w:firstLine="480" w:firstLineChars="200"/>
        <w:rPr>
          <w:rFonts w:ascii="仿宋" w:hAnsi="仿宋" w:eastAsia="仿宋" w:cs="仿宋"/>
          <w:color w:val="auto"/>
          <w:sz w:val="24"/>
        </w:rPr>
      </w:pPr>
      <w:bookmarkStart w:id="34" w:name="_Toc15732"/>
      <w:bookmarkStart w:id="35" w:name="_Toc28359017"/>
      <w:bookmarkStart w:id="36" w:name="_Toc35393803"/>
      <w:bookmarkStart w:id="37" w:name="_Toc28359094"/>
      <w:bookmarkStart w:id="38" w:name="_Toc25321"/>
      <w:bookmarkStart w:id="39" w:name="_Toc35393634"/>
      <w:r>
        <w:rPr>
          <w:rFonts w:hint="eastAsia" w:ascii="仿宋" w:hAnsi="仿宋" w:eastAsia="仿宋" w:cs="仿宋"/>
          <w:color w:val="auto"/>
          <w:sz w:val="24"/>
        </w:rPr>
        <w:t>1.开启时间：同响应文件递交截止时间。</w:t>
      </w:r>
    </w:p>
    <w:p w14:paraId="56BE385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2.响应文件解密方式：远程解密。</w:t>
      </w:r>
    </w:p>
    <w:p w14:paraId="29BD916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3.开启地点：昆明阔海建设工程咨询有限公司（晋宁区昆阳街道办事处湖景天颐家园一期42幢3层）</w:t>
      </w:r>
    </w:p>
    <w:p w14:paraId="74B4004E">
      <w:pPr>
        <w:pStyle w:val="3"/>
        <w:spacing w:line="240" w:lineRule="auto"/>
        <w:rPr>
          <w:rFonts w:ascii="仿宋" w:hAnsi="仿宋" w:eastAsia="仿宋" w:cs="仿宋"/>
          <w:color w:val="auto"/>
          <w:sz w:val="24"/>
        </w:rPr>
      </w:pPr>
      <w:r>
        <w:rPr>
          <w:rFonts w:hint="eastAsia" w:ascii="仿宋" w:hAnsi="仿宋" w:eastAsia="仿宋" w:cs="仿宋"/>
          <w:color w:val="auto"/>
          <w:sz w:val="24"/>
        </w:rPr>
        <w:t>六、公告期限</w:t>
      </w:r>
      <w:bookmarkEnd w:id="34"/>
      <w:bookmarkEnd w:id="35"/>
      <w:bookmarkEnd w:id="36"/>
      <w:bookmarkEnd w:id="37"/>
      <w:bookmarkEnd w:id="38"/>
      <w:bookmarkEnd w:id="39"/>
    </w:p>
    <w:p w14:paraId="7D602507">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自本公告发布之日起3个工作日。</w:t>
      </w:r>
    </w:p>
    <w:p w14:paraId="278ADA9F">
      <w:pPr>
        <w:pStyle w:val="3"/>
        <w:spacing w:line="240" w:lineRule="auto"/>
        <w:rPr>
          <w:rFonts w:ascii="仿宋" w:hAnsi="仿宋" w:eastAsia="仿宋" w:cs="仿宋"/>
          <w:color w:val="auto"/>
          <w:sz w:val="24"/>
        </w:rPr>
      </w:pPr>
      <w:bookmarkStart w:id="40" w:name="_Toc29463"/>
      <w:bookmarkStart w:id="41" w:name="_Toc35393635"/>
      <w:bookmarkStart w:id="42" w:name="_Toc14760"/>
      <w:bookmarkStart w:id="43" w:name="_Toc35393804"/>
      <w:r>
        <w:rPr>
          <w:rFonts w:hint="eastAsia" w:ascii="仿宋" w:hAnsi="仿宋" w:eastAsia="仿宋" w:cs="仿宋"/>
          <w:color w:val="auto"/>
          <w:sz w:val="24"/>
        </w:rPr>
        <w:t>七、其他补充事宜</w:t>
      </w:r>
      <w:bookmarkEnd w:id="40"/>
      <w:bookmarkEnd w:id="41"/>
      <w:bookmarkEnd w:id="42"/>
      <w:bookmarkEnd w:id="43"/>
    </w:p>
    <w:p w14:paraId="6866F66B">
      <w:pPr>
        <w:spacing w:line="360" w:lineRule="auto"/>
        <w:ind w:firstLine="480" w:firstLineChars="200"/>
        <w:jc w:val="left"/>
        <w:rPr>
          <w:rFonts w:ascii="仿宋" w:hAnsi="仿宋" w:eastAsia="仿宋" w:cs="仿宋"/>
          <w:color w:val="auto"/>
          <w:kern w:val="0"/>
          <w:sz w:val="24"/>
        </w:rPr>
      </w:pPr>
      <w:bookmarkStart w:id="44" w:name="_Toc28359018"/>
      <w:bookmarkStart w:id="45" w:name="_Toc15797"/>
      <w:bookmarkStart w:id="46" w:name="_Toc35393805"/>
      <w:bookmarkStart w:id="47" w:name="_Toc28359095"/>
      <w:bookmarkStart w:id="48" w:name="_Toc11531"/>
      <w:bookmarkStart w:id="49" w:name="_Toc35393636"/>
      <w:r>
        <w:rPr>
          <w:rFonts w:hint="eastAsia" w:ascii="仿宋" w:hAnsi="仿宋" w:eastAsia="仿宋" w:cs="仿宋"/>
          <w:color w:val="auto"/>
          <w:kern w:val="0"/>
          <w:sz w:val="24"/>
        </w:rPr>
        <w:t>1.本项目采购公告在云南省政府采购网（http://www.yngp.com/）发布，其他网站转载后与云南省政府采购网发布信息不一致的，采购人和代理机构均不承担任何责任。</w:t>
      </w:r>
    </w:p>
    <w:p w14:paraId="24ABC2EF">
      <w:pPr>
        <w:spacing w:line="360" w:lineRule="auto"/>
        <w:ind w:firstLine="480" w:firstLineChars="200"/>
        <w:jc w:val="left"/>
        <w:rPr>
          <w:rFonts w:ascii="仿宋" w:hAnsi="仿宋" w:eastAsia="仿宋"/>
          <w:color w:val="auto"/>
          <w:kern w:val="0"/>
          <w:sz w:val="24"/>
        </w:rPr>
      </w:pPr>
      <w:r>
        <w:rPr>
          <w:rFonts w:hint="eastAsia" w:ascii="仿宋" w:hAnsi="仿宋" w:eastAsia="仿宋" w:cs="仿宋"/>
          <w:color w:val="auto"/>
          <w:kern w:val="0"/>
          <w:sz w:val="24"/>
        </w:rPr>
        <w:t>2本项目需要落实的政府采购政策：</w:t>
      </w:r>
      <w:r>
        <w:rPr>
          <w:rFonts w:hint="eastAsia" w:ascii="仿宋" w:hAnsi="仿宋" w:eastAsia="仿宋"/>
          <w:color w:val="auto"/>
          <w:kern w:val="0"/>
          <w:sz w:val="24"/>
        </w:rPr>
        <w:t>本项目非专门面向中小企业的政府采购项目。在评审时小型、微型企业提供的服务价格给予10%的扣除。监狱企业、残疾人福利性单位视同小型和微型企业，其提供的服务在评审时给予相同的价格扣除。《政府采购促进中小企业发展管理办法》（财库〔2020〕46号）、《财政部民政部中国残疾人联合会关于促进残疾人就业政府采购政策的通知》（财库〔2017〕141号）、《关于政府采购支持监狱企业发展有关问题的通知》（财库〔2014〕68号）等。</w:t>
      </w:r>
    </w:p>
    <w:p w14:paraId="00AF98D5">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3.供应商应当在政采云电子投标客户端上编制响应文件，并生成电子加密标书（后缀名：.jmbs），响应文件制作完成并生成加密标书后，供应商需在开标前将加密的响应文件上传至政采云平台。具体操作请下载附件（供应商政府采购电子交易平台操作指南）</w:t>
      </w:r>
    </w:p>
    <w:p w14:paraId="0237AF8D">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4.采购文件解密时限为60分钟，在规定时限内未完成解密的供应商，响应无效。</w:t>
      </w:r>
    </w:p>
    <w:p w14:paraId="6C469B78">
      <w:pPr>
        <w:pStyle w:val="3"/>
        <w:spacing w:line="240" w:lineRule="auto"/>
        <w:rPr>
          <w:rFonts w:ascii="仿宋" w:hAnsi="仿宋" w:eastAsia="仿宋" w:cs="仿宋"/>
          <w:color w:val="auto"/>
          <w:sz w:val="24"/>
        </w:rPr>
      </w:pPr>
      <w:r>
        <w:rPr>
          <w:rFonts w:hint="eastAsia" w:ascii="仿宋" w:hAnsi="仿宋" w:eastAsia="仿宋" w:cs="仿宋"/>
          <w:color w:val="auto"/>
          <w:sz w:val="24"/>
        </w:rPr>
        <w:t>八、凡对本次采购提出询问，请按以下方式联系。</w:t>
      </w:r>
      <w:bookmarkEnd w:id="44"/>
      <w:bookmarkEnd w:id="45"/>
      <w:bookmarkEnd w:id="46"/>
      <w:bookmarkEnd w:id="47"/>
      <w:bookmarkEnd w:id="48"/>
      <w:bookmarkEnd w:id="49"/>
      <w:bookmarkStart w:id="50" w:name="_Toc32129"/>
    </w:p>
    <w:p w14:paraId="2F8AC88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bookmarkEnd w:id="50"/>
    </w:p>
    <w:p w14:paraId="5472D1F0">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昆明市晋宁区人民法院</w:t>
      </w:r>
    </w:p>
    <w:p w14:paraId="1969A1B8">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single"/>
        </w:rPr>
        <w:t>昆明市晋宁区昆阳街道办事处永乐大街南80米</w:t>
      </w:r>
    </w:p>
    <w:p w14:paraId="55AB04BE">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柴山锦  19531707757  0871-67892330</w:t>
      </w:r>
    </w:p>
    <w:p w14:paraId="09C31A6D">
      <w:pPr>
        <w:pStyle w:val="10"/>
        <w:rPr>
          <w:color w:val="auto"/>
        </w:rPr>
      </w:pPr>
    </w:p>
    <w:p w14:paraId="64BFB37A">
      <w:pPr>
        <w:spacing w:line="360" w:lineRule="auto"/>
        <w:ind w:firstLine="480" w:firstLineChars="200"/>
        <w:rPr>
          <w:rFonts w:ascii="仿宋" w:hAnsi="仿宋" w:eastAsia="仿宋" w:cs="仿宋"/>
          <w:color w:val="auto"/>
          <w:sz w:val="24"/>
        </w:rPr>
      </w:pPr>
      <w:bookmarkStart w:id="51" w:name="_Toc35393807"/>
      <w:bookmarkStart w:id="52" w:name="_Toc35393638"/>
      <w:bookmarkStart w:id="53" w:name="_Toc28359097"/>
      <w:bookmarkStart w:id="54" w:name="_Toc28359020"/>
      <w:bookmarkStart w:id="55" w:name="_Toc30510"/>
      <w:r>
        <w:rPr>
          <w:rFonts w:hint="eastAsia" w:ascii="仿宋" w:hAnsi="仿宋" w:eastAsia="仿宋" w:cs="仿宋"/>
          <w:color w:val="auto"/>
          <w:sz w:val="24"/>
        </w:rPr>
        <w:t>2.采购代理机构信息</w:t>
      </w:r>
      <w:bookmarkEnd w:id="51"/>
      <w:bookmarkEnd w:id="52"/>
      <w:bookmarkEnd w:id="53"/>
      <w:bookmarkEnd w:id="54"/>
      <w:bookmarkEnd w:id="55"/>
    </w:p>
    <w:p w14:paraId="623B4BB5">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昆明阔海建设工程咨询有限公司</w:t>
      </w:r>
    </w:p>
    <w:p w14:paraId="36ED5EEE">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single"/>
        </w:rPr>
        <w:t>昆明市晋宁区昆阳街道办事处湖景天颐家园一期42幢3层</w:t>
      </w:r>
    </w:p>
    <w:p w14:paraId="67E93968">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韩溪、张悦、李洁  18587382238  0871-67803770</w:t>
      </w:r>
    </w:p>
    <w:p w14:paraId="789D2CC2">
      <w:pPr>
        <w:pStyle w:val="10"/>
        <w:rPr>
          <w:color w:val="auto"/>
        </w:rPr>
      </w:pPr>
    </w:p>
    <w:p w14:paraId="62D1058A">
      <w:pPr>
        <w:spacing w:line="360" w:lineRule="auto"/>
        <w:ind w:firstLine="480" w:firstLineChars="200"/>
        <w:rPr>
          <w:rFonts w:ascii="仿宋" w:hAnsi="仿宋" w:eastAsia="仿宋" w:cs="仿宋"/>
          <w:color w:val="auto"/>
          <w:sz w:val="24"/>
        </w:rPr>
      </w:pPr>
      <w:bookmarkStart w:id="56" w:name="_Toc35393639"/>
      <w:bookmarkStart w:id="57" w:name="_Toc28359021"/>
      <w:bookmarkStart w:id="58" w:name="_Toc35393808"/>
      <w:bookmarkStart w:id="59" w:name="_Toc28359098"/>
      <w:bookmarkStart w:id="60" w:name="_Toc8791"/>
      <w:r>
        <w:rPr>
          <w:rFonts w:hint="eastAsia" w:ascii="仿宋" w:hAnsi="仿宋" w:eastAsia="仿宋" w:cs="仿宋"/>
          <w:color w:val="auto"/>
          <w:sz w:val="24"/>
        </w:rPr>
        <w:t>3.项目联系方式</w:t>
      </w:r>
      <w:bookmarkEnd w:id="56"/>
      <w:bookmarkEnd w:id="57"/>
      <w:bookmarkEnd w:id="58"/>
      <w:bookmarkEnd w:id="59"/>
      <w:bookmarkEnd w:id="60"/>
    </w:p>
    <w:p w14:paraId="55AFD1B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项目联系人：</w:t>
      </w:r>
      <w:r>
        <w:rPr>
          <w:rFonts w:hint="eastAsia" w:ascii="仿宋" w:hAnsi="仿宋" w:eastAsia="仿宋" w:cs="仿宋"/>
          <w:color w:val="auto"/>
          <w:sz w:val="24"/>
          <w:u w:val="single"/>
        </w:rPr>
        <w:t>韩溪</w:t>
      </w:r>
    </w:p>
    <w:p w14:paraId="006A5DE5">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电　　 话：</w:t>
      </w:r>
      <w:r>
        <w:rPr>
          <w:rFonts w:hint="eastAsia" w:ascii="仿宋" w:hAnsi="仿宋" w:eastAsia="仿宋" w:cs="仿宋"/>
          <w:color w:val="auto"/>
          <w:sz w:val="24"/>
          <w:u w:val="single"/>
        </w:rPr>
        <w:t>0871-67803770</w:t>
      </w:r>
    </w:p>
    <w:p w14:paraId="2B603DB0">
      <w:pPr>
        <w:pStyle w:val="10"/>
        <w:rPr>
          <w:color w:val="auto"/>
        </w:rPr>
      </w:pPr>
    </w:p>
    <w:p w14:paraId="5F4C1696">
      <w:pPr>
        <w:spacing w:line="360" w:lineRule="auto"/>
        <w:ind w:firstLine="480" w:firstLineChars="200"/>
        <w:rPr>
          <w:rFonts w:ascii="仿宋" w:hAnsi="仿宋" w:eastAsia="仿宋" w:cs="仿宋"/>
          <w:color w:val="auto"/>
          <w:sz w:val="24"/>
        </w:rPr>
      </w:pPr>
      <w:bookmarkStart w:id="61" w:name="_Toc14946"/>
      <w:bookmarkStart w:id="62" w:name="_Toc23364"/>
      <w:r>
        <w:rPr>
          <w:rFonts w:hint="eastAsia" w:ascii="仿宋" w:hAnsi="仿宋" w:eastAsia="仿宋" w:cs="仿宋"/>
          <w:color w:val="auto"/>
          <w:sz w:val="24"/>
        </w:rPr>
        <w:t>4.</w:t>
      </w:r>
      <w:bookmarkEnd w:id="61"/>
      <w:bookmarkEnd w:id="62"/>
      <w:r>
        <w:rPr>
          <w:rFonts w:hint="eastAsia" w:ascii="仿宋" w:hAnsi="仿宋" w:eastAsia="仿宋" w:cs="仿宋"/>
          <w:color w:val="auto"/>
          <w:sz w:val="24"/>
        </w:rPr>
        <w:t>监管部门、质疑投诉方式及投诉电话：</w:t>
      </w:r>
    </w:p>
    <w:p w14:paraId="0823AB75">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监管部门：昆明市晋宁区财政局</w:t>
      </w:r>
    </w:p>
    <w:p w14:paraId="29E888A0">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供应商认为竞争性磋商文件内容、采购过程及成交结果使自己的权益受到损害的，可以在知道或者应知其权益受到损害之日起7个工作日内，以书面形式向采购人或代理机构提出质疑（质疑函范本详见竞争性磋商文件）。采购人或代理机构应在收到书面质疑后7个工作日内作出答复，若供应商对答复仍不满意或采购人、采购代理机构均未在规定时间内予以答复的可向昆明市晋宁区财政局按《政府采购质疑和投诉办法》（财政部第94号令）有关规定进行投诉。</w:t>
      </w:r>
    </w:p>
    <w:p w14:paraId="65CB6943">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昆明市晋宁区财政局联系电话：0871-67896932</w:t>
      </w:r>
    </w:p>
    <w:p w14:paraId="0D8B968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联系人：杨老师</w:t>
      </w:r>
    </w:p>
    <w:p w14:paraId="4B1AF5D1">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地址：昆明市晋宁区昆阳街道办永乐大街云南磷化集团综合办公楼8楼</w:t>
      </w:r>
      <w:r>
        <w:rPr>
          <w:rFonts w:hint="eastAsia" w:ascii="仿宋" w:hAnsi="仿宋" w:eastAsia="仿宋" w:cs="仿宋"/>
          <w:color w:val="auto"/>
          <w:sz w:val="24"/>
        </w:rPr>
        <w:br w:type="page"/>
      </w:r>
    </w:p>
    <w:p w14:paraId="46CCB33E">
      <w:pPr>
        <w:rPr>
          <w:rFonts w:ascii="仿宋" w:hAnsi="仿宋" w:eastAsia="仿宋" w:cs="仿宋"/>
          <w:color w:val="auto"/>
        </w:rPr>
      </w:pPr>
    </w:p>
    <w:p w14:paraId="6E59D8ED">
      <w:pPr>
        <w:jc w:val="center"/>
        <w:outlineLvl w:val="0"/>
        <w:rPr>
          <w:rFonts w:ascii="仿宋" w:hAnsi="仿宋" w:eastAsia="仿宋" w:cs="仿宋"/>
          <w:color w:val="auto"/>
        </w:rPr>
      </w:pPr>
      <w:r>
        <w:rPr>
          <w:rFonts w:hint="eastAsia" w:ascii="仿宋" w:hAnsi="仿宋" w:eastAsia="仿宋" w:cs="仿宋"/>
          <w:b/>
          <w:color w:val="auto"/>
          <w:kern w:val="44"/>
          <w:sz w:val="44"/>
        </w:rPr>
        <w:t>第一章 供应商须知</w:t>
      </w:r>
      <w:bookmarkEnd w:id="8"/>
      <w:bookmarkEnd w:id="9"/>
    </w:p>
    <w:tbl>
      <w:tblPr>
        <w:tblStyle w:val="25"/>
        <w:tblW w:w="9193" w:type="dxa"/>
        <w:jc w:val="center"/>
        <w:tblLayout w:type="fixed"/>
        <w:tblCellMar>
          <w:top w:w="0" w:type="dxa"/>
          <w:left w:w="108" w:type="dxa"/>
          <w:bottom w:w="0" w:type="dxa"/>
          <w:right w:w="108" w:type="dxa"/>
        </w:tblCellMar>
      </w:tblPr>
      <w:tblGrid>
        <w:gridCol w:w="1087"/>
        <w:gridCol w:w="2111"/>
        <w:gridCol w:w="5995"/>
      </w:tblGrid>
      <w:tr w14:paraId="3C64576A">
        <w:tblPrEx>
          <w:tblCellMar>
            <w:top w:w="0" w:type="dxa"/>
            <w:left w:w="108" w:type="dxa"/>
            <w:bottom w:w="0" w:type="dxa"/>
            <w:right w:w="108" w:type="dxa"/>
          </w:tblCellMar>
        </w:tblPrEx>
        <w:trPr>
          <w:trHeight w:val="445" w:hRule="atLeast"/>
          <w:tblHeader/>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9385EFC">
            <w:pPr>
              <w:widowControl/>
              <w:spacing w:line="360" w:lineRule="auto"/>
              <w:jc w:val="center"/>
              <w:rPr>
                <w:rFonts w:ascii="仿宋" w:hAnsi="仿宋" w:eastAsia="仿宋" w:cs="仿宋"/>
                <w:color w:val="auto"/>
                <w:kern w:val="0"/>
                <w:sz w:val="24"/>
              </w:rPr>
            </w:pPr>
            <w:bookmarkStart w:id="63" w:name="sys_招标项目基本内容及要求：Block"/>
            <w:bookmarkEnd w:id="63"/>
            <w:bookmarkStart w:id="64" w:name="招标项目基本内容及要求：Block"/>
            <w:bookmarkEnd w:id="64"/>
            <w:bookmarkStart w:id="65" w:name="sys_招标项目基本内容及要求其他：Block"/>
            <w:bookmarkEnd w:id="65"/>
            <w:bookmarkStart w:id="66" w:name="招标项目基本内容及要求其他：Block"/>
            <w:bookmarkEnd w:id="66"/>
            <w:r>
              <w:rPr>
                <w:rFonts w:hint="eastAsia" w:ascii="仿宋" w:hAnsi="仿宋" w:eastAsia="仿宋" w:cs="仿宋"/>
                <w:color w:val="auto"/>
                <w:kern w:val="0"/>
                <w:sz w:val="24"/>
              </w:rPr>
              <w:t>条款号</w:t>
            </w:r>
          </w:p>
        </w:tc>
        <w:tc>
          <w:tcPr>
            <w:tcW w:w="2111" w:type="dxa"/>
            <w:tcBorders>
              <w:top w:val="single" w:color="auto" w:sz="4" w:space="0"/>
              <w:left w:val="single" w:color="auto" w:sz="4" w:space="0"/>
              <w:bottom w:val="single" w:color="auto" w:sz="4" w:space="0"/>
              <w:right w:val="single" w:color="auto" w:sz="4" w:space="0"/>
            </w:tcBorders>
            <w:noWrap/>
            <w:vAlign w:val="center"/>
          </w:tcPr>
          <w:p w14:paraId="39BDF9F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项   目</w:t>
            </w:r>
          </w:p>
        </w:tc>
        <w:tc>
          <w:tcPr>
            <w:tcW w:w="5995" w:type="dxa"/>
            <w:tcBorders>
              <w:top w:val="single" w:color="auto" w:sz="4" w:space="0"/>
              <w:left w:val="single" w:color="auto" w:sz="4" w:space="0"/>
              <w:bottom w:val="single" w:color="auto" w:sz="4" w:space="0"/>
              <w:right w:val="single" w:color="auto" w:sz="4" w:space="0"/>
            </w:tcBorders>
            <w:noWrap/>
            <w:vAlign w:val="center"/>
          </w:tcPr>
          <w:p w14:paraId="795AC66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内     容</w:t>
            </w:r>
          </w:p>
        </w:tc>
      </w:tr>
      <w:tr w14:paraId="11CE0F87">
        <w:tblPrEx>
          <w:tblCellMar>
            <w:top w:w="0" w:type="dxa"/>
            <w:left w:w="108" w:type="dxa"/>
            <w:bottom w:w="0" w:type="dxa"/>
            <w:right w:w="108" w:type="dxa"/>
          </w:tblCellMar>
        </w:tblPrEx>
        <w:trPr>
          <w:trHeight w:val="1193"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155A5F5">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2111" w:type="dxa"/>
            <w:tcBorders>
              <w:top w:val="single" w:color="auto" w:sz="4" w:space="0"/>
              <w:left w:val="single" w:color="auto" w:sz="4" w:space="0"/>
              <w:bottom w:val="single" w:color="auto" w:sz="4" w:space="0"/>
              <w:right w:val="single" w:color="auto" w:sz="4" w:space="0"/>
            </w:tcBorders>
            <w:noWrap/>
            <w:vAlign w:val="center"/>
          </w:tcPr>
          <w:p w14:paraId="0083094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采购人</w:t>
            </w:r>
          </w:p>
        </w:tc>
        <w:tc>
          <w:tcPr>
            <w:tcW w:w="5995" w:type="dxa"/>
            <w:tcBorders>
              <w:top w:val="single" w:color="auto" w:sz="4" w:space="0"/>
              <w:left w:val="single" w:color="auto" w:sz="4" w:space="0"/>
              <w:bottom w:val="single" w:color="auto" w:sz="4" w:space="0"/>
              <w:right w:val="single" w:color="auto" w:sz="4" w:space="0"/>
            </w:tcBorders>
            <w:noWrap/>
            <w:vAlign w:val="center"/>
          </w:tcPr>
          <w:p w14:paraId="358A21BF">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名  称：昆明市晋宁区人民法院</w:t>
            </w:r>
          </w:p>
          <w:p w14:paraId="56381741">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地  址：昆明市晋宁区昆阳街道办事处永乐大街南80米</w:t>
            </w:r>
          </w:p>
          <w:p w14:paraId="148E2B20">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联系人：</w:t>
            </w:r>
            <w:r>
              <w:rPr>
                <w:rFonts w:hint="eastAsia" w:ascii="仿宋" w:hAnsi="仿宋" w:eastAsia="仿宋" w:cs="仿宋"/>
                <w:color w:val="auto"/>
                <w:sz w:val="24"/>
              </w:rPr>
              <w:t>柴山锦</w:t>
            </w:r>
          </w:p>
          <w:p w14:paraId="3E0B21BF">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sz w:val="24"/>
              </w:rPr>
              <w:t>19531707757  0871-67892330</w:t>
            </w:r>
          </w:p>
        </w:tc>
      </w:tr>
      <w:tr w14:paraId="6953DBE5">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406664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2111" w:type="dxa"/>
            <w:tcBorders>
              <w:top w:val="single" w:color="auto" w:sz="4" w:space="0"/>
              <w:left w:val="single" w:color="auto" w:sz="4" w:space="0"/>
              <w:bottom w:val="single" w:color="auto" w:sz="4" w:space="0"/>
              <w:right w:val="single" w:color="auto" w:sz="4" w:space="0"/>
            </w:tcBorders>
            <w:noWrap/>
            <w:vAlign w:val="center"/>
          </w:tcPr>
          <w:p w14:paraId="34A45AB4">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采购代理机构</w:t>
            </w:r>
          </w:p>
        </w:tc>
        <w:tc>
          <w:tcPr>
            <w:tcW w:w="5995" w:type="dxa"/>
            <w:tcBorders>
              <w:top w:val="single" w:color="auto" w:sz="4" w:space="0"/>
              <w:left w:val="single" w:color="auto" w:sz="4" w:space="0"/>
              <w:bottom w:val="single" w:color="auto" w:sz="4" w:space="0"/>
              <w:right w:val="single" w:color="auto" w:sz="4" w:space="0"/>
            </w:tcBorders>
            <w:noWrap/>
            <w:vAlign w:val="center"/>
          </w:tcPr>
          <w:p w14:paraId="2CC26E36">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名  称：昆明阔海建设工程咨询有限公司</w:t>
            </w:r>
          </w:p>
          <w:p w14:paraId="75917DF3">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地址：昆明市晋宁区昆阳街道办事处湖景天颐家园东区42幢3楼</w:t>
            </w:r>
          </w:p>
          <w:p w14:paraId="12F79BE8">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联系人：韩溪、张悦、李洁</w:t>
            </w:r>
          </w:p>
          <w:p w14:paraId="2D0D86C8">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电</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话：18587382238  0871-67803770</w:t>
            </w:r>
          </w:p>
        </w:tc>
      </w:tr>
      <w:tr w14:paraId="30BB9BE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AE7549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1.3.4</w:t>
            </w:r>
          </w:p>
        </w:tc>
        <w:tc>
          <w:tcPr>
            <w:tcW w:w="2111" w:type="dxa"/>
            <w:tcBorders>
              <w:top w:val="single" w:color="auto" w:sz="4" w:space="0"/>
              <w:left w:val="single" w:color="auto" w:sz="4" w:space="0"/>
              <w:bottom w:val="single" w:color="auto" w:sz="4" w:space="0"/>
              <w:right w:val="single" w:color="auto" w:sz="4" w:space="0"/>
            </w:tcBorders>
            <w:noWrap/>
            <w:vAlign w:val="center"/>
          </w:tcPr>
          <w:p w14:paraId="2B6ECAF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合格供应商还要满足的其它资格条件</w:t>
            </w:r>
          </w:p>
        </w:tc>
        <w:tc>
          <w:tcPr>
            <w:tcW w:w="5995" w:type="dxa"/>
            <w:tcBorders>
              <w:top w:val="single" w:color="auto" w:sz="4" w:space="0"/>
              <w:left w:val="single" w:color="auto" w:sz="4" w:space="0"/>
              <w:bottom w:val="single" w:color="auto" w:sz="4" w:space="0"/>
              <w:right w:val="single" w:color="auto" w:sz="4" w:space="0"/>
            </w:tcBorders>
            <w:noWrap/>
            <w:vAlign w:val="center"/>
          </w:tcPr>
          <w:p w14:paraId="34261EE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代理机构将在本项目响应文件递交截止时间后2小时内，通过“信用中国”网站（www.creditchina.gov.cn）、中国政府采购网（www.ccgp.gov.cn）这两个渠道查询所有递交响应文件供应商的信用记录，并将所有递交响应文件供应商的查询记录电子截屏提交给资格审查小组。资格审查小组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其响应文件按照无效响应处理。查询记录电子截屏作为证据留存，与采购项目其他材料一并归档。</w:t>
            </w:r>
          </w:p>
          <w:p w14:paraId="3236DB68">
            <w:pPr>
              <w:pStyle w:val="13"/>
              <w:spacing w:line="360" w:lineRule="auto"/>
              <w:ind w:left="0" w:leftChars="0" w:firstLine="480" w:firstLineChars="200"/>
              <w:rPr>
                <w:rFonts w:ascii="仿宋" w:hAnsi="仿宋" w:eastAsia="仿宋" w:cs="仿宋"/>
                <w:color w:val="auto"/>
                <w:sz w:val="24"/>
                <w:szCs w:val="24"/>
              </w:rPr>
            </w:pPr>
            <w:r>
              <w:rPr>
                <w:rFonts w:hint="eastAsia" w:ascii="仿宋" w:hAnsi="仿宋" w:eastAsia="仿宋" w:cs="仿宋"/>
                <w:color w:val="auto"/>
                <w:kern w:val="0"/>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9C167A">
            <w:pPr>
              <w:widowControl/>
              <w:wordWrap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供应商不良信用记录以代理机构查询结果为准，代理机构查询之后，“信用中国”网站（www.creditchina.gov.cn）、中国政府采购网（www.ccgp.gov.cn）信息发生的任何变更均不再作为评审依据，供应商自行提供的与网站信息不一致的其他证明材料亦不作为评审依据。</w:t>
            </w:r>
          </w:p>
        </w:tc>
      </w:tr>
      <w:tr w14:paraId="0C1DBD70">
        <w:tblPrEx>
          <w:tblCellMar>
            <w:top w:w="0" w:type="dxa"/>
            <w:left w:w="108" w:type="dxa"/>
            <w:bottom w:w="0" w:type="dxa"/>
            <w:right w:w="108" w:type="dxa"/>
          </w:tblCellMar>
        </w:tblPrEx>
        <w:trPr>
          <w:trHeight w:val="77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90E78B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1.3.5</w:t>
            </w:r>
          </w:p>
        </w:tc>
        <w:tc>
          <w:tcPr>
            <w:tcW w:w="2111" w:type="dxa"/>
            <w:tcBorders>
              <w:top w:val="single" w:color="auto" w:sz="4" w:space="0"/>
              <w:left w:val="single" w:color="auto" w:sz="4" w:space="0"/>
              <w:bottom w:val="single" w:color="auto" w:sz="4" w:space="0"/>
              <w:right w:val="single" w:color="auto" w:sz="4" w:space="0"/>
            </w:tcBorders>
            <w:noWrap/>
            <w:vAlign w:val="center"/>
          </w:tcPr>
          <w:p w14:paraId="6CF76CB9">
            <w:pPr>
              <w:tabs>
                <w:tab w:val="left" w:pos="1425"/>
              </w:tabs>
              <w:spacing w:line="360" w:lineRule="auto"/>
              <w:jc w:val="center"/>
              <w:rPr>
                <w:rFonts w:ascii="仿宋" w:hAnsi="仿宋" w:eastAsia="仿宋" w:cs="仿宋"/>
                <w:bCs/>
                <w:color w:val="auto"/>
                <w:kern w:val="0"/>
                <w:sz w:val="24"/>
              </w:rPr>
            </w:pPr>
            <w:r>
              <w:rPr>
                <w:rFonts w:hint="eastAsia" w:ascii="仿宋" w:hAnsi="仿宋" w:eastAsia="仿宋" w:cs="仿宋"/>
                <w:color w:val="auto"/>
                <w:kern w:val="0"/>
                <w:sz w:val="24"/>
              </w:rPr>
              <w:t>是否为专门面向</w:t>
            </w:r>
            <w:r>
              <w:rPr>
                <w:rFonts w:hint="eastAsia" w:ascii="仿宋" w:hAnsi="仿宋" w:eastAsia="仿宋" w:cs="仿宋"/>
                <w:color w:val="auto"/>
                <w:sz w:val="24"/>
              </w:rPr>
              <w:t>中小企业</w:t>
            </w:r>
            <w:r>
              <w:rPr>
                <w:rFonts w:hint="eastAsia" w:ascii="仿宋" w:hAnsi="仿宋" w:eastAsia="仿宋" w:cs="仿宋"/>
                <w:color w:val="auto"/>
                <w:kern w:val="0"/>
                <w:sz w:val="24"/>
              </w:rPr>
              <w:t>采购</w:t>
            </w:r>
          </w:p>
        </w:tc>
        <w:tc>
          <w:tcPr>
            <w:tcW w:w="5995" w:type="dxa"/>
            <w:tcBorders>
              <w:top w:val="single" w:color="auto" w:sz="4" w:space="0"/>
              <w:left w:val="single" w:color="auto" w:sz="4" w:space="0"/>
              <w:bottom w:val="single" w:color="auto" w:sz="4" w:space="0"/>
              <w:right w:val="single" w:color="auto" w:sz="4" w:space="0"/>
            </w:tcBorders>
            <w:noWrap/>
            <w:vAlign w:val="center"/>
          </w:tcPr>
          <w:p w14:paraId="7E20FCD6">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是</w:t>
            </w:r>
          </w:p>
          <w:p w14:paraId="2FB52330">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否</w:t>
            </w:r>
          </w:p>
        </w:tc>
      </w:tr>
      <w:tr w14:paraId="66FCF479">
        <w:tblPrEx>
          <w:tblCellMar>
            <w:top w:w="0" w:type="dxa"/>
            <w:left w:w="108" w:type="dxa"/>
            <w:bottom w:w="0" w:type="dxa"/>
            <w:right w:w="108" w:type="dxa"/>
          </w:tblCellMar>
        </w:tblPrEx>
        <w:trPr>
          <w:trHeight w:val="77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07F6F37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1.3.6</w:t>
            </w:r>
          </w:p>
        </w:tc>
        <w:tc>
          <w:tcPr>
            <w:tcW w:w="2111" w:type="dxa"/>
            <w:tcBorders>
              <w:top w:val="single" w:color="auto" w:sz="4" w:space="0"/>
              <w:left w:val="single" w:color="auto" w:sz="4" w:space="0"/>
              <w:bottom w:val="single" w:color="auto" w:sz="4" w:space="0"/>
              <w:right w:val="single" w:color="auto" w:sz="4" w:space="0"/>
            </w:tcBorders>
            <w:noWrap/>
            <w:vAlign w:val="center"/>
          </w:tcPr>
          <w:p w14:paraId="3BBCF5F9">
            <w:pPr>
              <w:tabs>
                <w:tab w:val="left" w:pos="1425"/>
              </w:tabs>
              <w:spacing w:line="360" w:lineRule="auto"/>
              <w:jc w:val="center"/>
              <w:rPr>
                <w:rFonts w:ascii="仿宋" w:hAnsi="仿宋" w:eastAsia="仿宋" w:cs="仿宋"/>
                <w:color w:val="auto"/>
                <w:kern w:val="0"/>
                <w:sz w:val="24"/>
              </w:rPr>
            </w:pPr>
            <w:r>
              <w:rPr>
                <w:rFonts w:hint="eastAsia" w:ascii="仿宋" w:hAnsi="仿宋" w:eastAsia="仿宋" w:cs="仿宋"/>
                <w:color w:val="auto"/>
                <w:sz w:val="24"/>
              </w:rPr>
              <w:t>是否有政府强制采购的节能产品</w:t>
            </w:r>
          </w:p>
        </w:tc>
        <w:tc>
          <w:tcPr>
            <w:tcW w:w="5995" w:type="dxa"/>
            <w:tcBorders>
              <w:top w:val="single" w:color="auto" w:sz="4" w:space="0"/>
              <w:left w:val="single" w:color="auto" w:sz="4" w:space="0"/>
              <w:bottom w:val="single" w:color="auto" w:sz="4" w:space="0"/>
              <w:right w:val="single" w:color="auto" w:sz="4" w:space="0"/>
            </w:tcBorders>
            <w:noWrap/>
            <w:vAlign w:val="center"/>
          </w:tcPr>
          <w:p w14:paraId="3BAA451D">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有，具体产品为：</w:t>
            </w:r>
            <w:r>
              <w:rPr>
                <w:rFonts w:hint="eastAsia" w:ascii="仿宋" w:hAnsi="仿宋" w:eastAsia="仿宋" w:cs="仿宋"/>
                <w:color w:val="auto"/>
                <w:kern w:val="0"/>
                <w:sz w:val="24"/>
                <w:u w:val="single"/>
              </w:rPr>
              <w:t>/</w:t>
            </w:r>
            <w:r>
              <w:rPr>
                <w:rFonts w:hint="eastAsia" w:ascii="仿宋" w:hAnsi="仿宋" w:eastAsia="仿宋" w:cs="仿宋"/>
                <w:bCs/>
                <w:color w:val="auto"/>
                <w:kern w:val="0"/>
                <w:sz w:val="24"/>
              </w:rPr>
              <w:t>。</w:t>
            </w:r>
          </w:p>
          <w:p w14:paraId="310980B3">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没有</w:t>
            </w:r>
          </w:p>
        </w:tc>
      </w:tr>
      <w:tr w14:paraId="0077289B">
        <w:tblPrEx>
          <w:tblCellMar>
            <w:top w:w="0" w:type="dxa"/>
            <w:left w:w="108" w:type="dxa"/>
            <w:bottom w:w="0" w:type="dxa"/>
            <w:right w:w="108" w:type="dxa"/>
          </w:tblCellMar>
        </w:tblPrEx>
        <w:trPr>
          <w:trHeight w:val="44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9F17D37">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1.4</w:t>
            </w:r>
          </w:p>
        </w:tc>
        <w:tc>
          <w:tcPr>
            <w:tcW w:w="2111" w:type="dxa"/>
            <w:tcBorders>
              <w:top w:val="single" w:color="auto" w:sz="4" w:space="0"/>
              <w:left w:val="single" w:color="auto" w:sz="4" w:space="0"/>
              <w:bottom w:val="single" w:color="auto" w:sz="4" w:space="0"/>
              <w:right w:val="single" w:color="auto" w:sz="4" w:space="0"/>
            </w:tcBorders>
            <w:noWrap/>
            <w:vAlign w:val="center"/>
          </w:tcPr>
          <w:p w14:paraId="290758E3">
            <w:pPr>
              <w:tabs>
                <w:tab w:val="left" w:pos="1425"/>
              </w:tabs>
              <w:spacing w:line="360" w:lineRule="auto"/>
              <w:jc w:val="center"/>
              <w:rPr>
                <w:rFonts w:ascii="仿宋" w:hAnsi="仿宋" w:eastAsia="仿宋" w:cs="仿宋"/>
                <w:color w:val="auto"/>
                <w:sz w:val="24"/>
              </w:rPr>
            </w:pPr>
            <w:r>
              <w:rPr>
                <w:rFonts w:hint="eastAsia" w:ascii="仿宋" w:hAnsi="仿宋" w:eastAsia="仿宋" w:cs="仿宋"/>
                <w:bCs/>
                <w:color w:val="auto"/>
                <w:kern w:val="0"/>
                <w:sz w:val="24"/>
              </w:rPr>
              <w:t>是否允许联合体参加政府采购活动</w:t>
            </w:r>
          </w:p>
        </w:tc>
        <w:tc>
          <w:tcPr>
            <w:tcW w:w="5995" w:type="dxa"/>
            <w:tcBorders>
              <w:top w:val="single" w:color="auto" w:sz="4" w:space="0"/>
              <w:left w:val="single" w:color="auto" w:sz="4" w:space="0"/>
              <w:bottom w:val="single" w:color="auto" w:sz="4" w:space="0"/>
              <w:right w:val="single" w:color="auto" w:sz="4" w:space="0"/>
            </w:tcBorders>
            <w:noWrap/>
            <w:vAlign w:val="center"/>
          </w:tcPr>
          <w:p w14:paraId="5CC1AAAF">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是</w:t>
            </w:r>
          </w:p>
          <w:p w14:paraId="7425B3BF">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否</w:t>
            </w:r>
          </w:p>
        </w:tc>
      </w:tr>
      <w:tr w14:paraId="41095D1B">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0FB029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1.4.8</w:t>
            </w:r>
          </w:p>
        </w:tc>
        <w:tc>
          <w:tcPr>
            <w:tcW w:w="2111" w:type="dxa"/>
            <w:tcBorders>
              <w:top w:val="single" w:color="auto" w:sz="4" w:space="0"/>
              <w:left w:val="single" w:color="auto" w:sz="4" w:space="0"/>
              <w:bottom w:val="single" w:color="auto" w:sz="4" w:space="0"/>
              <w:right w:val="single" w:color="auto" w:sz="4" w:space="0"/>
            </w:tcBorders>
            <w:noWrap/>
            <w:vAlign w:val="center"/>
          </w:tcPr>
          <w:p w14:paraId="47788432">
            <w:pPr>
              <w:tabs>
                <w:tab w:val="left" w:pos="1425"/>
              </w:tabs>
              <w:spacing w:line="360" w:lineRule="auto"/>
              <w:jc w:val="center"/>
              <w:rPr>
                <w:rFonts w:ascii="仿宋" w:hAnsi="仿宋" w:eastAsia="仿宋" w:cs="仿宋"/>
                <w:color w:val="auto"/>
                <w:sz w:val="24"/>
              </w:rPr>
            </w:pPr>
            <w:r>
              <w:rPr>
                <w:rFonts w:hint="eastAsia" w:ascii="仿宋" w:hAnsi="仿宋" w:eastAsia="仿宋" w:cs="仿宋"/>
                <w:bCs/>
                <w:color w:val="auto"/>
                <w:kern w:val="0"/>
                <w:sz w:val="24"/>
              </w:rPr>
              <w:t>联合体的其他资格要求</w:t>
            </w:r>
          </w:p>
        </w:tc>
        <w:tc>
          <w:tcPr>
            <w:tcW w:w="5995" w:type="dxa"/>
            <w:tcBorders>
              <w:top w:val="single" w:color="auto" w:sz="4" w:space="0"/>
              <w:left w:val="single" w:color="auto" w:sz="4" w:space="0"/>
              <w:bottom w:val="single" w:color="auto" w:sz="4" w:space="0"/>
              <w:right w:val="single" w:color="auto" w:sz="4" w:space="0"/>
            </w:tcBorders>
            <w:noWrap/>
            <w:vAlign w:val="center"/>
          </w:tcPr>
          <w:p w14:paraId="58959709">
            <w:pPr>
              <w:spacing w:line="360" w:lineRule="auto"/>
              <w:rPr>
                <w:rFonts w:ascii="仿宋" w:hAnsi="仿宋" w:eastAsia="仿宋" w:cs="仿宋"/>
                <w:bCs/>
                <w:color w:val="auto"/>
                <w:kern w:val="0"/>
                <w:sz w:val="24"/>
              </w:rPr>
            </w:pPr>
            <w:r>
              <w:rPr>
                <w:rFonts w:hint="eastAsia" w:ascii="仿宋" w:hAnsi="仿宋" w:eastAsia="仿宋" w:cs="仿宋"/>
                <w:bCs/>
                <w:color w:val="auto"/>
                <w:kern w:val="0"/>
                <w:sz w:val="24"/>
              </w:rPr>
              <w:t>见采购公告</w:t>
            </w:r>
          </w:p>
        </w:tc>
      </w:tr>
      <w:tr w14:paraId="2E7C15A3">
        <w:tblPrEx>
          <w:tblCellMar>
            <w:top w:w="0" w:type="dxa"/>
            <w:left w:w="108" w:type="dxa"/>
            <w:bottom w:w="0" w:type="dxa"/>
            <w:right w:w="108" w:type="dxa"/>
          </w:tblCellMar>
        </w:tblPrEx>
        <w:trPr>
          <w:trHeight w:val="48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004B109">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2.2</w:t>
            </w:r>
          </w:p>
        </w:tc>
        <w:tc>
          <w:tcPr>
            <w:tcW w:w="2111" w:type="dxa"/>
            <w:tcBorders>
              <w:top w:val="single" w:color="auto" w:sz="4" w:space="0"/>
              <w:left w:val="single" w:color="auto" w:sz="4" w:space="0"/>
              <w:bottom w:val="single" w:color="auto" w:sz="4" w:space="0"/>
              <w:right w:val="single" w:color="auto" w:sz="4" w:space="0"/>
            </w:tcBorders>
            <w:noWrap/>
            <w:vAlign w:val="center"/>
          </w:tcPr>
          <w:p w14:paraId="56F6CDCF">
            <w:pPr>
              <w:shd w:val="clear" w:color="auto" w:fill="FFFFFF"/>
              <w:spacing w:line="360" w:lineRule="auto"/>
              <w:jc w:val="center"/>
              <w:rPr>
                <w:rFonts w:ascii="仿宋" w:hAnsi="仿宋" w:eastAsia="仿宋" w:cs="仿宋"/>
                <w:bCs/>
                <w:color w:val="auto"/>
                <w:kern w:val="0"/>
                <w:sz w:val="24"/>
              </w:rPr>
            </w:pPr>
            <w:r>
              <w:rPr>
                <w:rFonts w:hint="eastAsia" w:ascii="仿宋" w:hAnsi="仿宋" w:eastAsia="仿宋" w:cs="仿宋"/>
                <w:color w:val="auto"/>
                <w:kern w:val="0"/>
                <w:sz w:val="24"/>
              </w:rPr>
              <w:t>项目预算金额、最高限价</w:t>
            </w:r>
          </w:p>
        </w:tc>
        <w:tc>
          <w:tcPr>
            <w:tcW w:w="5995" w:type="dxa"/>
            <w:tcBorders>
              <w:top w:val="single" w:color="auto" w:sz="4" w:space="0"/>
              <w:left w:val="single" w:color="auto" w:sz="4" w:space="0"/>
              <w:bottom w:val="single" w:color="auto" w:sz="4" w:space="0"/>
              <w:right w:val="single" w:color="auto" w:sz="4" w:space="0"/>
            </w:tcBorders>
            <w:noWrap/>
            <w:vAlign w:val="center"/>
          </w:tcPr>
          <w:p w14:paraId="497FC675">
            <w:pPr>
              <w:spacing w:line="360" w:lineRule="auto"/>
              <w:rPr>
                <w:rFonts w:ascii="仿宋" w:hAnsi="仿宋" w:eastAsia="仿宋" w:cs="仿宋"/>
                <w:bCs/>
                <w:color w:val="auto"/>
                <w:kern w:val="0"/>
                <w:sz w:val="24"/>
              </w:rPr>
            </w:pPr>
            <w:r>
              <w:rPr>
                <w:rFonts w:hint="eastAsia" w:ascii="仿宋" w:hAnsi="仿宋" w:eastAsia="仿宋" w:cs="仿宋"/>
                <w:bCs/>
                <w:color w:val="auto"/>
                <w:kern w:val="0"/>
                <w:sz w:val="24"/>
              </w:rPr>
              <w:t>预算金额：</w:t>
            </w:r>
            <w:r>
              <w:rPr>
                <w:rFonts w:hint="eastAsia" w:ascii="仿宋" w:hAnsi="仿宋" w:eastAsia="仿宋" w:cs="仿宋"/>
                <w:bCs/>
                <w:color w:val="auto"/>
                <w:kern w:val="0"/>
                <w:sz w:val="24"/>
                <w:u w:val="single"/>
              </w:rPr>
              <w:t>见采购公告</w:t>
            </w:r>
          </w:p>
          <w:p w14:paraId="006605ED">
            <w:pPr>
              <w:spacing w:line="360" w:lineRule="auto"/>
              <w:rPr>
                <w:rFonts w:ascii="仿宋" w:hAnsi="仿宋" w:eastAsia="仿宋" w:cs="仿宋"/>
                <w:bCs/>
                <w:color w:val="auto"/>
                <w:kern w:val="0"/>
                <w:sz w:val="24"/>
                <w:u w:val="single"/>
              </w:rPr>
            </w:pPr>
            <w:r>
              <w:rPr>
                <w:rFonts w:hint="eastAsia" w:ascii="仿宋" w:hAnsi="仿宋" w:eastAsia="仿宋" w:cs="仿宋"/>
                <w:bCs/>
                <w:color w:val="auto"/>
                <w:kern w:val="0"/>
                <w:sz w:val="24"/>
              </w:rPr>
              <w:t>最高限价：</w:t>
            </w:r>
            <w:r>
              <w:rPr>
                <w:rFonts w:hint="eastAsia" w:ascii="仿宋" w:hAnsi="仿宋" w:eastAsia="仿宋" w:cs="仿宋"/>
                <w:bCs/>
                <w:color w:val="auto"/>
                <w:kern w:val="0"/>
                <w:sz w:val="24"/>
                <w:u w:val="single"/>
              </w:rPr>
              <w:t>见采购公告</w:t>
            </w:r>
          </w:p>
          <w:p w14:paraId="06373554">
            <w:pPr>
              <w:spacing w:line="360" w:lineRule="auto"/>
              <w:rPr>
                <w:rFonts w:ascii="仿宋" w:hAnsi="仿宋" w:eastAsia="仿宋" w:cs="仿宋"/>
                <w:color w:val="auto"/>
                <w:kern w:val="0"/>
                <w:sz w:val="24"/>
              </w:rPr>
            </w:pPr>
            <w:r>
              <w:rPr>
                <w:rFonts w:hint="eastAsia" w:ascii="仿宋" w:hAnsi="仿宋" w:eastAsia="仿宋" w:cs="仿宋"/>
                <w:bCs/>
                <w:color w:val="auto"/>
                <w:kern w:val="0"/>
                <w:sz w:val="24"/>
              </w:rPr>
              <w:t>是否允许分包：</w:t>
            </w:r>
            <w:r>
              <w:rPr>
                <w:rFonts w:hint="eastAsia" w:ascii="仿宋" w:hAnsi="仿宋" w:eastAsia="仿宋" w:cs="仿宋"/>
                <w:color w:val="auto"/>
                <w:sz w:val="24"/>
              </w:rPr>
              <w:t>☑</w:t>
            </w:r>
            <w:r>
              <w:rPr>
                <w:rFonts w:hint="eastAsia" w:ascii="仿宋" w:hAnsi="仿宋" w:eastAsia="仿宋" w:cs="仿宋"/>
                <w:color w:val="auto"/>
                <w:kern w:val="0"/>
                <w:sz w:val="24"/>
              </w:rPr>
              <w:t>否</w:t>
            </w:r>
            <w:r>
              <w:rPr>
                <w:rFonts w:hint="eastAsia" w:ascii="仿宋" w:hAnsi="仿宋" w:eastAsia="仿宋" w:cs="仿宋"/>
                <w:color w:val="auto"/>
                <w:sz w:val="24"/>
              </w:rPr>
              <w:t>□</w:t>
            </w:r>
            <w:r>
              <w:rPr>
                <w:rFonts w:hint="eastAsia" w:ascii="仿宋" w:hAnsi="仿宋" w:eastAsia="仿宋" w:cs="仿宋"/>
                <w:color w:val="auto"/>
                <w:kern w:val="0"/>
                <w:sz w:val="24"/>
              </w:rPr>
              <w:t>是</w:t>
            </w:r>
          </w:p>
          <w:p w14:paraId="58DF5B46">
            <w:pPr>
              <w:spacing w:line="360" w:lineRule="auto"/>
              <w:rPr>
                <w:rFonts w:ascii="仿宋" w:hAnsi="仿宋" w:eastAsia="仿宋" w:cs="仿宋"/>
                <w:bCs/>
                <w:color w:val="auto"/>
                <w:kern w:val="0"/>
                <w:sz w:val="24"/>
                <w:u w:val="single"/>
              </w:rPr>
            </w:pPr>
            <w:r>
              <w:rPr>
                <w:rFonts w:hint="eastAsia" w:ascii="仿宋" w:hAnsi="仿宋" w:eastAsia="仿宋" w:cs="仿宋"/>
                <w:bCs/>
                <w:color w:val="auto"/>
                <w:kern w:val="0"/>
                <w:sz w:val="24"/>
              </w:rPr>
              <w:t>允许分包的服务有：/</w:t>
            </w:r>
          </w:p>
        </w:tc>
      </w:tr>
      <w:tr w14:paraId="7E48C967">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16DBAB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2111" w:type="dxa"/>
            <w:tcBorders>
              <w:top w:val="single" w:color="auto" w:sz="4" w:space="0"/>
              <w:left w:val="single" w:color="auto" w:sz="4" w:space="0"/>
              <w:bottom w:val="single" w:color="auto" w:sz="4" w:space="0"/>
              <w:right w:val="single" w:color="auto" w:sz="4" w:space="0"/>
            </w:tcBorders>
            <w:noWrap/>
            <w:vAlign w:val="center"/>
          </w:tcPr>
          <w:p w14:paraId="58E206D7">
            <w:pPr>
              <w:tabs>
                <w:tab w:val="left" w:pos="1425"/>
              </w:tabs>
              <w:spacing w:line="360" w:lineRule="auto"/>
              <w:jc w:val="center"/>
              <w:rPr>
                <w:rFonts w:ascii="仿宋" w:hAnsi="仿宋" w:eastAsia="仿宋" w:cs="仿宋"/>
                <w:bCs/>
                <w:color w:val="auto"/>
                <w:kern w:val="0"/>
                <w:sz w:val="24"/>
              </w:rPr>
            </w:pPr>
            <w:r>
              <w:rPr>
                <w:rFonts w:hint="eastAsia" w:ascii="仿宋" w:hAnsi="仿宋" w:eastAsia="仿宋" w:cs="仿宋"/>
                <w:bCs/>
                <w:color w:val="auto"/>
                <w:kern w:val="0"/>
                <w:sz w:val="24"/>
              </w:rPr>
              <w:t>计量单位</w:t>
            </w:r>
          </w:p>
        </w:tc>
        <w:tc>
          <w:tcPr>
            <w:tcW w:w="5995" w:type="dxa"/>
            <w:tcBorders>
              <w:top w:val="single" w:color="auto" w:sz="4" w:space="0"/>
              <w:left w:val="single" w:color="auto" w:sz="4" w:space="0"/>
              <w:bottom w:val="single" w:color="auto" w:sz="4" w:space="0"/>
              <w:right w:val="single" w:color="auto" w:sz="4" w:space="0"/>
            </w:tcBorders>
            <w:noWrap/>
            <w:vAlign w:val="center"/>
          </w:tcPr>
          <w:p w14:paraId="26B22610">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bCs/>
                <w:color w:val="auto"/>
                <w:kern w:val="0"/>
                <w:sz w:val="24"/>
              </w:rPr>
              <w:t>中华人民共和国法定计量单位</w:t>
            </w:r>
          </w:p>
          <w:p w14:paraId="34BDE167">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bCs/>
                <w:color w:val="auto"/>
                <w:kern w:val="0"/>
                <w:sz w:val="24"/>
              </w:rPr>
              <w:t>其他：</w:t>
            </w:r>
          </w:p>
        </w:tc>
      </w:tr>
      <w:tr w14:paraId="5D15A26B">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4C2841E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6.1</w:t>
            </w:r>
          </w:p>
        </w:tc>
        <w:tc>
          <w:tcPr>
            <w:tcW w:w="2111" w:type="dxa"/>
            <w:tcBorders>
              <w:top w:val="single" w:color="auto" w:sz="4" w:space="0"/>
              <w:left w:val="single" w:color="auto" w:sz="4" w:space="0"/>
              <w:bottom w:val="single" w:color="auto" w:sz="4" w:space="0"/>
              <w:right w:val="single" w:color="auto" w:sz="4" w:space="0"/>
            </w:tcBorders>
            <w:noWrap/>
            <w:vAlign w:val="center"/>
          </w:tcPr>
          <w:p w14:paraId="651F08E3">
            <w:pPr>
              <w:shd w:val="clear" w:color="auto" w:fill="FFFFFF"/>
              <w:spacing w:line="360" w:lineRule="auto"/>
              <w:jc w:val="center"/>
              <w:rPr>
                <w:rFonts w:ascii="仿宋" w:hAnsi="仿宋" w:eastAsia="仿宋" w:cs="仿宋"/>
                <w:color w:val="auto"/>
                <w:sz w:val="24"/>
              </w:rPr>
            </w:pPr>
            <w:r>
              <w:rPr>
                <w:rFonts w:hint="eastAsia" w:ascii="仿宋" w:hAnsi="仿宋" w:eastAsia="仿宋" w:cs="仿宋"/>
                <w:color w:val="auto"/>
                <w:kern w:val="0"/>
                <w:sz w:val="24"/>
              </w:rPr>
              <w:t>现场考察、磋商前答疑会</w:t>
            </w:r>
          </w:p>
        </w:tc>
        <w:tc>
          <w:tcPr>
            <w:tcW w:w="5995" w:type="dxa"/>
            <w:tcBorders>
              <w:top w:val="single" w:color="auto" w:sz="4" w:space="0"/>
              <w:left w:val="single" w:color="auto" w:sz="4" w:space="0"/>
              <w:bottom w:val="single" w:color="auto" w:sz="4" w:space="0"/>
              <w:right w:val="single" w:color="auto" w:sz="4" w:space="0"/>
            </w:tcBorders>
            <w:noWrap/>
            <w:vAlign w:val="center"/>
          </w:tcPr>
          <w:p w14:paraId="6AD0C9F5">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不组织</w:t>
            </w:r>
          </w:p>
          <w:p w14:paraId="23CA7317">
            <w:pPr>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组织，时  间：</w:t>
            </w:r>
          </w:p>
          <w:p w14:paraId="472190EC">
            <w:pPr>
              <w:widowControl/>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地  点：</w:t>
            </w:r>
          </w:p>
          <w:p w14:paraId="0C4E7202">
            <w:pPr>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联系人：</w:t>
            </w:r>
          </w:p>
          <w:p w14:paraId="21D1EDDA">
            <w:pPr>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电  话：</w:t>
            </w:r>
          </w:p>
          <w:p w14:paraId="399D6FBE">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组织，采购文件提供期限截止后以书面形式通知。</w:t>
            </w:r>
          </w:p>
        </w:tc>
      </w:tr>
      <w:tr w14:paraId="37F81504">
        <w:tblPrEx>
          <w:tblCellMar>
            <w:top w:w="0" w:type="dxa"/>
            <w:left w:w="108" w:type="dxa"/>
            <w:bottom w:w="0" w:type="dxa"/>
            <w:right w:w="108" w:type="dxa"/>
          </w:tblCellMar>
        </w:tblPrEx>
        <w:trPr>
          <w:trHeight w:val="57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5939A1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12.1</w:t>
            </w:r>
          </w:p>
        </w:tc>
        <w:tc>
          <w:tcPr>
            <w:tcW w:w="2111" w:type="dxa"/>
            <w:tcBorders>
              <w:top w:val="single" w:color="auto" w:sz="4" w:space="0"/>
              <w:left w:val="single" w:color="auto" w:sz="4" w:space="0"/>
              <w:bottom w:val="single" w:color="auto" w:sz="4" w:space="0"/>
              <w:right w:val="single" w:color="auto" w:sz="4" w:space="0"/>
            </w:tcBorders>
            <w:noWrap/>
            <w:vAlign w:val="center"/>
          </w:tcPr>
          <w:p w14:paraId="357012E8">
            <w:pPr>
              <w:shd w:val="clear" w:color="auto" w:fill="FFFFFF"/>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响应报价货币要求</w:t>
            </w:r>
          </w:p>
        </w:tc>
        <w:tc>
          <w:tcPr>
            <w:tcW w:w="5995" w:type="dxa"/>
            <w:tcBorders>
              <w:top w:val="single" w:color="auto" w:sz="4" w:space="0"/>
              <w:left w:val="single" w:color="auto" w:sz="4" w:space="0"/>
              <w:bottom w:val="single" w:color="auto" w:sz="4" w:space="0"/>
              <w:right w:val="single" w:color="auto" w:sz="4" w:space="0"/>
            </w:tcBorders>
            <w:noWrap/>
            <w:vAlign w:val="center"/>
          </w:tcPr>
          <w:p w14:paraId="6C4515BB">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所有响应文件中均按</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货币进行报价。</w:t>
            </w:r>
          </w:p>
          <w:p w14:paraId="21CEF79F">
            <w:pPr>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其它：</w:t>
            </w:r>
          </w:p>
        </w:tc>
      </w:tr>
      <w:tr w14:paraId="08C68B21">
        <w:tblPrEx>
          <w:tblCellMar>
            <w:top w:w="0" w:type="dxa"/>
            <w:left w:w="108" w:type="dxa"/>
            <w:bottom w:w="0" w:type="dxa"/>
            <w:right w:w="108" w:type="dxa"/>
          </w:tblCellMar>
        </w:tblPrEx>
        <w:trPr>
          <w:trHeight w:val="61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A0F307D">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13.1</w:t>
            </w:r>
          </w:p>
        </w:tc>
        <w:tc>
          <w:tcPr>
            <w:tcW w:w="2111" w:type="dxa"/>
            <w:tcBorders>
              <w:top w:val="single" w:color="auto" w:sz="4" w:space="0"/>
              <w:left w:val="single" w:color="auto" w:sz="4" w:space="0"/>
              <w:bottom w:val="single" w:color="auto" w:sz="4" w:space="0"/>
              <w:right w:val="single" w:color="auto" w:sz="4" w:space="0"/>
            </w:tcBorders>
            <w:noWrap/>
            <w:vAlign w:val="center"/>
          </w:tcPr>
          <w:p w14:paraId="0E0B679C">
            <w:pPr>
              <w:spacing w:line="360" w:lineRule="auto"/>
              <w:jc w:val="center"/>
              <w:rPr>
                <w:rFonts w:ascii="仿宋" w:hAnsi="仿宋" w:eastAsia="仿宋" w:cs="仿宋"/>
                <w:color w:val="auto"/>
                <w:sz w:val="24"/>
              </w:rPr>
            </w:pPr>
            <w:r>
              <w:rPr>
                <w:rFonts w:hint="eastAsia" w:ascii="仿宋" w:hAnsi="仿宋" w:eastAsia="仿宋" w:cs="仿宋"/>
                <w:color w:val="auto"/>
                <w:sz w:val="24"/>
              </w:rPr>
              <w:t>磋商保证金</w:t>
            </w:r>
          </w:p>
        </w:tc>
        <w:tc>
          <w:tcPr>
            <w:tcW w:w="5995" w:type="dxa"/>
            <w:tcBorders>
              <w:top w:val="single" w:color="auto" w:sz="4" w:space="0"/>
              <w:left w:val="single" w:color="auto" w:sz="4" w:space="0"/>
              <w:bottom w:val="single" w:color="auto" w:sz="4" w:space="0"/>
              <w:right w:val="single" w:color="auto" w:sz="4" w:space="0"/>
            </w:tcBorders>
            <w:noWrap/>
            <w:vAlign w:val="center"/>
          </w:tcPr>
          <w:p w14:paraId="2708CE4F">
            <w:pPr>
              <w:spacing w:line="360" w:lineRule="auto"/>
              <w:rPr>
                <w:rFonts w:ascii="仿宋" w:hAnsi="仿宋" w:eastAsia="仿宋" w:cs="仿宋"/>
                <w:color w:val="auto"/>
                <w:sz w:val="24"/>
              </w:rPr>
            </w:pPr>
            <w:r>
              <w:rPr>
                <w:rFonts w:hint="eastAsia" w:ascii="仿宋" w:hAnsi="仿宋" w:eastAsia="仿宋" w:cs="仿宋"/>
                <w:color w:val="auto"/>
                <w:sz w:val="24"/>
              </w:rPr>
              <w:t>本项目不收取磋商保证金。</w:t>
            </w:r>
          </w:p>
        </w:tc>
      </w:tr>
      <w:tr w14:paraId="456CF51E">
        <w:tblPrEx>
          <w:tblCellMar>
            <w:top w:w="0" w:type="dxa"/>
            <w:left w:w="108" w:type="dxa"/>
            <w:bottom w:w="0" w:type="dxa"/>
            <w:right w:w="108" w:type="dxa"/>
          </w:tblCellMar>
        </w:tblPrEx>
        <w:trPr>
          <w:trHeight w:val="50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1DA0BF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15.1</w:t>
            </w:r>
          </w:p>
        </w:tc>
        <w:tc>
          <w:tcPr>
            <w:tcW w:w="2111" w:type="dxa"/>
            <w:tcBorders>
              <w:top w:val="single" w:color="auto" w:sz="4" w:space="0"/>
              <w:left w:val="single" w:color="auto" w:sz="4" w:space="0"/>
              <w:bottom w:val="single" w:color="auto" w:sz="4" w:space="0"/>
              <w:right w:val="single" w:color="auto" w:sz="4" w:space="0"/>
            </w:tcBorders>
            <w:noWrap/>
            <w:vAlign w:val="center"/>
          </w:tcPr>
          <w:p w14:paraId="342C04A2">
            <w:pPr>
              <w:spacing w:line="360" w:lineRule="auto"/>
              <w:jc w:val="center"/>
              <w:rPr>
                <w:rFonts w:ascii="仿宋" w:hAnsi="仿宋" w:eastAsia="仿宋" w:cs="仿宋"/>
                <w:color w:val="auto"/>
                <w:sz w:val="24"/>
              </w:rPr>
            </w:pPr>
            <w:r>
              <w:rPr>
                <w:rFonts w:hint="eastAsia" w:ascii="仿宋" w:hAnsi="仿宋" w:eastAsia="仿宋" w:cs="仿宋"/>
                <w:color w:val="auto"/>
                <w:sz w:val="24"/>
              </w:rPr>
              <w:t>响应有效期</w:t>
            </w:r>
          </w:p>
        </w:tc>
        <w:tc>
          <w:tcPr>
            <w:tcW w:w="5995" w:type="dxa"/>
            <w:tcBorders>
              <w:top w:val="single" w:color="auto" w:sz="4" w:space="0"/>
              <w:left w:val="single" w:color="auto" w:sz="4" w:space="0"/>
              <w:bottom w:val="single" w:color="auto" w:sz="4" w:space="0"/>
              <w:right w:val="single" w:color="auto" w:sz="4" w:space="0"/>
            </w:tcBorders>
            <w:noWrap/>
            <w:vAlign w:val="center"/>
          </w:tcPr>
          <w:p w14:paraId="728A7BAA">
            <w:pPr>
              <w:pStyle w:val="9"/>
              <w:spacing w:line="360" w:lineRule="auto"/>
              <w:rPr>
                <w:rFonts w:ascii="仿宋" w:hAnsi="仿宋" w:eastAsia="仿宋" w:cs="仿宋"/>
                <w:color w:val="auto"/>
                <w:kern w:val="0"/>
                <w:sz w:val="24"/>
              </w:rPr>
            </w:pPr>
            <w:r>
              <w:rPr>
                <w:rFonts w:hint="eastAsia" w:ascii="仿宋" w:hAnsi="仿宋" w:eastAsia="仿宋" w:cs="仿宋"/>
                <w:color w:val="auto"/>
                <w:kern w:val="0"/>
                <w:sz w:val="24"/>
                <w:u w:val="single"/>
              </w:rPr>
              <w:t xml:space="preserve">  90  </w:t>
            </w:r>
            <w:r>
              <w:rPr>
                <w:rFonts w:hint="eastAsia" w:ascii="仿宋" w:hAnsi="仿宋" w:eastAsia="仿宋" w:cs="仿宋"/>
                <w:color w:val="auto"/>
                <w:kern w:val="0"/>
                <w:sz w:val="24"/>
              </w:rPr>
              <w:t>日历天</w:t>
            </w:r>
          </w:p>
        </w:tc>
      </w:tr>
      <w:tr w14:paraId="15F42083">
        <w:tblPrEx>
          <w:tblCellMar>
            <w:top w:w="0" w:type="dxa"/>
            <w:left w:w="108" w:type="dxa"/>
            <w:bottom w:w="0" w:type="dxa"/>
            <w:right w:w="108" w:type="dxa"/>
          </w:tblCellMar>
        </w:tblPrEx>
        <w:trPr>
          <w:trHeight w:val="54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6C2D88D">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16.1</w:t>
            </w:r>
          </w:p>
        </w:tc>
        <w:tc>
          <w:tcPr>
            <w:tcW w:w="2111" w:type="dxa"/>
            <w:tcBorders>
              <w:top w:val="single" w:color="auto" w:sz="4" w:space="0"/>
              <w:left w:val="single" w:color="auto" w:sz="4" w:space="0"/>
              <w:bottom w:val="single" w:color="auto" w:sz="4" w:space="0"/>
              <w:right w:val="single" w:color="auto" w:sz="4" w:space="0"/>
            </w:tcBorders>
            <w:noWrap/>
            <w:vAlign w:val="center"/>
          </w:tcPr>
          <w:p w14:paraId="4E577F17">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响应文件份数</w:t>
            </w:r>
          </w:p>
        </w:tc>
        <w:tc>
          <w:tcPr>
            <w:tcW w:w="5995" w:type="dxa"/>
            <w:tcBorders>
              <w:top w:val="single" w:color="auto" w:sz="4" w:space="0"/>
              <w:left w:val="single" w:color="auto" w:sz="4" w:space="0"/>
              <w:bottom w:val="single" w:color="auto" w:sz="4" w:space="0"/>
              <w:right w:val="single" w:color="auto" w:sz="4" w:space="0"/>
            </w:tcBorders>
            <w:noWrap/>
            <w:vAlign w:val="center"/>
          </w:tcPr>
          <w:p w14:paraId="1B81E8D7">
            <w:pPr>
              <w:widowControl/>
              <w:numPr>
                <w:ilvl w:val="0"/>
                <w:numId w:val="2"/>
              </w:numPr>
              <w:wordWrap w:val="0"/>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响应文件编制要求：电子响应文件全部采用电子文档，格式为*.jmbs。电子响应文件必须使用《政采云电子投标客户端》制作，供应商可登陆https://customer.zcygov.cn/CA-driver-download?utm=web-cafront.3ddc8fbb.0.0.87133ef03d5611eca03abdd942cbc4e6，下载“政采云电子投标客户端”。</w:t>
            </w:r>
          </w:p>
          <w:p w14:paraId="20398935">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2、响应文件递交方式：网上密封递交（按政采云电子投标客户端生成电子加密标书在开标时间前上传）。</w:t>
            </w:r>
          </w:p>
          <w:p w14:paraId="2E048138">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响应文件递交时间：投标截止时间以前，投标截止时间详见磋商公告。</w:t>
            </w:r>
          </w:p>
          <w:p w14:paraId="7703C5AF">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供应商成交后须提供纸质响应文件份数根据采购人要求提供，但必须保证提供的纸质文件与网上递交的电子文件内容一致。</w:t>
            </w:r>
          </w:p>
        </w:tc>
      </w:tr>
      <w:tr w14:paraId="008C3092">
        <w:tblPrEx>
          <w:tblCellMar>
            <w:top w:w="0" w:type="dxa"/>
            <w:left w:w="108" w:type="dxa"/>
            <w:bottom w:w="0" w:type="dxa"/>
            <w:right w:w="108" w:type="dxa"/>
          </w:tblCellMar>
        </w:tblPrEx>
        <w:trPr>
          <w:trHeight w:val="57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477808C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18.1</w:t>
            </w:r>
          </w:p>
        </w:tc>
        <w:tc>
          <w:tcPr>
            <w:tcW w:w="2111" w:type="dxa"/>
            <w:tcBorders>
              <w:top w:val="single" w:color="auto" w:sz="4" w:space="0"/>
              <w:left w:val="single" w:color="auto" w:sz="4" w:space="0"/>
              <w:bottom w:val="single" w:color="auto" w:sz="4" w:space="0"/>
              <w:right w:val="single" w:color="auto" w:sz="4" w:space="0"/>
            </w:tcBorders>
            <w:noWrap/>
            <w:vAlign w:val="center"/>
          </w:tcPr>
          <w:p w14:paraId="7B83E728">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递交响应文件截止时间、地点：</w:t>
            </w:r>
          </w:p>
        </w:tc>
        <w:tc>
          <w:tcPr>
            <w:tcW w:w="5995" w:type="dxa"/>
            <w:tcBorders>
              <w:top w:val="single" w:color="auto" w:sz="4" w:space="0"/>
              <w:left w:val="single" w:color="auto" w:sz="4" w:space="0"/>
              <w:bottom w:val="single" w:color="auto" w:sz="4" w:space="0"/>
              <w:right w:val="single" w:color="auto" w:sz="4" w:space="0"/>
            </w:tcBorders>
            <w:noWrap/>
            <w:vAlign w:val="center"/>
          </w:tcPr>
          <w:p w14:paraId="5CF2E7BD">
            <w:pPr>
              <w:widowControl/>
              <w:spacing w:line="360" w:lineRule="auto"/>
              <w:rPr>
                <w:rFonts w:ascii="仿宋" w:hAnsi="仿宋" w:eastAsia="仿宋" w:cs="仿宋"/>
                <w:color w:val="auto"/>
                <w:kern w:val="0"/>
                <w:sz w:val="24"/>
                <w:u w:val="single"/>
              </w:rPr>
            </w:pPr>
            <w:r>
              <w:rPr>
                <w:rFonts w:hint="eastAsia" w:ascii="仿宋" w:hAnsi="仿宋" w:eastAsia="仿宋" w:cs="仿宋"/>
                <w:color w:val="auto"/>
                <w:kern w:val="0"/>
                <w:sz w:val="24"/>
              </w:rPr>
              <w:t>详见采购公告，以采购公告规定时间、地点为准。</w:t>
            </w:r>
          </w:p>
        </w:tc>
      </w:tr>
      <w:tr w14:paraId="70F8CC10">
        <w:tblPrEx>
          <w:tblCellMar>
            <w:top w:w="0" w:type="dxa"/>
            <w:left w:w="108" w:type="dxa"/>
            <w:bottom w:w="0" w:type="dxa"/>
            <w:right w:w="108" w:type="dxa"/>
          </w:tblCellMar>
        </w:tblPrEx>
        <w:trPr>
          <w:trHeight w:val="49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896C807">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20.1</w:t>
            </w:r>
          </w:p>
        </w:tc>
        <w:tc>
          <w:tcPr>
            <w:tcW w:w="2111" w:type="dxa"/>
            <w:tcBorders>
              <w:top w:val="single" w:color="auto" w:sz="4" w:space="0"/>
              <w:left w:val="single" w:color="auto" w:sz="4" w:space="0"/>
              <w:bottom w:val="single" w:color="auto" w:sz="4" w:space="0"/>
              <w:right w:val="single" w:color="auto" w:sz="4" w:space="0"/>
            </w:tcBorders>
            <w:noWrap/>
            <w:vAlign w:val="center"/>
          </w:tcPr>
          <w:p w14:paraId="34B0B8AD">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磋商会议时间、地点：</w:t>
            </w:r>
          </w:p>
        </w:tc>
        <w:tc>
          <w:tcPr>
            <w:tcW w:w="5995" w:type="dxa"/>
            <w:tcBorders>
              <w:top w:val="single" w:color="auto" w:sz="4" w:space="0"/>
              <w:left w:val="single" w:color="auto" w:sz="4" w:space="0"/>
              <w:bottom w:val="single" w:color="auto" w:sz="4" w:space="0"/>
              <w:right w:val="single" w:color="auto" w:sz="4" w:space="0"/>
            </w:tcBorders>
            <w:noWrap/>
            <w:vAlign w:val="center"/>
          </w:tcPr>
          <w:p w14:paraId="64929DE9">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详见采购公告，以采购公告规定时间、地点为准。</w:t>
            </w:r>
          </w:p>
        </w:tc>
      </w:tr>
      <w:tr w14:paraId="57C6541E">
        <w:tblPrEx>
          <w:tblCellMar>
            <w:top w:w="0" w:type="dxa"/>
            <w:left w:w="108" w:type="dxa"/>
            <w:bottom w:w="0" w:type="dxa"/>
            <w:right w:w="108" w:type="dxa"/>
          </w:tblCellMar>
        </w:tblPrEx>
        <w:trPr>
          <w:trHeight w:val="53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45BB1AC">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21.2</w:t>
            </w:r>
          </w:p>
        </w:tc>
        <w:tc>
          <w:tcPr>
            <w:tcW w:w="2111" w:type="dxa"/>
            <w:tcBorders>
              <w:top w:val="single" w:color="auto" w:sz="4" w:space="0"/>
              <w:left w:val="single" w:color="auto" w:sz="4" w:space="0"/>
              <w:bottom w:val="single" w:color="auto" w:sz="4" w:space="0"/>
              <w:right w:val="single" w:color="auto" w:sz="4" w:space="0"/>
            </w:tcBorders>
            <w:noWrap/>
            <w:vAlign w:val="center"/>
          </w:tcPr>
          <w:p w14:paraId="3BC4D045">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磋商小组组成</w:t>
            </w:r>
          </w:p>
        </w:tc>
        <w:tc>
          <w:tcPr>
            <w:tcW w:w="5995" w:type="dxa"/>
            <w:tcBorders>
              <w:top w:val="single" w:color="auto" w:sz="4" w:space="0"/>
              <w:left w:val="single" w:color="auto" w:sz="4" w:space="0"/>
              <w:bottom w:val="single" w:color="auto" w:sz="4" w:space="0"/>
              <w:right w:val="single" w:color="auto" w:sz="4" w:space="0"/>
            </w:tcBorders>
            <w:noWrap/>
            <w:vAlign w:val="center"/>
          </w:tcPr>
          <w:p w14:paraId="6D78C34C">
            <w:pPr>
              <w:widowControl/>
              <w:spacing w:line="360" w:lineRule="auto"/>
              <w:rPr>
                <w:rFonts w:ascii="仿宋" w:hAnsi="仿宋" w:eastAsia="仿宋" w:cs="仿宋"/>
                <w:color w:val="auto"/>
                <w:kern w:val="0"/>
                <w:sz w:val="24"/>
              </w:rPr>
            </w:pPr>
            <w:r>
              <w:rPr>
                <w:rFonts w:hint="eastAsia" w:ascii="仿宋" w:hAnsi="仿宋" w:eastAsia="仿宋" w:cs="仿宋"/>
                <w:color w:val="auto"/>
                <w:sz w:val="24"/>
              </w:rPr>
              <w:t>磋商小组由采购人代表</w:t>
            </w:r>
            <w:r>
              <w:rPr>
                <w:rFonts w:hint="eastAsia" w:ascii="仿宋" w:hAnsi="仿宋" w:eastAsia="仿宋" w:cs="仿宋"/>
                <w:color w:val="auto"/>
                <w:sz w:val="24"/>
                <w:u w:val="single"/>
              </w:rPr>
              <w:t>1</w:t>
            </w:r>
            <w:r>
              <w:rPr>
                <w:rFonts w:hint="eastAsia" w:ascii="仿宋" w:hAnsi="仿宋" w:eastAsia="仿宋" w:cs="仿宋"/>
                <w:color w:val="auto"/>
                <w:sz w:val="24"/>
              </w:rPr>
              <w:t>人，评审专家</w:t>
            </w:r>
            <w:r>
              <w:rPr>
                <w:rFonts w:hint="eastAsia" w:ascii="仿宋" w:hAnsi="仿宋" w:eastAsia="仿宋" w:cs="仿宋"/>
                <w:color w:val="auto"/>
                <w:sz w:val="24"/>
                <w:u w:val="single"/>
              </w:rPr>
              <w:t>2</w:t>
            </w:r>
            <w:r>
              <w:rPr>
                <w:rFonts w:hint="eastAsia" w:ascii="仿宋" w:hAnsi="仿宋" w:eastAsia="仿宋" w:cs="仿宋"/>
                <w:color w:val="auto"/>
                <w:sz w:val="24"/>
              </w:rPr>
              <w:t>人组成，共</w:t>
            </w:r>
            <w:r>
              <w:rPr>
                <w:rFonts w:hint="eastAsia" w:ascii="仿宋" w:hAnsi="仿宋" w:eastAsia="仿宋" w:cs="仿宋"/>
                <w:color w:val="auto"/>
                <w:sz w:val="24"/>
                <w:u w:val="single"/>
              </w:rPr>
              <w:t>3</w:t>
            </w:r>
            <w:r>
              <w:rPr>
                <w:rFonts w:hint="eastAsia" w:ascii="仿宋" w:hAnsi="仿宋" w:eastAsia="仿宋" w:cs="仿宋"/>
                <w:color w:val="auto"/>
                <w:sz w:val="24"/>
              </w:rPr>
              <w:t>人。</w:t>
            </w:r>
          </w:p>
        </w:tc>
      </w:tr>
      <w:tr w14:paraId="563D3891">
        <w:tblPrEx>
          <w:tblCellMar>
            <w:top w:w="0" w:type="dxa"/>
            <w:left w:w="108" w:type="dxa"/>
            <w:bottom w:w="0" w:type="dxa"/>
            <w:right w:w="108" w:type="dxa"/>
          </w:tblCellMar>
        </w:tblPrEx>
        <w:trPr>
          <w:trHeight w:val="54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E08115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28.2</w:t>
            </w:r>
          </w:p>
        </w:tc>
        <w:tc>
          <w:tcPr>
            <w:tcW w:w="2111" w:type="dxa"/>
            <w:tcBorders>
              <w:top w:val="single" w:color="auto" w:sz="4" w:space="0"/>
              <w:left w:val="single" w:color="auto" w:sz="4" w:space="0"/>
              <w:bottom w:val="single" w:color="auto" w:sz="4" w:space="0"/>
              <w:right w:val="single" w:color="auto" w:sz="4" w:space="0"/>
            </w:tcBorders>
            <w:noWrap/>
            <w:vAlign w:val="center"/>
          </w:tcPr>
          <w:p w14:paraId="6B5A005B">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评审办法</w:t>
            </w:r>
          </w:p>
        </w:tc>
        <w:tc>
          <w:tcPr>
            <w:tcW w:w="5995" w:type="dxa"/>
            <w:tcBorders>
              <w:top w:val="single" w:color="auto" w:sz="4" w:space="0"/>
              <w:left w:val="single" w:color="auto" w:sz="4" w:space="0"/>
              <w:bottom w:val="single" w:color="auto" w:sz="4" w:space="0"/>
              <w:right w:val="single" w:color="auto" w:sz="4" w:space="0"/>
            </w:tcBorders>
            <w:noWrap/>
            <w:vAlign w:val="center"/>
          </w:tcPr>
          <w:p w14:paraId="203D6E9D">
            <w:pPr>
              <w:widowControl/>
              <w:spacing w:line="360" w:lineRule="auto"/>
              <w:rPr>
                <w:rFonts w:ascii="仿宋" w:hAnsi="仿宋" w:eastAsia="仿宋" w:cs="仿宋"/>
                <w:color w:val="auto"/>
                <w:sz w:val="24"/>
              </w:rPr>
            </w:pPr>
            <w:r>
              <w:rPr>
                <w:rFonts w:hint="eastAsia" w:ascii="仿宋" w:hAnsi="仿宋" w:eastAsia="仿宋" w:cs="仿宋"/>
                <w:color w:val="auto"/>
                <w:sz w:val="24"/>
              </w:rPr>
              <w:t>综合评分法</w:t>
            </w:r>
          </w:p>
        </w:tc>
      </w:tr>
      <w:tr w14:paraId="05AEB533">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5761EE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30.2</w:t>
            </w:r>
          </w:p>
        </w:tc>
        <w:tc>
          <w:tcPr>
            <w:tcW w:w="2111" w:type="dxa"/>
            <w:tcBorders>
              <w:top w:val="single" w:color="auto" w:sz="4" w:space="0"/>
              <w:left w:val="single" w:color="auto" w:sz="4" w:space="0"/>
              <w:bottom w:val="single" w:color="auto" w:sz="4" w:space="0"/>
              <w:right w:val="single" w:color="auto" w:sz="4" w:space="0"/>
            </w:tcBorders>
            <w:noWrap/>
            <w:vAlign w:val="center"/>
          </w:tcPr>
          <w:p w14:paraId="0B272262">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推荐成交候选供应商的数量</w:t>
            </w:r>
          </w:p>
        </w:tc>
        <w:tc>
          <w:tcPr>
            <w:tcW w:w="5995" w:type="dxa"/>
            <w:tcBorders>
              <w:top w:val="single" w:color="auto" w:sz="4" w:space="0"/>
              <w:left w:val="single" w:color="auto" w:sz="4" w:space="0"/>
              <w:bottom w:val="single" w:color="auto" w:sz="4" w:space="0"/>
              <w:right w:val="single" w:color="auto" w:sz="4" w:space="0"/>
            </w:tcBorders>
            <w:noWrap/>
            <w:vAlign w:val="center"/>
          </w:tcPr>
          <w:p w14:paraId="0A3C0C10">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u w:val="single"/>
              </w:rPr>
              <w:t>3家</w:t>
            </w:r>
          </w:p>
        </w:tc>
      </w:tr>
      <w:tr w14:paraId="48BA489E">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BDAB17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32</w:t>
            </w:r>
          </w:p>
        </w:tc>
        <w:tc>
          <w:tcPr>
            <w:tcW w:w="2111" w:type="dxa"/>
            <w:tcBorders>
              <w:top w:val="single" w:color="auto" w:sz="4" w:space="0"/>
              <w:left w:val="single" w:color="auto" w:sz="4" w:space="0"/>
              <w:bottom w:val="single" w:color="auto" w:sz="4" w:space="0"/>
              <w:right w:val="single" w:color="auto" w:sz="4" w:space="0"/>
            </w:tcBorders>
            <w:noWrap/>
            <w:vAlign w:val="center"/>
          </w:tcPr>
          <w:p w14:paraId="52544A4E">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确定成交供应商的方式</w:t>
            </w:r>
          </w:p>
        </w:tc>
        <w:tc>
          <w:tcPr>
            <w:tcW w:w="5995" w:type="dxa"/>
            <w:tcBorders>
              <w:top w:val="single" w:color="auto" w:sz="4" w:space="0"/>
              <w:left w:val="single" w:color="auto" w:sz="4" w:space="0"/>
              <w:bottom w:val="single" w:color="auto" w:sz="4" w:space="0"/>
              <w:right w:val="single" w:color="auto" w:sz="4" w:space="0"/>
            </w:tcBorders>
            <w:noWrap/>
            <w:vAlign w:val="center"/>
          </w:tcPr>
          <w:p w14:paraId="146E1F0E">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成交供应商数量：</w:t>
            </w:r>
          </w:p>
          <w:p w14:paraId="0E4EE021">
            <w:pPr>
              <w:widowControl/>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采购人委托磋商小组直接确定成交供应商</w:t>
            </w:r>
          </w:p>
          <w:p w14:paraId="57D457E8">
            <w:pPr>
              <w:widowControl/>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采购人确定成交供应商</w:t>
            </w:r>
          </w:p>
        </w:tc>
      </w:tr>
      <w:tr w14:paraId="4250FC32">
        <w:tblPrEx>
          <w:tblCellMar>
            <w:top w:w="0" w:type="dxa"/>
            <w:left w:w="108" w:type="dxa"/>
            <w:bottom w:w="0" w:type="dxa"/>
            <w:right w:w="108" w:type="dxa"/>
          </w:tblCellMar>
        </w:tblPrEx>
        <w:trPr>
          <w:trHeight w:val="50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5801CC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36.1</w:t>
            </w:r>
          </w:p>
        </w:tc>
        <w:tc>
          <w:tcPr>
            <w:tcW w:w="2111" w:type="dxa"/>
            <w:tcBorders>
              <w:top w:val="single" w:color="auto" w:sz="4" w:space="0"/>
              <w:left w:val="single" w:color="auto" w:sz="4" w:space="0"/>
              <w:bottom w:val="single" w:color="auto" w:sz="4" w:space="0"/>
              <w:right w:val="single" w:color="auto" w:sz="4" w:space="0"/>
            </w:tcBorders>
            <w:noWrap/>
            <w:vAlign w:val="center"/>
          </w:tcPr>
          <w:p w14:paraId="2C865F4F">
            <w:pPr>
              <w:shd w:val="clear" w:color="auto" w:fill="FFFFFF"/>
              <w:spacing w:line="360" w:lineRule="auto"/>
              <w:jc w:val="center"/>
              <w:rPr>
                <w:rFonts w:ascii="仿宋" w:hAnsi="仿宋" w:eastAsia="仿宋" w:cs="仿宋"/>
                <w:color w:val="auto"/>
                <w:kern w:val="0"/>
                <w:sz w:val="24"/>
              </w:rPr>
            </w:pPr>
            <w:r>
              <w:rPr>
                <w:rFonts w:hint="eastAsia" w:ascii="仿宋" w:hAnsi="仿宋" w:eastAsia="仿宋" w:cs="仿宋"/>
                <w:color w:val="auto"/>
                <w:sz w:val="24"/>
              </w:rPr>
              <w:t>履约保证金</w:t>
            </w:r>
          </w:p>
        </w:tc>
        <w:tc>
          <w:tcPr>
            <w:tcW w:w="5995" w:type="dxa"/>
            <w:tcBorders>
              <w:top w:val="single" w:color="auto" w:sz="4" w:space="0"/>
              <w:left w:val="single" w:color="auto" w:sz="4" w:space="0"/>
              <w:bottom w:val="single" w:color="auto" w:sz="4" w:space="0"/>
              <w:right w:val="single" w:color="auto" w:sz="4" w:space="0"/>
            </w:tcBorders>
            <w:noWrap/>
            <w:vAlign w:val="center"/>
          </w:tcPr>
          <w:p w14:paraId="01577367">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☑本项目不收取履约保证金</w:t>
            </w:r>
          </w:p>
          <w:p w14:paraId="032570B6">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□本项目收取履约保证金</w:t>
            </w:r>
          </w:p>
          <w:p w14:paraId="03490CBF">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履约保证金金额：</w:t>
            </w:r>
            <w:r>
              <w:rPr>
                <w:rFonts w:hint="eastAsia" w:ascii="仿宋" w:hAnsi="仿宋" w:eastAsia="仿宋" w:cs="仿宋"/>
                <w:color w:val="auto"/>
                <w:kern w:val="0"/>
                <w:sz w:val="24"/>
                <w:u w:val="single"/>
              </w:rPr>
              <w:t xml:space="preserve">                 </w:t>
            </w:r>
          </w:p>
          <w:p w14:paraId="68313CAC">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履约保证金递交时：</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w:t>
            </w:r>
          </w:p>
          <w:p w14:paraId="0084F9B6">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履约保证金递交方式：电汇、网银、支票或者金融机构、担保机构出具的保函均可。</w:t>
            </w:r>
          </w:p>
          <w:p w14:paraId="21661B35">
            <w:pPr>
              <w:shd w:val="clear" w:color="auto" w:fill="FFFFFF"/>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账户信息：</w:t>
            </w:r>
          </w:p>
          <w:p w14:paraId="501A00B4">
            <w:pPr>
              <w:shd w:val="clear" w:color="auto" w:fill="FFFFFF"/>
              <w:spacing w:line="360" w:lineRule="auto"/>
              <w:ind w:firstLine="480" w:firstLineChars="200"/>
              <w:jc w:val="left"/>
              <w:rPr>
                <w:rFonts w:ascii="仿宋" w:hAnsi="仿宋" w:eastAsia="仿宋" w:cs="仿宋"/>
                <w:color w:val="auto"/>
                <w:kern w:val="0"/>
                <w:sz w:val="24"/>
                <w:u w:val="single"/>
              </w:rPr>
            </w:pPr>
            <w:r>
              <w:rPr>
                <w:rFonts w:hint="eastAsia" w:ascii="仿宋" w:hAnsi="仿宋" w:eastAsia="仿宋" w:cs="仿宋"/>
                <w:color w:val="auto"/>
                <w:sz w:val="24"/>
              </w:rPr>
              <w:t>开 户 名：</w:t>
            </w:r>
            <w:r>
              <w:rPr>
                <w:rFonts w:hint="eastAsia" w:ascii="仿宋" w:hAnsi="仿宋" w:eastAsia="仿宋" w:cs="仿宋"/>
                <w:color w:val="auto"/>
                <w:kern w:val="0"/>
                <w:sz w:val="24"/>
                <w:u w:val="single"/>
              </w:rPr>
              <w:t xml:space="preserve"> </w:t>
            </w:r>
          </w:p>
          <w:p w14:paraId="05C2F3F8">
            <w:pPr>
              <w:shd w:val="clear" w:color="auto" w:fill="FFFFFF"/>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开 户 行：</w:t>
            </w:r>
            <w:r>
              <w:rPr>
                <w:rFonts w:hint="eastAsia" w:ascii="仿宋" w:hAnsi="仿宋" w:eastAsia="仿宋" w:cs="仿宋"/>
                <w:color w:val="auto"/>
                <w:sz w:val="24"/>
                <w:u w:val="single"/>
              </w:rPr>
              <w:t xml:space="preserve"> </w:t>
            </w:r>
          </w:p>
          <w:p w14:paraId="71AE37D4">
            <w:pPr>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账    号：</w:t>
            </w:r>
            <w:r>
              <w:rPr>
                <w:rFonts w:hint="eastAsia" w:ascii="仿宋" w:hAnsi="仿宋" w:eastAsia="仿宋" w:cs="仿宋"/>
                <w:color w:val="auto"/>
                <w:sz w:val="24"/>
                <w:u w:val="single"/>
              </w:rPr>
              <w:t xml:space="preserve"> </w:t>
            </w:r>
          </w:p>
          <w:p w14:paraId="0BECA198">
            <w:pPr>
              <w:shd w:val="clear" w:color="auto" w:fill="FFFFFF"/>
              <w:spacing w:line="360" w:lineRule="auto"/>
              <w:ind w:firstLine="240" w:firstLineChars="100"/>
              <w:jc w:val="left"/>
              <w:rPr>
                <w:rFonts w:ascii="仿宋" w:hAnsi="仿宋" w:eastAsia="仿宋" w:cs="仿宋"/>
                <w:color w:val="auto"/>
                <w:kern w:val="0"/>
                <w:sz w:val="24"/>
              </w:rPr>
            </w:pPr>
            <w:r>
              <w:rPr>
                <w:rFonts w:hint="eastAsia" w:ascii="仿宋" w:hAnsi="仿宋" w:eastAsia="仿宋" w:cs="仿宋"/>
                <w:color w:val="auto"/>
                <w:sz w:val="24"/>
              </w:rPr>
              <w:t>履约保证金退还时间及规定：</w:t>
            </w:r>
            <w:r>
              <w:rPr>
                <w:rFonts w:hint="eastAsia" w:ascii="仿宋" w:hAnsi="仿宋" w:eastAsia="仿宋" w:cs="仿宋"/>
                <w:color w:val="auto"/>
                <w:kern w:val="0"/>
                <w:sz w:val="24"/>
                <w:u w:val="single"/>
              </w:rPr>
              <w:t>采用保函方式提交的履约保证金将在项目履约完毕（含保修期）后保函自动失效；采用电汇、网银、支票形式提交履约保证金的，在项目履约完毕（含保修期）后采用原路返还的方式退还</w:t>
            </w:r>
            <w:r>
              <w:rPr>
                <w:rFonts w:hint="eastAsia" w:ascii="仿宋" w:hAnsi="仿宋" w:eastAsia="仿宋" w:cs="仿宋"/>
                <w:color w:val="auto"/>
                <w:kern w:val="0"/>
                <w:sz w:val="24"/>
              </w:rPr>
              <w:t>。</w:t>
            </w:r>
          </w:p>
        </w:tc>
      </w:tr>
      <w:tr w14:paraId="47D2204B">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7A2A06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37</w:t>
            </w:r>
          </w:p>
        </w:tc>
        <w:tc>
          <w:tcPr>
            <w:tcW w:w="2111" w:type="dxa"/>
            <w:tcBorders>
              <w:top w:val="single" w:color="auto" w:sz="4" w:space="0"/>
              <w:left w:val="single" w:color="auto" w:sz="4" w:space="0"/>
              <w:bottom w:val="single" w:color="auto" w:sz="4" w:space="0"/>
              <w:right w:val="single" w:color="auto" w:sz="4" w:space="0"/>
            </w:tcBorders>
            <w:noWrap/>
            <w:vAlign w:val="center"/>
          </w:tcPr>
          <w:p w14:paraId="1CC191C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采购代理服务费</w:t>
            </w:r>
          </w:p>
        </w:tc>
        <w:tc>
          <w:tcPr>
            <w:tcW w:w="5995" w:type="dxa"/>
            <w:tcBorders>
              <w:top w:val="single" w:color="auto" w:sz="4" w:space="0"/>
              <w:left w:val="single" w:color="auto" w:sz="4" w:space="0"/>
              <w:bottom w:val="single" w:color="auto" w:sz="4" w:space="0"/>
              <w:right w:val="single" w:color="auto" w:sz="4" w:space="0"/>
            </w:tcBorders>
            <w:noWrap/>
            <w:vAlign w:val="center"/>
          </w:tcPr>
          <w:p w14:paraId="2F17A28D">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□本项目不收取</w:t>
            </w:r>
            <w:r>
              <w:rPr>
                <w:rFonts w:hint="eastAsia" w:ascii="仿宋" w:hAnsi="仿宋" w:eastAsia="仿宋" w:cs="仿宋"/>
                <w:color w:val="auto"/>
                <w:kern w:val="0"/>
                <w:sz w:val="24"/>
              </w:rPr>
              <w:t>采购代理服务费</w:t>
            </w:r>
          </w:p>
          <w:p w14:paraId="1388F7DF">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☑本项目收取</w:t>
            </w:r>
            <w:r>
              <w:rPr>
                <w:rFonts w:hint="eastAsia" w:ascii="仿宋" w:hAnsi="仿宋" w:eastAsia="仿宋" w:cs="仿宋"/>
                <w:color w:val="auto"/>
                <w:kern w:val="0"/>
                <w:sz w:val="24"/>
              </w:rPr>
              <w:t>采购代理服务费</w:t>
            </w:r>
          </w:p>
          <w:p w14:paraId="2A5B7CB1">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代理费收费标准：</w:t>
            </w:r>
            <w:r>
              <w:rPr>
                <w:rFonts w:hint="eastAsia" w:ascii="仿宋" w:hAnsi="仿宋" w:eastAsia="仿宋" w:cs="仿宋"/>
                <w:color w:val="auto"/>
                <w:kern w:val="0"/>
                <w:sz w:val="24"/>
                <w:u w:val="single"/>
              </w:rPr>
              <w:t>按《云南省建设工程招标代理服务收费参考意见》（云建招协[2024]58号）文件服务类标准向成交供应商收取。</w:t>
            </w:r>
          </w:p>
          <w:p w14:paraId="04311608">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采购代理服务费在发放成交通知书前由成交单位一次性缴清给本项目的采购代理机构。</w:t>
            </w:r>
          </w:p>
          <w:p w14:paraId="55EF184C">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支付形式：</w:t>
            </w:r>
            <w:r>
              <w:rPr>
                <w:rFonts w:hint="eastAsia" w:ascii="仿宋" w:hAnsi="仿宋" w:eastAsia="仿宋" w:cs="仿宋"/>
                <w:color w:val="auto"/>
                <w:kern w:val="0"/>
                <w:sz w:val="24"/>
                <w:u w:val="single"/>
              </w:rPr>
              <w:t>现金、电汇、网银均可</w:t>
            </w:r>
            <w:r>
              <w:rPr>
                <w:rFonts w:hint="eastAsia" w:ascii="仿宋" w:hAnsi="仿宋" w:eastAsia="仿宋" w:cs="仿宋"/>
                <w:color w:val="auto"/>
                <w:kern w:val="0"/>
                <w:sz w:val="24"/>
              </w:rPr>
              <w:t>。</w:t>
            </w:r>
          </w:p>
          <w:p w14:paraId="223EBEAB">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支付时间：</w:t>
            </w:r>
            <w:r>
              <w:rPr>
                <w:rFonts w:hint="eastAsia" w:ascii="仿宋" w:hAnsi="仿宋" w:eastAsia="仿宋" w:cs="仿宋"/>
                <w:color w:val="auto"/>
                <w:kern w:val="0"/>
                <w:sz w:val="24"/>
                <w:u w:val="single"/>
              </w:rPr>
              <w:t>领取成交通知书前</w:t>
            </w:r>
            <w:r>
              <w:rPr>
                <w:rFonts w:hint="eastAsia" w:ascii="仿宋" w:hAnsi="仿宋" w:eastAsia="仿宋" w:cs="仿宋"/>
                <w:color w:val="auto"/>
                <w:kern w:val="0"/>
                <w:sz w:val="24"/>
              </w:rPr>
              <w:t>。</w:t>
            </w:r>
          </w:p>
        </w:tc>
      </w:tr>
      <w:tr w14:paraId="072343D9">
        <w:tblPrEx>
          <w:tblCellMar>
            <w:top w:w="0" w:type="dxa"/>
            <w:left w:w="108" w:type="dxa"/>
            <w:bottom w:w="0" w:type="dxa"/>
            <w:right w:w="108" w:type="dxa"/>
          </w:tblCellMar>
        </w:tblPrEx>
        <w:trPr>
          <w:trHeight w:val="38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A06AE4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40.3</w:t>
            </w:r>
          </w:p>
        </w:tc>
        <w:tc>
          <w:tcPr>
            <w:tcW w:w="2111" w:type="dxa"/>
            <w:tcBorders>
              <w:top w:val="single" w:color="auto" w:sz="4" w:space="0"/>
              <w:left w:val="single" w:color="auto" w:sz="4" w:space="0"/>
              <w:bottom w:val="single" w:color="auto" w:sz="4" w:space="0"/>
              <w:right w:val="single" w:color="auto" w:sz="4" w:space="0"/>
            </w:tcBorders>
            <w:noWrap/>
            <w:vAlign w:val="center"/>
          </w:tcPr>
          <w:p w14:paraId="01CFCC9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质疑、投诉</w:t>
            </w:r>
          </w:p>
        </w:tc>
        <w:tc>
          <w:tcPr>
            <w:tcW w:w="5995" w:type="dxa"/>
            <w:tcBorders>
              <w:top w:val="single" w:color="auto" w:sz="4" w:space="0"/>
              <w:left w:val="single" w:color="auto" w:sz="4" w:space="0"/>
              <w:bottom w:val="single" w:color="auto" w:sz="4" w:space="0"/>
              <w:right w:val="single" w:color="auto" w:sz="4" w:space="0"/>
            </w:tcBorders>
            <w:noWrap/>
            <w:vAlign w:val="center"/>
          </w:tcPr>
          <w:p w14:paraId="650DEE43">
            <w:pPr>
              <w:widowControl/>
              <w:spacing w:line="360" w:lineRule="auto"/>
              <w:rPr>
                <w:rFonts w:ascii="仿宋" w:hAnsi="仿宋" w:eastAsia="仿宋" w:cs="仿宋"/>
                <w:color w:val="auto"/>
                <w:sz w:val="24"/>
              </w:rPr>
            </w:pPr>
            <w:r>
              <w:rPr>
                <w:rFonts w:hint="eastAsia" w:ascii="仿宋" w:hAnsi="仿宋" w:eastAsia="仿宋" w:cs="仿宋"/>
                <w:color w:val="auto"/>
                <w:sz w:val="24"/>
              </w:rPr>
              <w:t>一、供应商认为自己的权益受到损害的，可以在知道或者应知其权益受到损害之日起七个工作日内，向采购代理机构提出质疑。</w:t>
            </w:r>
          </w:p>
          <w:p w14:paraId="0A962A1A">
            <w:pPr>
              <w:widowControl/>
              <w:spacing w:line="360" w:lineRule="auto"/>
              <w:rPr>
                <w:rFonts w:ascii="仿宋" w:hAnsi="仿宋" w:eastAsia="仿宋" w:cs="仿宋"/>
                <w:color w:val="auto"/>
                <w:sz w:val="24"/>
              </w:rPr>
            </w:pPr>
            <w:r>
              <w:rPr>
                <w:rFonts w:hint="eastAsia" w:ascii="仿宋" w:hAnsi="仿宋" w:eastAsia="仿宋" w:cs="仿宋"/>
                <w:color w:val="auto"/>
                <w:sz w:val="24"/>
              </w:rPr>
              <w:t>1、接收质疑函的方式：接收加盖单位公章的书面质疑函</w:t>
            </w:r>
          </w:p>
          <w:p w14:paraId="21A8242D">
            <w:pPr>
              <w:widowControl/>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sz w:val="24"/>
              </w:rPr>
              <w:t>联系单位：</w:t>
            </w:r>
            <w:r>
              <w:rPr>
                <w:rFonts w:hint="eastAsia" w:ascii="仿宋" w:hAnsi="仿宋" w:eastAsia="仿宋" w:cs="仿宋"/>
                <w:color w:val="auto"/>
                <w:kern w:val="0"/>
                <w:sz w:val="24"/>
                <w:u w:val="single"/>
              </w:rPr>
              <w:t>蔡冬琼</w:t>
            </w:r>
          </w:p>
          <w:p w14:paraId="642043FC">
            <w:pPr>
              <w:widowControl/>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联系电话：</w:t>
            </w:r>
            <w:r>
              <w:rPr>
                <w:rFonts w:hint="eastAsia" w:ascii="仿宋" w:hAnsi="仿宋" w:eastAsia="仿宋" w:cs="仿宋"/>
                <w:color w:val="auto"/>
                <w:kern w:val="0"/>
                <w:sz w:val="24"/>
                <w:u w:val="single"/>
              </w:rPr>
              <w:t>15877970435</w:t>
            </w:r>
          </w:p>
          <w:p w14:paraId="5590C5C1">
            <w:pPr>
              <w:widowControl/>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通讯地址：</w:t>
            </w:r>
            <w:r>
              <w:rPr>
                <w:rFonts w:hint="eastAsia" w:ascii="仿宋" w:hAnsi="仿宋" w:eastAsia="仿宋" w:cs="仿宋"/>
                <w:color w:val="auto"/>
                <w:kern w:val="0"/>
                <w:sz w:val="24"/>
                <w:u w:val="single"/>
              </w:rPr>
              <w:t>昆明市晋宁区昆阳街道办事处湖景天颐家园一期42幢3楼（贝特尔幼儿园旁）</w:t>
            </w:r>
          </w:p>
          <w:p w14:paraId="2BFC5D99">
            <w:pPr>
              <w:widowControl/>
              <w:spacing w:line="360" w:lineRule="auto"/>
              <w:ind w:firstLine="480" w:firstLineChars="200"/>
              <w:rPr>
                <w:rFonts w:ascii="仿宋" w:hAnsi="仿宋" w:eastAsia="仿宋" w:cs="仿宋"/>
                <w:color w:val="auto"/>
                <w:sz w:val="24"/>
              </w:rPr>
            </w:pPr>
          </w:p>
          <w:p w14:paraId="0A2D762F">
            <w:pPr>
              <w:widowControl/>
              <w:spacing w:line="360" w:lineRule="auto"/>
              <w:rPr>
                <w:rFonts w:ascii="仿宋" w:hAnsi="仿宋" w:eastAsia="仿宋" w:cs="仿宋"/>
                <w:color w:val="auto"/>
                <w:sz w:val="24"/>
              </w:rPr>
            </w:pPr>
            <w:r>
              <w:rPr>
                <w:rFonts w:hint="eastAsia" w:ascii="仿宋" w:hAnsi="仿宋" w:eastAsia="仿宋" w:cs="仿宋"/>
                <w:color w:val="auto"/>
                <w:sz w:val="24"/>
              </w:rPr>
              <w:t>2、质疑函的内容、格式：应符合《政府采购质疑和投诉办法》相关规定和财政部门制定的《政府采购质疑函范本》格式，具体范本文件见竞争性磋商文件第七章内容。</w:t>
            </w:r>
          </w:p>
          <w:p w14:paraId="578AA30D">
            <w:pPr>
              <w:pStyle w:val="9"/>
              <w:spacing w:line="360" w:lineRule="auto"/>
              <w:rPr>
                <w:rFonts w:ascii="仿宋" w:hAnsi="仿宋" w:eastAsia="仿宋" w:cs="仿宋"/>
                <w:color w:val="auto"/>
                <w:sz w:val="24"/>
              </w:rPr>
            </w:pPr>
            <w:r>
              <w:rPr>
                <w:rFonts w:hint="eastAsia" w:ascii="仿宋" w:hAnsi="仿宋" w:eastAsia="仿宋" w:cs="仿宋"/>
                <w:color w:val="auto"/>
                <w:sz w:val="24"/>
              </w:rPr>
              <w:t>二、供应商应在法定质疑期内一次性针对同一采购程序环节提出质疑，否则针对再次提出质疑将不予接收。（采购程序环节分为：采购公告、采购文件、采购过程、成交结果）</w:t>
            </w:r>
          </w:p>
          <w:p w14:paraId="71F348C6">
            <w:pPr>
              <w:pStyle w:val="9"/>
              <w:spacing w:line="360" w:lineRule="auto"/>
              <w:rPr>
                <w:rFonts w:ascii="仿宋" w:hAnsi="仿宋" w:eastAsia="仿宋" w:cs="仿宋"/>
                <w:color w:val="auto"/>
                <w:sz w:val="24"/>
              </w:rPr>
            </w:pPr>
            <w:r>
              <w:rPr>
                <w:rFonts w:hint="eastAsia" w:ascii="仿宋" w:hAnsi="仿宋" w:eastAsia="仿宋" w:cs="仿宋"/>
                <w:color w:val="auto"/>
                <w:sz w:val="24"/>
              </w:rPr>
              <w:t>三、关于质疑的其他要求</w:t>
            </w:r>
          </w:p>
          <w:p w14:paraId="73A44CC0">
            <w:pPr>
              <w:pStyle w:val="9"/>
              <w:spacing w:line="360" w:lineRule="auto"/>
              <w:rPr>
                <w:rFonts w:ascii="仿宋" w:hAnsi="仿宋" w:eastAsia="仿宋" w:cs="仿宋"/>
                <w:color w:val="auto"/>
                <w:sz w:val="24"/>
              </w:rPr>
            </w:pPr>
            <w:r>
              <w:rPr>
                <w:rFonts w:hint="eastAsia" w:ascii="仿宋" w:hAnsi="仿宋" w:eastAsia="仿宋" w:cs="仿宋"/>
                <w:color w:val="auto"/>
                <w:sz w:val="24"/>
              </w:rPr>
              <w:t>1.潜在供应商在获取采购文件前，可以针对采购公告内容提出质疑；</w:t>
            </w:r>
          </w:p>
          <w:p w14:paraId="28173E8F">
            <w:pPr>
              <w:pStyle w:val="9"/>
              <w:spacing w:line="360" w:lineRule="auto"/>
              <w:rPr>
                <w:rFonts w:ascii="仿宋" w:hAnsi="仿宋" w:eastAsia="仿宋" w:cs="仿宋"/>
                <w:color w:val="auto"/>
                <w:sz w:val="24"/>
              </w:rPr>
            </w:pPr>
            <w:r>
              <w:rPr>
                <w:rFonts w:hint="eastAsia" w:ascii="仿宋" w:hAnsi="仿宋" w:eastAsia="仿宋" w:cs="仿宋"/>
                <w:color w:val="auto"/>
                <w:sz w:val="24"/>
              </w:rPr>
              <w:t>2.潜在供应商在获取采购文件后，采购公告有效期满7个工作日内，可以针对采购采购文件及采购公告内容提出质疑；</w:t>
            </w:r>
          </w:p>
          <w:p w14:paraId="5435CA4C">
            <w:pPr>
              <w:pStyle w:val="9"/>
              <w:spacing w:line="360" w:lineRule="auto"/>
              <w:rPr>
                <w:rFonts w:ascii="仿宋" w:hAnsi="仿宋" w:eastAsia="仿宋" w:cs="仿宋"/>
                <w:color w:val="auto"/>
                <w:sz w:val="24"/>
              </w:rPr>
            </w:pPr>
            <w:r>
              <w:rPr>
                <w:rFonts w:hint="eastAsia" w:ascii="仿宋" w:hAnsi="仿宋" w:eastAsia="仿宋" w:cs="仿宋"/>
                <w:color w:val="auto"/>
                <w:sz w:val="24"/>
              </w:rPr>
              <w:t>3.供应商在参加谈判活动后，可以针对采购过程提出质疑；</w:t>
            </w:r>
          </w:p>
          <w:p w14:paraId="74431889">
            <w:pPr>
              <w:pStyle w:val="9"/>
              <w:spacing w:line="360" w:lineRule="auto"/>
              <w:rPr>
                <w:rFonts w:ascii="仿宋" w:hAnsi="仿宋" w:eastAsia="仿宋" w:cs="仿宋"/>
                <w:color w:val="auto"/>
                <w:sz w:val="24"/>
              </w:rPr>
            </w:pPr>
            <w:r>
              <w:rPr>
                <w:rFonts w:hint="eastAsia" w:ascii="仿宋" w:hAnsi="仿宋" w:eastAsia="仿宋" w:cs="仿宋"/>
                <w:color w:val="auto"/>
                <w:sz w:val="24"/>
              </w:rPr>
              <w:t>4.成交结果公示发布后，公告有效期满7个工作日内，参加过磋商活动且提交了最后报价的供应商可以针对成交结果提出质疑。</w:t>
            </w:r>
          </w:p>
          <w:p w14:paraId="1A32368B">
            <w:pPr>
              <w:pStyle w:val="9"/>
              <w:spacing w:line="360" w:lineRule="auto"/>
              <w:rPr>
                <w:rFonts w:ascii="仿宋" w:hAnsi="仿宋" w:eastAsia="仿宋" w:cs="仿宋"/>
                <w:color w:val="auto"/>
                <w:sz w:val="24"/>
              </w:rPr>
            </w:pPr>
            <w:r>
              <w:rPr>
                <w:rFonts w:hint="eastAsia" w:ascii="仿宋" w:hAnsi="仿宋" w:eastAsia="仿宋" w:cs="仿宋"/>
                <w:color w:val="auto"/>
                <w:sz w:val="24"/>
              </w:rPr>
              <w:t>5.获取了采购文件但未提交响应文件的供应商或提交了响应文件，但在提交最后报价前退出磋商的供应商不得对成交结果提出质疑。</w:t>
            </w:r>
          </w:p>
          <w:p w14:paraId="4539987A">
            <w:pPr>
              <w:pStyle w:val="9"/>
              <w:spacing w:line="360" w:lineRule="auto"/>
              <w:rPr>
                <w:rFonts w:ascii="仿宋" w:hAnsi="仿宋" w:eastAsia="仿宋" w:cs="仿宋"/>
                <w:color w:val="auto"/>
                <w:sz w:val="24"/>
              </w:rPr>
            </w:pPr>
            <w:r>
              <w:rPr>
                <w:rFonts w:hint="eastAsia" w:ascii="仿宋" w:hAnsi="仿宋" w:eastAsia="仿宋" w:cs="仿宋"/>
                <w:color w:val="auto"/>
                <w:sz w:val="24"/>
              </w:rPr>
              <w:t>四、关于政府采购投诉的相关要求</w:t>
            </w:r>
          </w:p>
          <w:p w14:paraId="3C26599B">
            <w:pPr>
              <w:pStyle w:val="9"/>
              <w:spacing w:line="360" w:lineRule="auto"/>
              <w:rPr>
                <w:rFonts w:ascii="仿宋" w:hAnsi="仿宋" w:eastAsia="仿宋" w:cs="仿宋"/>
                <w:color w:val="auto"/>
                <w:sz w:val="24"/>
              </w:rPr>
            </w:pPr>
            <w:r>
              <w:rPr>
                <w:rFonts w:hint="eastAsia" w:ascii="仿宋" w:hAnsi="仿宋" w:eastAsia="仿宋" w:cs="仿宋"/>
                <w:color w:val="auto"/>
                <w:sz w:val="24"/>
              </w:rPr>
              <w:t>1.供应商应当先经过质疑程序后方可向财政部门提起投诉，否则财政部门将不予受理；</w:t>
            </w:r>
          </w:p>
          <w:p w14:paraId="56162286">
            <w:pPr>
              <w:pStyle w:val="9"/>
              <w:spacing w:line="360" w:lineRule="auto"/>
              <w:rPr>
                <w:rFonts w:ascii="仿宋" w:hAnsi="仿宋" w:eastAsia="仿宋" w:cs="仿宋"/>
                <w:color w:val="auto"/>
                <w:kern w:val="0"/>
                <w:sz w:val="24"/>
              </w:rPr>
            </w:pPr>
            <w:r>
              <w:rPr>
                <w:rFonts w:hint="eastAsia" w:ascii="仿宋" w:hAnsi="仿宋" w:eastAsia="仿宋" w:cs="仿宋"/>
                <w:color w:val="auto"/>
                <w:sz w:val="24"/>
              </w:rPr>
              <w:t>2.供应商可以在采购人（代理机构）答复期满后十五个工作日内向财政部门提起投诉。</w:t>
            </w:r>
          </w:p>
        </w:tc>
      </w:tr>
      <w:tr w14:paraId="52FFC4AE">
        <w:tblPrEx>
          <w:tblCellMar>
            <w:top w:w="0" w:type="dxa"/>
            <w:left w:w="108" w:type="dxa"/>
            <w:bottom w:w="0" w:type="dxa"/>
            <w:right w:w="108" w:type="dxa"/>
          </w:tblCellMar>
        </w:tblPrEx>
        <w:trPr>
          <w:trHeight w:val="384" w:hRule="atLeast"/>
          <w:jc w:val="center"/>
        </w:trPr>
        <w:tc>
          <w:tcPr>
            <w:tcW w:w="1087" w:type="dxa"/>
            <w:vMerge w:val="restart"/>
            <w:tcBorders>
              <w:top w:val="single" w:color="auto" w:sz="4" w:space="0"/>
              <w:left w:val="single" w:color="auto" w:sz="8" w:space="0"/>
              <w:right w:val="single" w:color="auto" w:sz="4" w:space="0"/>
            </w:tcBorders>
            <w:noWrap/>
            <w:vAlign w:val="center"/>
          </w:tcPr>
          <w:p w14:paraId="3D48D3BC">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43.</w:t>
            </w:r>
          </w:p>
        </w:tc>
        <w:tc>
          <w:tcPr>
            <w:tcW w:w="2111" w:type="dxa"/>
            <w:vMerge w:val="restart"/>
            <w:tcBorders>
              <w:top w:val="single" w:color="auto" w:sz="4" w:space="0"/>
              <w:left w:val="single" w:color="auto" w:sz="4" w:space="0"/>
              <w:right w:val="single" w:color="auto" w:sz="8" w:space="0"/>
            </w:tcBorders>
            <w:noWrap/>
            <w:vAlign w:val="center"/>
          </w:tcPr>
          <w:p w14:paraId="6D59B145">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其他补充内容</w:t>
            </w:r>
          </w:p>
        </w:tc>
        <w:tc>
          <w:tcPr>
            <w:tcW w:w="5995" w:type="dxa"/>
            <w:tcBorders>
              <w:top w:val="single" w:color="auto" w:sz="4" w:space="0"/>
              <w:left w:val="nil"/>
              <w:bottom w:val="single" w:color="auto" w:sz="4" w:space="0"/>
              <w:right w:val="single" w:color="auto" w:sz="8" w:space="0"/>
            </w:tcBorders>
            <w:noWrap/>
            <w:vAlign w:val="center"/>
          </w:tcPr>
          <w:p w14:paraId="6999EED5">
            <w:pPr>
              <w:pStyle w:val="9"/>
              <w:spacing w:line="360" w:lineRule="auto"/>
              <w:rPr>
                <w:rFonts w:ascii="仿宋" w:hAnsi="仿宋" w:eastAsia="仿宋" w:cs="仿宋"/>
                <w:color w:val="auto"/>
                <w:sz w:val="24"/>
              </w:rPr>
            </w:pPr>
            <w:r>
              <w:rPr>
                <w:rFonts w:hint="eastAsia" w:ascii="仿宋" w:hAnsi="仿宋" w:eastAsia="仿宋" w:cs="仿宋"/>
                <w:color w:val="auto"/>
                <w:sz w:val="24"/>
              </w:rPr>
              <w:t>关于釆购项目涉及中小企业釆购的说明：</w:t>
            </w:r>
          </w:p>
          <w:p w14:paraId="67F70940">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根据《政府采购促进中小企业发展管理办法》第六条之规定，本采购项目非专门面向中小企业采购。对小型和微型企业的价格给予10%的价格扣除，用扣除后的价格参与评标。残疾人福利性单位和监狱企业视同小微企业，提供相应证明文件享受上述政府采购政策。</w:t>
            </w:r>
          </w:p>
          <w:p w14:paraId="08D8FDDC">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本项目不接受联合体参与采购活动。</w:t>
            </w:r>
          </w:p>
          <w:p w14:paraId="5ED5DAC6">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依据《政府采购促进中小企业发展管理办法》（财库[2020]46号）规定享受扶持政策获得政府釆购合同的，小微企业不得将合同分包给大中型企业，中型企业不得将合同分包给大型企业。</w:t>
            </w:r>
          </w:p>
          <w:p w14:paraId="5BA7D01B">
            <w:pPr>
              <w:pStyle w:val="9"/>
              <w:numPr>
                <w:ilvl w:val="0"/>
                <w:numId w:val="3"/>
              </w:numPr>
              <w:spacing w:line="360" w:lineRule="auto"/>
              <w:rPr>
                <w:rFonts w:ascii="仿宋" w:hAnsi="仿宋" w:eastAsia="仿宋" w:cs="仿宋"/>
                <w:b/>
                <w:bCs/>
                <w:color w:val="auto"/>
                <w:sz w:val="24"/>
              </w:rPr>
            </w:pPr>
            <w:r>
              <w:rPr>
                <w:rFonts w:hint="eastAsia" w:ascii="仿宋" w:hAnsi="仿宋" w:eastAsia="仿宋" w:cs="仿宋"/>
                <w:b/>
                <w:bCs/>
                <w:color w:val="auto"/>
                <w:sz w:val="24"/>
              </w:rPr>
              <w:t>本釆购标的对应的中小企业划分标准所属行业为：</w:t>
            </w:r>
            <w:r>
              <w:rPr>
                <w:rFonts w:hint="eastAsia" w:ascii="仿宋" w:hAnsi="仿宋" w:eastAsia="仿宋" w:cs="仿宋"/>
                <w:b/>
                <w:bCs/>
                <w:color w:val="auto"/>
                <w:sz w:val="24"/>
                <w:u w:val="single"/>
              </w:rPr>
              <w:t>软件和信息技术服务业。</w:t>
            </w:r>
          </w:p>
          <w:p w14:paraId="4D4DAAF2">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法律法规和省级以上人民政府财政部门规定的其他事项：无。</w:t>
            </w:r>
          </w:p>
          <w:p w14:paraId="517EC5E6">
            <w:pPr>
              <w:pStyle w:val="9"/>
              <w:spacing w:line="360" w:lineRule="auto"/>
              <w:rPr>
                <w:rFonts w:ascii="仿宋" w:hAnsi="仿宋" w:eastAsia="仿宋" w:cs="仿宋"/>
                <w:color w:val="auto"/>
                <w:sz w:val="24"/>
              </w:rPr>
            </w:pPr>
            <w:r>
              <w:rPr>
                <w:rFonts w:hint="eastAsia" w:ascii="仿宋" w:hAnsi="仿宋" w:eastAsia="仿宋" w:cs="仿宋"/>
                <w:b/>
                <w:bCs/>
                <w:color w:val="auto"/>
                <w:sz w:val="24"/>
              </w:rPr>
              <w:t>请供应商根据上述相关文件通知要求认真理解并核对是否符合中小企业、监狱或残疾人福利性单位的扶持政策，并如实提供对应声明函或证明文件。供应商按照本办法规定提供声明函或证明文件不实的，属于提供虚假材料谋取中标、成交，依照《中华人民共和国政府采购法》等国家有关规定追究相应责任。</w:t>
            </w:r>
          </w:p>
        </w:tc>
      </w:tr>
      <w:tr w14:paraId="11B4FFBB">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right w:val="single" w:color="auto" w:sz="4" w:space="0"/>
            </w:tcBorders>
            <w:noWrap/>
            <w:vAlign w:val="center"/>
          </w:tcPr>
          <w:p w14:paraId="5D3C4EBC">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right w:val="single" w:color="auto" w:sz="8" w:space="0"/>
            </w:tcBorders>
            <w:noWrap/>
            <w:vAlign w:val="center"/>
          </w:tcPr>
          <w:p w14:paraId="524503F4">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4" w:space="0"/>
              <w:right w:val="single" w:color="auto" w:sz="8" w:space="0"/>
            </w:tcBorders>
            <w:noWrap/>
            <w:vAlign w:val="center"/>
          </w:tcPr>
          <w:p w14:paraId="072614FA">
            <w:pPr>
              <w:pStyle w:val="9"/>
              <w:spacing w:line="360" w:lineRule="auto"/>
              <w:rPr>
                <w:rFonts w:ascii="仿宋" w:hAnsi="仿宋" w:eastAsia="仿宋" w:cs="仿宋"/>
                <w:color w:val="auto"/>
                <w:sz w:val="24"/>
              </w:rPr>
            </w:pPr>
            <w:r>
              <w:rPr>
                <w:rFonts w:hint="eastAsia" w:ascii="仿宋" w:hAnsi="仿宋" w:eastAsia="仿宋" w:cs="仿宋"/>
                <w:color w:val="auto"/>
                <w:sz w:val="24"/>
              </w:rPr>
              <w:t>关于合同公告、备案的要求：</w:t>
            </w:r>
          </w:p>
          <w:p w14:paraId="695AC576">
            <w:pPr>
              <w:pStyle w:val="9"/>
              <w:spacing w:line="360" w:lineRule="auto"/>
              <w:rPr>
                <w:rFonts w:ascii="仿宋" w:hAnsi="仿宋" w:eastAsia="仿宋" w:cs="仿宋"/>
                <w:color w:val="auto"/>
                <w:sz w:val="24"/>
              </w:rPr>
            </w:pPr>
            <w:r>
              <w:rPr>
                <w:rFonts w:hint="eastAsia" w:ascii="仿宋" w:hAnsi="仿宋" w:eastAsia="仿宋" w:cs="仿宋"/>
                <w:color w:val="auto"/>
                <w:sz w:val="24"/>
              </w:rPr>
              <w:t>1.合同签订前，成交单位应当在云南省政府采购网上完成供应商注册，以方便合同公告、备案。</w:t>
            </w:r>
          </w:p>
          <w:p w14:paraId="4EE582B4">
            <w:pPr>
              <w:pStyle w:val="9"/>
              <w:spacing w:line="360" w:lineRule="auto"/>
              <w:rPr>
                <w:rFonts w:ascii="仿宋" w:hAnsi="仿宋" w:eastAsia="仿宋" w:cs="仿宋"/>
                <w:color w:val="auto"/>
                <w:sz w:val="24"/>
              </w:rPr>
            </w:pPr>
            <w:r>
              <w:rPr>
                <w:rFonts w:hint="eastAsia" w:ascii="仿宋" w:hAnsi="仿宋" w:eastAsia="仿宋" w:cs="仿宋"/>
                <w:color w:val="auto"/>
                <w:sz w:val="24"/>
              </w:rPr>
              <w:t>2.成交供应商合同签订后2日内必须将合同原件扫描件（PDF格式，文件不超过10M）提交至采购代理机构。</w:t>
            </w:r>
          </w:p>
        </w:tc>
      </w:tr>
      <w:tr w14:paraId="1D178239">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right w:val="single" w:color="auto" w:sz="4" w:space="0"/>
            </w:tcBorders>
            <w:noWrap/>
            <w:vAlign w:val="center"/>
          </w:tcPr>
          <w:p w14:paraId="2F8CA50B">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right w:val="single" w:color="auto" w:sz="8" w:space="0"/>
            </w:tcBorders>
            <w:noWrap/>
            <w:vAlign w:val="center"/>
          </w:tcPr>
          <w:p w14:paraId="08AF0A08">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4" w:space="0"/>
              <w:right w:val="single" w:color="auto" w:sz="8" w:space="0"/>
            </w:tcBorders>
            <w:noWrap/>
            <w:vAlign w:val="center"/>
          </w:tcPr>
          <w:p w14:paraId="2474CC43">
            <w:pPr>
              <w:pStyle w:val="9"/>
              <w:spacing w:line="360" w:lineRule="auto"/>
              <w:rPr>
                <w:rFonts w:ascii="仿宋" w:hAnsi="仿宋" w:eastAsia="仿宋" w:cs="仿宋"/>
                <w:color w:val="auto"/>
                <w:sz w:val="24"/>
              </w:rPr>
            </w:pPr>
            <w:r>
              <w:rPr>
                <w:rFonts w:hint="eastAsia" w:ascii="仿宋" w:hAnsi="仿宋" w:eastAsia="仿宋" w:cs="仿宋"/>
                <w:color w:val="auto"/>
                <w:sz w:val="24"/>
              </w:rPr>
              <w:t>为本项目提供整体设计、规范编制或者项目管理、监理、检测等服务的供应商：无。</w:t>
            </w:r>
          </w:p>
        </w:tc>
      </w:tr>
      <w:tr w14:paraId="5319B5C3">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bottom w:val="single" w:color="auto" w:sz="8" w:space="0"/>
              <w:right w:val="single" w:color="auto" w:sz="4" w:space="0"/>
            </w:tcBorders>
            <w:noWrap/>
            <w:vAlign w:val="center"/>
          </w:tcPr>
          <w:p w14:paraId="166FBD02">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bottom w:val="single" w:color="auto" w:sz="8" w:space="0"/>
              <w:right w:val="single" w:color="auto" w:sz="8" w:space="0"/>
            </w:tcBorders>
            <w:noWrap/>
            <w:vAlign w:val="center"/>
          </w:tcPr>
          <w:p w14:paraId="5A10248B">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8" w:space="0"/>
              <w:right w:val="single" w:color="auto" w:sz="8" w:space="0"/>
            </w:tcBorders>
            <w:noWrap/>
            <w:vAlign w:val="center"/>
          </w:tcPr>
          <w:p w14:paraId="5F65F3A2">
            <w:pPr>
              <w:pStyle w:val="9"/>
              <w:spacing w:line="360" w:lineRule="auto"/>
              <w:rPr>
                <w:rFonts w:ascii="仿宋" w:hAnsi="仿宋" w:eastAsia="仿宋" w:cs="仿宋"/>
                <w:color w:val="auto"/>
                <w:sz w:val="24"/>
              </w:rPr>
            </w:pPr>
            <w:r>
              <w:rPr>
                <w:rFonts w:hint="eastAsia" w:ascii="仿宋" w:hAnsi="仿宋" w:eastAsia="仿宋" w:cs="仿宋"/>
                <w:color w:val="auto"/>
                <w:sz w:val="24"/>
              </w:rPr>
              <w:t>如供应商须知正文条款与供应商须知表有内容冲突的情况均以供应商须知表内容为准。</w:t>
            </w:r>
          </w:p>
        </w:tc>
      </w:tr>
    </w:tbl>
    <w:p w14:paraId="55782BB0">
      <w:pPr>
        <w:rPr>
          <w:rFonts w:ascii="仿宋" w:hAnsi="仿宋" w:eastAsia="仿宋" w:cs="仿宋"/>
          <w:color w:val="auto"/>
        </w:rPr>
      </w:pPr>
      <w:r>
        <w:rPr>
          <w:rFonts w:hint="eastAsia" w:ascii="仿宋" w:hAnsi="仿宋" w:eastAsia="仿宋" w:cs="仿宋"/>
          <w:color w:val="auto"/>
        </w:rPr>
        <w:t>注：表格中</w:t>
      </w:r>
      <w:r>
        <w:rPr>
          <w:rFonts w:hint="eastAsia" w:ascii="仿宋" w:hAnsi="仿宋" w:eastAsia="仿宋" w:cs="仿宋"/>
          <w:color w:val="auto"/>
          <w:sz w:val="28"/>
          <w:szCs w:val="28"/>
        </w:rPr>
        <w:t>☑</w:t>
      </w:r>
      <w:r>
        <w:rPr>
          <w:rFonts w:hint="eastAsia" w:ascii="仿宋" w:hAnsi="仿宋" w:eastAsia="仿宋" w:cs="仿宋"/>
          <w:color w:val="auto"/>
        </w:rPr>
        <w:t>项为被选中项。</w:t>
      </w:r>
    </w:p>
    <w:p w14:paraId="02C75D7F">
      <w:pPr>
        <w:pStyle w:val="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color w:val="auto"/>
          <w:sz w:val="21"/>
          <w:szCs w:val="21"/>
        </w:rPr>
        <w:br w:type="page"/>
      </w:r>
      <w:bookmarkStart w:id="67" w:name="_Toc4485619"/>
      <w:bookmarkStart w:id="68" w:name="_Toc533340140"/>
      <w:r>
        <w:rPr>
          <w:rFonts w:hint="eastAsia" w:ascii="仿宋" w:hAnsi="仿宋" w:eastAsia="仿宋" w:cs="仿宋"/>
          <w:color w:val="auto"/>
          <w:szCs w:val="32"/>
        </w:rPr>
        <w:t>二</w:t>
      </w:r>
      <w:r>
        <w:rPr>
          <w:rFonts w:hint="eastAsia" w:ascii="仿宋" w:hAnsi="仿宋" w:eastAsia="仿宋" w:cs="仿宋"/>
          <w:color w:val="auto"/>
        </w:rPr>
        <w:t xml:space="preserve"> 总则</w:t>
      </w:r>
      <w:bookmarkEnd w:id="67"/>
      <w:bookmarkEnd w:id="68"/>
    </w:p>
    <w:p w14:paraId="69056CAF">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1.采购人、采购代理机构及供应商</w:t>
      </w:r>
    </w:p>
    <w:p w14:paraId="2E7356A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1.1采购人：是指依法进行政府采购的国家机关、事业单位、团体组织。本项目采购人见供应商须知表1.1条。</w:t>
      </w:r>
    </w:p>
    <w:p w14:paraId="32A5A5A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1.2采购代理机构：是指集中采购机构或从事采购代理业务的社会中介机构，本项目的采购代理机构见供应商须知表1.2条。</w:t>
      </w:r>
    </w:p>
    <w:p w14:paraId="2B85A66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★1.3供应商：是指向采购人提供货物、工程或者服务的法人、非法人组织或者自然人。本项目的供应商及其响应服务须满足以下条件：</w:t>
      </w:r>
    </w:p>
    <w:p w14:paraId="6AEB112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1.3.1在中华人民共和国境内注册，能够独立承担民事责任，有生产或供应能力的本国供应商。</w:t>
      </w:r>
    </w:p>
    <w:p w14:paraId="4909F5A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1.3.2符合《中华人民共和国政府采购法》第二十二条关于供应商条件的规定，遵守本项目采购人本级和上级财政部门关于政府采购的有关规定。</w:t>
      </w:r>
    </w:p>
    <w:p w14:paraId="0594561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1.3.3以采购代理机构认可的方式获得了本项目的采购文件。</w:t>
      </w:r>
    </w:p>
    <w:p w14:paraId="1D8707E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1.3.4符合供应商须知表1.3.4条中规定的其他要求。</w:t>
      </w:r>
    </w:p>
    <w:p w14:paraId="7556236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1.3.5若供应商须知表1.3.5条中写明专门面向中小企业采购的，如供应商为非中小企业或残疾人福利性单位或监狱企业的，其将不具备合格供应商资格，响应文件将被认定为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0C5AC3F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★1.4如供应商须知表1.4条中允许联合体参加采购活动的，对联合体规定如下：</w:t>
      </w:r>
    </w:p>
    <w:p w14:paraId="750266B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1.4.1两个以上供应商可以组成一个联合体，以一个供应商的身份参加采购活动。</w:t>
      </w:r>
    </w:p>
    <w:p w14:paraId="539CE4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1.4.2联合体各方均应符合《中华人民共和国政府采购法》第二十二条规定的条件。</w:t>
      </w:r>
    </w:p>
    <w:p w14:paraId="39A5984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1.4.3采购人根据采购项目对供应商的特殊要求，联合体中至少应当有一方符合相关规定。</w:t>
      </w:r>
    </w:p>
    <w:p w14:paraId="747F93C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1.4.4联合体各方应签订共同参加采购活动协议，明确约定联合体各方承担的工作和相应的责任。</w:t>
      </w:r>
    </w:p>
    <w:p w14:paraId="26D9C5A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3760E44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1.4.6联合体中有同类资质的供应商按照联合体分工承担相同工作的，按照较低的资质等级确定联合体的资质等级。</w:t>
      </w:r>
    </w:p>
    <w:p w14:paraId="67242D2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1.4.7以联合体形式参加政府采购活动的，联合体各方不得再单独参加或者与其他供应商另外组成联合体参加本项目采购活动，否则相关响应文件将被认定为</w:t>
      </w:r>
      <w:r>
        <w:rPr>
          <w:rFonts w:hint="eastAsia" w:ascii="仿宋" w:hAnsi="仿宋" w:eastAsia="仿宋" w:cs="仿宋"/>
          <w:b/>
          <w:color w:val="auto"/>
          <w:sz w:val="24"/>
        </w:rPr>
        <w:t>无效响应。</w:t>
      </w:r>
    </w:p>
    <w:p w14:paraId="5EA3AD2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（1）两个以上的自然人、法人或者其他组织可以组成一个联合体，以一个供应商的身份共同参加政府采购活动。</w:t>
      </w:r>
    </w:p>
    <w:p w14:paraId="581AB2C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（2）联合体成交的，联合体各方应共同与采购人签订采购合同，就采购合同约定的事项对采购人承担连带责任。</w:t>
      </w:r>
    </w:p>
    <w:p w14:paraId="37EDD3D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1.4.8对联合体参加采购活动的其他资格要求见供应商须知表1.4.8条。</w:t>
      </w:r>
    </w:p>
    <w:p w14:paraId="160581B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★1.5单位负责人为同一人或者存在直接控股、管理关系的不同供应商，其相关响应将被认定为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263E65F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★1.6为本项目提供过整体设计、规范编制或者项目管理、监理、检测等服务的供应商，不得再参加本项目上述服务以外的其他采购活动，</w:t>
      </w:r>
    </w:p>
    <w:p w14:paraId="3C294B3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否则其响应文件将被认定为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5F79F11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★1.7供应商在磋商过程中不得向采购人提供、给予任何有价值的物品，影响其正常决策行为。一经发现，其将被认定为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0C16E48B">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2.资金来源</w:t>
      </w:r>
    </w:p>
    <w:p w14:paraId="7DFE5AA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2.1本项目的采购人已获得足以支付本次磋商后所签订的合同项下的资金（包括财政性资金和本项目采购中无法与财政性资金分割的非财政性资金）。</w:t>
      </w:r>
    </w:p>
    <w:p w14:paraId="7C23B7F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★2.2项目预算金额和分项或分包最高限价见供应商须知表2.2条。</w:t>
      </w:r>
    </w:p>
    <w:p w14:paraId="35867ED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★2.3供应商报价超过采购文件规定的预算金额或者分项、分包最高限价的，其响应文件将被认定为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737D9147">
      <w:pPr>
        <w:adjustRightInd w:val="0"/>
        <w:snapToGrid w:val="0"/>
        <w:spacing w:line="360" w:lineRule="auto"/>
        <w:rPr>
          <w:rFonts w:ascii="仿宋" w:hAnsi="仿宋" w:eastAsia="仿宋" w:cs="仿宋"/>
          <w:b/>
          <w:color w:val="auto"/>
          <w:sz w:val="24"/>
        </w:rPr>
      </w:pPr>
      <w:bookmarkStart w:id="69" w:name="_Toc266951048"/>
      <w:r>
        <w:rPr>
          <w:rFonts w:hint="eastAsia" w:ascii="仿宋" w:hAnsi="仿宋" w:eastAsia="仿宋" w:cs="仿宋"/>
          <w:b/>
          <w:color w:val="auto"/>
          <w:sz w:val="24"/>
        </w:rPr>
        <w:t>3.语言文字</w:t>
      </w:r>
      <w:bookmarkEnd w:id="69"/>
    </w:p>
    <w:p w14:paraId="2898C4B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除专用术语外，与磋商有关的语言均使用中文。必要时专用术语应附有中文注释。对不同文字文本响应文件的解释发生异议的，以中文文本为准。</w:t>
      </w:r>
    </w:p>
    <w:p w14:paraId="3A1C2372">
      <w:pPr>
        <w:adjustRightInd w:val="0"/>
        <w:snapToGrid w:val="0"/>
        <w:spacing w:line="360" w:lineRule="auto"/>
        <w:rPr>
          <w:rFonts w:ascii="仿宋" w:hAnsi="仿宋" w:eastAsia="仿宋" w:cs="仿宋"/>
          <w:b/>
          <w:color w:val="auto"/>
          <w:sz w:val="24"/>
        </w:rPr>
      </w:pPr>
      <w:bookmarkStart w:id="70" w:name="_1.8_计量单位"/>
      <w:bookmarkEnd w:id="70"/>
      <w:bookmarkStart w:id="71" w:name="_Toc266951049"/>
      <w:r>
        <w:rPr>
          <w:rFonts w:hint="eastAsia" w:ascii="仿宋" w:hAnsi="仿宋" w:eastAsia="仿宋" w:cs="仿宋"/>
          <w:b/>
          <w:color w:val="auto"/>
          <w:sz w:val="24"/>
        </w:rPr>
        <w:t>★4.计量单位</w:t>
      </w:r>
      <w:bookmarkEnd w:id="71"/>
    </w:p>
    <w:p w14:paraId="2E2746CB">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除供应商须知表4条中有特殊要求外，响应文件中所使用的计量单位，应采用中华人民共和国法定计量单位。</w:t>
      </w:r>
    </w:p>
    <w:p w14:paraId="08D1F72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★5.磋商费用</w:t>
      </w:r>
    </w:p>
    <w:p w14:paraId="717AF70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不论磋商的结果如何，供应商应承担所有与本次政府采购活动有关的费用。</w:t>
      </w:r>
    </w:p>
    <w:p w14:paraId="3E0E5EF7">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★6.现场考察、磋商前答疑会</w:t>
      </w:r>
    </w:p>
    <w:p w14:paraId="338AFC3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6.1</w:t>
      </w:r>
      <w:r>
        <w:rPr>
          <w:color w:val="auto"/>
        </w:rPr>
        <w:fldChar w:fldCharType="begin"/>
      </w:r>
      <w:r>
        <w:rPr>
          <w:color w:val="auto"/>
        </w:rPr>
        <w:instrText xml:space="preserve"> HYPERLINK \l "_踏勘现场" </w:instrText>
      </w:r>
      <w:r>
        <w:rPr>
          <w:color w:val="auto"/>
        </w:rPr>
        <w:fldChar w:fldCharType="separate"/>
      </w:r>
      <w:r>
        <w:rPr>
          <w:rFonts w:hint="eastAsia" w:ascii="仿宋" w:hAnsi="仿宋" w:eastAsia="仿宋" w:cs="仿宋"/>
          <w:color w:val="auto"/>
          <w:sz w:val="24"/>
        </w:rPr>
        <w:t>供应商须知表</w:t>
      </w:r>
      <w:r>
        <w:rPr>
          <w:rFonts w:hint="eastAsia" w:ascii="仿宋" w:hAnsi="仿宋" w:eastAsia="仿宋" w:cs="仿宋"/>
          <w:color w:val="auto"/>
          <w:sz w:val="24"/>
        </w:rPr>
        <w:fldChar w:fldCharType="end"/>
      </w:r>
      <w:r>
        <w:rPr>
          <w:rFonts w:hint="eastAsia" w:ascii="仿宋" w:hAnsi="仿宋" w:eastAsia="仿宋" w:cs="仿宋"/>
          <w:color w:val="auto"/>
          <w:sz w:val="24"/>
        </w:rPr>
        <w:t>6.1条规定组织现场考察或磋商前答疑会的，采购人按</w:t>
      </w:r>
      <w:r>
        <w:rPr>
          <w:color w:val="auto"/>
        </w:rPr>
        <w:fldChar w:fldCharType="begin"/>
      </w:r>
      <w:r>
        <w:rPr>
          <w:color w:val="auto"/>
        </w:rPr>
        <w:instrText xml:space="preserve"> HYPERLINK \l "_踏勘现场" </w:instrText>
      </w:r>
      <w:r>
        <w:rPr>
          <w:color w:val="auto"/>
        </w:rPr>
        <w:fldChar w:fldCharType="separate"/>
      </w:r>
      <w:r>
        <w:rPr>
          <w:rFonts w:hint="eastAsia" w:ascii="仿宋" w:hAnsi="仿宋" w:eastAsia="仿宋" w:cs="仿宋"/>
          <w:color w:val="auto"/>
          <w:sz w:val="24"/>
        </w:rPr>
        <w:t>供应商须知表</w:t>
      </w:r>
      <w:r>
        <w:rPr>
          <w:rFonts w:hint="eastAsia" w:ascii="仿宋" w:hAnsi="仿宋" w:eastAsia="仿宋" w:cs="仿宋"/>
          <w:color w:val="auto"/>
          <w:sz w:val="24"/>
        </w:rPr>
        <w:fldChar w:fldCharType="end"/>
      </w:r>
      <w:r>
        <w:rPr>
          <w:rFonts w:hint="eastAsia" w:ascii="仿宋" w:hAnsi="仿宋" w:eastAsia="仿宋" w:cs="仿宋"/>
          <w:color w:val="auto"/>
          <w:sz w:val="24"/>
        </w:rPr>
        <w:t>6.1条规定的时间、地点组织供应商现场考察或磋商前答疑会，或者在领取采购文件期限截止后以书面形式通知所有获取采购文件的潜在供应商。</w:t>
      </w:r>
    </w:p>
    <w:p w14:paraId="11963410">
      <w:pPr>
        <w:adjustRightInd w:val="0"/>
        <w:snapToGrid w:val="0"/>
        <w:spacing w:line="360" w:lineRule="auto"/>
        <w:rPr>
          <w:rFonts w:ascii="仿宋" w:hAnsi="仿宋" w:eastAsia="仿宋" w:cs="仿宋"/>
          <w:color w:val="auto"/>
          <w:sz w:val="24"/>
        </w:rPr>
      </w:pPr>
      <w:bookmarkStart w:id="72" w:name="_1.10_投标预备会"/>
      <w:bookmarkEnd w:id="72"/>
      <w:r>
        <w:rPr>
          <w:rFonts w:hint="eastAsia" w:ascii="仿宋" w:hAnsi="仿宋" w:eastAsia="仿宋" w:cs="仿宋"/>
          <w:color w:val="auto"/>
          <w:sz w:val="24"/>
        </w:rPr>
        <w:t>6.2由于未参加现场考察或磋商前答疑而导致对项目实际情况不了解，影响技术文件编制、</w:t>
      </w:r>
      <w:r>
        <w:rPr>
          <w:color w:val="auto"/>
        </w:rPr>
        <w:fldChar w:fldCharType="begin"/>
      </w:r>
      <w:r>
        <w:rPr>
          <w:color w:val="auto"/>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rPr>
        <w:fldChar w:fldCharType="separate"/>
      </w:r>
      <w:r>
        <w:rPr>
          <w:rFonts w:hint="eastAsia" w:ascii="仿宋" w:hAnsi="仿宋" w:eastAsia="仿宋" w:cs="仿宋"/>
          <w:color w:val="auto"/>
          <w:sz w:val="24"/>
        </w:rPr>
        <w:t>响应报价</w:t>
      </w:r>
      <w:r>
        <w:rPr>
          <w:rFonts w:hint="eastAsia" w:ascii="仿宋" w:hAnsi="仿宋" w:eastAsia="仿宋" w:cs="仿宋"/>
          <w:color w:val="auto"/>
          <w:sz w:val="24"/>
        </w:rPr>
        <w:fldChar w:fldCharType="end"/>
      </w:r>
      <w:r>
        <w:rPr>
          <w:rFonts w:hint="eastAsia" w:ascii="仿宋" w:hAnsi="仿宋" w:eastAsia="仿宋" w:cs="仿宋"/>
          <w:color w:val="auto"/>
          <w:sz w:val="24"/>
        </w:rPr>
        <w:t>准确性、综合因素响应不全面等问题的，由供应商自行承担相应后果。</w:t>
      </w:r>
    </w:p>
    <w:p w14:paraId="404772A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6.3现场考察及磋商前答疑会所发生的费用及一切责任由供应商自行承担。</w:t>
      </w:r>
    </w:p>
    <w:p w14:paraId="246A64CC">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7.适用法律</w:t>
      </w:r>
    </w:p>
    <w:p w14:paraId="6FA4352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6CB1A372">
      <w:pPr>
        <w:pStyle w:val="3"/>
        <w:adjustRightInd w:val="0"/>
        <w:snapToGrid w:val="0"/>
        <w:spacing w:before="240" w:beforeLines="100" w:after="120" w:afterLines="50" w:line="360" w:lineRule="auto"/>
        <w:jc w:val="center"/>
        <w:rPr>
          <w:rFonts w:ascii="仿宋" w:hAnsi="仿宋" w:eastAsia="仿宋" w:cs="仿宋"/>
          <w:color w:val="auto"/>
          <w:sz w:val="24"/>
        </w:rPr>
      </w:pPr>
      <w:bookmarkStart w:id="73" w:name="_Toc4485620"/>
      <w:bookmarkStart w:id="74" w:name="_Toc533340141"/>
      <w:r>
        <w:rPr>
          <w:rFonts w:hint="eastAsia" w:ascii="仿宋" w:hAnsi="仿宋" w:eastAsia="仿宋" w:cs="仿宋"/>
          <w:color w:val="auto"/>
          <w:sz w:val="24"/>
        </w:rPr>
        <w:t xml:space="preserve">三 </w:t>
      </w:r>
      <w:bookmarkEnd w:id="73"/>
      <w:bookmarkEnd w:id="74"/>
      <w:r>
        <w:rPr>
          <w:rFonts w:hint="eastAsia" w:ascii="仿宋" w:hAnsi="仿宋" w:eastAsia="仿宋" w:cs="仿宋"/>
          <w:color w:val="auto"/>
          <w:sz w:val="24"/>
        </w:rPr>
        <w:t>采购文件</w:t>
      </w:r>
    </w:p>
    <w:p w14:paraId="7E02DF3A">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8.采购文件构成</w:t>
      </w:r>
    </w:p>
    <w:p w14:paraId="5F9C5FD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8.1采购文件共六章，内容如下:</w:t>
      </w:r>
    </w:p>
    <w:p w14:paraId="765DA6F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采购公告</w:t>
      </w:r>
    </w:p>
    <w:p w14:paraId="0FF9FEFB">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第一章 供应商须知</w:t>
      </w:r>
    </w:p>
    <w:p w14:paraId="46044B2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第二章 响应文件内容及格式</w:t>
      </w:r>
    </w:p>
    <w:p w14:paraId="7A2A22D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第三章 采购需求</w:t>
      </w:r>
    </w:p>
    <w:p w14:paraId="1D9C2BE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第四章 磋商内容、磋商过程中可能实质性变动的内容</w:t>
      </w:r>
    </w:p>
    <w:p w14:paraId="35D08FF1">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第五章 评审办法</w:t>
      </w:r>
    </w:p>
    <w:p w14:paraId="077E281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第六章 政府采购合同条款及格式</w:t>
      </w:r>
    </w:p>
    <w:p w14:paraId="136D9116">
      <w:pPr>
        <w:pStyle w:val="10"/>
        <w:ind w:firstLine="480" w:firstLineChars="200"/>
        <w:rPr>
          <w:rFonts w:ascii="仿宋" w:hAnsi="仿宋" w:eastAsia="仿宋" w:cs="仿宋"/>
          <w:color w:val="auto"/>
          <w:sz w:val="24"/>
        </w:rPr>
      </w:pPr>
      <w:r>
        <w:rPr>
          <w:rFonts w:hint="eastAsia" w:ascii="仿宋" w:hAnsi="仿宋" w:eastAsia="仿宋" w:cs="仿宋"/>
          <w:color w:val="auto"/>
          <w:sz w:val="24"/>
        </w:rPr>
        <w:t>第七章 竞争性磋商文件补充内容</w:t>
      </w:r>
    </w:p>
    <w:p w14:paraId="3966941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★8.2供应商应认真阅读采购文件所有的事项、格式、条款等。如供应商没有按照采购文件要求提交资料，或者响应文件没有对采购文件做出实质性响应，可能导致其响应文件被认定为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2DDF060C">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9.采购文件的澄清与修改</w:t>
      </w:r>
    </w:p>
    <w:p w14:paraId="207CB245">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9.1</w:t>
      </w:r>
      <w:r>
        <w:rPr>
          <w:rFonts w:hint="eastAsia" w:ascii="仿宋" w:hAnsi="仿宋" w:eastAsia="仿宋" w:cs="仿宋"/>
          <w:color w:val="auto"/>
          <w:sz w:val="24"/>
          <w:shd w:val="clear" w:color="auto" w:fill="FFFFFF"/>
        </w:rPr>
        <w:t>采购人、采购代理机构可以对已发出的采购文件进行必要的澄清或者修改。澄清或者修改的内容可能影响响应文件编制的，应当在递交首次响应文件截止时间至少3个工作日前，</w:t>
      </w:r>
      <w:r>
        <w:rPr>
          <w:rFonts w:hint="eastAsia" w:ascii="仿宋" w:hAnsi="仿宋" w:eastAsia="仿宋" w:cs="仿宋"/>
          <w:color w:val="auto"/>
          <w:sz w:val="24"/>
        </w:rPr>
        <w:t>在原公告发布媒体上发布变更公告</w:t>
      </w:r>
      <w:r>
        <w:rPr>
          <w:rFonts w:hint="eastAsia" w:ascii="仿宋" w:hAnsi="仿宋" w:eastAsia="仿宋" w:cs="仿宋"/>
          <w:color w:val="auto"/>
          <w:sz w:val="24"/>
          <w:shd w:val="clear" w:color="auto" w:fill="FFFFFF"/>
        </w:rPr>
        <w:t>，以书面形式通知所有接收采购文件的供应商，不足3个工作日的，应当顺延首次递交响应文件截止时间。</w:t>
      </w:r>
    </w:p>
    <w:p w14:paraId="245BE39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9.2澄清或者修改的内容为采购文件的组成部分，对所有采购文件的收受人具有约束力。供应商在收到上述通知后，应及时向采购代理机构回函确认。</w:t>
      </w:r>
    </w:p>
    <w:p w14:paraId="4CEB9126">
      <w:pPr>
        <w:pStyle w:val="3"/>
        <w:adjustRightInd w:val="0"/>
        <w:snapToGrid w:val="0"/>
        <w:spacing w:before="240" w:beforeLines="100" w:after="120" w:afterLines="50" w:line="360" w:lineRule="auto"/>
        <w:jc w:val="center"/>
        <w:rPr>
          <w:rFonts w:ascii="仿宋" w:hAnsi="仿宋" w:eastAsia="仿宋" w:cs="仿宋"/>
          <w:color w:val="auto"/>
          <w:sz w:val="24"/>
        </w:rPr>
      </w:pPr>
      <w:bookmarkStart w:id="75" w:name="_Toc533340142"/>
      <w:bookmarkStart w:id="76" w:name="_Toc4485621"/>
      <w:r>
        <w:rPr>
          <w:rFonts w:hint="eastAsia" w:ascii="仿宋" w:hAnsi="仿宋" w:eastAsia="仿宋" w:cs="仿宋"/>
          <w:color w:val="auto"/>
          <w:sz w:val="24"/>
        </w:rPr>
        <w:t>四  响应文件的编制</w:t>
      </w:r>
      <w:bookmarkEnd w:id="75"/>
      <w:bookmarkEnd w:id="76"/>
    </w:p>
    <w:p w14:paraId="03E008D4">
      <w:pPr>
        <w:adjustRightInd w:val="0"/>
        <w:snapToGrid w:val="0"/>
        <w:spacing w:line="360" w:lineRule="auto"/>
        <w:rPr>
          <w:rFonts w:ascii="仿宋" w:hAnsi="仿宋" w:eastAsia="仿宋" w:cs="仿宋"/>
          <w:b/>
          <w:color w:val="auto"/>
          <w:sz w:val="24"/>
        </w:rPr>
      </w:pPr>
      <w:r>
        <w:rPr>
          <w:rFonts w:hint="eastAsia" w:ascii="仿宋" w:hAnsi="仿宋" w:eastAsia="仿宋" w:cs="仿宋"/>
          <w:b/>
          <w:bCs/>
          <w:color w:val="auto"/>
          <w:sz w:val="24"/>
        </w:rPr>
        <w:t>10.</w:t>
      </w:r>
      <w:r>
        <w:rPr>
          <w:rFonts w:hint="eastAsia" w:ascii="仿宋" w:hAnsi="仿宋" w:eastAsia="仿宋" w:cs="仿宋"/>
          <w:b/>
          <w:color w:val="auto"/>
          <w:sz w:val="24"/>
        </w:rPr>
        <w:t>响应范围</w:t>
      </w:r>
    </w:p>
    <w:p w14:paraId="6628F87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10.1项目有分包的，供应商可对采购文件其中某一个分包或几个分包进行响应。</w:t>
      </w:r>
    </w:p>
    <w:p w14:paraId="4AB7CE76">
      <w:pPr>
        <w:adjustRightInd w:val="0"/>
        <w:snapToGrid w:val="0"/>
        <w:spacing w:line="360" w:lineRule="auto"/>
        <w:rPr>
          <w:rFonts w:ascii="仿宋" w:hAnsi="仿宋" w:eastAsia="仿宋" w:cs="仿宋"/>
          <w:b/>
          <w:color w:val="auto"/>
          <w:sz w:val="24"/>
        </w:rPr>
      </w:pPr>
      <w:r>
        <w:rPr>
          <w:rFonts w:hint="eastAsia" w:ascii="仿宋" w:hAnsi="仿宋" w:eastAsia="仿宋" w:cs="仿宋"/>
          <w:color w:val="auto"/>
          <w:sz w:val="24"/>
        </w:rPr>
        <w:t>★10.2供应商应当对所响应分包采购文件中“采购需求”所列的所有服务内容进行响应，如仅响应分包中某一部分内容，其该包响应文件将被认定为</w:t>
      </w:r>
      <w:r>
        <w:rPr>
          <w:rFonts w:hint="eastAsia" w:ascii="仿宋" w:hAnsi="仿宋" w:eastAsia="仿宋" w:cs="仿宋"/>
          <w:b/>
          <w:color w:val="auto"/>
          <w:sz w:val="24"/>
        </w:rPr>
        <w:t>无效响应。</w:t>
      </w:r>
    </w:p>
    <w:p w14:paraId="250F112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10.3无论采购文件第三章采购需求中是否要求，供应商所响应的工程、货物、服务均应符合国家强制性标准。</w:t>
      </w:r>
    </w:p>
    <w:p w14:paraId="520D9E0F">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11.响应文件构成</w:t>
      </w:r>
    </w:p>
    <w:p w14:paraId="49160AA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★11.1供应商应完整地按采购文件提供的响应文件格式及要求编写响应文件。响应文件应包括资格证明文件、符合性证明文件、其它材料三部分。具体详见第二章 响应文件内容及格式。</w:t>
      </w:r>
    </w:p>
    <w:p w14:paraId="5450DDD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11.2供应商应按采购文件提供的格式编写响应文件。采购文件提供标准格式的按标准格式填列，未提供标准格式的可自行拟定。</w:t>
      </w:r>
    </w:p>
    <w:p w14:paraId="76498B3C">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★12.响应报价</w:t>
      </w:r>
    </w:p>
    <w:p w14:paraId="003F0E4E">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12.1所有响应均按供应商须知表12.1条中要求货币进行报价。供应商的响应报价应遵守《中华人民共和国价格法》。同时，根据《中华人民共和国政府采购法》第三条的规定，为保证公平竞争，如有服务主体部分的赠与行为，其响应文件将被认定为无效响应。</w:t>
      </w:r>
    </w:p>
    <w:p w14:paraId="147D46B4">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12.2供应商应按采购文件要求在相关表格中标明响应服务及伴随货物的单价和总价，并由法定代表人（非法人组织的负责人）或其委托代理人签署。</w:t>
      </w:r>
    </w:p>
    <w:p w14:paraId="5E2C9D62">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12.3供应商提交的最后报价,在合同履行过程中是固定不变的，不得以任何理由予以变更。任何包含价格调整要求的响应，其响应文件将被认定为无效响应。</w:t>
      </w:r>
    </w:p>
    <w:p w14:paraId="1EA7AE30">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12.4每种服务只能有一个响应报价。采购人不接受具有附加条件的报价。</w:t>
      </w:r>
    </w:p>
    <w:p w14:paraId="500A0FA8">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12.5除非采购文件另有规定，报价原则上精确到小数点后两位。</w:t>
      </w:r>
    </w:p>
    <w:p w14:paraId="1D7F0F1E">
      <w:pPr>
        <w:adjustRightInd w:val="0"/>
        <w:snapToGrid w:val="0"/>
        <w:spacing w:line="360" w:lineRule="auto"/>
        <w:jc w:val="left"/>
        <w:rPr>
          <w:rFonts w:ascii="仿宋" w:hAnsi="仿宋" w:eastAsia="仿宋" w:cs="仿宋"/>
          <w:b/>
          <w:color w:val="auto"/>
          <w:sz w:val="24"/>
        </w:rPr>
      </w:pPr>
      <w:r>
        <w:rPr>
          <w:rFonts w:hint="eastAsia" w:ascii="仿宋" w:hAnsi="仿宋" w:eastAsia="仿宋" w:cs="仿宋"/>
          <w:b/>
          <w:color w:val="auto"/>
          <w:sz w:val="24"/>
        </w:rPr>
        <w:t>★13.磋商保证金</w:t>
      </w:r>
    </w:p>
    <w:p w14:paraId="4253C3F3">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13.1供应商应提交供应商须知表13.1条中规定的磋商保证金，并作为其响应文件的一部分。</w:t>
      </w:r>
    </w:p>
    <w:p w14:paraId="52911B7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13.2磋商保证金缴纳人、采购文件领取人、提交响应文件登记人和供应商必须为同一组织机构或联合体内不同成员单位，否则将视同未按采购文件规定交纳保证金。</w:t>
      </w:r>
    </w:p>
    <w:p w14:paraId="64766224">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13.3供应商存在下列情形的，磋商保证金不予退还:</w:t>
      </w:r>
    </w:p>
    <w:p w14:paraId="3E6489C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（1）供应商在提交响应文件截止时间后撤回响应文件的；</w:t>
      </w:r>
    </w:p>
    <w:p w14:paraId="2A1E15B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（2）供应商在响应文件中提供虚假材料的；</w:t>
      </w:r>
    </w:p>
    <w:p w14:paraId="075933E1">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（3）成交后除因不可抗力或者采购文件认可的情形以外，不按本须知第36条的规定与采购人签订合同的；</w:t>
      </w:r>
    </w:p>
    <w:p w14:paraId="7E1A910F">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（4）成交后不按本须知第37条的规定提交履约保证金的;</w:t>
      </w:r>
    </w:p>
    <w:p w14:paraId="7893720E">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（5）成交后不按本须知第38条的规定缴纳采购代理服务费的;</w:t>
      </w:r>
    </w:p>
    <w:p w14:paraId="49A05A2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（6）采购文件规定的其他保证金不予退还情形或存在其他违法违规行为的。</w:t>
      </w:r>
    </w:p>
    <w:p w14:paraId="69FAF89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13.4联合体参加采购活动的，可以由联合体中的一方或者共同提交磋商保证金。以一方名义提交磋商保证金的，对联合体各方均具有约束力。</w:t>
      </w:r>
    </w:p>
    <w:p w14:paraId="2C9EEB0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13.5磋商保证金的退还</w:t>
      </w:r>
    </w:p>
    <w:p w14:paraId="789EC6E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13.5.1成交供应商应在与采购人签订合同之日起5个工作日内，及时联系保证金收受机构办理磋商保证金退还手续。</w:t>
      </w:r>
    </w:p>
    <w:p w14:paraId="0CA4228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13.5.2未成交供应商的保证金将在成交通知书发出之日暨成交结果公告公布之日起5个工作日内无息退还。供应商应及时联系保证金收受机构办理退还磋商保证金手续。</w:t>
      </w:r>
    </w:p>
    <w:p w14:paraId="6FB621B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578D400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13.5.4政府采购担保函不予退回。</w:t>
      </w:r>
    </w:p>
    <w:p w14:paraId="6BD288E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13.6因供应商自身原因导致无法及时退还的，采购人或采购代理机构将不承担相应责任。</w:t>
      </w:r>
    </w:p>
    <w:p w14:paraId="2AB3C644">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★14.证明响应标的的合格性和符合采购文件规定的技术文件</w:t>
      </w:r>
    </w:p>
    <w:p w14:paraId="3C6179C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14.供应商应提交证明文件，证明其响应内容符合采购文件规定。该证明文件是响应文件的一部分。</w:t>
      </w:r>
    </w:p>
    <w:p w14:paraId="6AC8840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14.2上款所述的证明文件，可以是文字资料、图纸和数据。</w:t>
      </w:r>
    </w:p>
    <w:p w14:paraId="394CC632">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★15.响应有效期</w:t>
      </w:r>
    </w:p>
    <w:p w14:paraId="626E229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15.1响应应在供应商须知表15.1条中规定的响应有效期内保持有效。响应有效期不满足要求的响应，其响应文件将被认定为无效响应。</w:t>
      </w:r>
    </w:p>
    <w:p w14:paraId="741B077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1A25C98C">
      <w:pPr>
        <w:adjustRightInd w:val="0"/>
        <w:snapToGrid w:val="0"/>
        <w:spacing w:line="360" w:lineRule="auto"/>
        <w:rPr>
          <w:rFonts w:ascii="仿宋" w:hAnsi="仿宋" w:eastAsia="仿宋" w:cs="仿宋"/>
          <w:b/>
          <w:color w:val="auto"/>
          <w:sz w:val="24"/>
        </w:rPr>
      </w:pPr>
      <w:bookmarkStart w:id="77" w:name="_Toc533340143"/>
      <w:bookmarkStart w:id="78" w:name="_Toc4485622"/>
      <w:r>
        <w:rPr>
          <w:rFonts w:hint="eastAsia" w:ascii="仿宋" w:hAnsi="仿宋" w:eastAsia="仿宋" w:cs="仿宋"/>
          <w:b/>
          <w:color w:val="auto"/>
          <w:sz w:val="24"/>
        </w:rPr>
        <w:t>16.响应文件的签署及规定</w:t>
      </w:r>
    </w:p>
    <w:p w14:paraId="34716DC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16.1供应商应按供应商须知表16.1款中的规定，准备和递交响应文件。</w:t>
      </w:r>
    </w:p>
    <w:p w14:paraId="6F65357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★16.3响应文件应当按竞争性磋商文件规定的格式进行编制、签署。</w:t>
      </w:r>
    </w:p>
    <w:p w14:paraId="348FBD51">
      <w:pPr>
        <w:pStyle w:val="3"/>
        <w:adjustRightInd w:val="0"/>
        <w:snapToGrid w:val="0"/>
        <w:spacing w:before="240" w:beforeLines="100" w:after="120" w:afterLines="50" w:line="360" w:lineRule="auto"/>
        <w:jc w:val="center"/>
        <w:rPr>
          <w:rFonts w:ascii="仿宋" w:hAnsi="仿宋" w:eastAsia="仿宋" w:cs="仿宋"/>
          <w:color w:val="auto"/>
          <w:sz w:val="24"/>
        </w:rPr>
      </w:pPr>
      <w:r>
        <w:rPr>
          <w:rFonts w:hint="eastAsia" w:ascii="仿宋" w:hAnsi="仿宋" w:eastAsia="仿宋" w:cs="仿宋"/>
          <w:color w:val="auto"/>
          <w:sz w:val="24"/>
        </w:rPr>
        <w:t>五 响应文件的递交</w:t>
      </w:r>
    </w:p>
    <w:p w14:paraId="320D409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★17.响应文件的密封和标记</w:t>
      </w:r>
    </w:p>
    <w:p w14:paraId="5A61F7B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17.1响应文件装封皮上应按本磋商文件“特别提醒”部分要求标注，并加盖投标供应商公章。</w:t>
      </w:r>
    </w:p>
    <w:p w14:paraId="76EBBDE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17.2如果供应商未按上述要求进行密封，其响应文件将被作</w:t>
      </w:r>
      <w:r>
        <w:rPr>
          <w:rFonts w:hint="eastAsia" w:ascii="仿宋" w:hAnsi="仿宋" w:eastAsia="仿宋" w:cs="仿宋"/>
          <w:b/>
          <w:color w:val="auto"/>
          <w:sz w:val="24"/>
        </w:rPr>
        <w:t>撤回处理</w:t>
      </w:r>
      <w:r>
        <w:rPr>
          <w:rFonts w:hint="eastAsia" w:ascii="仿宋" w:hAnsi="仿宋" w:eastAsia="仿宋" w:cs="仿宋"/>
          <w:color w:val="auto"/>
          <w:sz w:val="24"/>
        </w:rPr>
        <w:t>。</w:t>
      </w:r>
    </w:p>
    <w:p w14:paraId="0755062E">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★18.递交响应文件截止</w:t>
      </w:r>
    </w:p>
    <w:p w14:paraId="0A26D28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18.1供应商应在供应商须知表18.1条中规定的截止时间前，将响应文件递交到供应商须知表18.1条中规定的地点。</w:t>
      </w:r>
    </w:p>
    <w:p w14:paraId="5ADFC57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18.2采购人和采购代理机构有权按本须知的规定，延迟递交响应文件截止时间。在此情况下，采购人、采购代理机构和供应商受递交响应文件截止时间制约的所有权利和义务均应延长至新的截止时间。</w:t>
      </w:r>
    </w:p>
    <w:p w14:paraId="3FE23525">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★19.响应文件的接收、修改与撤回</w:t>
      </w:r>
    </w:p>
    <w:p w14:paraId="78D2720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19.1在递交响应文件截止时间后将无法递交响应文件，逾期现场送达的响应文件,采购人和采购代理机构将</w:t>
      </w:r>
      <w:r>
        <w:rPr>
          <w:rFonts w:hint="eastAsia" w:ascii="仿宋" w:hAnsi="仿宋" w:eastAsia="仿宋" w:cs="仿宋"/>
          <w:b/>
          <w:color w:val="auto"/>
          <w:sz w:val="24"/>
        </w:rPr>
        <w:t>拒绝接收。</w:t>
      </w:r>
    </w:p>
    <w:p w14:paraId="40183B8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19.2递交响应文件截止时间前，如果供应商要进行修改或撤回响应文件，自行进行操作。</w:t>
      </w:r>
    </w:p>
    <w:p w14:paraId="24F3058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19.3在提交响应文件截止时间之后，除需提交最后报价外，供应商不得对其响应文件做任何修改；</w:t>
      </w:r>
    </w:p>
    <w:p w14:paraId="5841C9D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19.4采购人和采购代理机构对所接收并继续进行磋商的响应文件概不退回。</w:t>
      </w:r>
    </w:p>
    <w:p w14:paraId="704599C9">
      <w:pPr>
        <w:pStyle w:val="3"/>
        <w:adjustRightInd w:val="0"/>
        <w:snapToGrid w:val="0"/>
        <w:spacing w:before="240" w:beforeLines="100" w:after="0" w:line="360" w:lineRule="auto"/>
        <w:jc w:val="center"/>
        <w:rPr>
          <w:rFonts w:ascii="仿宋" w:hAnsi="仿宋" w:eastAsia="仿宋" w:cs="仿宋"/>
          <w:color w:val="auto"/>
          <w:sz w:val="24"/>
        </w:rPr>
      </w:pPr>
      <w:r>
        <w:rPr>
          <w:rFonts w:hint="eastAsia" w:ascii="仿宋" w:hAnsi="仿宋" w:eastAsia="仿宋" w:cs="仿宋"/>
          <w:color w:val="auto"/>
          <w:sz w:val="24"/>
        </w:rPr>
        <w:t>六 磋商及评审</w:t>
      </w:r>
    </w:p>
    <w:p w14:paraId="75212176">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★20.磋商会议</w:t>
      </w:r>
    </w:p>
    <w:p w14:paraId="4208D49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20.1采购人和采购代理机构将按供应商须知表20.1条中规定的时间和地点组织磋商会议，并邀请所有供应商代表参加。</w:t>
      </w:r>
    </w:p>
    <w:p w14:paraId="3D2ECC3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供应商不足3家的，不得继续磋商。</w:t>
      </w:r>
    </w:p>
    <w:p w14:paraId="16773E7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20.2由供应商或其推选的代表检查响应文件的密封情况，确认无误后进行记录。</w:t>
      </w:r>
    </w:p>
    <w:p w14:paraId="619F7CF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20.3供应商代表对磋商会议过程有疑义，以及认为采购人、采购代理机构相关工作人员有需要回避的情形的，应当场提出询问或者回避申请。</w:t>
      </w:r>
    </w:p>
    <w:p w14:paraId="643C8DD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★21.组建磋商小组</w:t>
      </w:r>
    </w:p>
    <w:p w14:paraId="0C26797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21.1按照《政府采购竞争性磋商采购方式暂行办法》有关规定依法组建磋商小组，负责本项目评审工作。</w:t>
      </w:r>
    </w:p>
    <w:p w14:paraId="4C9F41B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21.2磋商小组由采购人代表和评审专家共3人以上单数组成。本项目磋商小组组成详见供应商须知表21.2条。</w:t>
      </w:r>
    </w:p>
    <w:p w14:paraId="04386A32">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★22.资格审查</w:t>
      </w:r>
    </w:p>
    <w:p w14:paraId="28296746">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仿宋" w:hAnsi="仿宋" w:eastAsia="仿宋" w:cs="仿宋"/>
          <w:color w:val="auto"/>
          <w:sz w:val="24"/>
          <w:shd w:val="clear" w:color="auto" w:fill="FFFFFF"/>
        </w:rPr>
        <w:t>，不得进入下一阶段评审。</w:t>
      </w:r>
    </w:p>
    <w:p w14:paraId="436D3CE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shd w:val="clear" w:color="auto" w:fill="FFFFFF"/>
        </w:rPr>
        <w:t>22.2</w:t>
      </w:r>
      <w:r>
        <w:rPr>
          <w:rFonts w:hint="eastAsia" w:ascii="仿宋" w:hAnsi="仿宋" w:eastAsia="仿宋" w:cs="仿宋"/>
          <w:color w:val="auto"/>
          <w:sz w:val="24"/>
        </w:rPr>
        <w:t>采购人或采购代理机构将在递交响应文件截止后2小时内查询供应商的信用记录。供应商存在不良信用记录的，其响应将被认定为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1ECA9E8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shd w:val="clear" w:color="auto" w:fill="FFFFFF"/>
        </w:rPr>
        <w:t>22.2.1</w:t>
      </w:r>
      <w:r>
        <w:rPr>
          <w:rFonts w:hint="eastAsia" w:ascii="仿宋" w:hAnsi="仿宋" w:eastAsia="仿宋" w:cs="仿宋"/>
          <w:color w:val="auto"/>
          <w:sz w:val="24"/>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660F0A8">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rPr>
        <w:t>以</w:t>
      </w:r>
      <w:r>
        <w:rPr>
          <w:rFonts w:hint="eastAsia" w:ascii="仿宋" w:hAnsi="仿宋" w:eastAsia="仿宋" w:cs="仿宋"/>
          <w:color w:val="auto"/>
          <w:sz w:val="24"/>
          <w:shd w:val="clear" w:color="auto" w:fill="FFFFFF"/>
        </w:rPr>
        <w:t>联合体形式参加政府采购活动的，联合体任何成员存在以上不良信用记录的，联合体响应文件将被认定为</w:t>
      </w:r>
      <w:r>
        <w:rPr>
          <w:rFonts w:hint="eastAsia" w:ascii="仿宋" w:hAnsi="仿宋" w:eastAsia="仿宋" w:cs="仿宋"/>
          <w:b/>
          <w:bCs/>
          <w:color w:val="auto"/>
          <w:sz w:val="24"/>
          <w:shd w:val="clear" w:color="auto" w:fill="FFFFFF"/>
        </w:rPr>
        <w:t>无效响应</w:t>
      </w:r>
      <w:r>
        <w:rPr>
          <w:rFonts w:hint="eastAsia" w:ascii="仿宋" w:hAnsi="仿宋" w:eastAsia="仿宋" w:cs="仿宋"/>
          <w:color w:val="auto"/>
          <w:sz w:val="24"/>
          <w:shd w:val="clear" w:color="auto" w:fill="FFFFFF"/>
        </w:rPr>
        <w:t>。</w:t>
      </w:r>
    </w:p>
    <w:p w14:paraId="334FB0C2">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22.2.2</w:t>
      </w:r>
      <w:r>
        <w:rPr>
          <w:rFonts w:hint="eastAsia" w:ascii="仿宋" w:hAnsi="仿宋" w:eastAsia="仿宋" w:cs="仿宋"/>
          <w:color w:val="auto"/>
          <w:sz w:val="24"/>
          <w:shd w:val="clear" w:color="auto" w:fill="FFFFFF"/>
        </w:rPr>
        <w:t>查询及记录方式：采购代理机构经办人将查询网页打印并存档备查。供应商不良信用记录以采购人或采购代理机构查询结果为准。</w:t>
      </w:r>
    </w:p>
    <w:p w14:paraId="50647184">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在本采购文件规定的查询时间之后，网站信息发生的任何变更均不再作为评审依据。</w:t>
      </w:r>
    </w:p>
    <w:p w14:paraId="682FDC49">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供应商在自行提供的与网站信息不一致的其他证明材料亦不作为资格审查依据。</w:t>
      </w:r>
    </w:p>
    <w:p w14:paraId="49DFAD01">
      <w:pPr>
        <w:adjustRightInd w:val="0"/>
        <w:snapToGrid w:val="0"/>
        <w:spacing w:line="360" w:lineRule="auto"/>
        <w:rPr>
          <w:rFonts w:ascii="仿宋" w:hAnsi="仿宋" w:eastAsia="仿宋" w:cs="仿宋"/>
          <w:b/>
          <w:color w:val="auto"/>
          <w:sz w:val="24"/>
          <w:shd w:val="clear" w:color="auto" w:fill="FFFFFF"/>
        </w:rPr>
      </w:pPr>
      <w:r>
        <w:rPr>
          <w:rFonts w:hint="eastAsia" w:ascii="仿宋" w:hAnsi="仿宋" w:eastAsia="仿宋" w:cs="仿宋"/>
          <w:b/>
          <w:color w:val="auto"/>
          <w:sz w:val="24"/>
        </w:rPr>
        <w:t>★</w:t>
      </w:r>
      <w:r>
        <w:rPr>
          <w:rFonts w:hint="eastAsia" w:ascii="仿宋" w:hAnsi="仿宋" w:eastAsia="仿宋" w:cs="仿宋"/>
          <w:b/>
          <w:color w:val="auto"/>
          <w:sz w:val="24"/>
          <w:shd w:val="clear" w:color="auto" w:fill="FFFFFF"/>
        </w:rPr>
        <w:t>23.符合性审查</w:t>
      </w:r>
    </w:p>
    <w:p w14:paraId="02A83F1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 w:hAnsi="仿宋" w:eastAsia="仿宋" w:cs="仿宋"/>
          <w:color w:val="auto"/>
          <w:sz w:val="24"/>
        </w:rPr>
        <w:t>供应商应按照第二章《响应文件内容及格式》中的相应要求，提交符合性证明材料。未通过符合性审查的供应商不能进入下一阶段评审，其响应将被认定为</w:t>
      </w:r>
      <w:r>
        <w:rPr>
          <w:rFonts w:hint="eastAsia" w:ascii="仿宋" w:hAnsi="仿宋" w:eastAsia="仿宋" w:cs="仿宋"/>
          <w:b/>
          <w:bCs/>
          <w:color w:val="auto"/>
          <w:sz w:val="24"/>
        </w:rPr>
        <w:t>无效响应</w:t>
      </w:r>
      <w:r>
        <w:rPr>
          <w:rFonts w:hint="eastAsia" w:ascii="仿宋" w:hAnsi="仿宋" w:eastAsia="仿宋" w:cs="仿宋"/>
          <w:color w:val="auto"/>
          <w:sz w:val="24"/>
        </w:rPr>
        <w:t>；通过符合性审查的供应商数量不足3家的，不得作进一步的比较和评价，本须知第23.2条规定的情形除外。</w:t>
      </w:r>
    </w:p>
    <w:p w14:paraId="41BC8DA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23.2采用竞争性磋商采购方式采购的政府购买服务项目（含政府和社会资本合作项目），在采购过程中通过符合性审查的供应商（社会资本）只有2家的，竞争性磋商采购活动可以继续进行。</w:t>
      </w:r>
    </w:p>
    <w:p w14:paraId="6C345CAE">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24.响应文件的澄清</w:t>
      </w:r>
    </w:p>
    <w:p w14:paraId="03B7663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w:t>
      </w:r>
      <w:r>
        <w:rPr>
          <w:rFonts w:hint="eastAsia" w:ascii="仿宋" w:hAnsi="仿宋" w:eastAsia="仿宋" w:cs="仿宋"/>
          <w:color w:val="auto"/>
          <w:sz w:val="24"/>
          <w:shd w:val="clear" w:color="auto" w:fill="FFFFFF"/>
        </w:rPr>
        <w:t>在磋商期间，磋商小组可以书面要求供应商对其响应文件中含义不明确、同类问题表述不一致或者有明显文字和计算错误的内容</w:t>
      </w:r>
      <w:r>
        <w:rPr>
          <w:rFonts w:hint="eastAsia" w:ascii="仿宋" w:hAnsi="仿宋" w:eastAsia="仿宋" w:cs="仿宋"/>
          <w:color w:val="auto"/>
          <w:sz w:val="24"/>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1E21A10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24.1.1供应商的澄清、说明或者补正应当由法定代表人（或非法人组织负责人）或其授权代表签字或者加盖公章。供应商为自然人的，应当由本人签字并附身份证明。</w:t>
      </w:r>
    </w:p>
    <w:p w14:paraId="19CC250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24.1.2供应商的澄清、说明或补正将作为响应文件的一部分。</w:t>
      </w:r>
    </w:p>
    <w:p w14:paraId="26632FA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24.2响应文件报价出现前后不一致的，按照下列规定修正：</w:t>
      </w:r>
    </w:p>
    <w:p w14:paraId="002A7DD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（1）响应文件中报价一览表内容与响应文件中相应内容不一致的，以报价一览表为准；</w:t>
      </w:r>
    </w:p>
    <w:p w14:paraId="2F900D1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（2）大写金额和小写金额不一致的，以大写金额为准；</w:t>
      </w:r>
    </w:p>
    <w:p w14:paraId="20C08B8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（3）单价金额小数点或者百分比有明显错位的，以报价一览表的总价为准，并修改单价；</w:t>
      </w:r>
    </w:p>
    <w:p w14:paraId="1C7311F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（4）总价金额与按单价汇总金额不一致的，以单价金额计算结果为准。</w:t>
      </w:r>
    </w:p>
    <w:p w14:paraId="10885903">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同时出现两种以上不一致的，按照前款规定的顺序修正。修正后的报价经供应商确认后产生约束力，供应商不确认的，其响应文件将被认定为无效响应。</w:t>
      </w:r>
    </w:p>
    <w:p w14:paraId="48B743A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24.3</w:t>
      </w:r>
      <w:r>
        <w:rPr>
          <w:rFonts w:hint="eastAsia" w:ascii="仿宋" w:hAnsi="仿宋" w:eastAsia="仿宋" w:cs="仿宋"/>
          <w:bCs/>
          <w:color w:val="auto"/>
          <w:sz w:val="24"/>
        </w:rPr>
        <w:t>磋商小组认为</w:t>
      </w:r>
      <w:r>
        <w:rPr>
          <w:rFonts w:hint="eastAsia" w:ascii="仿宋" w:hAnsi="仿宋" w:eastAsia="仿宋" w:cs="仿宋"/>
          <w:color w:val="auto"/>
          <w:sz w:val="24"/>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提交证明材料的合理时间按第五章 评审办法规定执行。</w:t>
      </w:r>
    </w:p>
    <w:p w14:paraId="7E5E375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★25.磋商</w:t>
      </w:r>
    </w:p>
    <w:p w14:paraId="58405E1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47D28BC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25.2在磋商过程中，磋商小组可以根据采购文件和磋商情况，</w:t>
      </w:r>
      <w:r>
        <w:rPr>
          <w:rFonts w:hint="eastAsia" w:ascii="仿宋" w:hAnsi="仿宋" w:eastAsia="仿宋" w:cs="仿宋"/>
          <w:b/>
          <w:color w:val="auto"/>
          <w:sz w:val="24"/>
        </w:rPr>
        <w:t>经采购人代表确认后</w:t>
      </w:r>
      <w:r>
        <w:rPr>
          <w:rFonts w:hint="eastAsia" w:ascii="仿宋" w:hAnsi="仿宋" w:eastAsia="仿宋" w:cs="仿宋"/>
          <w:color w:val="auto"/>
          <w:sz w:val="24"/>
        </w:rPr>
        <w:t>变动采购需求中的技术、服务要求以及合同草案条例等实质性内容。</w:t>
      </w:r>
    </w:p>
    <w:p w14:paraId="7CDB6B7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25.3对采购文件作出实质性变动是采购文件的有效组成部分，磋商小组将以书面形式同时通知所有参加磋商的供应商。</w:t>
      </w:r>
    </w:p>
    <w:p w14:paraId="6909B7D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1BD94478">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★26.最后报价</w:t>
      </w:r>
    </w:p>
    <w:p w14:paraId="742A85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26.1磋商结束后，磋商小组将要求所有实质性响应的供应商在规定时间内提交最后报价，且提交最后报价的供应商不少于3家。</w:t>
      </w:r>
    </w:p>
    <w:p w14:paraId="75DD28C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26.2最后报价是供应商响应文件的有效组成部分。</w:t>
      </w:r>
    </w:p>
    <w:p w14:paraId="42475E3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26.3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02F6AD7B">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★27.响应无效</w:t>
      </w:r>
    </w:p>
    <w:p w14:paraId="68A712B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27.1 在比较与评价之前，根据本须知的规定，磋商小组将审查每份响应文件是否实质上响应了采购文件的要求。</w:t>
      </w:r>
    </w:p>
    <w:p w14:paraId="0498D8A0">
      <w:pPr>
        <w:adjustRightInd w:val="0"/>
        <w:snapToGri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实质性要求是指采购文件中带有★号标识内容（包括本级及其下级编号中所有内容）等文字说明的要求。</w:t>
      </w:r>
    </w:p>
    <w:p w14:paraId="5DB3684F">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kern w:val="0"/>
          <w:sz w:val="24"/>
        </w:rPr>
        <w:t>对采购文件的实质性要求进行响应是指与采购文件中带有★号标识内容的文字说明、条款、条件和规格等要求相符。</w:t>
      </w:r>
    </w:p>
    <w:p w14:paraId="146E5A8D">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如果响应文件没有对采购文件的实质性要求进行响应，将作为</w:t>
      </w:r>
      <w:r>
        <w:rPr>
          <w:rFonts w:hint="eastAsia" w:ascii="仿宋" w:hAnsi="仿宋" w:eastAsia="仿宋" w:cs="仿宋"/>
          <w:b/>
          <w:bCs/>
          <w:color w:val="auto"/>
          <w:sz w:val="24"/>
        </w:rPr>
        <w:t>无效响应</w:t>
      </w:r>
      <w:r>
        <w:rPr>
          <w:rFonts w:hint="eastAsia" w:ascii="仿宋" w:hAnsi="仿宋" w:eastAsia="仿宋" w:cs="仿宋"/>
          <w:color w:val="auto"/>
          <w:sz w:val="24"/>
        </w:rPr>
        <w:t>处理，供应商不得再对响应文件进行任何修正从而使其响应成为实质上响应。</w:t>
      </w:r>
    </w:p>
    <w:p w14:paraId="2BE47B51">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磋商小组决定是否实质性响应只根据采购文件要求、响应文件内容及财政主管部门指定媒体发布的相关信息。</w:t>
      </w:r>
    </w:p>
    <w:p w14:paraId="260292C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27.2如发现下列情况之一的，其响应文件将被认定为无效响应：</w:t>
      </w:r>
    </w:p>
    <w:p w14:paraId="622D0B9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（1）未按采购文件的规定提交磋商保证金的；</w:t>
      </w:r>
    </w:p>
    <w:p w14:paraId="12690C9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（2）未按照采购文件规定要求签署、盖章的；</w:t>
      </w:r>
    </w:p>
    <w:p w14:paraId="050E586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（3）供应商的报价超过了采购文件中规定的预算金额或者最高限价的；</w:t>
      </w:r>
    </w:p>
    <w:p w14:paraId="701A44D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（4）不具备采购文件中规定的资格要求的；</w:t>
      </w:r>
    </w:p>
    <w:p w14:paraId="28B4D0B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（5）不符合法律、法规和采购文件中规定的实质性要求的。</w:t>
      </w:r>
    </w:p>
    <w:p w14:paraId="0F1ED15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（6）磋商小组认为供应商的报价明显低于其他通过符合性审查供应商的报价，有可能影响履约的，且供应商未按照规定证明其报价合理性的；</w:t>
      </w:r>
    </w:p>
    <w:p w14:paraId="069F3C6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（7）响应文件含有采购人不能接受的附加条件的；</w:t>
      </w:r>
    </w:p>
    <w:p w14:paraId="7284C4DE">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（8）属于法律、法规和采购文件中规定的其他无效响应情形的。</w:t>
      </w:r>
    </w:p>
    <w:p w14:paraId="60C73FE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28.比较与评价</w:t>
      </w:r>
    </w:p>
    <w:p w14:paraId="63BE450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28.1经符合性审查合格的响应文件，磋商小组将根据采购文件第五章确定的评审办法，对其技术部分和商务部分作进一步的比较和评价。</w:t>
      </w:r>
    </w:p>
    <w:p w14:paraId="2FA5C3B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28.2评审严格按照采购文件的要求和条件进行。按照供应商须知表28.2条规定的综合评分法进行评审，详细评审标准见采购文件第五章 评审方法。</w:t>
      </w:r>
    </w:p>
    <w:p w14:paraId="4E10505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综合评分法，是指响应文件满足采购文件全部实质性要求且按评审因素的量化指标评审得分最高的供应商为成交候选供应商的评审方法。</w:t>
      </w:r>
    </w:p>
    <w:p w14:paraId="64FF49E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★29.终止本次磋商</w:t>
      </w:r>
    </w:p>
    <w:p w14:paraId="2AE76CA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出现下列情形之一的，采购人或采购代理机构应当终止本次竞争性磋商。</w:t>
      </w:r>
    </w:p>
    <w:p w14:paraId="05E8E98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（1）因情况变化，不再符合规定的竞争性磋商采购方式适用情形的；</w:t>
      </w:r>
    </w:p>
    <w:p w14:paraId="3A2EB7D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（2）出现影响采购公正的违法、违规行为的；</w:t>
      </w:r>
    </w:p>
    <w:p w14:paraId="3EF2104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（3）在采购过程中符合要求的供应商或者报价未超过采购预算或最高限价的供应商不足3家的。</w:t>
      </w:r>
    </w:p>
    <w:p w14:paraId="4CFAE7E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（4）因重大变故，采购任务取消的。</w:t>
      </w:r>
    </w:p>
    <w:p w14:paraId="2F8D622B">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30.成交候选供应商的推荐原则及标准</w:t>
      </w:r>
    </w:p>
    <w:p w14:paraId="647155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30.1除第33条规定外，磋商结束后，除了算数修正和落实政府采购政策需进行的价格扣除外，不对供应商的响应价格进行任何调整。评审结果按照得分由高至低的顺序排序。具体处理办法详见第五章 评审方法。</w:t>
      </w:r>
    </w:p>
    <w:p w14:paraId="30F0F67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30.2磋商小组将按供应商须知表30.2条中规定的数量推荐成交候选供应商。</w:t>
      </w:r>
    </w:p>
    <w:p w14:paraId="33CAEC7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30.3因推荐成交候选供应商名单产生其他问题，由磋商小组集体研究处理。</w:t>
      </w:r>
    </w:p>
    <w:p w14:paraId="0B600869">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★31.保密原则</w:t>
      </w:r>
    </w:p>
    <w:p w14:paraId="3E54939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31.1评审将在严格保密的情况下进行。</w:t>
      </w:r>
    </w:p>
    <w:p w14:paraId="07385C4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31.2有关人员应当遵守评审工作纪律，不得泄露评审文件、评审情况和评审过程中获悉的国家秘密、商业秘密。</w:t>
      </w:r>
    </w:p>
    <w:p w14:paraId="230E0107">
      <w:pPr>
        <w:pStyle w:val="3"/>
        <w:adjustRightInd w:val="0"/>
        <w:snapToGrid w:val="0"/>
        <w:spacing w:before="120" w:beforeLines="50" w:after="0" w:line="360" w:lineRule="auto"/>
        <w:jc w:val="center"/>
        <w:rPr>
          <w:rFonts w:ascii="仿宋" w:hAnsi="仿宋" w:eastAsia="仿宋" w:cs="仿宋"/>
          <w:color w:val="auto"/>
          <w:sz w:val="24"/>
        </w:rPr>
      </w:pPr>
      <w:r>
        <w:rPr>
          <w:rFonts w:hint="eastAsia" w:ascii="仿宋" w:hAnsi="仿宋" w:eastAsia="仿宋" w:cs="仿宋"/>
          <w:color w:val="auto"/>
          <w:sz w:val="24"/>
        </w:rPr>
        <w:t>七 确定成交</w:t>
      </w:r>
    </w:p>
    <w:p w14:paraId="0EF11E2C">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32.确定成交供应商</w:t>
      </w:r>
    </w:p>
    <w:p w14:paraId="03D09867">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32条。</w:t>
      </w:r>
    </w:p>
    <w:p w14:paraId="0CCC2F36">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★33.采购任务取消</w:t>
      </w:r>
    </w:p>
    <w:p w14:paraId="2F3B0C56">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因重大变故采购任务取消时，采购人有权拒绝任何供应商成交，且对受影响的供应商不承担任何责任。</w:t>
      </w:r>
    </w:p>
    <w:p w14:paraId="3F98BFD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34.成交通知书</w:t>
      </w:r>
    </w:p>
    <w:p w14:paraId="00F692F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34.1采购人或者采购代理机构应当在成交供应商确定之日起2个工作日内，在云南省政府采购网上公告成交结果，同时向成交供应商发出成交通知书。</w:t>
      </w:r>
    </w:p>
    <w:p w14:paraId="3C50C20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34.2成交通知书是合同的组成部分。</w:t>
      </w:r>
    </w:p>
    <w:p w14:paraId="0F8926A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★35.签订合同</w:t>
      </w:r>
    </w:p>
    <w:p w14:paraId="19B71ED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35.1成交供应商应当自发出成交通知书之日起 30 日内，按照采购文件确定的合同文本以及采购标的、采购金额、采购数量、技术和服务要求等事项签订政府采购合同。</w:t>
      </w:r>
    </w:p>
    <w:p w14:paraId="1834487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35.2除不可抗力等因素外，成交通知书发出后，采购人改变成交结果，或者成交供应商拒绝签订政府采购合同的，应当承担相应的法律责任。</w:t>
      </w:r>
    </w:p>
    <w:p w14:paraId="7688BAF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14:paraId="2DDABD0A">
      <w:pPr>
        <w:adjustRightInd w:val="0"/>
        <w:snapToGrid w:val="0"/>
        <w:spacing w:line="360" w:lineRule="auto"/>
        <w:rPr>
          <w:rFonts w:ascii="仿宋" w:hAnsi="仿宋" w:eastAsia="仿宋" w:cs="仿宋"/>
          <w:color w:val="auto"/>
          <w:kern w:val="0"/>
          <w:sz w:val="24"/>
        </w:rPr>
      </w:pPr>
      <w:r>
        <w:rPr>
          <w:rFonts w:hint="eastAsia" w:ascii="仿宋" w:hAnsi="仿宋" w:eastAsia="仿宋" w:cs="仿宋"/>
          <w:color w:val="auto"/>
          <w:sz w:val="24"/>
        </w:rPr>
        <w:t>35.4成交供应商拒绝与采购人签订合同的，采购人可以按照评审报告推荐的成交候选供应商名单排序，确定下一成交候选供应商为成交供应商，也可以重新开展政府采购活动。采购人重新确定成交供应商的应当书面报告财政部门。拒绝签订政府采购合同的成交供应商不得参加对该项目重新开展的采购活动</w:t>
      </w:r>
      <w:r>
        <w:rPr>
          <w:rFonts w:hint="eastAsia" w:ascii="仿宋" w:hAnsi="仿宋" w:eastAsia="仿宋" w:cs="仿宋"/>
          <w:color w:val="auto"/>
          <w:kern w:val="0"/>
          <w:sz w:val="24"/>
        </w:rPr>
        <w:t>。</w:t>
      </w:r>
    </w:p>
    <w:p w14:paraId="5A65847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★36.履约保证金</w:t>
      </w:r>
    </w:p>
    <w:p w14:paraId="77A60F3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36.1成交供应商应按照供应商须知表36.1条规定向采购人缴纳履约保证金。</w:t>
      </w:r>
    </w:p>
    <w:p w14:paraId="6E87177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36.2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BC8BD83">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★37.采购代理服务费</w:t>
      </w:r>
    </w:p>
    <w:p w14:paraId="46571B5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成交供应商须按照供应商须知表37条规定，向采购代理机构支付采购代理服务费。</w:t>
      </w:r>
    </w:p>
    <w:p w14:paraId="5C14773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38.廉洁自律规定</w:t>
      </w:r>
    </w:p>
    <w:p w14:paraId="0FF2D90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38.1采购代理机构工作人员不得以不正当手段获取政府采购代理业务，不得与采购人、供应商恶意串通操纵政府采购活动。</w:t>
      </w:r>
    </w:p>
    <w:p w14:paraId="10AD9B5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38.2采购代理机构工作人员不得接受采购人或者供应商组织的宴请、旅游、娱乐，不得收受礼品、现金、有价证券等。</w:t>
      </w:r>
    </w:p>
    <w:p w14:paraId="32F7D725">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39.人员回避</w:t>
      </w:r>
    </w:p>
    <w:p w14:paraId="6AE71EC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供应商认为采购人及其相关人员有法律法规所列与其他供应商有利害关系的，可以向采购人或采购代理机构书面提出回避申请，并说明理由。</w:t>
      </w:r>
    </w:p>
    <w:p w14:paraId="28570A11">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40.质疑与投诉</w:t>
      </w:r>
    </w:p>
    <w:p w14:paraId="7C66350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212C0EB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40.2质疑供应商应按照财政部门制定的《政府采购质疑函范本》格式（详见竞争性磋商文件第七章）和《政府采购质疑和投诉办法》的要求，在法定质疑期内以纸质形式提出质疑，针对同一采购程序环节的质疑应一次性提出。</w:t>
      </w:r>
    </w:p>
    <w:p w14:paraId="00D246D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超出法定质疑期的、重复提出的、分次提出的或内容、形式不符合《政府采购质疑和投诉办法》的，质疑供应商将依法承担不利后果。</w:t>
      </w:r>
    </w:p>
    <w:p w14:paraId="1A3EE1D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40.3采购代理机构质疑函接收部门、联系电话和通讯地址, 见供应商须知表41.3条。</w:t>
      </w:r>
    </w:p>
    <w:p w14:paraId="3718946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42.履约验收</w:t>
      </w:r>
    </w:p>
    <w:p w14:paraId="6904669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本项目采购人及其委托的采购代理机构将严格按照政府采购相关法律法规的要求进行验收。</w:t>
      </w:r>
    </w:p>
    <w:p w14:paraId="3967B87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43.其他补充内容</w:t>
      </w:r>
    </w:p>
    <w:p w14:paraId="6FFBD36C">
      <w:pPr>
        <w:pStyle w:val="2"/>
        <w:adjustRightInd w:val="0"/>
        <w:snapToGrid w:val="0"/>
        <w:spacing w:before="0" w:after="0" w:line="240" w:lineRule="auto"/>
        <w:jc w:val="center"/>
        <w:rPr>
          <w:rFonts w:ascii="仿宋" w:hAnsi="仿宋" w:eastAsia="仿宋" w:cs="仿宋"/>
          <w:color w:val="auto"/>
        </w:rPr>
      </w:pPr>
      <w:bookmarkStart w:id="79" w:name="_Toc4485625"/>
      <w:r>
        <w:rPr>
          <w:rFonts w:hint="eastAsia" w:ascii="仿宋" w:hAnsi="仿宋" w:eastAsia="仿宋" w:cs="仿宋"/>
          <w:color w:val="auto"/>
        </w:rPr>
        <w:br w:type="page"/>
      </w:r>
      <w:bookmarkStart w:id="80" w:name="_Toc10394"/>
      <w:r>
        <w:rPr>
          <w:rFonts w:hint="eastAsia" w:ascii="仿宋" w:hAnsi="仿宋" w:eastAsia="仿宋" w:cs="仿宋"/>
          <w:color w:val="auto"/>
        </w:rPr>
        <w:t>第二章 响应文件内容及格式</w:t>
      </w:r>
      <w:bookmarkEnd w:id="79"/>
      <w:bookmarkEnd w:id="80"/>
    </w:p>
    <w:bookmarkEnd w:id="77"/>
    <w:bookmarkEnd w:id="78"/>
    <w:p w14:paraId="29CD826F">
      <w:pPr>
        <w:spacing w:line="360" w:lineRule="auto"/>
        <w:jc w:val="center"/>
        <w:rPr>
          <w:rFonts w:ascii="仿宋" w:hAnsi="仿宋" w:eastAsia="仿宋" w:cs="仿宋"/>
          <w:b/>
          <w:bCs/>
          <w:color w:val="auto"/>
          <w:kern w:val="0"/>
          <w:sz w:val="36"/>
          <w:szCs w:val="36"/>
        </w:rPr>
      </w:pPr>
      <w:bookmarkStart w:id="81" w:name="投标文件内容及格式：Block"/>
      <w:bookmarkEnd w:id="81"/>
      <w:bookmarkStart w:id="82" w:name="sys_投标文件内容及格式：Block"/>
      <w:bookmarkEnd w:id="82"/>
      <w:bookmarkStart w:id="83" w:name="_Toc308530185"/>
      <w:bookmarkStart w:id="84" w:name="_Toc308530464"/>
    </w:p>
    <w:p w14:paraId="48EAC2A0">
      <w:pPr>
        <w:spacing w:line="360" w:lineRule="auto"/>
        <w:jc w:val="center"/>
        <w:rPr>
          <w:rFonts w:ascii="仿宋" w:hAnsi="仿宋" w:eastAsia="仿宋" w:cs="仿宋"/>
          <w:b/>
          <w:color w:val="auto"/>
          <w:sz w:val="96"/>
          <w:szCs w:val="96"/>
        </w:rPr>
      </w:pPr>
      <w:r>
        <w:rPr>
          <w:rFonts w:hint="eastAsia" w:ascii="仿宋" w:hAnsi="仿宋" w:eastAsia="仿宋" w:cs="仿宋"/>
          <w:b/>
          <w:bCs/>
          <w:color w:val="auto"/>
          <w:kern w:val="0"/>
          <w:sz w:val="48"/>
          <w:szCs w:val="48"/>
        </w:rPr>
        <w:t>昆明市晋宁区人民法院移动安全办案办公服务项目</w:t>
      </w:r>
    </w:p>
    <w:p w14:paraId="7FA47DF5">
      <w:pPr>
        <w:spacing w:line="360" w:lineRule="auto"/>
        <w:jc w:val="center"/>
        <w:rPr>
          <w:rFonts w:ascii="仿宋" w:hAnsi="仿宋" w:eastAsia="仿宋" w:cs="仿宋"/>
          <w:b/>
          <w:color w:val="auto"/>
          <w:sz w:val="96"/>
          <w:szCs w:val="96"/>
        </w:rPr>
      </w:pPr>
    </w:p>
    <w:p w14:paraId="5E4819D5">
      <w:pPr>
        <w:spacing w:line="360" w:lineRule="auto"/>
        <w:jc w:val="center"/>
        <w:rPr>
          <w:rFonts w:ascii="仿宋" w:hAnsi="仿宋" w:eastAsia="仿宋" w:cs="仿宋"/>
          <w:b/>
          <w:color w:val="auto"/>
          <w:sz w:val="96"/>
          <w:szCs w:val="96"/>
        </w:rPr>
      </w:pPr>
      <w:r>
        <w:rPr>
          <w:rFonts w:hint="eastAsia" w:ascii="仿宋" w:hAnsi="仿宋" w:eastAsia="仿宋" w:cs="仿宋"/>
          <w:b/>
          <w:color w:val="auto"/>
          <w:sz w:val="96"/>
          <w:szCs w:val="96"/>
        </w:rPr>
        <w:t>响应文件</w:t>
      </w:r>
    </w:p>
    <w:p w14:paraId="2568C87A">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0"/>
          <w:szCs w:val="30"/>
        </w:rPr>
        <w:t>项目编号：KMKHZB[2026]1-037</w:t>
      </w:r>
    </w:p>
    <w:p w14:paraId="404C6DA5">
      <w:pPr>
        <w:spacing w:line="360" w:lineRule="auto"/>
        <w:rPr>
          <w:rFonts w:ascii="仿宋" w:hAnsi="仿宋" w:eastAsia="仿宋" w:cs="仿宋"/>
          <w:b/>
          <w:color w:val="auto"/>
          <w:sz w:val="32"/>
          <w:szCs w:val="32"/>
        </w:rPr>
      </w:pPr>
    </w:p>
    <w:p w14:paraId="40DE494F">
      <w:pPr>
        <w:spacing w:line="360" w:lineRule="auto"/>
        <w:ind w:firstLine="1134" w:firstLineChars="353"/>
        <w:rPr>
          <w:rFonts w:ascii="仿宋" w:hAnsi="仿宋" w:eastAsia="仿宋" w:cs="仿宋"/>
          <w:b/>
          <w:color w:val="auto"/>
          <w:sz w:val="32"/>
          <w:szCs w:val="32"/>
        </w:rPr>
      </w:pPr>
    </w:p>
    <w:p w14:paraId="2841AA80">
      <w:pPr>
        <w:spacing w:line="360" w:lineRule="auto"/>
        <w:ind w:firstLine="1134" w:firstLineChars="353"/>
        <w:rPr>
          <w:rFonts w:ascii="仿宋" w:hAnsi="仿宋" w:eastAsia="仿宋" w:cs="仿宋"/>
          <w:b/>
          <w:color w:val="auto"/>
          <w:sz w:val="32"/>
          <w:szCs w:val="32"/>
        </w:rPr>
      </w:pPr>
    </w:p>
    <w:p w14:paraId="3B5FEF80">
      <w:pPr>
        <w:spacing w:line="360" w:lineRule="auto"/>
        <w:ind w:firstLine="1134" w:firstLineChars="353"/>
        <w:rPr>
          <w:rFonts w:ascii="仿宋" w:hAnsi="仿宋" w:eastAsia="仿宋" w:cs="仿宋"/>
          <w:b/>
          <w:color w:val="auto"/>
          <w:sz w:val="32"/>
          <w:szCs w:val="32"/>
        </w:rPr>
      </w:pPr>
    </w:p>
    <w:bookmarkEnd w:id="83"/>
    <w:bookmarkEnd w:id="84"/>
    <w:p w14:paraId="353CBD62">
      <w:pPr>
        <w:spacing w:line="360" w:lineRule="auto"/>
        <w:ind w:left="420" w:leftChars="0" w:firstLine="420" w:firstLineChars="0"/>
        <w:rPr>
          <w:rFonts w:ascii="仿宋" w:hAnsi="仿宋" w:eastAsia="仿宋" w:cs="仿宋"/>
          <w:b/>
          <w:color w:val="auto"/>
          <w:sz w:val="32"/>
          <w:szCs w:val="32"/>
        </w:rPr>
      </w:pPr>
      <w:r>
        <w:rPr>
          <w:rFonts w:hint="eastAsia" w:ascii="仿宋" w:hAnsi="仿宋" w:eastAsia="仿宋" w:cs="仿宋"/>
          <w:b/>
          <w:color w:val="auto"/>
          <w:sz w:val="32"/>
          <w:szCs w:val="32"/>
        </w:rPr>
        <w:t xml:space="preserve">供应商名称（电子签章）：           </w:t>
      </w:r>
    </w:p>
    <w:p w14:paraId="1EAF7807">
      <w:pPr>
        <w:spacing w:line="360" w:lineRule="auto"/>
        <w:ind w:left="420" w:leftChars="0" w:firstLine="420" w:firstLineChars="0"/>
        <w:rPr>
          <w:rFonts w:ascii="仿宋" w:hAnsi="仿宋" w:eastAsia="仿宋" w:cs="仿宋"/>
          <w:b/>
          <w:color w:val="auto"/>
          <w:sz w:val="32"/>
          <w:szCs w:val="32"/>
        </w:rPr>
      </w:pPr>
      <w:r>
        <w:rPr>
          <w:rFonts w:hint="eastAsia" w:ascii="仿宋" w:hAnsi="仿宋" w:eastAsia="仿宋" w:cs="仿宋"/>
          <w:b/>
          <w:color w:val="auto"/>
          <w:sz w:val="32"/>
          <w:szCs w:val="32"/>
        </w:rPr>
        <w:t xml:space="preserve">法定代表人（电子签章）：           </w:t>
      </w:r>
    </w:p>
    <w:p w14:paraId="786D8589">
      <w:pPr>
        <w:spacing w:line="360" w:lineRule="auto"/>
        <w:ind w:firstLine="2091" w:firstLineChars="651"/>
        <w:rPr>
          <w:rFonts w:ascii="仿宋" w:hAnsi="仿宋" w:eastAsia="仿宋" w:cs="仿宋"/>
          <w:color w:val="auto"/>
          <w:sz w:val="30"/>
          <w:szCs w:val="30"/>
        </w:rPr>
      </w:pP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年</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日</w:t>
      </w:r>
      <w:r>
        <w:rPr>
          <w:rFonts w:hint="eastAsia" w:ascii="仿宋" w:hAnsi="仿宋" w:eastAsia="仿宋" w:cs="仿宋"/>
          <w:color w:val="auto"/>
          <w:szCs w:val="21"/>
        </w:rPr>
        <w:br w:type="page"/>
      </w:r>
      <w:r>
        <w:rPr>
          <w:rFonts w:hint="eastAsia" w:ascii="仿宋" w:hAnsi="仿宋" w:eastAsia="仿宋" w:cs="仿宋"/>
          <w:b/>
          <w:bCs/>
          <w:color w:val="auto"/>
          <w:sz w:val="32"/>
          <w:szCs w:val="32"/>
        </w:rPr>
        <w:t>一、资格证明材料</w:t>
      </w:r>
    </w:p>
    <w:p w14:paraId="39BD1509">
      <w:pPr>
        <w:pStyle w:val="3"/>
        <w:rPr>
          <w:rFonts w:ascii="仿宋" w:hAnsi="仿宋" w:eastAsia="仿宋" w:cs="仿宋"/>
          <w:color w:val="auto"/>
          <w:sz w:val="28"/>
          <w:szCs w:val="28"/>
        </w:rPr>
      </w:pPr>
      <w:r>
        <w:rPr>
          <w:rFonts w:hint="eastAsia" w:ascii="仿宋" w:hAnsi="仿宋" w:eastAsia="仿宋" w:cs="仿宋"/>
          <w:color w:val="auto"/>
          <w:sz w:val="28"/>
          <w:szCs w:val="28"/>
        </w:rPr>
        <w:t>（一）满足《中华人民共和国政府采购法》第二十二条规定材料：</w:t>
      </w:r>
    </w:p>
    <w:p w14:paraId="11E0BA0B">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1.具有独立承担民事责任的能力的证明材料；</w:t>
      </w:r>
    </w:p>
    <w:p w14:paraId="0F9F087E">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color w:val="auto"/>
          <w:sz w:val="24"/>
          <w:szCs w:val="24"/>
        </w:rPr>
        <w:t>提供营业执照或事业单位法人证书或执业许可证等证明文件复印件或自然人的身份证明复印件</w:t>
      </w:r>
      <w:r>
        <w:rPr>
          <w:rFonts w:hint="eastAsia" w:ascii="仿宋" w:hAnsi="仿宋" w:eastAsia="仿宋" w:cs="仿宋"/>
          <w:bCs/>
          <w:color w:val="auto"/>
          <w:sz w:val="24"/>
          <w:szCs w:val="24"/>
        </w:rPr>
        <w:t>。</w:t>
      </w:r>
    </w:p>
    <w:p w14:paraId="5DC5F978">
      <w:pPr>
        <w:rPr>
          <w:color w:val="auto"/>
          <w:sz w:val="24"/>
          <w:szCs w:val="24"/>
        </w:rPr>
      </w:pPr>
    </w:p>
    <w:p w14:paraId="4FFF8699">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2.具有良好的商业信誉和健全的财务会计制度的证明材料；</w:t>
      </w:r>
    </w:p>
    <w:p w14:paraId="57653EB3">
      <w:pPr>
        <w:pStyle w:val="1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上年度（2025年或2024年）经会计师事务所或审计机构审计的财务报表及审计报告（2026年新成立的公司提供2026年的财务报表）或提供“具有良好的商业信誉和健全的财务会计制度”的承诺函，并签章，格式自拟。</w:t>
      </w:r>
    </w:p>
    <w:p w14:paraId="03567B4D">
      <w:pPr>
        <w:rPr>
          <w:color w:val="auto"/>
          <w:sz w:val="24"/>
          <w:szCs w:val="24"/>
        </w:rPr>
      </w:pPr>
    </w:p>
    <w:p w14:paraId="79F8C530">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3.具备履行合同所必需的设备和专业技术能力的证明材料；</w:t>
      </w:r>
    </w:p>
    <w:p w14:paraId="55E885AF">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提供具备履行合同所必需的设备和专业技术能力声明函，并签章，格式自拟。</w:t>
      </w:r>
    </w:p>
    <w:p w14:paraId="72FC55E3">
      <w:pPr>
        <w:rPr>
          <w:color w:val="auto"/>
          <w:sz w:val="24"/>
          <w:szCs w:val="24"/>
        </w:rPr>
      </w:pPr>
    </w:p>
    <w:p w14:paraId="76FDBDF4">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4.有依法缴纳税收和社会保障资金的良好记录的证明材料；</w:t>
      </w:r>
    </w:p>
    <w:p w14:paraId="7A87D3C4">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rPr>
        <w:t>（1）参加本项目政府采</w:t>
      </w:r>
      <w:r>
        <w:rPr>
          <w:rFonts w:hint="eastAsia" w:ascii="仿宋" w:hAnsi="仿宋" w:eastAsia="仿宋" w:cs="仿宋"/>
          <w:bCs/>
          <w:color w:val="auto"/>
          <w:sz w:val="24"/>
          <w:szCs w:val="24"/>
          <w:highlight w:val="none"/>
        </w:rPr>
        <w:t>购前</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个月内任一个月的依法缴纳税收的缴款凭据扫描件</w:t>
      </w:r>
    </w:p>
    <w:p w14:paraId="30345CB8">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（注：依法免税的供应商，应提供相关证明材料，包括相关法规要求原文及加盖公章的情况说明）</w:t>
      </w:r>
    </w:p>
    <w:p w14:paraId="77F1FB4C">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（2）参加本项目政府采购前</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个月内任一个月的依法缴纳社会保障资金的缴款凭据扫描件</w:t>
      </w:r>
    </w:p>
    <w:p w14:paraId="674A4A8E">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（注：依法不需要缴纳社会保障资金的供应商，应提供相关证明材料，包括相关法规要求原文及加盖公章的情况说明）</w:t>
      </w:r>
    </w:p>
    <w:p w14:paraId="571863CC">
      <w:pPr>
        <w:pStyle w:val="10"/>
        <w:spacing w:line="360" w:lineRule="auto"/>
        <w:rPr>
          <w:rFonts w:ascii="仿宋" w:hAnsi="仿宋" w:eastAsia="仿宋" w:cs="仿宋"/>
          <w:b/>
          <w:color w:val="auto"/>
          <w:sz w:val="24"/>
        </w:rPr>
      </w:pPr>
      <w:r>
        <w:rPr>
          <w:rFonts w:hint="eastAsia" w:ascii="仿宋" w:hAnsi="仿宋" w:eastAsia="仿宋" w:cs="仿宋"/>
          <w:b/>
          <w:color w:val="auto"/>
          <w:sz w:val="24"/>
        </w:rPr>
        <w:br w:type="page"/>
      </w:r>
    </w:p>
    <w:p w14:paraId="58B862FD">
      <w:pPr>
        <w:pStyle w:val="10"/>
        <w:spacing w:line="360" w:lineRule="auto"/>
        <w:rPr>
          <w:rFonts w:ascii="仿宋" w:hAnsi="仿宋" w:eastAsia="仿宋" w:cs="仿宋"/>
          <w:b/>
          <w:color w:val="auto"/>
          <w:sz w:val="24"/>
        </w:rPr>
      </w:pPr>
      <w:r>
        <w:rPr>
          <w:rFonts w:hint="eastAsia" w:ascii="仿宋" w:hAnsi="仿宋" w:eastAsia="仿宋" w:cs="仿宋"/>
          <w:b/>
          <w:color w:val="auto"/>
          <w:sz w:val="24"/>
        </w:rPr>
        <w:t>5.参加政府采购活动前3年内在经营活动中没有重大违法记录的书面声明；</w:t>
      </w:r>
    </w:p>
    <w:p w14:paraId="4261474E">
      <w:pPr>
        <w:spacing w:before="240" w:beforeLines="100" w:after="240" w:afterLines="100" w:line="360" w:lineRule="auto"/>
        <w:ind w:right="-21" w:rightChars="-1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参加政府采购活动前3年内在经营活动中没有重大违法记录的</w:t>
      </w:r>
    </w:p>
    <w:p w14:paraId="56E4870B">
      <w:pPr>
        <w:spacing w:before="240" w:beforeLines="100" w:after="240" w:afterLines="100" w:line="360" w:lineRule="auto"/>
        <w:ind w:right="-21" w:rightChars="-10"/>
        <w:jc w:val="center"/>
        <w:rPr>
          <w:rFonts w:ascii="仿宋" w:hAnsi="仿宋" w:eastAsia="仿宋" w:cs="仿宋"/>
          <w:b/>
          <w:color w:val="auto"/>
          <w:sz w:val="28"/>
          <w:szCs w:val="28"/>
        </w:rPr>
      </w:pPr>
      <w:r>
        <w:rPr>
          <w:rFonts w:hint="eastAsia" w:ascii="仿宋" w:hAnsi="仿宋" w:eastAsia="仿宋" w:cs="仿宋"/>
          <w:b/>
          <w:color w:val="auto"/>
          <w:sz w:val="28"/>
          <w:szCs w:val="28"/>
        </w:rPr>
        <w:t>书面声明</w:t>
      </w:r>
    </w:p>
    <w:p w14:paraId="2EBB6000">
      <w:pPr>
        <w:spacing w:line="360" w:lineRule="auto"/>
        <w:ind w:right="630" w:rightChars="300"/>
        <w:rPr>
          <w:rFonts w:ascii="仿宋" w:hAnsi="仿宋" w:eastAsia="仿宋" w:cs="仿宋"/>
          <w:b/>
          <w:color w:val="auto"/>
          <w:szCs w:val="21"/>
        </w:rPr>
      </w:pPr>
      <w:r>
        <w:rPr>
          <w:rFonts w:hint="eastAsia" w:ascii="仿宋" w:hAnsi="仿宋" w:eastAsia="仿宋" w:cs="仿宋"/>
          <w:b/>
          <w:color w:val="auto"/>
          <w:szCs w:val="21"/>
          <w:u w:val="single"/>
        </w:rPr>
        <w:t>（采购人或采购代理机构名称）</w:t>
      </w:r>
      <w:r>
        <w:rPr>
          <w:rFonts w:hint="eastAsia" w:ascii="仿宋" w:hAnsi="仿宋" w:eastAsia="仿宋" w:cs="仿宋"/>
          <w:b/>
          <w:color w:val="auto"/>
          <w:szCs w:val="21"/>
        </w:rPr>
        <w:t>：</w:t>
      </w:r>
    </w:p>
    <w:p w14:paraId="34035EBB">
      <w:pPr>
        <w:spacing w:line="360" w:lineRule="auto"/>
        <w:ind w:right="-21" w:rightChars="-10" w:firstLine="493" w:firstLineChars="235"/>
        <w:rPr>
          <w:rFonts w:ascii="仿宋" w:hAnsi="仿宋" w:eastAsia="仿宋" w:cs="仿宋"/>
          <w:color w:val="auto"/>
          <w:szCs w:val="21"/>
        </w:rPr>
      </w:pPr>
      <w:r>
        <w:rPr>
          <w:rFonts w:hint="eastAsia" w:ascii="仿宋" w:hAnsi="仿宋" w:eastAsia="仿宋" w:cs="仿宋"/>
          <w:color w:val="auto"/>
          <w:szCs w:val="21"/>
        </w:rPr>
        <w:t>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失信主体名单、政府采购严重违法失信行为记录名单。</w:t>
      </w:r>
    </w:p>
    <w:p w14:paraId="149BEF26">
      <w:pPr>
        <w:tabs>
          <w:tab w:val="left" w:pos="10065"/>
        </w:tabs>
        <w:spacing w:line="360" w:lineRule="auto"/>
        <w:ind w:right="-21" w:rightChars="-10" w:firstLine="371" w:firstLineChars="177"/>
        <w:rPr>
          <w:rFonts w:ascii="仿宋" w:hAnsi="仿宋" w:eastAsia="仿宋" w:cs="仿宋"/>
          <w:color w:val="auto"/>
          <w:szCs w:val="21"/>
        </w:rPr>
      </w:pPr>
      <w:r>
        <w:rPr>
          <w:rFonts w:hint="eastAsia" w:ascii="仿宋" w:hAnsi="仿宋" w:eastAsia="仿宋" w:cs="仿宋"/>
          <w:color w:val="auto"/>
          <w:szCs w:val="21"/>
        </w:rPr>
        <w:t>如发现我单位提供的声明函不实时，我单位将按照《中华人民共和国政府采购法》有关提供虚假材料的规定，接受处罚。</w:t>
      </w:r>
    </w:p>
    <w:p w14:paraId="2FC8617D">
      <w:pPr>
        <w:spacing w:line="360" w:lineRule="auto"/>
        <w:ind w:right="1050" w:rightChars="500" w:firstLine="420" w:firstLineChars="200"/>
        <w:rPr>
          <w:rFonts w:ascii="仿宋" w:hAnsi="仿宋" w:eastAsia="仿宋" w:cs="仿宋"/>
          <w:color w:val="auto"/>
          <w:szCs w:val="21"/>
        </w:rPr>
      </w:pPr>
      <w:r>
        <w:rPr>
          <w:rFonts w:hint="eastAsia" w:ascii="仿宋" w:hAnsi="仿宋" w:eastAsia="仿宋" w:cs="仿宋"/>
          <w:color w:val="auto"/>
          <w:szCs w:val="21"/>
        </w:rPr>
        <w:t>特此声明。</w:t>
      </w:r>
    </w:p>
    <w:p w14:paraId="67190BEF">
      <w:pPr>
        <w:spacing w:line="500" w:lineRule="exact"/>
        <w:ind w:right="1050" w:rightChars="500" w:firstLine="420" w:firstLineChars="200"/>
        <w:rPr>
          <w:rFonts w:ascii="仿宋" w:hAnsi="仿宋" w:eastAsia="仿宋" w:cs="仿宋"/>
          <w:color w:val="auto"/>
          <w:szCs w:val="21"/>
        </w:rPr>
      </w:pPr>
    </w:p>
    <w:p w14:paraId="3DE11B5E">
      <w:pPr>
        <w:spacing w:before="120" w:beforeLines="50" w:after="120" w:afterLines="50" w:line="400" w:lineRule="exact"/>
        <w:ind w:right="1050" w:rightChars="500" w:firstLine="420" w:firstLineChars="200"/>
        <w:rPr>
          <w:rFonts w:ascii="仿宋" w:hAnsi="仿宋" w:eastAsia="仿宋" w:cs="仿宋"/>
          <w:color w:val="auto"/>
          <w:szCs w:val="21"/>
        </w:rPr>
      </w:pPr>
    </w:p>
    <w:p w14:paraId="507DC21F">
      <w:pPr>
        <w:spacing w:before="120" w:beforeLines="50" w:after="120" w:afterLines="50" w:line="400" w:lineRule="exact"/>
        <w:ind w:right="1050" w:rightChars="500" w:firstLine="420" w:firstLineChars="200"/>
        <w:rPr>
          <w:rFonts w:ascii="仿宋" w:hAnsi="仿宋" w:eastAsia="仿宋" w:cs="仿宋"/>
          <w:color w:val="auto"/>
          <w:szCs w:val="21"/>
        </w:rPr>
      </w:pPr>
    </w:p>
    <w:p w14:paraId="2CBE51FA">
      <w:pPr>
        <w:spacing w:line="360" w:lineRule="exact"/>
        <w:ind w:left="1050" w:leftChars="500" w:right="1050" w:rightChars="500" w:firstLine="420" w:firstLineChars="200"/>
        <w:rPr>
          <w:rFonts w:ascii="仿宋" w:hAnsi="仿宋" w:eastAsia="仿宋" w:cs="仿宋"/>
          <w:color w:val="auto"/>
          <w:szCs w:val="21"/>
        </w:rPr>
      </w:pPr>
    </w:p>
    <w:p w14:paraId="6D6B8C78">
      <w:pPr>
        <w:spacing w:line="480" w:lineRule="auto"/>
        <w:rPr>
          <w:rFonts w:ascii="仿宋" w:hAnsi="仿宋" w:eastAsia="仿宋" w:cs="仿宋"/>
          <w:color w:val="auto"/>
        </w:rPr>
      </w:pPr>
      <w:r>
        <w:rPr>
          <w:rFonts w:hint="eastAsia" w:ascii="仿宋" w:hAnsi="仿宋" w:eastAsia="仿宋" w:cs="仿宋"/>
          <w:color w:val="auto"/>
        </w:rPr>
        <w:t>供应商名称（电子签章）：</w:t>
      </w:r>
      <w:r>
        <w:rPr>
          <w:rFonts w:hint="eastAsia" w:ascii="仿宋" w:hAnsi="仿宋" w:eastAsia="仿宋" w:cs="仿宋"/>
          <w:color w:val="auto"/>
          <w:u w:val="single"/>
        </w:rPr>
        <w:t xml:space="preserve">           </w:t>
      </w:r>
    </w:p>
    <w:p w14:paraId="64DB6451">
      <w:pPr>
        <w:spacing w:line="480" w:lineRule="auto"/>
        <w:rPr>
          <w:rFonts w:ascii="仿宋" w:hAnsi="仿宋" w:eastAsia="仿宋" w:cs="仿宋"/>
          <w:color w:val="auto"/>
        </w:rPr>
      </w:pPr>
      <w:r>
        <w:rPr>
          <w:rFonts w:hint="eastAsia" w:ascii="仿宋" w:hAnsi="仿宋" w:eastAsia="仿宋" w:cs="仿宋"/>
          <w:color w:val="auto"/>
          <w:highlight w:val="none"/>
        </w:rPr>
        <w:t>法定代表人（或</w:t>
      </w:r>
      <w:r>
        <w:rPr>
          <w:rFonts w:hint="eastAsia" w:ascii="仿宋" w:hAnsi="仿宋" w:eastAsia="仿宋" w:cs="仿宋"/>
          <w:color w:val="auto"/>
          <w:szCs w:val="21"/>
          <w:highlight w:val="none"/>
        </w:rPr>
        <w:t>非法人组织负责人）或</w:t>
      </w:r>
      <w:r>
        <w:rPr>
          <w:rFonts w:hint="eastAsia" w:ascii="仿宋" w:hAnsi="仿宋" w:eastAsia="仿宋" w:cs="仿宋"/>
          <w:color w:val="auto"/>
          <w:highlight w:val="none"/>
        </w:rPr>
        <w:t>其授权委托人(电子签章)：</w:t>
      </w:r>
      <w:r>
        <w:rPr>
          <w:rFonts w:hint="eastAsia" w:ascii="仿宋" w:hAnsi="仿宋" w:eastAsia="仿宋" w:cs="仿宋"/>
          <w:color w:val="auto"/>
          <w:u w:val="single"/>
        </w:rPr>
        <w:t xml:space="preserve">           </w:t>
      </w:r>
    </w:p>
    <w:p w14:paraId="0AF3F9E6">
      <w:pPr>
        <w:spacing w:line="480" w:lineRule="auto"/>
        <w:rPr>
          <w:rFonts w:ascii="仿宋" w:hAnsi="仿宋" w:eastAsia="仿宋" w:cs="仿宋"/>
          <w:color w:val="auto"/>
          <w:u w:val="single"/>
        </w:rPr>
      </w:pPr>
      <w:r>
        <w:rPr>
          <w:rFonts w:hint="eastAsia" w:ascii="仿宋" w:hAnsi="仿宋" w:eastAsia="仿宋" w:cs="仿宋"/>
          <w:color w:val="auto"/>
        </w:rPr>
        <w:t>日期：</w:t>
      </w:r>
      <w:r>
        <w:rPr>
          <w:rFonts w:hint="eastAsia" w:ascii="仿宋" w:hAnsi="仿宋" w:eastAsia="仿宋" w:cs="仿宋"/>
          <w:color w:val="auto"/>
          <w:u w:val="single"/>
        </w:rPr>
        <w:t xml:space="preserve">                </w:t>
      </w:r>
    </w:p>
    <w:p w14:paraId="08099228">
      <w:pPr>
        <w:spacing w:line="480" w:lineRule="auto"/>
        <w:rPr>
          <w:rFonts w:ascii="仿宋" w:hAnsi="仿宋" w:eastAsia="仿宋" w:cs="仿宋"/>
          <w:color w:val="auto"/>
          <w:u w:val="single"/>
        </w:rPr>
      </w:pPr>
    </w:p>
    <w:p w14:paraId="2F343E1D">
      <w:pPr>
        <w:pStyle w:val="10"/>
        <w:rPr>
          <w:rFonts w:ascii="仿宋" w:hAnsi="仿宋" w:eastAsia="仿宋" w:cs="仿宋"/>
          <w:color w:val="auto"/>
          <w:u w:val="single"/>
        </w:rPr>
      </w:pPr>
    </w:p>
    <w:p w14:paraId="79AFDBAE">
      <w:pPr>
        <w:rPr>
          <w:rFonts w:ascii="仿宋" w:hAnsi="仿宋" w:eastAsia="仿宋" w:cs="仿宋"/>
          <w:color w:val="auto"/>
          <w:u w:val="single"/>
        </w:rPr>
      </w:pPr>
    </w:p>
    <w:p w14:paraId="6794C56E">
      <w:pPr>
        <w:pStyle w:val="10"/>
        <w:rPr>
          <w:rFonts w:ascii="仿宋" w:hAnsi="仿宋" w:eastAsia="仿宋" w:cs="仿宋"/>
          <w:color w:val="auto"/>
          <w:u w:val="single"/>
        </w:rPr>
      </w:pPr>
    </w:p>
    <w:p w14:paraId="6B33014E">
      <w:pPr>
        <w:rPr>
          <w:rFonts w:ascii="仿宋" w:hAnsi="仿宋" w:eastAsia="仿宋" w:cs="仿宋"/>
          <w:color w:val="auto"/>
          <w:u w:val="single"/>
        </w:rPr>
      </w:pPr>
    </w:p>
    <w:p w14:paraId="4DB67A26">
      <w:pPr>
        <w:pStyle w:val="10"/>
        <w:rPr>
          <w:color w:val="auto"/>
        </w:rPr>
      </w:pPr>
    </w:p>
    <w:p w14:paraId="44AE6A38">
      <w:pPr>
        <w:spacing w:line="480" w:lineRule="auto"/>
        <w:rPr>
          <w:rFonts w:ascii="仿宋" w:hAnsi="仿宋" w:eastAsia="仿宋" w:cs="仿宋"/>
          <w:color w:val="auto"/>
          <w:u w:val="single"/>
        </w:rPr>
      </w:pPr>
    </w:p>
    <w:p w14:paraId="14CC6825">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6.具备法律、行政法规规定的其他条件的证明材料。</w:t>
      </w:r>
    </w:p>
    <w:p w14:paraId="78635D37">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无要求。</w:t>
      </w:r>
    </w:p>
    <w:p w14:paraId="56FFE2EE">
      <w:pPr>
        <w:pStyle w:val="3"/>
        <w:jc w:val="left"/>
        <w:rPr>
          <w:rFonts w:ascii="仿宋" w:hAnsi="仿宋" w:eastAsia="仿宋" w:cs="仿宋"/>
          <w:color w:val="auto"/>
          <w:sz w:val="28"/>
          <w:szCs w:val="28"/>
        </w:rPr>
      </w:pPr>
      <w:r>
        <w:rPr>
          <w:rFonts w:hint="eastAsia" w:ascii="仿宋" w:hAnsi="仿宋" w:eastAsia="仿宋" w:cs="仿宋"/>
          <w:color w:val="auto"/>
          <w:sz w:val="28"/>
          <w:szCs w:val="28"/>
        </w:rPr>
        <w:t>（二）落实政府采购政策需满足的资格要求证明材料：</w:t>
      </w:r>
    </w:p>
    <w:p w14:paraId="4AEA725D">
      <w:pPr>
        <w:pStyle w:val="9"/>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无；本项目非专门面向中小企业采购。</w:t>
      </w:r>
    </w:p>
    <w:p w14:paraId="6DD58B1D">
      <w:pPr>
        <w:pStyle w:val="10"/>
        <w:spacing w:line="360" w:lineRule="auto"/>
        <w:rPr>
          <w:rFonts w:ascii="仿宋" w:hAnsi="仿宋" w:eastAsia="仿宋" w:cs="仿宋"/>
          <w:bCs/>
          <w:color w:val="auto"/>
          <w:sz w:val="24"/>
        </w:rPr>
      </w:pPr>
    </w:p>
    <w:p w14:paraId="6F9D6A9B">
      <w:pPr>
        <w:pStyle w:val="3"/>
        <w:jc w:val="center"/>
        <w:rPr>
          <w:rFonts w:ascii="仿宋" w:hAnsi="仿宋" w:eastAsia="仿宋" w:cs="仿宋"/>
          <w:color w:val="auto"/>
          <w:sz w:val="28"/>
          <w:szCs w:val="22"/>
        </w:rPr>
      </w:pPr>
      <w:r>
        <w:rPr>
          <w:rFonts w:hint="eastAsia" w:ascii="仿宋" w:hAnsi="仿宋" w:eastAsia="仿宋" w:cs="仿宋"/>
          <w:color w:val="auto"/>
          <w:sz w:val="30"/>
          <w:szCs w:val="30"/>
        </w:rPr>
        <w:br w:type="page"/>
      </w:r>
      <w:r>
        <w:rPr>
          <w:rFonts w:hint="eastAsia" w:ascii="仿宋" w:hAnsi="仿宋" w:eastAsia="仿宋" w:cs="仿宋"/>
          <w:color w:val="auto"/>
          <w:sz w:val="28"/>
          <w:szCs w:val="22"/>
        </w:rPr>
        <w:t>（1）中小企业声明函</w:t>
      </w:r>
    </w:p>
    <w:p w14:paraId="204BFFCF">
      <w:pPr>
        <w:pStyle w:val="50"/>
        <w:spacing w:line="522" w:lineRule="exact"/>
        <w:ind w:firstLine="660"/>
        <w:rPr>
          <w:rFonts w:ascii="仿宋" w:hAnsi="仿宋" w:eastAsia="仿宋" w:cs="仿宋"/>
          <w:color w:val="auto"/>
          <w:sz w:val="24"/>
          <w:szCs w:val="24"/>
        </w:rPr>
      </w:pPr>
      <w:r>
        <w:rPr>
          <w:rFonts w:hint="eastAsia" w:ascii="仿宋" w:hAnsi="仿宋" w:eastAsia="仿宋" w:cs="仿宋"/>
          <w:color w:val="auto"/>
          <w:sz w:val="24"/>
          <w:szCs w:val="24"/>
          <w:lang w:eastAsia="zh-CN"/>
        </w:rPr>
        <w:t>本公司郑重声明，根据《政府采购促进中小企业发展管理办法》（财库〔</w:t>
      </w:r>
      <w:r>
        <w:rPr>
          <w:rFonts w:hint="eastAsia" w:ascii="仿宋" w:hAnsi="仿宋" w:eastAsia="仿宋" w:cs="仿宋"/>
          <w:b/>
          <w:bCs/>
          <w:color w:val="auto"/>
          <w:sz w:val="24"/>
          <w:szCs w:val="24"/>
          <w:lang w:eastAsia="zh-CN"/>
        </w:rPr>
        <w:t>2020</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eastAsia="zh-CN"/>
        </w:rPr>
        <w:t>46</w:t>
      </w:r>
      <w:r>
        <w:rPr>
          <w:rFonts w:hint="eastAsia" w:ascii="仿宋" w:hAnsi="仿宋" w:eastAsia="仿宋" w:cs="仿宋"/>
          <w:color w:val="auto"/>
          <w:sz w:val="24"/>
          <w:szCs w:val="24"/>
          <w:lang w:eastAsia="zh-CN"/>
        </w:rPr>
        <w:t>号）的规定，本公司 参加</w:t>
      </w:r>
      <w:r>
        <w:rPr>
          <w:rFonts w:hint="eastAsia" w:ascii="仿宋" w:hAnsi="仿宋" w:eastAsia="仿宋" w:cs="仿宋"/>
          <w:color w:val="auto"/>
          <w:sz w:val="24"/>
          <w:szCs w:val="24"/>
          <w:u w:val="single"/>
          <w:lang w:eastAsia="zh-CN"/>
        </w:rPr>
        <w:t>（单位名称）</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u w:val="single"/>
          <w:lang w:eastAsia="zh-CN"/>
        </w:rPr>
        <w:t>（项目名称）</w:t>
      </w:r>
      <w:r>
        <w:rPr>
          <w:rFonts w:hint="eastAsia" w:ascii="仿宋" w:hAnsi="仿宋" w:eastAsia="仿宋" w:cs="仿宋"/>
          <w:color w:val="auto"/>
          <w:sz w:val="24"/>
          <w:szCs w:val="24"/>
          <w:lang w:eastAsia="zh-CN"/>
        </w:rPr>
        <w:t>釆购活动,服务全部由符合政策要求的中小企业承接。</w:t>
      </w:r>
      <w:r>
        <w:rPr>
          <w:rFonts w:hint="eastAsia" w:ascii="仿宋" w:hAnsi="仿宋" w:eastAsia="仿宋" w:cs="仿宋"/>
          <w:color w:val="auto"/>
          <w:sz w:val="24"/>
          <w:szCs w:val="24"/>
        </w:rPr>
        <w:t>相关企业的具体情况如下：</w:t>
      </w:r>
    </w:p>
    <w:p w14:paraId="20D56E07">
      <w:pPr>
        <w:pStyle w:val="50"/>
        <w:tabs>
          <w:tab w:val="left" w:pos="1234"/>
          <w:tab w:val="left" w:pos="7008"/>
        </w:tabs>
        <w:spacing w:line="520" w:lineRule="exact"/>
        <w:ind w:firstLine="480" w:firstLineChars="200"/>
        <w:rPr>
          <w:rFonts w:ascii="仿宋" w:hAnsi="仿宋" w:eastAsia="仿宋" w:cs="仿宋"/>
          <w:color w:val="auto"/>
          <w:sz w:val="24"/>
          <w:szCs w:val="24"/>
          <w:lang w:eastAsia="zh-CN"/>
        </w:rPr>
      </w:pPr>
      <w:bookmarkStart w:id="85" w:name="bookmark26"/>
      <w:bookmarkEnd w:id="85"/>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w:t>
      </w:r>
      <w:r>
        <w:rPr>
          <w:rFonts w:hint="eastAsia" w:ascii="仿宋" w:hAnsi="仿宋" w:eastAsia="仿宋" w:cs="仿宋"/>
          <w:color w:val="auto"/>
          <w:sz w:val="24"/>
          <w:szCs w:val="24"/>
          <w:u w:val="single"/>
          <w:lang w:eastAsia="zh-CN"/>
        </w:rPr>
        <w:t>名称）</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行业</w:t>
      </w:r>
      <w:r>
        <w:rPr>
          <w:rFonts w:hint="eastAsia" w:ascii="仿宋" w:hAnsi="仿宋" w:eastAsia="仿宋" w:cs="仿宋"/>
          <w:color w:val="auto"/>
          <w:sz w:val="24"/>
          <w:szCs w:val="24"/>
          <w:lang w:val="zh-CN" w:eastAsia="zh-CN" w:bidi="zh-CN"/>
        </w:rPr>
        <w:t xml:space="preserve">、 </w:t>
      </w:r>
      <w:r>
        <w:rPr>
          <w:rFonts w:hint="eastAsia" w:ascii="仿宋" w:hAnsi="仿宋" w:eastAsia="仿宋" w:cs="仿宋"/>
          <w:color w:val="auto"/>
          <w:sz w:val="24"/>
          <w:szCs w:val="24"/>
          <w:lang w:val="en-US" w:eastAsia="zh-CN"/>
        </w:rPr>
        <w:t>承接</w:t>
      </w:r>
      <w:r>
        <w:rPr>
          <w:rFonts w:hint="eastAsia" w:ascii="仿宋" w:hAnsi="仿宋" w:eastAsia="仿宋" w:cs="仿宋"/>
          <w:color w:val="auto"/>
          <w:sz w:val="24"/>
          <w:szCs w:val="24"/>
          <w:lang w:eastAsia="zh-CN"/>
        </w:rPr>
        <w:t>企业为</w:t>
      </w:r>
      <w:r>
        <w:rPr>
          <w:rFonts w:hint="eastAsia" w:ascii="仿宋" w:hAnsi="仿宋" w:eastAsia="仿宋" w:cs="仿宋"/>
          <w:color w:val="auto"/>
          <w:sz w:val="24"/>
          <w:szCs w:val="24"/>
          <w:u w:val="single"/>
          <w:lang w:eastAsia="zh-CN"/>
        </w:rPr>
        <w:t>（企业名称）</w:t>
      </w:r>
      <w:r>
        <w:rPr>
          <w:rFonts w:hint="eastAsia" w:ascii="仿宋" w:hAnsi="仿宋" w:eastAsia="仿宋" w:cs="仿宋"/>
          <w:color w:val="auto"/>
          <w:sz w:val="24"/>
          <w:szCs w:val="24"/>
          <w:lang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lang w:val="en-US" w:eastAsia="zh-CN" w:bidi="en-US"/>
        </w:rPr>
        <w:t>，</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（中型企业、 小型企业、微型企业）</w:t>
      </w:r>
      <w:r>
        <w:rPr>
          <w:rFonts w:hint="eastAsia" w:ascii="仿宋" w:hAnsi="仿宋" w:eastAsia="仿宋" w:cs="仿宋"/>
          <w:color w:val="auto"/>
          <w:sz w:val="24"/>
          <w:szCs w:val="24"/>
          <w:lang w:eastAsia="zh-CN"/>
        </w:rPr>
        <w:t>;</w:t>
      </w:r>
    </w:p>
    <w:p w14:paraId="574CBE85">
      <w:pPr>
        <w:widowControl/>
        <w:adjustRightInd w:val="0"/>
        <w:snapToGrid w:val="0"/>
        <w:spacing w:before="100" w:beforeAutospacing="1" w:after="100" w:afterAutospacing="1" w:line="360" w:lineRule="auto"/>
        <w:ind w:firstLine="480"/>
        <w:rPr>
          <w:rFonts w:ascii="仿宋" w:hAnsi="仿宋" w:eastAsia="仿宋" w:cs="仿宋"/>
          <w:bCs/>
          <w:color w:val="auto"/>
          <w:sz w:val="24"/>
        </w:rPr>
      </w:pPr>
      <w:bookmarkStart w:id="86" w:name="bookmark27"/>
      <w:bookmarkEnd w:id="86"/>
      <w:r>
        <w:rPr>
          <w:rFonts w:hint="eastAsia" w:ascii="仿宋" w:hAnsi="仿宋" w:eastAsia="仿宋" w:cs="仿宋"/>
          <w:bCs/>
          <w:color w:val="auto"/>
          <w:sz w:val="24"/>
        </w:rPr>
        <w:t>以上企业，不属于大企业的分支机构，不存在控股股东大企业的情形，也不存在与大企业的负责人为同一人的情形。</w:t>
      </w:r>
    </w:p>
    <w:p w14:paraId="77D4008F">
      <w:pPr>
        <w:widowControl/>
        <w:adjustRightInd w:val="0"/>
        <w:snapToGrid w:val="0"/>
        <w:spacing w:before="100" w:beforeAutospacing="1" w:after="100" w:afterAutospacing="1" w:line="360" w:lineRule="auto"/>
        <w:ind w:firstLine="480"/>
        <w:rPr>
          <w:rFonts w:ascii="仿宋" w:hAnsi="仿宋" w:eastAsia="仿宋" w:cs="仿宋"/>
          <w:bCs/>
          <w:color w:val="auto"/>
          <w:sz w:val="24"/>
        </w:rPr>
      </w:pPr>
      <w:r>
        <w:rPr>
          <w:rFonts w:hint="eastAsia" w:ascii="仿宋" w:hAnsi="仿宋" w:eastAsia="仿宋" w:cs="仿宋"/>
          <w:bCs/>
          <w:color w:val="auto"/>
          <w:sz w:val="24"/>
        </w:rPr>
        <w:t>本企业对上述声明内容的真实性负责。如有虚假，将依法承担相应责任。</w:t>
      </w:r>
    </w:p>
    <w:p w14:paraId="3B96E25B">
      <w:pPr>
        <w:ind w:right="480"/>
        <w:jc w:val="left"/>
        <w:rPr>
          <w:rFonts w:ascii="仿宋" w:hAnsi="仿宋" w:eastAsia="仿宋" w:cs="仿宋"/>
          <w:color w:val="auto"/>
          <w:sz w:val="24"/>
        </w:rPr>
      </w:pPr>
    </w:p>
    <w:p w14:paraId="610C940A">
      <w:pPr>
        <w:pStyle w:val="56"/>
        <w:rPr>
          <w:rFonts w:ascii="仿宋" w:hAnsi="仿宋" w:eastAsia="仿宋" w:cs="仿宋"/>
          <w:color w:val="auto"/>
          <w:sz w:val="24"/>
        </w:rPr>
      </w:pPr>
    </w:p>
    <w:p w14:paraId="6B4A8B82">
      <w:pPr>
        <w:pStyle w:val="56"/>
        <w:rPr>
          <w:rFonts w:ascii="仿宋" w:hAnsi="仿宋" w:eastAsia="仿宋" w:cs="仿宋"/>
          <w:color w:val="auto"/>
          <w:sz w:val="24"/>
        </w:rPr>
      </w:pPr>
    </w:p>
    <w:p w14:paraId="737D4A70">
      <w:pPr>
        <w:widowControl/>
        <w:adjustRightInd w:val="0"/>
        <w:snapToGrid w:val="0"/>
        <w:spacing w:before="100" w:beforeAutospacing="1" w:after="100" w:afterAutospacing="1" w:line="360" w:lineRule="auto"/>
        <w:ind w:firstLine="480"/>
        <w:jc w:val="right"/>
        <w:rPr>
          <w:rFonts w:ascii="仿宋" w:hAnsi="仿宋" w:eastAsia="仿宋" w:cs="仿宋"/>
          <w:bCs/>
          <w:color w:val="auto"/>
          <w:sz w:val="24"/>
        </w:rPr>
      </w:pPr>
      <w:r>
        <w:rPr>
          <w:rFonts w:hint="eastAsia" w:ascii="仿宋" w:hAnsi="仿宋" w:eastAsia="仿宋" w:cs="仿宋"/>
          <w:bCs/>
          <w:color w:val="auto"/>
          <w:sz w:val="24"/>
        </w:rPr>
        <w:t>企业名称（签章）：</w:t>
      </w:r>
    </w:p>
    <w:p w14:paraId="55CC3753">
      <w:pPr>
        <w:widowControl/>
        <w:adjustRightInd w:val="0"/>
        <w:snapToGrid w:val="0"/>
        <w:spacing w:before="100" w:beforeAutospacing="1" w:after="100" w:afterAutospacing="1" w:line="360" w:lineRule="auto"/>
        <w:ind w:firstLine="480"/>
        <w:jc w:val="center"/>
        <w:rPr>
          <w:rFonts w:ascii="仿宋" w:hAnsi="仿宋" w:eastAsia="仿宋" w:cs="仿宋"/>
          <w:bCs/>
          <w:color w:val="auto"/>
          <w:sz w:val="24"/>
        </w:rPr>
      </w:pPr>
      <w:r>
        <w:rPr>
          <w:rFonts w:hint="eastAsia" w:ascii="仿宋" w:hAnsi="仿宋" w:eastAsia="仿宋" w:cs="仿宋"/>
          <w:bCs/>
          <w:color w:val="auto"/>
          <w:sz w:val="24"/>
        </w:rPr>
        <w:t xml:space="preserve">                                          日期：</w:t>
      </w:r>
    </w:p>
    <w:p w14:paraId="28BB148C">
      <w:pPr>
        <w:pStyle w:val="50"/>
        <w:spacing w:line="523" w:lineRule="exact"/>
        <w:ind w:left="420" w:leftChars="200" w:firstLine="0"/>
        <w:rPr>
          <w:rFonts w:ascii="仿宋" w:hAnsi="仿宋" w:eastAsia="仿宋" w:cs="仿宋"/>
          <w:color w:val="auto"/>
          <w:sz w:val="21"/>
          <w:szCs w:val="21"/>
          <w:lang w:val="en-US" w:eastAsia="zh-CN" w:bidi="ar-SA"/>
        </w:rPr>
      </w:pPr>
    </w:p>
    <w:p w14:paraId="7910EA07">
      <w:pPr>
        <w:pStyle w:val="51"/>
        <w:tabs>
          <w:tab w:val="left" w:pos="1110"/>
        </w:tabs>
        <w:jc w:val="left"/>
        <w:rPr>
          <w:rFonts w:ascii="仿宋" w:hAnsi="仿宋" w:eastAsia="仿宋" w:cs="仿宋"/>
          <w:color w:val="auto"/>
        </w:rPr>
      </w:pPr>
    </w:p>
    <w:p w14:paraId="43BA7DD5">
      <w:pPr>
        <w:pStyle w:val="52"/>
        <w:jc w:val="left"/>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注：</w:t>
      </w:r>
      <w:r>
        <w:rPr>
          <w:rFonts w:hint="eastAsia" w:ascii="仿宋" w:hAnsi="仿宋" w:eastAsia="仿宋" w:cs="仿宋"/>
          <w:color w:val="auto"/>
          <w:sz w:val="21"/>
          <w:szCs w:val="21"/>
          <w:lang w:eastAsia="zh-CN"/>
        </w:rPr>
        <w:t>从业人员、营业收入、资产总额填报上一年度数据，无上一年度数据的新成立企业可不填报。）</w:t>
      </w:r>
    </w:p>
    <w:p w14:paraId="07216256">
      <w:pPr>
        <w:pStyle w:val="52"/>
        <w:jc w:val="left"/>
        <w:rPr>
          <w:rFonts w:ascii="仿宋" w:hAnsi="仿宋" w:eastAsia="仿宋" w:cs="仿宋"/>
          <w:color w:val="auto"/>
          <w:sz w:val="21"/>
          <w:szCs w:val="21"/>
          <w:lang w:eastAsia="zh-CN"/>
        </w:rPr>
      </w:pPr>
    </w:p>
    <w:p w14:paraId="6691BAC6">
      <w:pPr>
        <w:pStyle w:val="52"/>
        <w:spacing w:line="360" w:lineRule="auto"/>
        <w:ind w:firstLine="420" w:firstLineChars="200"/>
        <w:jc w:val="left"/>
        <w:rPr>
          <w:rFonts w:ascii="仿宋" w:hAnsi="仿宋" w:eastAsia="仿宋" w:cs="仿宋"/>
          <w:b/>
          <w:bCs/>
          <w:color w:val="auto"/>
          <w:kern w:val="0"/>
          <w:sz w:val="28"/>
          <w:szCs w:val="28"/>
        </w:rPr>
      </w:pPr>
      <w:r>
        <w:rPr>
          <w:rFonts w:hint="eastAsia" w:ascii="仿宋" w:hAnsi="仿宋" w:eastAsia="仿宋" w:cs="仿宋"/>
          <w:color w:val="auto"/>
          <w:sz w:val="21"/>
          <w:szCs w:val="21"/>
          <w:lang w:val="en-US" w:eastAsia="zh-CN"/>
        </w:rPr>
        <w:t>供应商出具本函后取得中标资格的，代理机构发布中标结果公告时将同时公告本函，接受社会监督。供应商提供错误或虚假信息的将承担相应法律责任。</w:t>
      </w:r>
    </w:p>
    <w:p w14:paraId="18646004">
      <w:pP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br w:type="page"/>
      </w:r>
    </w:p>
    <w:p w14:paraId="1ECC921A">
      <w:pPr>
        <w:pStyle w:val="3"/>
        <w:jc w:val="center"/>
        <w:rPr>
          <w:rFonts w:ascii="仿宋" w:hAnsi="仿宋" w:eastAsia="仿宋" w:cs="仿宋"/>
          <w:color w:val="auto"/>
          <w:sz w:val="28"/>
          <w:szCs w:val="22"/>
        </w:rPr>
      </w:pPr>
      <w:r>
        <w:rPr>
          <w:rFonts w:hint="eastAsia" w:ascii="仿宋" w:hAnsi="仿宋" w:eastAsia="仿宋" w:cs="仿宋"/>
          <w:color w:val="auto"/>
          <w:sz w:val="28"/>
          <w:szCs w:val="22"/>
        </w:rPr>
        <w:t>（2）残疾人福利性单位声明函</w:t>
      </w:r>
    </w:p>
    <w:p w14:paraId="16817B3B">
      <w:pPr>
        <w:pStyle w:val="10"/>
        <w:rPr>
          <w:rFonts w:ascii="仿宋" w:hAnsi="仿宋" w:eastAsia="仿宋" w:cs="仿宋"/>
          <w:color w:val="auto"/>
          <w:sz w:val="20"/>
        </w:rPr>
      </w:pPr>
    </w:p>
    <w:p w14:paraId="08023831">
      <w:pPr>
        <w:pStyle w:val="10"/>
        <w:tabs>
          <w:tab w:val="left" w:leader="underscore" w:pos="3241"/>
        </w:tabs>
        <w:spacing w:before="72" w:line="525" w:lineRule="auto"/>
        <w:ind w:left="558" w:right="691" w:firstLine="444"/>
        <w:rPr>
          <w:rFonts w:ascii="仿宋" w:hAnsi="仿宋" w:eastAsia="仿宋" w:cs="仿宋"/>
          <w:color w:val="auto"/>
        </w:rPr>
      </w:pPr>
      <w:r>
        <w:rPr>
          <w:rFonts w:hint="eastAsia" w:ascii="仿宋" w:hAnsi="仿宋" w:eastAsia="仿宋" w:cs="仿宋"/>
          <w:color w:val="auto"/>
          <w:spacing w:val="12"/>
        </w:rPr>
        <w:t>本单</w:t>
      </w:r>
      <w:r>
        <w:rPr>
          <w:rFonts w:hint="eastAsia" w:ascii="仿宋" w:hAnsi="仿宋" w:eastAsia="仿宋" w:cs="仿宋"/>
          <w:color w:val="auto"/>
          <w:spacing w:val="9"/>
        </w:rPr>
        <w:t>位</w:t>
      </w:r>
      <w:r>
        <w:rPr>
          <w:rFonts w:hint="eastAsia" w:ascii="仿宋" w:hAnsi="仿宋" w:eastAsia="仿宋" w:cs="仿宋"/>
          <w:color w:val="auto"/>
          <w:spacing w:val="12"/>
        </w:rPr>
        <w:t>郑</w:t>
      </w:r>
      <w:r>
        <w:rPr>
          <w:rFonts w:hint="eastAsia" w:ascii="仿宋" w:hAnsi="仿宋" w:eastAsia="仿宋" w:cs="仿宋"/>
          <w:color w:val="auto"/>
          <w:spacing w:val="9"/>
        </w:rPr>
        <w:t>重</w:t>
      </w:r>
      <w:r>
        <w:rPr>
          <w:rFonts w:hint="eastAsia" w:ascii="仿宋" w:hAnsi="仿宋" w:eastAsia="仿宋" w:cs="仿宋"/>
          <w:color w:val="auto"/>
          <w:spacing w:val="12"/>
        </w:rPr>
        <w:t>声</w:t>
      </w:r>
      <w:r>
        <w:rPr>
          <w:rFonts w:hint="eastAsia" w:ascii="仿宋" w:hAnsi="仿宋" w:eastAsia="仿宋" w:cs="仿宋"/>
          <w:color w:val="auto"/>
          <w:spacing w:val="9"/>
        </w:rPr>
        <w:t>明</w:t>
      </w:r>
      <w:r>
        <w:rPr>
          <w:rFonts w:hint="eastAsia" w:ascii="仿宋" w:hAnsi="仿宋" w:eastAsia="仿宋" w:cs="仿宋"/>
          <w:color w:val="auto"/>
          <w:spacing w:val="-12"/>
        </w:rPr>
        <w:t>，</w:t>
      </w:r>
      <w:r>
        <w:rPr>
          <w:rFonts w:hint="eastAsia" w:ascii="仿宋" w:hAnsi="仿宋" w:eastAsia="仿宋" w:cs="仿宋"/>
          <w:color w:val="auto"/>
          <w:spacing w:val="12"/>
        </w:rPr>
        <w:t>根</w:t>
      </w:r>
      <w:r>
        <w:rPr>
          <w:rFonts w:hint="eastAsia" w:ascii="仿宋" w:hAnsi="仿宋" w:eastAsia="仿宋" w:cs="仿宋"/>
          <w:color w:val="auto"/>
          <w:spacing w:val="-12"/>
        </w:rPr>
        <w:t>据</w:t>
      </w:r>
      <w:r>
        <w:rPr>
          <w:rFonts w:hint="eastAsia" w:ascii="仿宋" w:hAnsi="仿宋" w:eastAsia="仿宋" w:cs="仿宋"/>
          <w:color w:val="auto"/>
          <w:spacing w:val="9"/>
        </w:rPr>
        <w:t>《</w:t>
      </w:r>
      <w:r>
        <w:rPr>
          <w:rFonts w:hint="eastAsia" w:ascii="仿宋" w:hAnsi="仿宋" w:eastAsia="仿宋" w:cs="仿宋"/>
          <w:color w:val="auto"/>
          <w:spacing w:val="12"/>
        </w:rPr>
        <w:t>财政</w:t>
      </w:r>
      <w:r>
        <w:rPr>
          <w:rFonts w:hint="eastAsia" w:ascii="仿宋" w:hAnsi="仿宋" w:eastAsia="仿宋" w:cs="仿宋"/>
          <w:color w:val="auto"/>
          <w:spacing w:val="9"/>
        </w:rPr>
        <w:t>部民</w:t>
      </w:r>
      <w:r>
        <w:rPr>
          <w:rFonts w:hint="eastAsia" w:ascii="仿宋" w:hAnsi="仿宋" w:eastAsia="仿宋" w:cs="仿宋"/>
          <w:color w:val="auto"/>
          <w:spacing w:val="12"/>
        </w:rPr>
        <w:t>政</w:t>
      </w:r>
      <w:r>
        <w:rPr>
          <w:rFonts w:hint="eastAsia" w:ascii="仿宋" w:hAnsi="仿宋" w:eastAsia="仿宋" w:cs="仿宋"/>
          <w:color w:val="auto"/>
          <w:spacing w:val="11"/>
        </w:rPr>
        <w:t>部</w:t>
      </w:r>
      <w:r>
        <w:rPr>
          <w:rFonts w:hint="eastAsia" w:ascii="仿宋" w:hAnsi="仿宋" w:eastAsia="仿宋" w:cs="仿宋"/>
          <w:color w:val="auto"/>
          <w:spacing w:val="12"/>
        </w:rPr>
        <w:t>中</w:t>
      </w:r>
      <w:r>
        <w:rPr>
          <w:rFonts w:hint="eastAsia" w:ascii="仿宋" w:hAnsi="仿宋" w:eastAsia="仿宋" w:cs="仿宋"/>
          <w:color w:val="auto"/>
          <w:spacing w:val="9"/>
        </w:rPr>
        <w:t>国</w:t>
      </w:r>
      <w:r>
        <w:rPr>
          <w:rFonts w:hint="eastAsia" w:ascii="仿宋" w:hAnsi="仿宋" w:eastAsia="仿宋" w:cs="仿宋"/>
          <w:color w:val="auto"/>
          <w:spacing w:val="12"/>
        </w:rPr>
        <w:t>残</w:t>
      </w:r>
      <w:r>
        <w:rPr>
          <w:rFonts w:hint="eastAsia" w:ascii="仿宋" w:hAnsi="仿宋" w:eastAsia="仿宋" w:cs="仿宋"/>
          <w:color w:val="auto"/>
          <w:spacing w:val="9"/>
        </w:rPr>
        <w:t>疾</w:t>
      </w:r>
      <w:r>
        <w:rPr>
          <w:rFonts w:hint="eastAsia" w:ascii="仿宋" w:hAnsi="仿宋" w:eastAsia="仿宋" w:cs="仿宋"/>
          <w:color w:val="auto"/>
          <w:spacing w:val="12"/>
        </w:rPr>
        <w:t>人联</w:t>
      </w:r>
      <w:r>
        <w:rPr>
          <w:rFonts w:hint="eastAsia" w:ascii="仿宋" w:hAnsi="仿宋" w:eastAsia="仿宋" w:cs="仿宋"/>
          <w:color w:val="auto"/>
          <w:spacing w:val="9"/>
        </w:rPr>
        <w:t>合</w:t>
      </w:r>
      <w:r>
        <w:rPr>
          <w:rFonts w:hint="eastAsia" w:ascii="仿宋" w:hAnsi="仿宋" w:eastAsia="仿宋" w:cs="仿宋"/>
          <w:color w:val="auto"/>
          <w:spacing w:val="12"/>
        </w:rPr>
        <w:t>会</w:t>
      </w:r>
      <w:r>
        <w:rPr>
          <w:rFonts w:hint="eastAsia" w:ascii="仿宋" w:hAnsi="仿宋" w:eastAsia="仿宋" w:cs="仿宋"/>
          <w:color w:val="auto"/>
          <w:spacing w:val="9"/>
        </w:rPr>
        <w:t>关</w:t>
      </w:r>
      <w:r>
        <w:rPr>
          <w:rFonts w:hint="eastAsia" w:ascii="仿宋" w:hAnsi="仿宋" w:eastAsia="仿宋" w:cs="仿宋"/>
          <w:color w:val="auto"/>
          <w:spacing w:val="12"/>
        </w:rPr>
        <w:t>于</w:t>
      </w:r>
      <w:r>
        <w:rPr>
          <w:rFonts w:hint="eastAsia" w:ascii="仿宋" w:hAnsi="仿宋" w:eastAsia="仿宋" w:cs="仿宋"/>
          <w:color w:val="auto"/>
          <w:spacing w:val="9"/>
        </w:rPr>
        <w:t>促</w:t>
      </w:r>
      <w:r>
        <w:rPr>
          <w:rFonts w:hint="eastAsia" w:ascii="仿宋" w:hAnsi="仿宋" w:eastAsia="仿宋" w:cs="仿宋"/>
          <w:color w:val="auto"/>
          <w:spacing w:val="12"/>
        </w:rPr>
        <w:t>进</w:t>
      </w:r>
      <w:r>
        <w:rPr>
          <w:rFonts w:hint="eastAsia" w:ascii="仿宋" w:hAnsi="仿宋" w:eastAsia="仿宋" w:cs="仿宋"/>
          <w:color w:val="auto"/>
          <w:spacing w:val="9"/>
        </w:rPr>
        <w:t>残</w:t>
      </w:r>
      <w:r>
        <w:rPr>
          <w:rFonts w:hint="eastAsia" w:ascii="仿宋" w:hAnsi="仿宋" w:eastAsia="仿宋" w:cs="仿宋"/>
          <w:color w:val="auto"/>
          <w:spacing w:val="12"/>
        </w:rPr>
        <w:t>疾</w:t>
      </w:r>
      <w:r>
        <w:rPr>
          <w:rFonts w:hint="eastAsia" w:ascii="仿宋" w:hAnsi="仿宋" w:eastAsia="仿宋" w:cs="仿宋"/>
          <w:color w:val="auto"/>
          <w:spacing w:val="9"/>
        </w:rPr>
        <w:t>人</w:t>
      </w:r>
      <w:r>
        <w:rPr>
          <w:rFonts w:hint="eastAsia" w:ascii="仿宋" w:hAnsi="仿宋" w:eastAsia="仿宋" w:cs="仿宋"/>
          <w:color w:val="auto"/>
          <w:spacing w:val="12"/>
        </w:rPr>
        <w:t>就业</w:t>
      </w:r>
      <w:r>
        <w:rPr>
          <w:rFonts w:hint="eastAsia" w:ascii="仿宋" w:hAnsi="仿宋" w:eastAsia="仿宋" w:cs="仿宋"/>
          <w:color w:val="auto"/>
          <w:spacing w:val="9"/>
        </w:rPr>
        <w:t>政</w:t>
      </w:r>
      <w:r>
        <w:rPr>
          <w:rFonts w:hint="eastAsia" w:ascii="仿宋" w:hAnsi="仿宋" w:eastAsia="仿宋" w:cs="仿宋"/>
          <w:color w:val="auto"/>
          <w:spacing w:val="12"/>
        </w:rPr>
        <w:t>府</w:t>
      </w:r>
      <w:r>
        <w:rPr>
          <w:rFonts w:hint="eastAsia" w:ascii="仿宋" w:hAnsi="仿宋" w:eastAsia="仿宋" w:cs="仿宋"/>
          <w:color w:val="auto"/>
          <w:spacing w:val="9"/>
        </w:rPr>
        <w:t>采</w:t>
      </w:r>
      <w:r>
        <w:rPr>
          <w:rFonts w:hint="eastAsia" w:ascii="仿宋" w:hAnsi="仿宋" w:eastAsia="仿宋" w:cs="仿宋"/>
          <w:color w:val="auto"/>
        </w:rPr>
        <w:t>购</w:t>
      </w:r>
      <w:r>
        <w:rPr>
          <w:rFonts w:hint="eastAsia" w:ascii="仿宋" w:hAnsi="仿宋" w:eastAsia="仿宋" w:cs="仿宋"/>
          <w:color w:val="auto"/>
          <w:spacing w:val="12"/>
        </w:rPr>
        <w:t>政策</w:t>
      </w:r>
      <w:r>
        <w:rPr>
          <w:rFonts w:hint="eastAsia" w:ascii="仿宋" w:hAnsi="仿宋" w:eastAsia="仿宋" w:cs="仿宋"/>
          <w:color w:val="auto"/>
          <w:spacing w:val="9"/>
        </w:rPr>
        <w:t>的</w:t>
      </w:r>
      <w:r>
        <w:rPr>
          <w:rFonts w:hint="eastAsia" w:ascii="仿宋" w:hAnsi="仿宋" w:eastAsia="仿宋" w:cs="仿宋"/>
          <w:color w:val="auto"/>
          <w:spacing w:val="12"/>
        </w:rPr>
        <w:t>通</w:t>
      </w:r>
      <w:r>
        <w:rPr>
          <w:rFonts w:hint="eastAsia" w:ascii="仿宋" w:hAnsi="仿宋" w:eastAsia="仿宋" w:cs="仿宋"/>
          <w:color w:val="auto"/>
          <w:spacing w:val="9"/>
        </w:rPr>
        <w:t>知</w:t>
      </w:r>
      <w:r>
        <w:rPr>
          <w:rFonts w:hint="eastAsia" w:ascii="仿宋" w:hAnsi="仿宋" w:eastAsia="仿宋" w:cs="仿宋"/>
          <w:color w:val="auto"/>
          <w:spacing w:val="-120"/>
        </w:rPr>
        <w:t>》</w:t>
      </w:r>
      <w:r>
        <w:rPr>
          <w:rFonts w:hint="eastAsia" w:ascii="仿宋" w:hAnsi="仿宋" w:eastAsia="仿宋" w:cs="仿宋"/>
          <w:color w:val="auto"/>
          <w:spacing w:val="9"/>
        </w:rPr>
        <w:t>（</w:t>
      </w:r>
      <w:r>
        <w:rPr>
          <w:rFonts w:hint="eastAsia" w:ascii="仿宋" w:hAnsi="仿宋" w:eastAsia="仿宋" w:cs="仿宋"/>
          <w:color w:val="auto"/>
          <w:spacing w:val="12"/>
        </w:rPr>
        <w:t>财</w:t>
      </w:r>
      <w:r>
        <w:rPr>
          <w:rFonts w:hint="eastAsia" w:ascii="仿宋" w:hAnsi="仿宋" w:eastAsia="仿宋" w:cs="仿宋"/>
          <w:color w:val="auto"/>
          <w:spacing w:val="-8"/>
        </w:rPr>
        <w:t>库</w:t>
      </w:r>
      <w:r>
        <w:rPr>
          <w:rFonts w:hint="eastAsia" w:ascii="仿宋" w:hAnsi="仿宋" w:eastAsia="仿宋" w:cs="仿宋"/>
          <w:color w:val="auto"/>
          <w:spacing w:val="-3"/>
        </w:rPr>
        <w:t>〔</w:t>
      </w:r>
      <w:r>
        <w:rPr>
          <w:rFonts w:hint="eastAsia" w:ascii="仿宋" w:hAnsi="仿宋" w:eastAsia="仿宋" w:cs="仿宋"/>
          <w:color w:val="auto"/>
        </w:rPr>
        <w:t>2017</w:t>
      </w:r>
      <w:r>
        <w:rPr>
          <w:rFonts w:hint="eastAsia" w:ascii="仿宋" w:hAnsi="仿宋" w:eastAsia="仿宋" w:cs="仿宋"/>
          <w:color w:val="auto"/>
          <w:spacing w:val="-20"/>
        </w:rPr>
        <w:t>〕</w:t>
      </w:r>
      <w:r>
        <w:rPr>
          <w:rFonts w:hint="eastAsia" w:ascii="仿宋" w:hAnsi="仿宋" w:eastAsia="仿宋" w:cs="仿宋"/>
          <w:color w:val="auto"/>
        </w:rPr>
        <w:t>141</w:t>
      </w:r>
      <w:r>
        <w:rPr>
          <w:rFonts w:hint="eastAsia" w:ascii="仿宋" w:hAnsi="仿宋" w:eastAsia="仿宋" w:cs="仿宋"/>
          <w:color w:val="auto"/>
          <w:spacing w:val="12"/>
        </w:rPr>
        <w:t>号</w:t>
      </w:r>
      <w:r>
        <w:rPr>
          <w:rFonts w:hint="eastAsia" w:ascii="仿宋" w:hAnsi="仿宋" w:eastAsia="仿宋" w:cs="仿宋"/>
          <w:color w:val="auto"/>
          <w:spacing w:val="-10"/>
        </w:rPr>
        <w:t>）</w:t>
      </w:r>
      <w:r>
        <w:rPr>
          <w:rFonts w:hint="eastAsia" w:ascii="仿宋" w:hAnsi="仿宋" w:eastAsia="仿宋" w:cs="仿宋"/>
          <w:color w:val="auto"/>
          <w:spacing w:val="9"/>
        </w:rPr>
        <w:t>的</w:t>
      </w:r>
      <w:r>
        <w:rPr>
          <w:rFonts w:hint="eastAsia" w:ascii="仿宋" w:hAnsi="仿宋" w:eastAsia="仿宋" w:cs="仿宋"/>
          <w:color w:val="auto"/>
          <w:spacing w:val="12"/>
        </w:rPr>
        <w:t>规</w:t>
      </w:r>
      <w:r>
        <w:rPr>
          <w:rFonts w:hint="eastAsia" w:ascii="仿宋" w:hAnsi="仿宋" w:eastAsia="仿宋" w:cs="仿宋"/>
          <w:color w:val="auto"/>
          <w:spacing w:val="9"/>
        </w:rPr>
        <w:t>定</w:t>
      </w:r>
      <w:r>
        <w:rPr>
          <w:rFonts w:hint="eastAsia" w:ascii="仿宋" w:hAnsi="仿宋" w:eastAsia="仿宋" w:cs="仿宋"/>
          <w:color w:val="auto"/>
          <w:spacing w:val="-10"/>
        </w:rPr>
        <w:t>，</w:t>
      </w:r>
      <w:r>
        <w:rPr>
          <w:rFonts w:hint="eastAsia" w:ascii="仿宋" w:hAnsi="仿宋" w:eastAsia="仿宋" w:cs="仿宋"/>
          <w:color w:val="auto"/>
          <w:spacing w:val="9"/>
        </w:rPr>
        <w:t>本</w:t>
      </w:r>
      <w:r>
        <w:rPr>
          <w:rFonts w:hint="eastAsia" w:ascii="仿宋" w:hAnsi="仿宋" w:eastAsia="仿宋" w:cs="仿宋"/>
          <w:color w:val="auto"/>
          <w:spacing w:val="12"/>
        </w:rPr>
        <w:t>单位</w:t>
      </w:r>
      <w:r>
        <w:rPr>
          <w:rFonts w:hint="eastAsia" w:ascii="仿宋" w:hAnsi="仿宋" w:eastAsia="仿宋" w:cs="仿宋"/>
          <w:color w:val="auto"/>
          <w:spacing w:val="9"/>
        </w:rPr>
        <w:t>为</w:t>
      </w:r>
      <w:r>
        <w:rPr>
          <w:rFonts w:hint="eastAsia" w:ascii="仿宋" w:hAnsi="仿宋" w:eastAsia="仿宋" w:cs="仿宋"/>
          <w:color w:val="auto"/>
          <w:spacing w:val="12"/>
        </w:rPr>
        <w:t>符</w:t>
      </w:r>
      <w:r>
        <w:rPr>
          <w:rFonts w:hint="eastAsia" w:ascii="仿宋" w:hAnsi="仿宋" w:eastAsia="仿宋" w:cs="仿宋"/>
          <w:color w:val="auto"/>
          <w:spacing w:val="9"/>
        </w:rPr>
        <w:t>合</w:t>
      </w:r>
      <w:r>
        <w:rPr>
          <w:rFonts w:hint="eastAsia" w:ascii="仿宋" w:hAnsi="仿宋" w:eastAsia="仿宋" w:cs="仿宋"/>
          <w:color w:val="auto"/>
          <w:spacing w:val="12"/>
        </w:rPr>
        <w:t>条</w:t>
      </w:r>
      <w:r>
        <w:rPr>
          <w:rFonts w:hint="eastAsia" w:ascii="仿宋" w:hAnsi="仿宋" w:eastAsia="仿宋" w:cs="仿宋"/>
          <w:color w:val="auto"/>
          <w:spacing w:val="9"/>
        </w:rPr>
        <w:t>件</w:t>
      </w:r>
      <w:r>
        <w:rPr>
          <w:rFonts w:hint="eastAsia" w:ascii="仿宋" w:hAnsi="仿宋" w:eastAsia="仿宋" w:cs="仿宋"/>
          <w:color w:val="auto"/>
          <w:spacing w:val="12"/>
        </w:rPr>
        <w:t>的</w:t>
      </w:r>
      <w:r>
        <w:rPr>
          <w:rFonts w:hint="eastAsia" w:ascii="仿宋" w:hAnsi="仿宋" w:eastAsia="仿宋" w:cs="仿宋"/>
          <w:color w:val="auto"/>
          <w:spacing w:val="9"/>
        </w:rPr>
        <w:t>残</w:t>
      </w:r>
      <w:r>
        <w:rPr>
          <w:rFonts w:hint="eastAsia" w:ascii="仿宋" w:hAnsi="仿宋" w:eastAsia="仿宋" w:cs="仿宋"/>
          <w:color w:val="auto"/>
          <w:spacing w:val="12"/>
        </w:rPr>
        <w:t>疾</w:t>
      </w:r>
      <w:r>
        <w:rPr>
          <w:rFonts w:hint="eastAsia" w:ascii="仿宋" w:hAnsi="仿宋" w:eastAsia="仿宋" w:cs="仿宋"/>
          <w:color w:val="auto"/>
          <w:spacing w:val="9"/>
        </w:rPr>
        <w:t>人</w:t>
      </w:r>
      <w:r>
        <w:rPr>
          <w:rFonts w:hint="eastAsia" w:ascii="仿宋" w:hAnsi="仿宋" w:eastAsia="仿宋" w:cs="仿宋"/>
          <w:color w:val="auto"/>
          <w:spacing w:val="12"/>
        </w:rPr>
        <w:t>福利</w:t>
      </w:r>
      <w:r>
        <w:rPr>
          <w:rFonts w:hint="eastAsia" w:ascii="仿宋" w:hAnsi="仿宋" w:eastAsia="仿宋" w:cs="仿宋"/>
          <w:color w:val="auto"/>
          <w:spacing w:val="9"/>
        </w:rPr>
        <w:t>性</w:t>
      </w:r>
      <w:r>
        <w:rPr>
          <w:rFonts w:hint="eastAsia" w:ascii="仿宋" w:hAnsi="仿宋" w:eastAsia="仿宋" w:cs="仿宋"/>
          <w:color w:val="auto"/>
          <w:spacing w:val="12"/>
        </w:rPr>
        <w:t>单</w:t>
      </w:r>
      <w:r>
        <w:rPr>
          <w:rFonts w:hint="eastAsia" w:ascii="仿宋" w:hAnsi="仿宋" w:eastAsia="仿宋" w:cs="仿宋"/>
          <w:color w:val="auto"/>
          <w:spacing w:val="9"/>
        </w:rPr>
        <w:t>位</w:t>
      </w:r>
      <w:r>
        <w:rPr>
          <w:rFonts w:hint="eastAsia" w:ascii="仿宋" w:hAnsi="仿宋" w:eastAsia="仿宋" w:cs="仿宋"/>
          <w:color w:val="auto"/>
          <w:spacing w:val="-10"/>
        </w:rPr>
        <w:t>，</w:t>
      </w:r>
      <w:r>
        <w:rPr>
          <w:rFonts w:hint="eastAsia" w:ascii="仿宋" w:hAnsi="仿宋" w:eastAsia="仿宋" w:cs="仿宋"/>
          <w:color w:val="auto"/>
          <w:spacing w:val="9"/>
        </w:rPr>
        <w:t>且</w:t>
      </w:r>
      <w:r>
        <w:rPr>
          <w:rFonts w:hint="eastAsia" w:ascii="仿宋" w:hAnsi="仿宋" w:eastAsia="仿宋" w:cs="仿宋"/>
          <w:color w:val="auto"/>
          <w:spacing w:val="12"/>
        </w:rPr>
        <w:t>本单</w:t>
      </w:r>
      <w:r>
        <w:rPr>
          <w:rFonts w:hint="eastAsia" w:ascii="仿宋" w:hAnsi="仿宋" w:eastAsia="仿宋" w:cs="仿宋"/>
          <w:color w:val="auto"/>
          <w:spacing w:val="14"/>
        </w:rPr>
        <w:t>位</w:t>
      </w:r>
      <w:r>
        <w:rPr>
          <w:rFonts w:hint="eastAsia" w:ascii="仿宋" w:hAnsi="仿宋" w:eastAsia="仿宋" w:cs="仿宋"/>
          <w:color w:val="auto"/>
          <w:spacing w:val="12"/>
        </w:rPr>
        <w:t>参</w:t>
      </w:r>
      <w:r>
        <w:rPr>
          <w:rFonts w:hint="eastAsia" w:ascii="仿宋" w:hAnsi="仿宋" w:eastAsia="仿宋" w:cs="仿宋"/>
          <w:color w:val="auto"/>
          <w:spacing w:val="14"/>
        </w:rPr>
        <w:t>加</w:t>
      </w:r>
      <w:r>
        <w:rPr>
          <w:rFonts w:hint="eastAsia" w:ascii="仿宋" w:hAnsi="仿宋" w:eastAsia="仿宋" w:cs="仿宋"/>
          <w:color w:val="auto"/>
          <w:spacing w:val="4"/>
        </w:rPr>
        <w:t>______</w:t>
      </w:r>
      <w:r>
        <w:rPr>
          <w:rFonts w:hint="eastAsia" w:ascii="仿宋" w:hAnsi="仿宋" w:eastAsia="仿宋" w:cs="仿宋"/>
          <w:color w:val="auto"/>
          <w:spacing w:val="14"/>
        </w:rPr>
        <w:t>单</w:t>
      </w:r>
      <w:r>
        <w:rPr>
          <w:rFonts w:hint="eastAsia" w:ascii="仿宋" w:hAnsi="仿宋" w:eastAsia="仿宋" w:cs="仿宋"/>
          <w:color w:val="auto"/>
          <w:spacing w:val="12"/>
        </w:rPr>
        <w:t>位的</w:t>
      </w:r>
      <w:r>
        <w:rPr>
          <w:rFonts w:hint="eastAsia" w:ascii="仿宋" w:hAnsi="仿宋" w:eastAsia="仿宋" w:cs="仿宋"/>
          <w:color w:val="auto"/>
          <w:spacing w:val="12"/>
          <w:u w:val="single"/>
        </w:rPr>
        <w:tab/>
      </w:r>
      <w:r>
        <w:rPr>
          <w:rFonts w:hint="eastAsia" w:ascii="仿宋" w:hAnsi="仿宋" w:eastAsia="仿宋" w:cs="仿宋"/>
          <w:color w:val="auto"/>
          <w:spacing w:val="14"/>
        </w:rPr>
        <w:t>项</w:t>
      </w:r>
      <w:r>
        <w:rPr>
          <w:rFonts w:hint="eastAsia" w:ascii="仿宋" w:hAnsi="仿宋" w:eastAsia="仿宋" w:cs="仿宋"/>
          <w:color w:val="auto"/>
          <w:spacing w:val="12"/>
        </w:rPr>
        <w:t>目采</w:t>
      </w:r>
      <w:r>
        <w:rPr>
          <w:rFonts w:hint="eastAsia" w:ascii="仿宋" w:hAnsi="仿宋" w:eastAsia="仿宋" w:cs="仿宋"/>
          <w:color w:val="auto"/>
          <w:spacing w:val="14"/>
        </w:rPr>
        <w:t>购</w:t>
      </w:r>
      <w:r>
        <w:rPr>
          <w:rFonts w:hint="eastAsia" w:ascii="仿宋" w:hAnsi="仿宋" w:eastAsia="仿宋" w:cs="仿宋"/>
          <w:color w:val="auto"/>
          <w:spacing w:val="12"/>
        </w:rPr>
        <w:t>活</w:t>
      </w:r>
      <w:r>
        <w:rPr>
          <w:rFonts w:hint="eastAsia" w:ascii="仿宋" w:hAnsi="仿宋" w:eastAsia="仿宋" w:cs="仿宋"/>
          <w:color w:val="auto"/>
          <w:spacing w:val="14"/>
        </w:rPr>
        <w:t>动</w:t>
      </w:r>
      <w:r>
        <w:rPr>
          <w:rFonts w:hint="eastAsia" w:ascii="仿宋" w:hAnsi="仿宋" w:eastAsia="仿宋" w:cs="仿宋"/>
          <w:color w:val="auto"/>
          <w:spacing w:val="12"/>
        </w:rPr>
        <w:t>提供本</w:t>
      </w:r>
      <w:r>
        <w:rPr>
          <w:rFonts w:hint="eastAsia" w:ascii="仿宋" w:hAnsi="仿宋" w:eastAsia="仿宋" w:cs="仿宋"/>
          <w:color w:val="auto"/>
          <w:spacing w:val="14"/>
        </w:rPr>
        <w:t>单</w:t>
      </w:r>
      <w:r>
        <w:rPr>
          <w:rFonts w:hint="eastAsia" w:ascii="仿宋" w:hAnsi="仿宋" w:eastAsia="仿宋" w:cs="仿宋"/>
          <w:color w:val="auto"/>
          <w:spacing w:val="12"/>
        </w:rPr>
        <w:t>位</w:t>
      </w:r>
      <w:r>
        <w:rPr>
          <w:rFonts w:hint="eastAsia" w:ascii="仿宋" w:hAnsi="仿宋" w:eastAsia="仿宋" w:cs="仿宋"/>
          <w:color w:val="auto"/>
          <w:spacing w:val="14"/>
        </w:rPr>
        <w:t>制</w:t>
      </w:r>
      <w:r>
        <w:rPr>
          <w:rFonts w:hint="eastAsia" w:ascii="仿宋" w:hAnsi="仿宋" w:eastAsia="仿宋" w:cs="仿宋"/>
          <w:color w:val="auto"/>
          <w:spacing w:val="12"/>
        </w:rPr>
        <w:t>造</w:t>
      </w:r>
      <w:r>
        <w:rPr>
          <w:rFonts w:hint="eastAsia" w:ascii="仿宋" w:hAnsi="仿宋" w:eastAsia="仿宋" w:cs="仿宋"/>
          <w:color w:val="auto"/>
          <w:spacing w:val="14"/>
        </w:rPr>
        <w:t>的</w:t>
      </w:r>
      <w:r>
        <w:rPr>
          <w:rFonts w:hint="eastAsia" w:ascii="仿宋" w:hAnsi="仿宋" w:eastAsia="仿宋" w:cs="仿宋"/>
          <w:color w:val="auto"/>
          <w:spacing w:val="12"/>
        </w:rPr>
        <w:t>货物</w:t>
      </w:r>
      <w:r>
        <w:rPr>
          <w:rFonts w:hint="eastAsia" w:ascii="仿宋" w:hAnsi="仿宋" w:eastAsia="仿宋" w:cs="仿宋"/>
          <w:color w:val="auto"/>
          <w:spacing w:val="14"/>
        </w:rPr>
        <w:t>（</w:t>
      </w:r>
      <w:r>
        <w:rPr>
          <w:rFonts w:hint="eastAsia" w:ascii="仿宋" w:hAnsi="仿宋" w:eastAsia="仿宋" w:cs="仿宋"/>
          <w:color w:val="auto"/>
          <w:spacing w:val="12"/>
        </w:rPr>
        <w:t>由本</w:t>
      </w:r>
      <w:r>
        <w:rPr>
          <w:rFonts w:hint="eastAsia" w:ascii="仿宋" w:hAnsi="仿宋" w:eastAsia="仿宋" w:cs="仿宋"/>
          <w:color w:val="auto"/>
          <w:spacing w:val="14"/>
        </w:rPr>
        <w:t>单</w:t>
      </w:r>
      <w:r>
        <w:rPr>
          <w:rFonts w:hint="eastAsia" w:ascii="仿宋" w:hAnsi="仿宋" w:eastAsia="仿宋" w:cs="仿宋"/>
          <w:color w:val="auto"/>
          <w:spacing w:val="12"/>
        </w:rPr>
        <w:t>位</w:t>
      </w:r>
      <w:r>
        <w:rPr>
          <w:rFonts w:hint="eastAsia" w:ascii="仿宋" w:hAnsi="仿宋" w:eastAsia="仿宋" w:cs="仿宋"/>
          <w:color w:val="auto"/>
          <w:spacing w:val="14"/>
        </w:rPr>
        <w:t>承</w:t>
      </w:r>
      <w:r>
        <w:rPr>
          <w:rFonts w:hint="eastAsia" w:ascii="仿宋" w:hAnsi="仿宋" w:eastAsia="仿宋" w:cs="仿宋"/>
          <w:color w:val="auto"/>
          <w:spacing w:val="12"/>
        </w:rPr>
        <w:t>担</w:t>
      </w:r>
      <w:r>
        <w:rPr>
          <w:rFonts w:hint="eastAsia" w:ascii="仿宋" w:hAnsi="仿宋" w:eastAsia="仿宋" w:cs="仿宋"/>
          <w:color w:val="auto"/>
          <w:spacing w:val="14"/>
        </w:rPr>
        <w:t>工</w:t>
      </w:r>
      <w:r>
        <w:rPr>
          <w:rFonts w:hint="eastAsia" w:ascii="仿宋" w:hAnsi="仿宋" w:eastAsia="仿宋" w:cs="仿宋"/>
          <w:color w:val="auto"/>
          <w:spacing w:val="13"/>
        </w:rPr>
        <w:t>程</w:t>
      </w:r>
      <w:r>
        <w:rPr>
          <w:rFonts w:hint="eastAsia" w:ascii="仿宋" w:hAnsi="仿宋" w:eastAsia="仿宋" w:cs="仿宋"/>
          <w:color w:val="auto"/>
          <w:spacing w:val="4"/>
        </w:rPr>
        <w:t>/</w:t>
      </w:r>
      <w:r>
        <w:rPr>
          <w:rFonts w:hint="eastAsia" w:ascii="仿宋" w:hAnsi="仿宋" w:eastAsia="仿宋" w:cs="仿宋"/>
          <w:color w:val="auto"/>
          <w:spacing w:val="14"/>
        </w:rPr>
        <w:t>提</w:t>
      </w:r>
      <w:r>
        <w:rPr>
          <w:rFonts w:hint="eastAsia" w:ascii="仿宋" w:hAnsi="仿宋" w:eastAsia="仿宋" w:cs="仿宋"/>
          <w:color w:val="auto"/>
          <w:spacing w:val="12"/>
        </w:rPr>
        <w:t>供服务</w:t>
      </w:r>
      <w:r>
        <w:rPr>
          <w:rFonts w:hint="eastAsia" w:ascii="仿宋" w:hAnsi="仿宋" w:eastAsia="仿宋" w:cs="仿宋"/>
          <w:color w:val="auto"/>
          <w:spacing w:val="-96"/>
        </w:rPr>
        <w:t>）</w:t>
      </w:r>
      <w:r>
        <w:rPr>
          <w:rFonts w:hint="eastAsia" w:ascii="仿宋" w:hAnsi="仿宋" w:eastAsia="仿宋" w:cs="仿宋"/>
          <w:color w:val="auto"/>
          <w:spacing w:val="12"/>
        </w:rPr>
        <w:t>，或者提供其他残疾人福利性单位制造的货物（</w:t>
      </w:r>
      <w:r>
        <w:rPr>
          <w:rFonts w:hint="eastAsia" w:ascii="仿宋" w:hAnsi="仿宋" w:eastAsia="仿宋" w:cs="仿宋"/>
          <w:color w:val="auto"/>
          <w:spacing w:val="11"/>
        </w:rPr>
        <w:t>不包括使用非残疾人福利性单位注册商标</w:t>
      </w:r>
      <w:r>
        <w:rPr>
          <w:rFonts w:hint="eastAsia" w:ascii="仿宋" w:hAnsi="仿宋" w:eastAsia="仿宋" w:cs="仿宋"/>
          <w:color w:val="auto"/>
          <w:spacing w:val="10"/>
        </w:rPr>
        <w:t>的货物</w:t>
      </w:r>
      <w:r>
        <w:rPr>
          <w:rFonts w:hint="eastAsia" w:ascii="仿宋" w:hAnsi="仿宋" w:eastAsia="仿宋" w:cs="仿宋"/>
          <w:color w:val="auto"/>
          <w:spacing w:val="-101"/>
        </w:rPr>
        <w:t>）</w:t>
      </w:r>
      <w:r>
        <w:rPr>
          <w:rFonts w:hint="eastAsia" w:ascii="仿宋" w:hAnsi="仿宋" w:eastAsia="仿宋" w:cs="仿宋"/>
          <w:color w:val="auto"/>
          <w:spacing w:val="9"/>
        </w:rPr>
        <w:t>。</w:t>
      </w:r>
    </w:p>
    <w:p w14:paraId="7586776F">
      <w:pPr>
        <w:pStyle w:val="10"/>
        <w:spacing w:line="267" w:lineRule="exact"/>
        <w:ind w:left="1001"/>
        <w:rPr>
          <w:rFonts w:ascii="仿宋" w:hAnsi="仿宋" w:eastAsia="仿宋" w:cs="仿宋"/>
          <w:color w:val="auto"/>
        </w:rPr>
      </w:pPr>
      <w:r>
        <w:rPr>
          <w:rFonts w:hint="eastAsia" w:ascii="仿宋" w:hAnsi="仿宋" w:eastAsia="仿宋" w:cs="仿宋"/>
          <w:color w:val="auto"/>
        </w:rPr>
        <w:t xml:space="preserve">本单位对上述声明的真实性负责。如有虚假，将依法承担相应责任。 </w:t>
      </w:r>
    </w:p>
    <w:p w14:paraId="7A0BB644">
      <w:pPr>
        <w:pStyle w:val="10"/>
        <w:rPr>
          <w:rFonts w:ascii="仿宋" w:hAnsi="仿宋" w:eastAsia="仿宋" w:cs="仿宋"/>
          <w:color w:val="auto"/>
          <w:sz w:val="20"/>
        </w:rPr>
      </w:pPr>
    </w:p>
    <w:p w14:paraId="5A43BDA8">
      <w:pPr>
        <w:pStyle w:val="10"/>
        <w:rPr>
          <w:rFonts w:ascii="仿宋" w:hAnsi="仿宋" w:eastAsia="仿宋" w:cs="仿宋"/>
          <w:color w:val="auto"/>
          <w:sz w:val="20"/>
        </w:rPr>
      </w:pPr>
    </w:p>
    <w:p w14:paraId="08F68A5A">
      <w:pPr>
        <w:pStyle w:val="10"/>
        <w:rPr>
          <w:rFonts w:ascii="仿宋" w:hAnsi="仿宋" w:eastAsia="仿宋" w:cs="仿宋"/>
          <w:color w:val="auto"/>
          <w:sz w:val="20"/>
        </w:rPr>
      </w:pPr>
    </w:p>
    <w:p w14:paraId="53E43241">
      <w:pPr>
        <w:pStyle w:val="10"/>
        <w:rPr>
          <w:rFonts w:ascii="仿宋" w:hAnsi="仿宋" w:eastAsia="仿宋" w:cs="仿宋"/>
          <w:color w:val="auto"/>
          <w:sz w:val="20"/>
        </w:rPr>
      </w:pPr>
    </w:p>
    <w:p w14:paraId="0CE84C6D">
      <w:pPr>
        <w:pStyle w:val="10"/>
        <w:rPr>
          <w:rFonts w:ascii="仿宋" w:hAnsi="仿宋" w:eastAsia="仿宋" w:cs="仿宋"/>
          <w:color w:val="auto"/>
          <w:sz w:val="20"/>
        </w:rPr>
      </w:pPr>
    </w:p>
    <w:p w14:paraId="5B881457">
      <w:pPr>
        <w:pStyle w:val="10"/>
        <w:spacing w:before="4"/>
        <w:rPr>
          <w:rFonts w:ascii="仿宋" w:hAnsi="仿宋" w:eastAsia="仿宋" w:cs="仿宋"/>
          <w:color w:val="auto"/>
          <w:sz w:val="16"/>
        </w:rPr>
      </w:pPr>
    </w:p>
    <w:p w14:paraId="5B217908">
      <w:pPr>
        <w:pStyle w:val="10"/>
        <w:spacing w:before="1"/>
        <w:ind w:right="1149"/>
        <w:jc w:val="center"/>
        <w:rPr>
          <w:rFonts w:ascii="仿宋" w:hAnsi="仿宋" w:eastAsia="仿宋" w:cs="仿宋"/>
          <w:color w:val="auto"/>
        </w:rPr>
      </w:pPr>
      <w:r>
        <w:rPr>
          <w:rFonts w:hint="eastAsia" w:ascii="仿宋" w:hAnsi="仿宋" w:eastAsia="仿宋" w:cs="仿宋"/>
          <w:color w:val="auto"/>
          <w:spacing w:val="9"/>
        </w:rPr>
        <w:t>单位名称</w:t>
      </w:r>
      <w:r>
        <w:rPr>
          <w:rFonts w:hint="eastAsia" w:ascii="仿宋" w:hAnsi="仿宋" w:eastAsia="仿宋" w:cs="仿宋"/>
          <w:color w:val="auto"/>
          <w:spacing w:val="12"/>
        </w:rPr>
        <w:t>（</w:t>
      </w:r>
      <w:r>
        <w:rPr>
          <w:rFonts w:hint="eastAsia" w:ascii="仿宋" w:hAnsi="仿宋" w:eastAsia="仿宋" w:cs="仿宋"/>
          <w:color w:val="auto"/>
          <w:spacing w:val="9"/>
        </w:rPr>
        <w:t>电子签章）：</w:t>
      </w:r>
    </w:p>
    <w:p w14:paraId="2E2D997D">
      <w:pPr>
        <w:pStyle w:val="10"/>
        <w:spacing w:before="11"/>
        <w:rPr>
          <w:rFonts w:ascii="仿宋" w:hAnsi="仿宋" w:eastAsia="仿宋" w:cs="仿宋"/>
          <w:color w:val="auto"/>
          <w:sz w:val="24"/>
        </w:rPr>
      </w:pPr>
    </w:p>
    <w:p w14:paraId="1D117EC1">
      <w:pPr>
        <w:pStyle w:val="10"/>
        <w:ind w:right="1149"/>
        <w:jc w:val="center"/>
        <w:rPr>
          <w:rFonts w:ascii="仿宋" w:hAnsi="仿宋" w:eastAsia="仿宋" w:cs="仿宋"/>
          <w:color w:val="auto"/>
        </w:rPr>
      </w:pPr>
      <w:r>
        <w:rPr>
          <w:rFonts w:hint="eastAsia" w:ascii="仿宋" w:hAnsi="仿宋" w:eastAsia="仿宋" w:cs="仿宋"/>
          <w:color w:val="auto"/>
        </w:rPr>
        <w:t xml:space="preserve">       日 期 ： </w:t>
      </w:r>
    </w:p>
    <w:p w14:paraId="1EB0E103">
      <w:pPr>
        <w:pStyle w:val="10"/>
        <w:rPr>
          <w:rFonts w:ascii="仿宋" w:hAnsi="仿宋" w:eastAsia="仿宋" w:cs="仿宋"/>
          <w:color w:val="auto"/>
          <w:sz w:val="20"/>
        </w:rPr>
      </w:pPr>
    </w:p>
    <w:p w14:paraId="2931A3E2">
      <w:pPr>
        <w:pStyle w:val="10"/>
        <w:rPr>
          <w:rFonts w:ascii="仿宋" w:hAnsi="仿宋" w:eastAsia="仿宋" w:cs="仿宋"/>
          <w:color w:val="auto"/>
          <w:sz w:val="20"/>
        </w:rPr>
      </w:pPr>
    </w:p>
    <w:p w14:paraId="0112B1B3">
      <w:pPr>
        <w:pStyle w:val="10"/>
        <w:rPr>
          <w:rFonts w:ascii="仿宋" w:hAnsi="仿宋" w:eastAsia="仿宋" w:cs="仿宋"/>
          <w:color w:val="auto"/>
          <w:sz w:val="20"/>
        </w:rPr>
      </w:pPr>
    </w:p>
    <w:p w14:paraId="2607EBDB">
      <w:pPr>
        <w:pStyle w:val="10"/>
        <w:rPr>
          <w:rFonts w:ascii="仿宋" w:hAnsi="仿宋" w:eastAsia="仿宋" w:cs="仿宋"/>
          <w:color w:val="auto"/>
          <w:sz w:val="20"/>
        </w:rPr>
      </w:pPr>
    </w:p>
    <w:p w14:paraId="24D927F2">
      <w:pPr>
        <w:pStyle w:val="10"/>
        <w:rPr>
          <w:rFonts w:ascii="仿宋" w:hAnsi="仿宋" w:eastAsia="仿宋" w:cs="仿宋"/>
          <w:color w:val="auto"/>
          <w:sz w:val="20"/>
        </w:rPr>
      </w:pPr>
    </w:p>
    <w:p w14:paraId="385FF26F">
      <w:pPr>
        <w:pStyle w:val="10"/>
        <w:ind w:left="218" w:right="449" w:rightChars="214" w:hanging="218" w:hangingChars="104"/>
        <w:rPr>
          <w:rFonts w:ascii="仿宋" w:hAnsi="仿宋" w:eastAsia="仿宋" w:cs="仿宋"/>
          <w:color w:val="auto"/>
        </w:rPr>
      </w:pPr>
      <w:r>
        <w:rPr>
          <w:rFonts w:hint="eastAsia" w:ascii="仿宋" w:hAnsi="仿宋" w:eastAsia="仿宋" w:cs="仿宋"/>
          <w:color w:val="auto"/>
        </w:rPr>
        <w:t xml:space="preserve">注：如供应商不属于残疾人福利性单位，则不需要提供该内容。中标供应商为残疾人福利性单位的，其《残疾人福利性单位声明函》将随中标结果同时公告，接受社会监督。供应商提供的《残疾人福利性单位声明函》与事实不符的，依照《政府采购法》第七十七条第一款的规定追究法律责任。 </w:t>
      </w:r>
    </w:p>
    <w:p w14:paraId="6A14EB48">
      <w:pPr>
        <w:spacing w:line="525" w:lineRule="auto"/>
        <w:rPr>
          <w:rFonts w:ascii="仿宋" w:hAnsi="仿宋" w:eastAsia="仿宋" w:cs="仿宋"/>
          <w:color w:val="auto"/>
        </w:rPr>
        <w:sectPr>
          <w:headerReference r:id="rId3" w:type="default"/>
          <w:footerReference r:id="rId4" w:type="default"/>
          <w:pgSz w:w="11911" w:h="16838"/>
          <w:pgMar w:top="1417" w:right="1389" w:bottom="1060" w:left="1502" w:header="748" w:footer="879" w:gutter="0"/>
          <w:cols w:space="720" w:num="1"/>
          <w:docGrid w:linePitch="1" w:charSpace="0"/>
        </w:sectPr>
      </w:pPr>
    </w:p>
    <w:p w14:paraId="6A6F11FF">
      <w:pPr>
        <w:pStyle w:val="3"/>
        <w:jc w:val="center"/>
        <w:rPr>
          <w:rFonts w:ascii="仿宋" w:hAnsi="仿宋" w:eastAsia="仿宋" w:cs="仿宋"/>
          <w:color w:val="auto"/>
          <w:sz w:val="28"/>
          <w:szCs w:val="22"/>
        </w:rPr>
      </w:pPr>
      <w:r>
        <w:rPr>
          <w:rFonts w:hint="eastAsia" w:ascii="仿宋" w:hAnsi="仿宋" w:eastAsia="仿宋" w:cs="仿宋"/>
          <w:color w:val="auto"/>
          <w:sz w:val="28"/>
          <w:szCs w:val="22"/>
        </w:rPr>
        <w:t>（3）监狱企业证明文件</w:t>
      </w:r>
    </w:p>
    <w:p w14:paraId="46E0A542">
      <w:pPr>
        <w:pStyle w:val="10"/>
        <w:ind w:right="34"/>
        <w:jc w:val="center"/>
        <w:rPr>
          <w:rFonts w:ascii="仿宋" w:hAnsi="仿宋" w:eastAsia="仿宋" w:cs="仿宋"/>
          <w:color w:val="auto"/>
        </w:rPr>
      </w:pPr>
      <w:r>
        <w:rPr>
          <w:rFonts w:hint="eastAsia" w:ascii="仿宋" w:hAnsi="仿宋" w:eastAsia="仿宋" w:cs="仿宋"/>
          <w:color w:val="auto"/>
        </w:rPr>
        <w:t xml:space="preserve">（根据供应商自身情况如实提供） </w:t>
      </w:r>
    </w:p>
    <w:p w14:paraId="73125F95">
      <w:pPr>
        <w:pStyle w:val="10"/>
        <w:spacing w:before="8"/>
        <w:rPr>
          <w:rFonts w:ascii="仿宋" w:hAnsi="仿宋" w:eastAsia="仿宋" w:cs="仿宋"/>
          <w:color w:val="auto"/>
          <w:sz w:val="26"/>
        </w:rPr>
      </w:pPr>
    </w:p>
    <w:p w14:paraId="3A6012FE">
      <w:pPr>
        <w:pStyle w:val="10"/>
        <w:spacing w:before="72" w:line="360" w:lineRule="auto"/>
        <w:ind w:firstLine="420" w:firstLineChars="200"/>
        <w:rPr>
          <w:rFonts w:ascii="仿宋" w:hAnsi="仿宋" w:eastAsia="仿宋" w:cs="仿宋"/>
          <w:color w:val="auto"/>
        </w:rPr>
      </w:pPr>
      <w:r>
        <w:rPr>
          <w:rFonts w:hint="eastAsia" w:ascii="仿宋" w:hAnsi="仿宋" w:eastAsia="仿宋" w:cs="仿宋"/>
          <w:color w:val="auto"/>
        </w:rPr>
        <w:t xml:space="preserve">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4CAA25D">
      <w:pPr>
        <w:spacing w:line="360" w:lineRule="auto"/>
        <w:rPr>
          <w:rFonts w:ascii="仿宋" w:hAnsi="仿宋" w:eastAsia="仿宋" w:cs="仿宋"/>
          <w:b/>
          <w:bCs/>
          <w:color w:val="auto"/>
        </w:rPr>
      </w:pPr>
      <w:r>
        <w:rPr>
          <w:rFonts w:hint="eastAsia" w:ascii="仿宋" w:hAnsi="仿宋" w:eastAsia="仿宋" w:cs="仿宋"/>
          <w:b/>
          <w:bCs/>
          <w:color w:val="auto"/>
        </w:rPr>
        <w:t>注：监狱企业参加政府采购活动时，应当提供由省级以上监狱管理局、戒毒管理局（含新疆生产建设兵团）出具的属于监狱企业的证明文件。 如供应商不属于监狱企业，则无需提供该内容。</w:t>
      </w:r>
    </w:p>
    <w:p w14:paraId="14883CA7">
      <w:pPr>
        <w:pStyle w:val="3"/>
        <w:jc w:val="left"/>
        <w:rPr>
          <w:rFonts w:ascii="仿宋" w:hAnsi="仿宋" w:eastAsia="仿宋" w:cs="仿宋"/>
          <w:color w:val="auto"/>
          <w:sz w:val="24"/>
        </w:rPr>
      </w:pPr>
      <w:r>
        <w:rPr>
          <w:rFonts w:hint="eastAsia" w:ascii="仿宋" w:hAnsi="仿宋" w:eastAsia="仿宋" w:cs="仿宋"/>
          <w:color w:val="auto"/>
          <w:sz w:val="30"/>
          <w:szCs w:val="30"/>
        </w:rPr>
        <w:br w:type="page"/>
      </w:r>
      <w:r>
        <w:rPr>
          <w:rFonts w:hint="eastAsia" w:ascii="仿宋" w:hAnsi="仿宋" w:eastAsia="仿宋" w:cs="仿宋"/>
          <w:color w:val="auto"/>
          <w:sz w:val="28"/>
          <w:szCs w:val="28"/>
        </w:rPr>
        <w:t>（三）本项目的特定资格</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证明材料：</w:t>
      </w:r>
    </w:p>
    <w:p w14:paraId="5911D8CA">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（1）单位负责人为同一人或者存在控股、管理关系的不同单位，不得同时参加本次采购活动。</w:t>
      </w:r>
    </w:p>
    <w:p w14:paraId="63CAAACE">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67592AD5">
      <w:pPr>
        <w:rPr>
          <w:color w:val="auto"/>
          <w:sz w:val="24"/>
          <w:szCs w:val="24"/>
        </w:rPr>
      </w:pPr>
    </w:p>
    <w:p w14:paraId="0C4ABF6F">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（2）供应商成交后不得将采购项目整体转包给其他主体实施。</w:t>
      </w:r>
    </w:p>
    <w:p w14:paraId="619CFD8F">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5C60FFC1">
      <w:pPr>
        <w:rPr>
          <w:color w:val="auto"/>
          <w:sz w:val="24"/>
          <w:szCs w:val="24"/>
        </w:rPr>
      </w:pPr>
    </w:p>
    <w:p w14:paraId="4DFC90F7">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（3）为本采购项目提供整体设计、规范编制或者项目管理、监理、检测等服务的供应商，不允许参加本次采购活动。</w:t>
      </w:r>
    </w:p>
    <w:p w14:paraId="1135629C">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02FE3614">
      <w:pPr>
        <w:rPr>
          <w:color w:val="auto"/>
          <w:sz w:val="24"/>
          <w:szCs w:val="24"/>
        </w:rPr>
      </w:pPr>
    </w:p>
    <w:p w14:paraId="147DF16B">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（4）供应商在参加政府采购活动前3年内因违法经营被禁止在一定期限内参加政府采购活动，期限届满的，可以参加本次政府采购活动。</w:t>
      </w:r>
    </w:p>
    <w:p w14:paraId="1CB1EF33">
      <w:pPr>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027CB7A9">
      <w:pPr>
        <w:rPr>
          <w:rFonts w:ascii="仿宋" w:hAnsi="仿宋" w:eastAsia="仿宋" w:cs="仿宋"/>
          <w:bCs/>
          <w:color w:val="auto"/>
          <w:szCs w:val="21"/>
        </w:rPr>
      </w:pPr>
      <w:r>
        <w:rPr>
          <w:rFonts w:hint="eastAsia" w:ascii="仿宋" w:hAnsi="仿宋" w:eastAsia="仿宋" w:cs="仿宋"/>
          <w:bCs/>
          <w:color w:val="auto"/>
          <w:szCs w:val="21"/>
        </w:rPr>
        <w:br w:type="page"/>
      </w:r>
    </w:p>
    <w:p w14:paraId="1925AF18">
      <w:pPr>
        <w:pStyle w:val="3"/>
        <w:rPr>
          <w:rFonts w:ascii="仿宋" w:hAnsi="仿宋" w:eastAsia="仿宋" w:cs="仿宋"/>
          <w:b w:val="0"/>
          <w:bCs/>
          <w:color w:val="auto"/>
          <w:sz w:val="32"/>
          <w:szCs w:val="32"/>
        </w:rPr>
      </w:pPr>
      <w:r>
        <w:rPr>
          <w:rFonts w:hint="eastAsia" w:ascii="仿宋" w:hAnsi="仿宋" w:eastAsia="仿宋" w:cs="仿宋"/>
          <w:color w:val="auto"/>
          <w:sz w:val="32"/>
          <w:szCs w:val="32"/>
        </w:rPr>
        <w:t>二、符合性证明文件材料</w:t>
      </w:r>
    </w:p>
    <w:p w14:paraId="07071701">
      <w:pPr>
        <w:pStyle w:val="3"/>
        <w:jc w:val="center"/>
        <w:rPr>
          <w:rFonts w:ascii="仿宋" w:hAnsi="仿宋" w:eastAsia="仿宋" w:cs="仿宋"/>
          <w:color w:val="auto"/>
          <w:sz w:val="28"/>
          <w:szCs w:val="28"/>
        </w:rPr>
      </w:pPr>
      <w:r>
        <w:rPr>
          <w:rFonts w:hint="eastAsia" w:ascii="仿宋" w:hAnsi="仿宋" w:eastAsia="仿宋" w:cs="仿宋"/>
          <w:color w:val="auto"/>
          <w:sz w:val="28"/>
          <w:szCs w:val="28"/>
        </w:rPr>
        <w:t>（一）响应函</w:t>
      </w:r>
    </w:p>
    <w:p w14:paraId="6B7D7E30">
      <w:pPr>
        <w:adjustRightInd w:val="0"/>
        <w:snapToGrid w:val="0"/>
        <w:spacing w:line="360" w:lineRule="auto"/>
        <w:ind w:right="630" w:rightChars="300" w:firstLine="240" w:firstLineChars="100"/>
        <w:rPr>
          <w:rFonts w:ascii="仿宋" w:hAnsi="仿宋" w:eastAsia="仿宋" w:cs="仿宋"/>
          <w:color w:val="auto"/>
          <w:sz w:val="24"/>
          <w:u w:val="single"/>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（采购人或采购代理机构）：</w:t>
      </w:r>
    </w:p>
    <w:p w14:paraId="15DA5975">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 xml:space="preserve">        根据贵方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(项目名称)项目的采购公告</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(项目编号),签字代表(姓名、职务)经正式授权并代表供应商（名称、地址）在政府采购云平台（https://www.zcygov.cn/）网上提交电子响应文件1份。</w:t>
      </w:r>
    </w:p>
    <w:p w14:paraId="33AC726B">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据此，签字代表宣布同意如下：</w:t>
      </w:r>
    </w:p>
    <w:p w14:paraId="60922F43">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（1）本项目投标报价详见报价一览表。</w:t>
      </w:r>
    </w:p>
    <w:p w14:paraId="519F609A">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（2）本投标有效期为自递交响应文件截止之日起</w:t>
      </w:r>
      <w:r>
        <w:rPr>
          <w:rFonts w:hint="eastAsia" w:ascii="仿宋" w:hAnsi="仿宋" w:eastAsia="仿宋" w:cs="仿宋"/>
          <w:color w:val="auto"/>
          <w:sz w:val="24"/>
          <w:u w:val="single"/>
        </w:rPr>
        <w:t>90</w:t>
      </w:r>
      <w:r>
        <w:rPr>
          <w:rFonts w:hint="eastAsia" w:ascii="仿宋" w:hAnsi="仿宋" w:eastAsia="仿宋" w:cs="仿宋"/>
          <w:color w:val="auto"/>
          <w:sz w:val="24"/>
        </w:rPr>
        <w:t>日历天。</w:t>
      </w:r>
    </w:p>
    <w:p w14:paraId="7CC94E2F">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（3）已详细审查全部采购文件，包括所有补充通知（如果有的话）。</w:t>
      </w:r>
    </w:p>
    <w:p w14:paraId="3BB8C60A">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（4）我方不是为本项目提供整体设计、规范编制或者项目管理、监理、检测等服务的供应商，我方不是采购代理机构的附属机构。</w:t>
      </w:r>
    </w:p>
    <w:p w14:paraId="1331A304">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（5）我方本次参与投标的无伴随相关货物采购，亦无进口产品。</w:t>
      </w:r>
    </w:p>
    <w:p w14:paraId="7687B697">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（6）按照贵方要求，提供与其响应有关的一切数据或资料，完全理解贵方不一定接受最低价的响应。</w:t>
      </w:r>
    </w:p>
    <w:p w14:paraId="3CAAE8E3">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（7）按照采购文件的规定履行合同责任和义务。</w:t>
      </w:r>
    </w:p>
    <w:p w14:paraId="0104A8D8">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（8）我方承诺响应文件中的证明材料真实、合法、有效。</w:t>
      </w:r>
    </w:p>
    <w:p w14:paraId="723DFB31">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其他事项：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C57F25E">
      <w:pPr>
        <w:adjustRightInd w:val="0"/>
        <w:snapToGrid w:val="0"/>
        <w:spacing w:line="360" w:lineRule="auto"/>
        <w:ind w:right="-21" w:rightChars="-10"/>
        <w:rPr>
          <w:rFonts w:ascii="仿宋" w:hAnsi="仿宋" w:eastAsia="仿宋" w:cs="仿宋"/>
          <w:color w:val="auto"/>
          <w:sz w:val="24"/>
        </w:rPr>
      </w:pPr>
    </w:p>
    <w:p w14:paraId="2C9F5FD0">
      <w:pPr>
        <w:adjustRightInd w:val="0"/>
        <w:snapToGrid w:val="0"/>
        <w:spacing w:line="360" w:lineRule="auto"/>
        <w:ind w:right="-21" w:rightChars="-10"/>
        <w:rPr>
          <w:rFonts w:ascii="仿宋" w:hAnsi="仿宋" w:eastAsia="仿宋" w:cs="仿宋"/>
          <w:color w:val="auto"/>
          <w:sz w:val="24"/>
        </w:rPr>
      </w:pPr>
    </w:p>
    <w:p w14:paraId="277A997D">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与本项目有关的一切往来通讯请寄</w:t>
      </w:r>
    </w:p>
    <w:p w14:paraId="7A445FCF">
      <w:pPr>
        <w:adjustRightInd w:val="0"/>
        <w:snapToGrid w:val="0"/>
        <w:spacing w:line="360" w:lineRule="auto"/>
        <w:ind w:right="-21" w:rightChars="-10"/>
        <w:rPr>
          <w:rFonts w:ascii="仿宋" w:hAnsi="仿宋" w:eastAsia="仿宋" w:cs="仿宋"/>
          <w:color w:val="auto"/>
          <w:sz w:val="24"/>
          <w:u w:val="single"/>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14:paraId="1BCC16AE">
      <w:pPr>
        <w:adjustRightInd w:val="0"/>
        <w:snapToGrid w:val="0"/>
        <w:spacing w:line="360" w:lineRule="auto"/>
        <w:ind w:right="-21" w:rightChars="-10"/>
        <w:rPr>
          <w:rFonts w:ascii="仿宋" w:hAnsi="仿宋" w:eastAsia="仿宋" w:cs="仿宋"/>
          <w:color w:val="auto"/>
          <w:sz w:val="24"/>
          <w:u w:val="single"/>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电子邮件：</w:t>
      </w:r>
      <w:r>
        <w:rPr>
          <w:rFonts w:hint="eastAsia" w:ascii="仿宋" w:hAnsi="仿宋" w:eastAsia="仿宋" w:cs="仿宋"/>
          <w:color w:val="auto"/>
          <w:sz w:val="24"/>
          <w:u w:val="single"/>
        </w:rPr>
        <w:t xml:space="preserve">                     </w:t>
      </w:r>
    </w:p>
    <w:p w14:paraId="0B6A3622">
      <w:pPr>
        <w:adjustRightInd w:val="0"/>
        <w:snapToGrid w:val="0"/>
        <w:spacing w:line="360" w:lineRule="auto"/>
        <w:ind w:right="-21" w:rightChars="-1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法定代表人（或非法人组织负责人）或其授权委托人（电子签章）：</w:t>
      </w:r>
      <w:r>
        <w:rPr>
          <w:rFonts w:hint="eastAsia" w:ascii="仿宋" w:hAnsi="仿宋" w:eastAsia="仿宋" w:cs="仿宋"/>
          <w:color w:val="auto"/>
          <w:sz w:val="24"/>
          <w:highlight w:val="none"/>
          <w:u w:val="single"/>
        </w:rPr>
        <w:t xml:space="preserve">       </w:t>
      </w:r>
    </w:p>
    <w:p w14:paraId="1EE1E3D0">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供应商名称（电子签章）：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3A2DA00D">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供应商开户银行（全称）：</w:t>
      </w:r>
      <w:r>
        <w:rPr>
          <w:rFonts w:hint="eastAsia" w:ascii="仿宋" w:hAnsi="仿宋" w:eastAsia="仿宋" w:cs="仿宋"/>
          <w:color w:val="auto"/>
          <w:sz w:val="24"/>
          <w:u w:val="single"/>
        </w:rPr>
        <w:t xml:space="preserve">               </w:t>
      </w:r>
    </w:p>
    <w:p w14:paraId="43A6372A">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供应商银行账号：</w:t>
      </w:r>
      <w:r>
        <w:rPr>
          <w:rFonts w:hint="eastAsia" w:ascii="仿宋" w:hAnsi="仿宋" w:eastAsia="仿宋" w:cs="仿宋"/>
          <w:color w:val="auto"/>
          <w:sz w:val="24"/>
          <w:u w:val="single"/>
        </w:rPr>
        <w:t xml:space="preserve">                       </w:t>
      </w:r>
    </w:p>
    <w:p w14:paraId="43F1117A">
      <w:pPr>
        <w:adjustRightInd w:val="0"/>
        <w:snapToGrid w:val="0"/>
        <w:spacing w:line="360" w:lineRule="auto"/>
        <w:ind w:right="1050" w:rightChars="500"/>
        <w:jc w:val="left"/>
        <w:rPr>
          <w:rFonts w:ascii="仿宋" w:hAnsi="仿宋" w:eastAsia="仿宋" w:cs="仿宋"/>
          <w:color w:val="auto"/>
          <w:sz w:val="24"/>
          <w:u w:val="single"/>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p>
    <w:p w14:paraId="02D25F99">
      <w:pPr>
        <w:pStyle w:val="3"/>
        <w:jc w:val="center"/>
        <w:rPr>
          <w:rFonts w:ascii="仿宋" w:hAnsi="仿宋" w:eastAsia="仿宋" w:cs="仿宋"/>
          <w:bCs/>
          <w:color w:val="auto"/>
          <w:sz w:val="28"/>
          <w:szCs w:val="28"/>
        </w:rPr>
      </w:pPr>
      <w:r>
        <w:rPr>
          <w:rFonts w:hint="eastAsia" w:ascii="仿宋" w:hAnsi="仿宋" w:eastAsia="仿宋" w:cs="仿宋"/>
          <w:color w:val="auto"/>
          <w:sz w:val="28"/>
          <w:szCs w:val="28"/>
        </w:rPr>
        <w:t>（二）报价一览表</w:t>
      </w:r>
    </w:p>
    <w:p w14:paraId="16EB2EED">
      <w:pPr>
        <w:adjustRightInd w:val="0"/>
        <w:snapToGrid w:val="0"/>
        <w:spacing w:line="360" w:lineRule="auto"/>
        <w:ind w:right="105" w:rightChars="50"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项目名称：                                  项目编号：</w:t>
      </w:r>
    </w:p>
    <w:tbl>
      <w:tblPr>
        <w:tblStyle w:val="2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6"/>
        <w:gridCol w:w="5178"/>
      </w:tblGrid>
      <w:tr w14:paraId="6E73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2666" w:type="dxa"/>
            <w:noWrap/>
            <w:vAlign w:val="center"/>
          </w:tcPr>
          <w:p w14:paraId="7DF18020">
            <w:pPr>
              <w:pStyle w:val="53"/>
              <w:jc w:val="center"/>
              <w:rPr>
                <w:rFonts w:ascii="仿宋" w:hAnsi="仿宋" w:eastAsia="仿宋" w:cs="仿宋"/>
                <w:color w:val="auto"/>
                <w:sz w:val="24"/>
              </w:rPr>
            </w:pPr>
            <w:r>
              <w:rPr>
                <w:rFonts w:hint="eastAsia" w:ascii="仿宋" w:hAnsi="仿宋" w:eastAsia="仿宋" w:cs="仿宋"/>
                <w:color w:val="auto"/>
                <w:sz w:val="24"/>
                <w:lang w:val="en-US"/>
              </w:rPr>
              <w:t>供应商</w:t>
            </w:r>
            <w:r>
              <w:rPr>
                <w:rFonts w:hint="eastAsia" w:ascii="仿宋" w:hAnsi="仿宋" w:eastAsia="仿宋" w:cs="仿宋"/>
                <w:color w:val="auto"/>
                <w:sz w:val="24"/>
              </w:rPr>
              <w:t>名称</w:t>
            </w:r>
          </w:p>
        </w:tc>
        <w:tc>
          <w:tcPr>
            <w:tcW w:w="5178" w:type="dxa"/>
            <w:noWrap/>
          </w:tcPr>
          <w:p w14:paraId="412800D5">
            <w:pPr>
              <w:pStyle w:val="53"/>
              <w:rPr>
                <w:rFonts w:ascii="仿宋" w:hAnsi="仿宋" w:eastAsia="仿宋" w:cs="仿宋"/>
                <w:color w:val="auto"/>
                <w:sz w:val="24"/>
              </w:rPr>
            </w:pPr>
          </w:p>
        </w:tc>
      </w:tr>
      <w:tr w14:paraId="3872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2666" w:type="dxa"/>
            <w:noWrap/>
            <w:vAlign w:val="center"/>
          </w:tcPr>
          <w:p w14:paraId="79FE1777">
            <w:pPr>
              <w:pStyle w:val="53"/>
              <w:jc w:val="center"/>
              <w:rPr>
                <w:rFonts w:ascii="仿宋" w:hAnsi="仿宋" w:eastAsia="仿宋" w:cs="仿宋"/>
                <w:color w:val="auto"/>
                <w:sz w:val="24"/>
              </w:rPr>
            </w:pPr>
            <w:r>
              <w:rPr>
                <w:rFonts w:hint="eastAsia" w:ascii="仿宋" w:hAnsi="仿宋" w:eastAsia="仿宋" w:cs="仿宋"/>
                <w:color w:val="auto"/>
                <w:sz w:val="24"/>
                <w:lang w:val="en-US"/>
              </w:rPr>
              <w:t>响应总价</w:t>
            </w:r>
            <w:r>
              <w:rPr>
                <w:rFonts w:hint="eastAsia" w:ascii="仿宋" w:hAnsi="仿宋" w:eastAsia="仿宋" w:cs="仿宋"/>
                <w:color w:val="auto"/>
                <w:sz w:val="24"/>
              </w:rPr>
              <w:t>（元）</w:t>
            </w:r>
          </w:p>
        </w:tc>
        <w:tc>
          <w:tcPr>
            <w:tcW w:w="5178" w:type="dxa"/>
            <w:noWrap/>
            <w:vAlign w:val="center"/>
          </w:tcPr>
          <w:p w14:paraId="587FA67D">
            <w:pPr>
              <w:pStyle w:val="53"/>
              <w:tabs>
                <w:tab w:val="left" w:pos="3202"/>
              </w:tabs>
              <w:spacing w:before="1" w:line="417" w:lineRule="auto"/>
              <w:ind w:right="58"/>
              <w:rPr>
                <w:rFonts w:ascii="仿宋" w:hAnsi="仿宋" w:eastAsia="仿宋" w:cs="仿宋"/>
                <w:color w:val="auto"/>
                <w:sz w:val="24"/>
                <w:lang w:val="en-US"/>
              </w:rPr>
            </w:pPr>
            <w:r>
              <w:rPr>
                <w:rFonts w:hint="eastAsia" w:ascii="仿宋" w:hAnsi="仿宋" w:eastAsia="仿宋" w:cs="仿宋"/>
                <w:color w:val="auto"/>
                <w:sz w:val="24"/>
                <w:lang w:val="en-US"/>
              </w:rPr>
              <w:t>小写：</w:t>
            </w:r>
          </w:p>
          <w:p w14:paraId="2F21889F">
            <w:pPr>
              <w:pStyle w:val="53"/>
              <w:tabs>
                <w:tab w:val="left" w:pos="3202"/>
              </w:tabs>
              <w:spacing w:before="1" w:line="417" w:lineRule="auto"/>
              <w:ind w:right="58"/>
              <w:rPr>
                <w:rFonts w:ascii="仿宋" w:hAnsi="仿宋" w:eastAsia="仿宋" w:cs="仿宋"/>
                <w:color w:val="auto"/>
                <w:sz w:val="24"/>
                <w:lang w:val="en-US"/>
              </w:rPr>
            </w:pPr>
            <w:r>
              <w:rPr>
                <w:rFonts w:hint="eastAsia" w:ascii="仿宋" w:hAnsi="仿宋" w:eastAsia="仿宋" w:cs="仿宋"/>
                <w:color w:val="auto"/>
                <w:sz w:val="24"/>
                <w:lang w:val="en-US"/>
              </w:rPr>
              <w:t>大写：</w:t>
            </w:r>
          </w:p>
        </w:tc>
      </w:tr>
      <w:tr w14:paraId="7FCF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666" w:type="dxa"/>
            <w:noWrap/>
            <w:vAlign w:val="center"/>
          </w:tcPr>
          <w:p w14:paraId="2706BB6A">
            <w:pPr>
              <w:pStyle w:val="53"/>
              <w:spacing w:before="1"/>
              <w:jc w:val="center"/>
              <w:rPr>
                <w:rFonts w:ascii="仿宋" w:hAnsi="仿宋" w:eastAsia="仿宋" w:cs="仿宋"/>
                <w:color w:val="auto"/>
                <w:sz w:val="24"/>
                <w:lang w:val="en-US"/>
              </w:rPr>
            </w:pPr>
            <w:r>
              <w:rPr>
                <w:rFonts w:hint="eastAsia" w:ascii="仿宋" w:hAnsi="仿宋" w:eastAsia="仿宋" w:cs="仿宋"/>
                <w:color w:val="auto"/>
                <w:sz w:val="24"/>
                <w:lang w:val="en-US"/>
              </w:rPr>
              <w:t>服务期限承诺</w:t>
            </w:r>
          </w:p>
        </w:tc>
        <w:tc>
          <w:tcPr>
            <w:tcW w:w="5178" w:type="dxa"/>
            <w:noWrap/>
          </w:tcPr>
          <w:p w14:paraId="4EF771C3">
            <w:pPr>
              <w:pStyle w:val="53"/>
              <w:rPr>
                <w:rFonts w:ascii="仿宋" w:hAnsi="仿宋" w:eastAsia="仿宋" w:cs="仿宋"/>
                <w:color w:val="auto"/>
                <w:sz w:val="24"/>
              </w:rPr>
            </w:pPr>
          </w:p>
        </w:tc>
      </w:tr>
      <w:tr w14:paraId="6D3C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66" w:type="dxa"/>
            <w:noWrap/>
            <w:vAlign w:val="center"/>
          </w:tcPr>
          <w:p w14:paraId="4A373055">
            <w:pPr>
              <w:pStyle w:val="53"/>
              <w:jc w:val="center"/>
              <w:rPr>
                <w:rFonts w:ascii="仿宋" w:hAnsi="仿宋" w:eastAsia="仿宋" w:cs="仿宋"/>
                <w:color w:val="auto"/>
                <w:sz w:val="24"/>
                <w:lang w:val="en-US"/>
              </w:rPr>
            </w:pPr>
            <w:r>
              <w:rPr>
                <w:rFonts w:hint="eastAsia" w:ascii="仿宋" w:hAnsi="仿宋" w:eastAsia="仿宋" w:cs="仿宋"/>
                <w:color w:val="auto"/>
                <w:sz w:val="24"/>
                <w:lang w:val="en-US"/>
              </w:rPr>
              <w:t>服务</w:t>
            </w:r>
            <w:r>
              <w:rPr>
                <w:rFonts w:hint="eastAsia" w:ascii="仿宋" w:hAnsi="仿宋" w:eastAsia="仿宋" w:cs="仿宋"/>
                <w:color w:val="auto"/>
                <w:sz w:val="24"/>
                <w:lang w:val="en-US" w:eastAsia="zh-CN"/>
              </w:rPr>
              <w:t>质量</w:t>
            </w:r>
            <w:r>
              <w:rPr>
                <w:rFonts w:hint="eastAsia" w:ascii="仿宋" w:hAnsi="仿宋" w:eastAsia="仿宋" w:cs="仿宋"/>
                <w:color w:val="auto"/>
                <w:sz w:val="24"/>
                <w:lang w:val="en-US"/>
              </w:rPr>
              <w:t>承诺</w:t>
            </w:r>
          </w:p>
        </w:tc>
        <w:tc>
          <w:tcPr>
            <w:tcW w:w="5178" w:type="dxa"/>
            <w:noWrap/>
          </w:tcPr>
          <w:p w14:paraId="35A36B2D">
            <w:pPr>
              <w:pStyle w:val="53"/>
              <w:rPr>
                <w:rFonts w:ascii="仿宋" w:hAnsi="仿宋" w:eastAsia="仿宋" w:cs="仿宋"/>
                <w:color w:val="auto"/>
                <w:sz w:val="24"/>
              </w:rPr>
            </w:pPr>
          </w:p>
        </w:tc>
      </w:tr>
      <w:tr w14:paraId="68B9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844" w:type="dxa"/>
            <w:gridSpan w:val="2"/>
            <w:noWrap/>
            <w:vAlign w:val="center"/>
          </w:tcPr>
          <w:p w14:paraId="6D29FE93">
            <w:pPr>
              <w:pStyle w:val="53"/>
              <w:ind w:left="106" w:firstLine="480" w:firstLineChars="200"/>
              <w:rPr>
                <w:rFonts w:ascii="仿宋" w:hAnsi="仿宋" w:eastAsia="仿宋" w:cs="仿宋"/>
                <w:color w:val="auto"/>
                <w:sz w:val="24"/>
                <w:lang w:val="en-US"/>
              </w:rPr>
            </w:pPr>
            <w:r>
              <w:rPr>
                <w:rFonts w:hint="eastAsia" w:ascii="仿宋" w:hAnsi="仿宋" w:eastAsia="仿宋" w:cs="仿宋"/>
                <w:color w:val="auto"/>
                <w:sz w:val="24"/>
              </w:rPr>
              <w:t>备 注：</w:t>
            </w:r>
          </w:p>
        </w:tc>
      </w:tr>
    </w:tbl>
    <w:p w14:paraId="1AC61C46">
      <w:pPr>
        <w:adjustRightInd w:val="0"/>
        <w:snapToGrid w:val="0"/>
        <w:ind w:right="105" w:rightChars="50" w:firstLine="480" w:firstLineChars="200"/>
        <w:jc w:val="left"/>
        <w:rPr>
          <w:rFonts w:ascii="仿宋" w:hAnsi="仿宋" w:eastAsia="仿宋" w:cs="仿宋"/>
          <w:color w:val="auto"/>
          <w:sz w:val="24"/>
        </w:rPr>
      </w:pPr>
    </w:p>
    <w:p w14:paraId="6AFD8250">
      <w:pPr>
        <w:adjustRightInd w:val="0"/>
        <w:snapToGrid w:val="0"/>
        <w:spacing w:line="360" w:lineRule="auto"/>
        <w:ind w:right="105" w:rightChars="50" w:firstLine="960" w:firstLineChars="400"/>
        <w:jc w:val="left"/>
        <w:rPr>
          <w:rFonts w:ascii="仿宋" w:hAnsi="仿宋" w:eastAsia="仿宋" w:cs="仿宋"/>
          <w:color w:val="auto"/>
          <w:szCs w:val="21"/>
        </w:rPr>
      </w:pPr>
      <w:r>
        <w:rPr>
          <w:rFonts w:hint="eastAsia" w:ascii="仿宋" w:hAnsi="仿宋" w:eastAsia="仿宋" w:cs="仿宋"/>
          <w:color w:val="auto"/>
          <w:sz w:val="24"/>
        </w:rPr>
        <w:t>注：供应商应按磋商小组要求，在规定时间内提交最后报价。</w:t>
      </w:r>
    </w:p>
    <w:p w14:paraId="53F701B8">
      <w:pPr>
        <w:adjustRightInd w:val="0"/>
        <w:snapToGrid w:val="0"/>
        <w:spacing w:line="360" w:lineRule="auto"/>
        <w:ind w:right="105" w:rightChars="50"/>
        <w:jc w:val="left"/>
        <w:rPr>
          <w:rFonts w:ascii="仿宋" w:hAnsi="仿宋" w:eastAsia="仿宋" w:cs="仿宋"/>
          <w:color w:val="auto"/>
          <w:szCs w:val="21"/>
        </w:rPr>
      </w:pPr>
    </w:p>
    <w:p w14:paraId="5A1E189C">
      <w:pPr>
        <w:adjustRightInd w:val="0"/>
        <w:snapToGrid w:val="0"/>
        <w:spacing w:line="360" w:lineRule="auto"/>
        <w:ind w:right="105" w:rightChars="50"/>
        <w:jc w:val="left"/>
        <w:rPr>
          <w:rFonts w:ascii="仿宋" w:hAnsi="仿宋" w:eastAsia="仿宋" w:cs="仿宋"/>
          <w:color w:val="auto"/>
          <w:szCs w:val="21"/>
        </w:rPr>
      </w:pPr>
    </w:p>
    <w:p w14:paraId="7AE3420B">
      <w:pPr>
        <w:adjustRightInd w:val="0"/>
        <w:snapToGrid w:val="0"/>
        <w:spacing w:line="360" w:lineRule="auto"/>
        <w:ind w:right="105" w:rightChars="50"/>
        <w:jc w:val="left"/>
        <w:rPr>
          <w:rFonts w:ascii="仿宋" w:hAnsi="仿宋" w:eastAsia="仿宋" w:cs="仿宋"/>
          <w:color w:val="auto"/>
          <w:szCs w:val="21"/>
        </w:rPr>
      </w:pPr>
    </w:p>
    <w:p w14:paraId="1C92A737">
      <w:pPr>
        <w:adjustRightInd w:val="0"/>
        <w:snapToGrid w:val="0"/>
        <w:spacing w:line="360" w:lineRule="auto"/>
        <w:ind w:right="105" w:rightChars="50"/>
        <w:jc w:val="left"/>
        <w:rPr>
          <w:rFonts w:ascii="仿宋" w:hAnsi="仿宋" w:eastAsia="仿宋" w:cs="仿宋"/>
          <w:color w:val="auto"/>
          <w:szCs w:val="21"/>
        </w:rPr>
      </w:pPr>
    </w:p>
    <w:p w14:paraId="05C9D756">
      <w:pPr>
        <w:spacing w:line="480" w:lineRule="auto"/>
        <w:rPr>
          <w:rFonts w:ascii="仿宋" w:hAnsi="仿宋" w:eastAsia="仿宋" w:cs="仿宋"/>
          <w:color w:val="auto"/>
        </w:rPr>
      </w:pPr>
      <w:r>
        <w:rPr>
          <w:rFonts w:hint="eastAsia" w:ascii="仿宋" w:hAnsi="仿宋" w:eastAsia="仿宋" w:cs="仿宋"/>
          <w:color w:val="auto"/>
          <w:sz w:val="24"/>
          <w:highlight w:val="none"/>
        </w:rPr>
        <w:t>供应商名称（电子签章）：</w:t>
      </w:r>
      <w:r>
        <w:rPr>
          <w:rFonts w:hint="eastAsia" w:ascii="仿宋" w:hAnsi="仿宋" w:eastAsia="仿宋" w:cs="仿宋"/>
          <w:color w:val="auto"/>
          <w:u w:val="single"/>
        </w:rPr>
        <w:t xml:space="preserve">           </w:t>
      </w:r>
    </w:p>
    <w:p w14:paraId="505E5591">
      <w:pPr>
        <w:spacing w:line="480" w:lineRule="auto"/>
        <w:rPr>
          <w:rFonts w:ascii="仿宋" w:hAnsi="仿宋" w:eastAsia="仿宋" w:cs="仿宋"/>
          <w:color w:val="auto"/>
          <w:highlight w:val="none"/>
        </w:rPr>
      </w:pPr>
      <w:r>
        <w:rPr>
          <w:rFonts w:hint="eastAsia" w:ascii="仿宋" w:hAnsi="仿宋" w:eastAsia="仿宋" w:cs="仿宋"/>
          <w:color w:val="auto"/>
          <w:sz w:val="24"/>
          <w:highlight w:val="none"/>
        </w:rPr>
        <w:t>法定代表人（或非法人组织负责人）或其授权委托人（电子签章）：</w:t>
      </w:r>
      <w:r>
        <w:rPr>
          <w:rFonts w:hint="eastAsia" w:ascii="仿宋" w:hAnsi="仿宋" w:eastAsia="仿宋" w:cs="仿宋"/>
          <w:color w:val="auto"/>
          <w:highlight w:val="none"/>
          <w:u w:val="single"/>
        </w:rPr>
        <w:t xml:space="preserve">           </w:t>
      </w:r>
    </w:p>
    <w:p w14:paraId="19721FC2">
      <w:pPr>
        <w:spacing w:line="480" w:lineRule="auto"/>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p>
    <w:p w14:paraId="7E793EDF">
      <w:pPr>
        <w:adjustRightInd w:val="0"/>
        <w:snapToGrid w:val="0"/>
        <w:spacing w:line="360" w:lineRule="auto"/>
        <w:ind w:right="105" w:rightChars="50"/>
        <w:jc w:val="left"/>
        <w:rPr>
          <w:rFonts w:ascii="仿宋" w:hAnsi="仿宋" w:eastAsia="仿宋" w:cs="仿宋"/>
          <w:color w:val="auto"/>
          <w:szCs w:val="21"/>
        </w:rPr>
      </w:pPr>
    </w:p>
    <w:p w14:paraId="4C68872E">
      <w:pPr>
        <w:spacing w:before="319" w:beforeLines="100" w:after="319" w:afterLines="100" w:line="360" w:lineRule="auto"/>
        <w:rPr>
          <w:rFonts w:ascii="仿宋" w:hAnsi="仿宋" w:eastAsia="仿宋" w:cs="仿宋"/>
          <w:color w:val="auto"/>
          <w:szCs w:val="21"/>
        </w:rPr>
      </w:pPr>
    </w:p>
    <w:p w14:paraId="079E9666">
      <w:pPr>
        <w:adjustRightInd w:val="0"/>
        <w:snapToGrid w:val="0"/>
        <w:spacing w:line="480" w:lineRule="auto"/>
        <w:ind w:right="1050" w:rightChars="500"/>
        <w:jc w:val="center"/>
        <w:outlineLvl w:val="1"/>
        <w:rPr>
          <w:rFonts w:ascii="仿宋" w:hAnsi="仿宋" w:eastAsia="仿宋" w:cs="仿宋"/>
          <w:color w:val="auto"/>
          <w:szCs w:val="32"/>
        </w:rPr>
      </w:pPr>
      <w:r>
        <w:rPr>
          <w:rFonts w:hint="eastAsia" w:ascii="仿宋" w:hAnsi="仿宋" w:eastAsia="仿宋" w:cs="仿宋"/>
          <w:color w:val="auto"/>
          <w:sz w:val="24"/>
        </w:rPr>
        <w:br w:type="page"/>
      </w:r>
      <w:r>
        <w:rPr>
          <w:rFonts w:hint="eastAsia" w:ascii="仿宋" w:hAnsi="仿宋" w:eastAsia="仿宋" w:cs="仿宋"/>
          <w:b/>
          <w:color w:val="auto"/>
          <w:sz w:val="28"/>
          <w:szCs w:val="28"/>
        </w:rPr>
        <w:t>（三）法定代表人（或非法人组织负责人）身份证明书</w:t>
      </w:r>
    </w:p>
    <w:p w14:paraId="743DD1FF">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，出生日期：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，现任职务：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（供应商名称）的法定代表人（或非法人组织负责人）。</w:t>
      </w:r>
    </w:p>
    <w:p w14:paraId="2668041D">
      <w:pPr>
        <w:spacing w:line="360" w:lineRule="auto"/>
        <w:ind w:firstLine="480" w:firstLineChars="200"/>
        <w:rPr>
          <w:rFonts w:ascii="仿宋" w:hAnsi="仿宋" w:eastAsia="仿宋" w:cs="仿宋"/>
          <w:color w:val="auto"/>
          <w:sz w:val="24"/>
          <w:szCs w:val="24"/>
        </w:rPr>
      </w:pPr>
    </w:p>
    <w:p w14:paraId="100986D6">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特此证明。</w:t>
      </w:r>
    </w:p>
    <w:p w14:paraId="6D385F7C">
      <w:pPr>
        <w:rPr>
          <w:rFonts w:ascii="仿宋" w:hAnsi="仿宋" w:eastAsia="仿宋" w:cs="仿宋"/>
          <w:color w:val="auto"/>
          <w:sz w:val="24"/>
          <w:szCs w:val="24"/>
        </w:rPr>
      </w:pPr>
    </w:p>
    <w:p w14:paraId="3A61B438">
      <w:pPr>
        <w:rPr>
          <w:rFonts w:ascii="仿宋" w:hAnsi="仿宋" w:eastAsia="仿宋" w:cs="仿宋"/>
          <w:color w:val="auto"/>
          <w:sz w:val="24"/>
          <w:szCs w:val="24"/>
        </w:rPr>
      </w:pPr>
    </w:p>
    <w:p w14:paraId="14E0AB73">
      <w:pPr>
        <w:rPr>
          <w:rFonts w:ascii="仿宋" w:hAnsi="仿宋" w:eastAsia="仿宋" w:cs="仿宋"/>
          <w:color w:val="auto"/>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2F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14D3F7FE">
            <w:pPr>
              <w:jc w:val="center"/>
              <w:rPr>
                <w:rFonts w:ascii="仿宋" w:hAnsi="仿宋" w:eastAsia="仿宋" w:cs="仿宋"/>
                <w:color w:val="auto"/>
                <w:sz w:val="24"/>
                <w:szCs w:val="24"/>
              </w:rPr>
            </w:pPr>
            <w:r>
              <w:rPr>
                <w:rFonts w:hint="eastAsia" w:ascii="仿宋" w:hAnsi="仿宋" w:eastAsia="仿宋" w:cs="仿宋"/>
                <w:color w:val="auto"/>
                <w:sz w:val="24"/>
                <w:szCs w:val="24"/>
              </w:rPr>
              <w:t>（※法定代表人（或非法人组织负责人）身份证正、反面复印件※）</w:t>
            </w:r>
          </w:p>
        </w:tc>
      </w:tr>
    </w:tbl>
    <w:p w14:paraId="2379D2ED">
      <w:pPr>
        <w:rPr>
          <w:rFonts w:ascii="仿宋" w:hAnsi="仿宋" w:eastAsia="仿宋" w:cs="仿宋"/>
          <w:color w:val="auto"/>
          <w:sz w:val="24"/>
          <w:szCs w:val="24"/>
        </w:rPr>
      </w:pPr>
    </w:p>
    <w:p w14:paraId="274D34A5">
      <w:pPr>
        <w:rPr>
          <w:rFonts w:ascii="仿宋" w:hAnsi="仿宋" w:eastAsia="仿宋" w:cs="仿宋"/>
          <w:color w:val="auto"/>
          <w:sz w:val="24"/>
          <w:szCs w:val="24"/>
        </w:rPr>
      </w:pPr>
    </w:p>
    <w:p w14:paraId="67091190">
      <w:pPr>
        <w:rPr>
          <w:rFonts w:ascii="仿宋" w:hAnsi="仿宋" w:eastAsia="仿宋" w:cs="仿宋"/>
          <w:color w:val="auto"/>
          <w:sz w:val="24"/>
          <w:szCs w:val="24"/>
        </w:rPr>
      </w:pPr>
    </w:p>
    <w:p w14:paraId="12D28BE9">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供应商名称（电子签章）：</w:t>
      </w:r>
      <w:r>
        <w:rPr>
          <w:rFonts w:hint="eastAsia" w:ascii="仿宋" w:hAnsi="仿宋" w:eastAsia="仿宋" w:cs="仿宋"/>
          <w:color w:val="auto"/>
          <w:sz w:val="24"/>
          <w:szCs w:val="24"/>
          <w:u w:val="single"/>
        </w:rPr>
        <w:t xml:space="preserve">           </w:t>
      </w:r>
    </w:p>
    <w:p w14:paraId="2E33E66C">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1B2E05AF">
      <w:pPr>
        <w:pStyle w:val="3"/>
        <w:jc w:val="center"/>
        <w:rPr>
          <w:rFonts w:ascii="仿宋" w:hAnsi="仿宋" w:eastAsia="仿宋" w:cs="仿宋"/>
          <w:color w:val="auto"/>
          <w:sz w:val="28"/>
          <w:szCs w:val="28"/>
        </w:rPr>
      </w:pPr>
      <w:r>
        <w:rPr>
          <w:rFonts w:hint="eastAsia" w:ascii="仿宋" w:hAnsi="仿宋" w:eastAsia="仿宋" w:cs="仿宋"/>
          <w:color w:val="auto"/>
          <w:szCs w:val="21"/>
        </w:rPr>
        <w:br w:type="page"/>
      </w:r>
      <w:r>
        <w:rPr>
          <w:rFonts w:hint="eastAsia" w:ascii="仿宋" w:hAnsi="仿宋" w:eastAsia="仿宋" w:cs="仿宋"/>
          <w:color w:val="auto"/>
          <w:sz w:val="28"/>
          <w:szCs w:val="20"/>
        </w:rPr>
        <w:t>（四）</w:t>
      </w:r>
      <w:r>
        <w:rPr>
          <w:rFonts w:hint="eastAsia" w:ascii="仿宋" w:hAnsi="仿宋" w:eastAsia="仿宋" w:cs="仿宋"/>
          <w:color w:val="auto"/>
          <w:sz w:val="28"/>
          <w:szCs w:val="22"/>
        </w:rPr>
        <w:t>法定代表人（或非法人组织负责人）授权委托书</w:t>
      </w:r>
    </w:p>
    <w:p w14:paraId="249E3D9C">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单位名称：</w:t>
      </w:r>
    </w:p>
    <w:p w14:paraId="4B4B3AE8">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 xml:space="preserve">法定代表人（或非法人组织负责人）姓名：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身份证号码：</w:t>
      </w:r>
    </w:p>
    <w:p w14:paraId="7759C991">
      <w:pPr>
        <w:tabs>
          <w:tab w:val="left" w:pos="5205"/>
        </w:tabs>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住所地：</w:t>
      </w:r>
      <w:r>
        <w:rPr>
          <w:rFonts w:hint="eastAsia" w:ascii="仿宋" w:hAnsi="仿宋" w:eastAsia="仿宋" w:cs="仿宋"/>
          <w:color w:val="auto"/>
          <w:sz w:val="24"/>
          <w:szCs w:val="24"/>
          <w:u w:val="single"/>
        </w:rPr>
        <w:tab/>
      </w:r>
    </w:p>
    <w:p w14:paraId="7BB20B46">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授权委托人姓名：                   身份证号码：</w:t>
      </w:r>
    </w:p>
    <w:p w14:paraId="4C1FED0F">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工作单位：</w:t>
      </w:r>
    </w:p>
    <w:p w14:paraId="736A4C3C">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住址：                   电话：</w:t>
      </w:r>
    </w:p>
    <w:p w14:paraId="5C7670F7">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现委托就</w:t>
      </w:r>
      <w:r>
        <w:rPr>
          <w:rFonts w:hint="eastAsia" w:ascii="仿宋" w:hAnsi="仿宋" w:eastAsia="仿宋" w:cs="仿宋"/>
          <w:color w:val="auto"/>
          <w:sz w:val="24"/>
          <w:szCs w:val="24"/>
          <w:u w:val="single"/>
        </w:rPr>
        <w:t>（项目编号、项目名称、包号）</w:t>
      </w:r>
      <w:r>
        <w:rPr>
          <w:rFonts w:hint="eastAsia" w:ascii="仿宋" w:hAnsi="仿宋" w:eastAsia="仿宋" w:cs="仿宋"/>
          <w:color w:val="auto"/>
          <w:sz w:val="24"/>
          <w:szCs w:val="24"/>
        </w:rPr>
        <w:t>政府采购活动，以我单位名义处理一切与之有关的事务。</w:t>
      </w:r>
    </w:p>
    <w:p w14:paraId="10EFE672">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本授权书于年月日签字或盖章生效，</w:t>
      </w:r>
      <w:r>
        <w:rPr>
          <w:rFonts w:hint="eastAsia" w:ascii="仿宋" w:hAnsi="仿宋" w:eastAsia="仿宋" w:cs="仿宋"/>
          <w:b/>
          <w:color w:val="auto"/>
          <w:sz w:val="24"/>
          <w:szCs w:val="24"/>
        </w:rPr>
        <w:t>无转委托，</w:t>
      </w:r>
      <w:r>
        <w:rPr>
          <w:rFonts w:hint="eastAsia" w:ascii="仿宋" w:hAnsi="仿宋" w:eastAsia="仿宋" w:cs="仿宋"/>
          <w:color w:val="auto"/>
          <w:sz w:val="24"/>
          <w:szCs w:val="24"/>
        </w:rPr>
        <w:t>特此声明。</w:t>
      </w:r>
    </w:p>
    <w:p w14:paraId="592D10C2">
      <w:pPr>
        <w:spacing w:line="360" w:lineRule="auto"/>
        <w:rPr>
          <w:rFonts w:ascii="仿宋" w:hAnsi="仿宋" w:eastAsia="仿宋" w:cs="仿宋"/>
          <w:color w:val="auto"/>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56A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2D185B83">
            <w:pPr>
              <w:jc w:val="center"/>
              <w:rPr>
                <w:rFonts w:ascii="仿宋" w:hAnsi="仿宋" w:eastAsia="仿宋" w:cs="仿宋"/>
                <w:color w:val="auto"/>
                <w:sz w:val="24"/>
                <w:szCs w:val="24"/>
              </w:rPr>
            </w:pPr>
            <w:r>
              <w:rPr>
                <w:rFonts w:hint="eastAsia" w:ascii="仿宋" w:hAnsi="仿宋" w:eastAsia="仿宋" w:cs="仿宋"/>
                <w:color w:val="auto"/>
                <w:sz w:val="24"/>
                <w:szCs w:val="24"/>
              </w:rPr>
              <w:t>（※授权委托人身份证正、反面复印件※）</w:t>
            </w:r>
          </w:p>
        </w:tc>
      </w:tr>
    </w:tbl>
    <w:p w14:paraId="6BDA183E">
      <w:pPr>
        <w:spacing w:line="360" w:lineRule="auto"/>
        <w:rPr>
          <w:rFonts w:ascii="仿宋" w:hAnsi="仿宋" w:eastAsia="仿宋" w:cs="仿宋"/>
          <w:color w:val="auto"/>
          <w:sz w:val="24"/>
          <w:szCs w:val="24"/>
        </w:rPr>
      </w:pPr>
    </w:p>
    <w:p w14:paraId="77CF463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w:t>
      </w:r>
      <w:r>
        <w:rPr>
          <w:rFonts w:hint="eastAsia" w:ascii="仿宋" w:hAnsi="仿宋" w:eastAsia="仿宋" w:cs="仿宋"/>
          <w:color w:val="auto"/>
          <w:kern w:val="2"/>
          <w:sz w:val="24"/>
          <w:szCs w:val="24"/>
          <w:highlight w:val="none"/>
          <w:lang w:val="en-US" w:eastAsia="zh-CN" w:bidi="ar-SA"/>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631AEF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法定代表人（或非法人组织负责人）或其授权委托人（电子签章）：</w:t>
      </w:r>
      <w:r>
        <w:rPr>
          <w:rFonts w:hint="eastAsia" w:ascii="仿宋" w:hAnsi="仿宋" w:eastAsia="仿宋" w:cs="仿宋"/>
          <w:color w:val="auto"/>
          <w:sz w:val="24"/>
          <w:szCs w:val="24"/>
          <w:highlight w:val="none"/>
          <w:u w:val="single"/>
        </w:rPr>
        <w:t xml:space="preserve">            </w:t>
      </w:r>
    </w:p>
    <w:p w14:paraId="6711DD9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授权委托人姓名：</w:t>
      </w:r>
      <w:r>
        <w:rPr>
          <w:rFonts w:hint="eastAsia" w:ascii="仿宋" w:hAnsi="仿宋" w:eastAsia="仿宋" w:cs="仿宋"/>
          <w:color w:val="auto"/>
          <w:sz w:val="24"/>
          <w:szCs w:val="24"/>
          <w:highlight w:val="none"/>
          <w:u w:val="single"/>
        </w:rPr>
        <w:t xml:space="preserve">              </w:t>
      </w:r>
    </w:p>
    <w:p w14:paraId="6B6D77A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 ：</w:t>
      </w:r>
      <w:r>
        <w:rPr>
          <w:rFonts w:hint="eastAsia" w:ascii="仿宋" w:hAnsi="仿宋" w:eastAsia="仿宋" w:cs="仿宋"/>
          <w:color w:val="auto"/>
          <w:sz w:val="24"/>
          <w:szCs w:val="24"/>
          <w:highlight w:val="none"/>
          <w:u w:val="single"/>
        </w:rPr>
        <w:t xml:space="preserve">              </w:t>
      </w:r>
    </w:p>
    <w:p w14:paraId="666AE092">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19B30593">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2546B9AA">
      <w:pPr>
        <w:spacing w:before="319" w:beforeLines="100" w:after="319" w:afterLines="10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br w:type="page"/>
      </w:r>
    </w:p>
    <w:p w14:paraId="1C94116F">
      <w:pPr>
        <w:pStyle w:val="3"/>
        <w:jc w:val="center"/>
        <w:rPr>
          <w:rFonts w:ascii="仿宋" w:hAnsi="仿宋" w:eastAsia="仿宋" w:cs="仿宋"/>
          <w:color w:val="auto"/>
          <w:sz w:val="28"/>
          <w:szCs w:val="22"/>
        </w:rPr>
      </w:pPr>
      <w:r>
        <w:rPr>
          <w:rFonts w:hint="eastAsia" w:ascii="仿宋" w:hAnsi="仿宋" w:eastAsia="仿宋" w:cs="仿宋"/>
          <w:color w:val="auto"/>
          <w:sz w:val="28"/>
          <w:szCs w:val="22"/>
        </w:rPr>
        <w:t>（五）采购需求响应表</w:t>
      </w:r>
    </w:p>
    <w:p w14:paraId="591350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775161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3FC0FA6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A、□我公司已详细阅读竞争性磋商文件中各项服务要求，所有服务要求均无偏离，成交后我公司将严格遵照执行。</w:t>
      </w:r>
    </w:p>
    <w:p w14:paraId="2290EE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B、□我公司已详细阅读竞争性磋商文件中各项服务要求，除下述条款有偏离外，其余条款我公司均予以认可，成交后将严格遵照执行</w:t>
      </w:r>
    </w:p>
    <w:tbl>
      <w:tblPr>
        <w:tblStyle w:val="25"/>
        <w:tblW w:w="8387" w:type="dxa"/>
        <w:tblInd w:w="-113" w:type="dxa"/>
        <w:tblLayout w:type="fixed"/>
        <w:tblCellMar>
          <w:top w:w="0" w:type="dxa"/>
          <w:left w:w="108" w:type="dxa"/>
          <w:bottom w:w="0" w:type="dxa"/>
          <w:right w:w="108" w:type="dxa"/>
        </w:tblCellMar>
      </w:tblPr>
      <w:tblGrid>
        <w:gridCol w:w="998"/>
        <w:gridCol w:w="3167"/>
        <w:gridCol w:w="2576"/>
        <w:gridCol w:w="1646"/>
      </w:tblGrid>
      <w:tr w14:paraId="44BCB6DA">
        <w:tblPrEx>
          <w:tblCellMar>
            <w:top w:w="0" w:type="dxa"/>
            <w:left w:w="108" w:type="dxa"/>
            <w:bottom w:w="0" w:type="dxa"/>
            <w:right w:w="108" w:type="dxa"/>
          </w:tblCellMar>
        </w:tblPrEx>
        <w:trPr>
          <w:trHeight w:val="513"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4BAD3AEA">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67" w:type="dxa"/>
            <w:tcBorders>
              <w:top w:val="single" w:color="000000" w:sz="4" w:space="0"/>
              <w:left w:val="single" w:color="000000" w:sz="4" w:space="0"/>
              <w:bottom w:val="single" w:color="000000" w:sz="4" w:space="0"/>
              <w:right w:val="single" w:color="000000" w:sz="4" w:space="0"/>
            </w:tcBorders>
            <w:vAlign w:val="center"/>
          </w:tcPr>
          <w:p w14:paraId="569A4F52">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bidi="ar"/>
              </w:rPr>
              <w:t>竞争性磋商文件</w:t>
            </w:r>
            <w:r>
              <w:rPr>
                <w:rFonts w:hint="eastAsia" w:ascii="仿宋" w:hAnsi="仿宋" w:eastAsia="仿宋" w:cs="仿宋"/>
                <w:color w:val="auto"/>
                <w:sz w:val="24"/>
                <w:szCs w:val="24"/>
                <w:highlight w:val="none"/>
              </w:rPr>
              <w:t>技术条款</w:t>
            </w:r>
          </w:p>
        </w:tc>
        <w:tc>
          <w:tcPr>
            <w:tcW w:w="2576" w:type="dxa"/>
            <w:tcBorders>
              <w:top w:val="single" w:color="000000" w:sz="4" w:space="0"/>
              <w:left w:val="single" w:color="000000" w:sz="4" w:space="0"/>
              <w:bottom w:val="single" w:color="000000" w:sz="4" w:space="0"/>
              <w:right w:val="single" w:color="000000" w:sz="4" w:space="0"/>
            </w:tcBorders>
            <w:vAlign w:val="center"/>
          </w:tcPr>
          <w:p w14:paraId="630C7C3A">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响应</w:t>
            </w:r>
            <w:r>
              <w:rPr>
                <w:rFonts w:hint="eastAsia" w:ascii="仿宋" w:hAnsi="仿宋" w:eastAsia="仿宋" w:cs="仿宋"/>
                <w:color w:val="auto"/>
                <w:sz w:val="24"/>
                <w:szCs w:val="24"/>
                <w:highlight w:val="none"/>
              </w:rPr>
              <w:t>文件响应情况</w:t>
            </w:r>
          </w:p>
        </w:tc>
        <w:tc>
          <w:tcPr>
            <w:tcW w:w="1646" w:type="dxa"/>
            <w:tcBorders>
              <w:top w:val="single" w:color="000000" w:sz="4" w:space="0"/>
              <w:left w:val="single" w:color="000000" w:sz="4" w:space="0"/>
              <w:bottom w:val="single" w:color="000000" w:sz="4" w:space="0"/>
              <w:right w:val="single" w:color="000000" w:sz="4" w:space="0"/>
            </w:tcBorders>
            <w:vAlign w:val="center"/>
          </w:tcPr>
          <w:p w14:paraId="3B022189">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r>
      <w:tr w14:paraId="74B3F7AD">
        <w:tblPrEx>
          <w:tblCellMar>
            <w:top w:w="0" w:type="dxa"/>
            <w:left w:w="108" w:type="dxa"/>
            <w:bottom w:w="0" w:type="dxa"/>
            <w:right w:w="108" w:type="dxa"/>
          </w:tblCellMar>
        </w:tblPrEx>
        <w:trPr>
          <w:trHeight w:val="513"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5E7D34D4">
            <w:pPr>
              <w:pStyle w:val="53"/>
              <w:kinsoku w:val="0"/>
              <w:overflowPunct w:val="0"/>
              <w:spacing w:before="57"/>
              <w:ind w:left="323" w:firstLine="420"/>
              <w:rPr>
                <w:rFonts w:hint="eastAsia" w:ascii="仿宋" w:hAnsi="仿宋" w:eastAsia="仿宋"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vAlign w:val="center"/>
          </w:tcPr>
          <w:p w14:paraId="443EDD35">
            <w:pPr>
              <w:pStyle w:val="53"/>
              <w:kinsoku w:val="0"/>
              <w:overflowPunct w:val="0"/>
              <w:spacing w:before="57"/>
              <w:ind w:left="577" w:firstLine="420"/>
              <w:rPr>
                <w:rFonts w:hint="eastAsia" w:ascii="仿宋" w:hAnsi="仿宋" w:eastAsia="仿宋" w:cs="仿宋"/>
                <w:color w:val="auto"/>
                <w:sz w:val="24"/>
                <w:szCs w:val="24"/>
                <w:highlight w:val="none"/>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2E3E3535">
            <w:pPr>
              <w:pStyle w:val="53"/>
              <w:kinsoku w:val="0"/>
              <w:overflowPunct w:val="0"/>
              <w:spacing w:before="57"/>
              <w:ind w:left="496" w:firstLine="420"/>
              <w:rPr>
                <w:rFonts w:hint="eastAsia" w:ascii="仿宋" w:hAnsi="仿宋" w:eastAsia="仿宋" w:cs="仿宋"/>
                <w:color w:val="auto"/>
                <w:sz w:val="24"/>
                <w:szCs w:val="24"/>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35DCF3D2">
            <w:pPr>
              <w:pStyle w:val="53"/>
              <w:kinsoku w:val="0"/>
              <w:overflowPunct w:val="0"/>
              <w:spacing w:before="57"/>
              <w:ind w:left="349" w:firstLine="420"/>
              <w:rPr>
                <w:rFonts w:hint="eastAsia" w:ascii="仿宋" w:hAnsi="仿宋" w:eastAsia="仿宋" w:cs="仿宋"/>
                <w:color w:val="auto"/>
                <w:sz w:val="24"/>
                <w:szCs w:val="24"/>
                <w:highlight w:val="none"/>
              </w:rPr>
            </w:pPr>
          </w:p>
        </w:tc>
      </w:tr>
      <w:tr w14:paraId="426C177F">
        <w:tblPrEx>
          <w:tblCellMar>
            <w:top w:w="0" w:type="dxa"/>
            <w:left w:w="108" w:type="dxa"/>
            <w:bottom w:w="0" w:type="dxa"/>
            <w:right w:w="108" w:type="dxa"/>
          </w:tblCellMar>
        </w:tblPrEx>
        <w:trPr>
          <w:trHeight w:val="460"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139A35B3">
            <w:pPr>
              <w:autoSpaceDE w:val="0"/>
              <w:autoSpaceDN w:val="0"/>
              <w:adjustRightInd w:val="0"/>
              <w:ind w:firstLine="420"/>
              <w:jc w:val="left"/>
              <w:rPr>
                <w:rFonts w:hint="eastAsia" w:ascii="仿宋" w:hAnsi="仿宋" w:eastAsia="仿宋"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vAlign w:val="center"/>
          </w:tcPr>
          <w:p w14:paraId="595A70D5">
            <w:pPr>
              <w:autoSpaceDE w:val="0"/>
              <w:autoSpaceDN w:val="0"/>
              <w:adjustRightInd w:val="0"/>
              <w:ind w:firstLine="420"/>
              <w:jc w:val="left"/>
              <w:rPr>
                <w:rFonts w:hint="eastAsia" w:ascii="仿宋" w:hAnsi="仿宋" w:eastAsia="仿宋" w:cs="仿宋"/>
                <w:color w:val="auto"/>
                <w:sz w:val="24"/>
                <w:szCs w:val="24"/>
                <w:highlight w:val="none"/>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17F71EC2">
            <w:pPr>
              <w:autoSpaceDE w:val="0"/>
              <w:autoSpaceDN w:val="0"/>
              <w:adjustRightInd w:val="0"/>
              <w:ind w:firstLine="420"/>
              <w:jc w:val="left"/>
              <w:rPr>
                <w:rFonts w:hint="eastAsia" w:ascii="仿宋" w:hAnsi="仿宋" w:eastAsia="仿宋" w:cs="仿宋"/>
                <w:color w:val="auto"/>
                <w:sz w:val="24"/>
                <w:szCs w:val="24"/>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D8E4B02">
            <w:pPr>
              <w:autoSpaceDE w:val="0"/>
              <w:autoSpaceDN w:val="0"/>
              <w:adjustRightInd w:val="0"/>
              <w:ind w:firstLine="420"/>
              <w:jc w:val="left"/>
              <w:rPr>
                <w:rFonts w:hint="eastAsia" w:ascii="仿宋" w:hAnsi="仿宋" w:eastAsia="仿宋" w:cs="仿宋"/>
                <w:color w:val="auto"/>
                <w:sz w:val="24"/>
                <w:szCs w:val="24"/>
                <w:highlight w:val="none"/>
              </w:rPr>
            </w:pPr>
          </w:p>
        </w:tc>
      </w:tr>
    </w:tbl>
    <w:p w14:paraId="4E92664A">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填表说明：</w:t>
      </w:r>
    </w:p>
    <w:p w14:paraId="49DE77E3">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1、供应商根据应根据实际响应情况，填写本表格，若无偏离，则勾选A项，签字盖章即可。</w:t>
      </w:r>
    </w:p>
    <w:p w14:paraId="1BA0C5CF">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2、（有偏离情况的）</w:t>
      </w:r>
    </w:p>
    <w:p w14:paraId="2D7AFB1F">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我公司已详细阅读竞争性磋商文件中各项服务要求，所有服务要求均无偏离，成交后我公司将严格遵照执行。</w:t>
      </w:r>
    </w:p>
    <w:p w14:paraId="6BE75B07">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我公司已详细阅读竞争性磋商文件中各项服务要求，除下述条款有偏离外，其余条款我公司均予以认可，成交后将严格遵照执行。</w:t>
      </w:r>
    </w:p>
    <w:p w14:paraId="3999D41A">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表格中“偏离”一列，投标人只能如实填写“有偏离”或“无偏离”。</w:t>
      </w:r>
    </w:p>
    <w:p w14:paraId="74673296">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3、凡报价内容与磋商文件要求有区别的均按“有偏离“填写。</w:t>
      </w:r>
    </w:p>
    <w:p w14:paraId="3B95C3C5">
      <w:pPr>
        <w:adjustRightInd w:val="0"/>
        <w:snapToGrid w:val="0"/>
        <w:spacing w:line="360" w:lineRule="auto"/>
        <w:ind w:right="105" w:rightChars="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4、本表格中内容与响应文件其余部分不一致的，以本表格为准。</w:t>
      </w:r>
    </w:p>
    <w:p w14:paraId="30141666">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470AADD5">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供应商名称（电子签章）：           </w:t>
      </w:r>
    </w:p>
    <w:p w14:paraId="38009A49">
      <w:pPr>
        <w:spacing w:line="480" w:lineRule="auto"/>
        <w:rPr>
          <w:rFonts w:ascii="仿宋" w:hAnsi="仿宋" w:eastAsia="仿宋" w:cs="仿宋"/>
          <w:color w:val="auto"/>
          <w:sz w:val="24"/>
          <w:szCs w:val="24"/>
        </w:rPr>
      </w:pPr>
      <w:r>
        <w:rPr>
          <w:rFonts w:hint="eastAsia" w:ascii="仿宋" w:hAnsi="仿宋" w:eastAsia="仿宋" w:cs="仿宋"/>
          <w:color w:val="auto"/>
          <w:sz w:val="24"/>
          <w:szCs w:val="24"/>
          <w:highlight w:val="none"/>
        </w:rPr>
        <w:t>法定代表人（或非法人组织负责人）或其授权委托人（电子签章）：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u w:val="single"/>
        </w:rPr>
        <w:t xml:space="preserve">        </w:t>
      </w:r>
    </w:p>
    <w:p w14:paraId="5EA43008">
      <w:pPr>
        <w:spacing w:line="480" w:lineRule="auto"/>
        <w:rPr>
          <w:rFonts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10B08F68">
      <w:pPr>
        <w:rPr>
          <w:rFonts w:ascii="仿宋" w:hAnsi="仿宋" w:eastAsia="仿宋" w:cs="仿宋"/>
          <w:color w:val="auto"/>
          <w:sz w:val="28"/>
          <w:szCs w:val="28"/>
        </w:rPr>
      </w:pPr>
    </w:p>
    <w:p w14:paraId="2246C484">
      <w:pPr>
        <w:pStyle w:val="3"/>
        <w:rPr>
          <w:rFonts w:ascii="仿宋" w:hAnsi="仿宋" w:eastAsia="仿宋" w:cs="仿宋"/>
          <w:color w:val="auto"/>
          <w:sz w:val="30"/>
          <w:szCs w:val="30"/>
        </w:rPr>
      </w:pPr>
      <w:r>
        <w:rPr>
          <w:rFonts w:hint="eastAsia" w:ascii="仿宋" w:hAnsi="仿宋" w:eastAsia="仿宋" w:cs="仿宋"/>
          <w:color w:val="auto"/>
          <w:sz w:val="30"/>
          <w:szCs w:val="30"/>
        </w:rPr>
        <w:br w:type="page"/>
      </w:r>
      <w:bookmarkStart w:id="87" w:name="_Toc4485643"/>
      <w:r>
        <w:rPr>
          <w:rFonts w:hint="eastAsia" w:ascii="仿宋" w:hAnsi="仿宋" w:eastAsia="仿宋" w:cs="仿宋"/>
          <w:color w:val="auto"/>
          <w:sz w:val="32"/>
          <w:szCs w:val="32"/>
        </w:rPr>
        <w:t>三、技术、商务服务方案</w:t>
      </w:r>
    </w:p>
    <w:p w14:paraId="047C42C7">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项目实施服务方案</w:t>
      </w:r>
    </w:p>
    <w:p w14:paraId="5E4B94D8">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网络可靠性、稳定性、安全性</w:t>
      </w:r>
    </w:p>
    <w:p w14:paraId="5B079298">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维护响应措施</w:t>
      </w:r>
    </w:p>
    <w:p w14:paraId="14EB97F0">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拟派人员方案</w:t>
      </w:r>
    </w:p>
    <w:p w14:paraId="0C461814">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保密管理保障措施及承诺</w:t>
      </w:r>
    </w:p>
    <w:p w14:paraId="3AEA831E">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增值服务</w:t>
      </w:r>
    </w:p>
    <w:p w14:paraId="6715733E">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售后服务能力</w:t>
      </w:r>
    </w:p>
    <w:p w14:paraId="0756B455">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类似业绩</w:t>
      </w:r>
    </w:p>
    <w:p w14:paraId="7000DB05">
      <w:pPr>
        <w:rPr>
          <w:rFonts w:ascii="仿宋" w:hAnsi="仿宋" w:eastAsia="仿宋" w:cs="仿宋"/>
          <w:b/>
          <w:bCs/>
          <w:color w:val="auto"/>
        </w:rPr>
      </w:pPr>
    </w:p>
    <w:p w14:paraId="4E002DAD">
      <w:pPr>
        <w:spacing w:line="480" w:lineRule="auto"/>
        <w:jc w:val="left"/>
        <w:rPr>
          <w:rFonts w:ascii="仿宋" w:hAnsi="仿宋" w:eastAsia="仿宋" w:cs="仿宋"/>
          <w:b/>
          <w:bCs/>
          <w:color w:val="auto"/>
          <w:sz w:val="24"/>
          <w:szCs w:val="32"/>
        </w:rPr>
      </w:pPr>
      <w:r>
        <w:rPr>
          <w:rFonts w:hint="eastAsia" w:ascii="仿宋" w:hAnsi="仿宋" w:eastAsia="仿宋" w:cs="仿宋"/>
          <w:b/>
          <w:bCs/>
          <w:color w:val="auto"/>
          <w:sz w:val="24"/>
          <w:szCs w:val="32"/>
        </w:rPr>
        <w:t>注：格式自拟，供应商应当结合采购需求和评分办法进行针对性的响应。</w:t>
      </w:r>
    </w:p>
    <w:p w14:paraId="47BD95DD">
      <w:pPr>
        <w:jc w:val="left"/>
        <w:rPr>
          <w:rFonts w:ascii="仿宋" w:hAnsi="仿宋" w:eastAsia="仿宋" w:cs="仿宋"/>
          <w:color w:val="auto"/>
          <w:sz w:val="24"/>
        </w:rPr>
      </w:pPr>
      <w:r>
        <w:rPr>
          <w:rFonts w:hint="eastAsia" w:ascii="仿宋" w:hAnsi="仿宋" w:eastAsia="仿宋" w:cs="仿宋"/>
          <w:b/>
          <w:color w:val="auto"/>
          <w:sz w:val="30"/>
          <w:szCs w:val="30"/>
        </w:rPr>
        <w:br w:type="page"/>
      </w:r>
    </w:p>
    <w:p w14:paraId="7BF14A5A">
      <w:pPr>
        <w:jc w:val="center"/>
        <w:rPr>
          <w:rFonts w:ascii="仿宋" w:hAnsi="仿宋" w:eastAsia="仿宋" w:cs="仿宋"/>
          <w:color w:val="auto"/>
          <w:sz w:val="32"/>
          <w:szCs w:val="32"/>
        </w:rPr>
      </w:pPr>
      <w:r>
        <w:rPr>
          <w:rFonts w:hint="eastAsia" w:ascii="仿宋" w:hAnsi="仿宋" w:eastAsia="仿宋" w:cs="仿宋"/>
          <w:b/>
          <w:color w:val="auto"/>
          <w:sz w:val="32"/>
          <w:szCs w:val="32"/>
        </w:rPr>
        <w:t>四、供应商认为需要提供的其他材料</w:t>
      </w:r>
    </w:p>
    <w:p w14:paraId="6CCFC57F">
      <w:pPr>
        <w:pStyle w:val="2"/>
        <w:adjustRightInd w:val="0"/>
        <w:snapToGrid w:val="0"/>
        <w:spacing w:before="319" w:beforeLines="100" w:after="319" w:afterLines="100" w:line="360" w:lineRule="auto"/>
        <w:jc w:val="center"/>
        <w:rPr>
          <w:rFonts w:hint="eastAsia" w:ascii="仿宋" w:hAnsi="仿宋" w:eastAsia="仿宋" w:cs="仿宋"/>
          <w:color w:val="auto"/>
        </w:rPr>
      </w:pPr>
      <w:r>
        <w:rPr>
          <w:rFonts w:hint="eastAsia" w:ascii="仿宋" w:hAnsi="仿宋" w:eastAsia="仿宋" w:cs="仿宋"/>
          <w:color w:val="auto"/>
        </w:rPr>
        <w:br w:type="page"/>
      </w:r>
      <w:bookmarkStart w:id="88" w:name="_Toc3323"/>
      <w:r>
        <w:rPr>
          <w:rFonts w:hint="eastAsia" w:ascii="仿宋" w:hAnsi="仿宋" w:eastAsia="仿宋" w:cs="仿宋"/>
          <w:color w:val="auto"/>
        </w:rPr>
        <w:t>第三章 采购需求</w:t>
      </w:r>
      <w:bookmarkEnd w:id="87"/>
      <w:bookmarkEnd w:id="88"/>
    </w:p>
    <w:p w14:paraId="4097D156">
      <w:pPr>
        <w:pStyle w:val="32"/>
        <w:rPr>
          <w:rFonts w:hint="eastAsia" w:ascii="仿宋" w:hAnsi="仿宋" w:eastAsia="仿宋" w:cs="仿宋"/>
          <w:b/>
          <w:color w:val="auto"/>
          <w:kern w:val="44"/>
          <w:sz w:val="24"/>
          <w:szCs w:val="24"/>
          <w:lang w:val="en-US" w:eastAsia="zh-CN" w:bidi="ar-SA"/>
        </w:rPr>
      </w:pPr>
      <w:bookmarkStart w:id="89" w:name="_Toc15064"/>
      <w:r>
        <w:rPr>
          <w:rFonts w:hint="eastAsia" w:ascii="仿宋" w:hAnsi="仿宋" w:eastAsia="仿宋" w:cs="仿宋"/>
          <w:b/>
          <w:color w:val="auto"/>
          <w:kern w:val="44"/>
          <w:sz w:val="24"/>
          <w:szCs w:val="24"/>
          <w:lang w:val="en-US" w:eastAsia="zh-CN" w:bidi="ar-SA"/>
        </w:rPr>
        <w:t>一、项目概述</w:t>
      </w:r>
      <w:bookmarkEnd w:id="89"/>
    </w:p>
    <w:p w14:paraId="2D0BE6E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为落实最高人民法院和云南省高级人民法院关于法院信息化建设发展规划的要求，加快法院信息化建设步伐，将办案和办公系统向移动端拓展，采用互联网、移动专网等模式，在确保数据安全可靠、数据交换安全保密的前提下，实现移动端办案、执行、办公、办会，以及现场庭审录像、证据上传、文书制作、外出执行（送达）等功能。2024年以来，最高人民法院，在确保信息数据安全的情况下，开发了全国法院移动办案办公平台并推广全国法院使用。为保证昆明市晋宁区人民法院移动办案办公平台和虚拟号码、云名片、预约登记、出差报批、公务用车等应用服务正常运行使用，现按照最高人民法院信息化发展规划和云南省高级人民法院印发《关于加快推进智慧法院建设的意见》购买移动办案办公平台服务。移动办案办公平台服务是法院工作人员开展移动办案、移动办公、案件审理（即时证据上传）、数据采集、巡回审判、执行任务、外出送达等日常司法工作不可或缺的综合性服务。</w:t>
      </w:r>
    </w:p>
    <w:p w14:paraId="098FDF67">
      <w:pPr>
        <w:widowControl/>
        <w:spacing w:line="360" w:lineRule="auto"/>
        <w:ind w:firstLine="480" w:firstLineChars="200"/>
        <w:jc w:val="left"/>
        <w:rPr>
          <w:rFonts w:hint="eastAsia" w:ascii="仿宋" w:hAnsi="仿宋" w:eastAsia="仿宋" w:cs="仿宋"/>
          <w:color w:val="auto"/>
          <w:sz w:val="24"/>
          <w:szCs w:val="24"/>
          <w:lang w:bidi="ar"/>
        </w:rPr>
      </w:pPr>
      <w:r>
        <w:rPr>
          <w:rFonts w:ascii="仿宋" w:hAnsi="仿宋" w:eastAsia="仿宋" w:cs="仿宋"/>
          <w:color w:val="auto"/>
          <w:sz w:val="24"/>
          <w:lang w:bidi="ar"/>
        </w:rPr>
        <w:t>此外，我院在用的专线服务合同即将到期，目前使用情况为：1条10M数据专线、1条50M互联网专线、1条100M互联网专线、1条300M互联网专线。为满足网络安全及数据高效传输要求，保障审务通、执行指挥系统等信息数据交换需求，现一并对专线服务进行采购。中标单位在网络切换过程中，必须确保网络不出现中断。</w:t>
      </w:r>
    </w:p>
    <w:p w14:paraId="29161E57">
      <w:pPr>
        <w:pStyle w:val="32"/>
        <w:rPr>
          <w:rFonts w:hint="eastAsia" w:ascii="仿宋" w:hAnsi="仿宋" w:eastAsia="仿宋" w:cs="仿宋"/>
          <w:b/>
          <w:color w:val="auto"/>
          <w:kern w:val="44"/>
          <w:sz w:val="24"/>
          <w:szCs w:val="24"/>
          <w:lang w:val="en-US" w:eastAsia="zh-CN" w:bidi="ar-SA"/>
        </w:rPr>
      </w:pPr>
      <w:bookmarkStart w:id="90" w:name="_Toc3676"/>
      <w:r>
        <w:rPr>
          <w:rFonts w:hint="eastAsia" w:ascii="仿宋" w:hAnsi="仿宋" w:eastAsia="仿宋" w:cs="仿宋"/>
          <w:b/>
          <w:color w:val="auto"/>
          <w:kern w:val="44"/>
          <w:sz w:val="24"/>
          <w:szCs w:val="24"/>
          <w:lang w:val="en-US" w:eastAsia="zh-CN" w:bidi="ar-SA"/>
        </w:rPr>
        <w:t>二、需求分析</w:t>
      </w:r>
      <w:bookmarkEnd w:id="90"/>
    </w:p>
    <w:p w14:paraId="236368E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highlight w:val="none"/>
          <w:lang w:bidi="ar"/>
        </w:rPr>
        <w:t>本轮移动办案办公平台服务范围涉及昆明市晋宁区人民法院在职工作人员，计划配置</w:t>
      </w:r>
      <w:r>
        <w:rPr>
          <w:rFonts w:hint="eastAsia" w:ascii="仿宋" w:hAnsi="仿宋" w:eastAsia="仿宋" w:cs="仿宋"/>
          <w:b w:val="0"/>
          <w:bCs w:val="0"/>
          <w:color w:val="auto"/>
          <w:sz w:val="24"/>
          <w:szCs w:val="24"/>
          <w:highlight w:val="none"/>
          <w:lang w:bidi="ar"/>
        </w:rPr>
        <w:t>移动办案办公平台站点终端</w:t>
      </w:r>
      <w:r>
        <w:rPr>
          <w:rFonts w:hint="eastAsia" w:ascii="仿宋" w:hAnsi="仿宋" w:eastAsia="仿宋" w:cs="仿宋"/>
          <w:b/>
          <w:bCs/>
          <w:color w:val="auto"/>
          <w:sz w:val="24"/>
          <w:szCs w:val="24"/>
          <w:highlight w:val="none"/>
          <w:lang w:bidi="ar"/>
        </w:rPr>
        <w:t>12</w:t>
      </w:r>
      <w:r>
        <w:rPr>
          <w:rFonts w:hint="eastAsia" w:ascii="仿宋" w:hAnsi="仿宋" w:eastAsia="仿宋" w:cs="仿宋"/>
          <w:b/>
          <w:bCs/>
          <w:color w:val="auto"/>
          <w:sz w:val="24"/>
          <w:szCs w:val="24"/>
          <w:highlight w:val="none"/>
          <w:lang w:val="en-US" w:eastAsia="zh-CN" w:bidi="ar"/>
        </w:rPr>
        <w:t>7</w:t>
      </w:r>
      <w:r>
        <w:rPr>
          <w:rFonts w:hint="eastAsia" w:ascii="仿宋" w:hAnsi="仿宋" w:eastAsia="仿宋" w:cs="仿宋"/>
          <w:color w:val="auto"/>
          <w:sz w:val="24"/>
          <w:szCs w:val="24"/>
          <w:highlight w:val="none"/>
          <w:lang w:bidi="ar"/>
        </w:rPr>
        <w:t>部</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lang w:bidi="ar"/>
        </w:rPr>
        <w:t>及购买工作范围内的移动执法办案办公服务、虚拟号码、云名片等应用服务及其配套的流量、语音等。</w:t>
      </w:r>
      <w:r>
        <w:rPr>
          <w:rFonts w:hint="eastAsia" w:ascii="仿宋" w:hAnsi="仿宋" w:eastAsia="仿宋" w:cs="仿宋"/>
          <w:b/>
          <w:color w:val="auto"/>
          <w:sz w:val="24"/>
          <w:szCs w:val="24"/>
          <w:lang w:bidi="ar"/>
        </w:rPr>
        <w:t>购买服务内容不包括个人通信话费。</w:t>
      </w:r>
      <w:r>
        <w:rPr>
          <w:rFonts w:hint="eastAsia" w:ascii="仿宋" w:hAnsi="仿宋" w:eastAsia="仿宋" w:cs="仿宋"/>
          <w:color w:val="auto"/>
          <w:sz w:val="24"/>
          <w:szCs w:val="24"/>
          <w:lang w:bidi="ar"/>
        </w:rPr>
        <w:t>需要支持以下应用服务：</w:t>
      </w:r>
    </w:p>
    <w:p w14:paraId="4C5B39C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1.全国法院移动办案办公服务。支持审判执行立案、审判执行办案、阅卷、送达、制作笔录并签名、总对总查控、异地执行、案件查询、在线庭审与辅助、移动办公、移动审批等功能。</w:t>
      </w:r>
    </w:p>
    <w:p w14:paraId="17DD5576">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2.支持“三个规定”企业视频彩铃应用服务。</w:t>
      </w:r>
    </w:p>
    <w:p w14:paraId="102F9C1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3.支持虚拟号码应用服务。以“虚拟号码+拨号二维码”通信服务为基础，辅以云名片的产品服务，也可扩展其他功能。</w:t>
      </w:r>
    </w:p>
    <w:p w14:paraId="48DDF216">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4.支持“公务之家”应用服务。用于完成公务人员出差申请及审批、公务卡一体化还款、差旅电子凭证上传存储等工作。</w:t>
      </w:r>
    </w:p>
    <w:p w14:paraId="275B83C1">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5.支持公务用车管理平台应用服务。用于加强执法执勤及公务车辆的管理和使用。</w:t>
      </w:r>
    </w:p>
    <w:p w14:paraId="13734FAF">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.支持最高人民法院依托“钉钉”APP应用服务，包括全国法院移动办案办公平台、人员管理等。</w:t>
      </w:r>
    </w:p>
    <w:p w14:paraId="3E5B95F3">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bidi="ar"/>
        </w:rPr>
        <w:t>.支持集团短号管理服务。提供号簿助手软件，具有随身短号通讯录等管理功能。</w:t>
      </w:r>
    </w:p>
    <w:p w14:paraId="10A361C2">
      <w:pPr>
        <w:pStyle w:val="32"/>
        <w:rPr>
          <w:rFonts w:hint="default"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三、采购需求</w:t>
      </w:r>
    </w:p>
    <w:p w14:paraId="52A7B361">
      <w:pPr>
        <w:pStyle w:val="2"/>
        <w:keepNext/>
        <w:keepLines/>
        <w:pageBreakBefore w:val="0"/>
        <w:widowControl w:val="0"/>
        <w:kinsoku/>
        <w:wordWrap/>
        <w:overflowPunct/>
        <w:topLinePunct w:val="0"/>
        <w:autoSpaceDE/>
        <w:autoSpaceDN/>
        <w:bidi w:val="0"/>
        <w:adjustRightInd/>
        <w:snapToGrid/>
        <w:spacing w:before="320" w:beforeLines="100" w:after="320" w:afterLines="10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采购标的需实现的功能或者目标，以及为落实政府采购政策需满足的要求：</w:t>
      </w:r>
    </w:p>
    <w:p w14:paraId="287980FF">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标的需实现的功能或者目标：本项目拟采购昆明市晋宁区人民法院2026年-2029年度移动办案办公平台服务，进一步提升法院信息化水平，实现办案办公的移动化、智能化。要求提供的移动办案办公平台终端网络服务具备高安全性、低时延、高稳定性等要求，同时提供软件服务、培训服务、运维服务等相关配套服务，满足法院工作人员随时随地开展办案办公核查、移动办案办公、信息查询、业务办理、外出执行送达等司法工作需求。</w:t>
      </w:r>
    </w:p>
    <w:p w14:paraId="5D3A698D">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2.落实政府采购政策需满足的要求：无，本项目非专门面向中小企业采购。</w:t>
      </w:r>
    </w:p>
    <w:p w14:paraId="471B1A8B">
      <w:pPr>
        <w:pStyle w:val="32"/>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（二）采购标的需执行的国家相关标准、行业标准、地方标准或者其他标准、规范：</w:t>
      </w:r>
    </w:p>
    <w:p w14:paraId="169B062D">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参照国家及行业关于移动办案办公的技术标准，确保满足司法工作的安全性和稳定性要求；</w:t>
      </w:r>
    </w:p>
    <w:p w14:paraId="49CDEE07">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遵循法院内部关于移动办案办公平台终端的管理规定和技术规范；</w:t>
      </w:r>
    </w:p>
    <w:p w14:paraId="1CB370CB">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除上述规范以外，遵循国家现行的规范和标准要求。</w:t>
      </w:r>
    </w:p>
    <w:p w14:paraId="06C362BC">
      <w:pPr>
        <w:widowControl/>
        <w:numPr>
          <w:ilvl w:val="0"/>
          <w:numId w:val="0"/>
        </w:numPr>
        <w:spacing w:before="100" w:beforeAutospacing="1" w:after="100" w:afterAutospacing="1" w:line="360" w:lineRule="auto"/>
        <w:jc w:val="left"/>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（三）采购标的需满足的质量、安全、技术规格、物理特性等要求：</w:t>
      </w:r>
    </w:p>
    <w:p w14:paraId="596D0205">
      <w:pPr>
        <w:widowControl/>
        <w:numPr>
          <w:ilvl w:val="0"/>
          <w:numId w:val="0"/>
        </w:numPr>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kern w:val="2"/>
          <w:sz w:val="24"/>
          <w:szCs w:val="24"/>
          <w:lang w:val="en-US" w:eastAsia="zh-CN" w:bidi="ar"/>
        </w:rPr>
        <w:t>1.</w:t>
      </w:r>
      <w:r>
        <w:rPr>
          <w:rFonts w:hint="eastAsia" w:ascii="仿宋" w:hAnsi="仿宋" w:eastAsia="仿宋" w:cs="仿宋"/>
          <w:b/>
          <w:bCs/>
          <w:color w:val="auto"/>
          <w:sz w:val="24"/>
          <w:szCs w:val="24"/>
          <w:lang w:bidi="ar"/>
        </w:rPr>
        <w:t>服务内容</w:t>
      </w:r>
    </w:p>
    <w:p w14:paraId="41236B2D">
      <w:pPr>
        <w:widowControl/>
        <w:spacing w:line="360" w:lineRule="auto"/>
        <w:ind w:left="420" w:leftChars="20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bidi="ar"/>
        </w:rPr>
        <w:t>▲</w:t>
      </w:r>
      <w:r>
        <w:rPr>
          <w:rFonts w:hint="eastAsia" w:ascii="仿宋" w:hAnsi="仿宋" w:eastAsia="仿宋" w:cs="仿宋"/>
          <w:b/>
          <w:bCs/>
          <w:color w:val="auto"/>
          <w:sz w:val="24"/>
          <w:szCs w:val="24"/>
          <w:lang w:bidi="ar"/>
        </w:rPr>
        <w:t>（1）移动办案</w:t>
      </w:r>
      <w:r>
        <w:rPr>
          <w:rFonts w:hint="eastAsia" w:ascii="仿宋" w:hAnsi="仿宋" w:eastAsia="仿宋" w:cs="仿宋"/>
          <w:b/>
          <w:color w:val="auto"/>
          <w:sz w:val="24"/>
          <w:szCs w:val="24"/>
          <w:lang w:bidi="ar"/>
        </w:rPr>
        <w:t>办公</w:t>
      </w:r>
      <w:r>
        <w:rPr>
          <w:rFonts w:hint="eastAsia" w:ascii="仿宋" w:hAnsi="仿宋" w:eastAsia="仿宋" w:cs="仿宋"/>
          <w:b/>
          <w:bCs/>
          <w:color w:val="auto"/>
          <w:sz w:val="24"/>
          <w:szCs w:val="24"/>
          <w:lang w:bidi="ar"/>
        </w:rPr>
        <w:t>平台服务</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78"/>
        <w:gridCol w:w="2064"/>
        <w:gridCol w:w="4664"/>
      </w:tblGrid>
      <w:tr w14:paraId="70E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7" w:type="pct"/>
            <w:vMerge w:val="restart"/>
            <w:vAlign w:val="center"/>
          </w:tcPr>
          <w:p w14:paraId="56A97EFD">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序号</w:t>
            </w:r>
          </w:p>
        </w:tc>
        <w:tc>
          <w:tcPr>
            <w:tcW w:w="684" w:type="pct"/>
            <w:vMerge w:val="restart"/>
            <w:vAlign w:val="center"/>
          </w:tcPr>
          <w:p w14:paraId="7E18D47A">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服务内容</w:t>
            </w:r>
          </w:p>
        </w:tc>
        <w:tc>
          <w:tcPr>
            <w:tcW w:w="1198" w:type="pct"/>
            <w:vMerge w:val="restart"/>
            <w:vAlign w:val="center"/>
          </w:tcPr>
          <w:p w14:paraId="7FCF9FF6">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属性</w:t>
            </w:r>
          </w:p>
        </w:tc>
        <w:tc>
          <w:tcPr>
            <w:tcW w:w="2709" w:type="pct"/>
            <w:vMerge w:val="restart"/>
            <w:vAlign w:val="center"/>
          </w:tcPr>
          <w:p w14:paraId="3C3E0FDB">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参数</w:t>
            </w:r>
          </w:p>
        </w:tc>
      </w:tr>
      <w:tr w14:paraId="5260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07" w:type="pct"/>
            <w:vMerge w:val="continue"/>
            <w:vAlign w:val="center"/>
          </w:tcPr>
          <w:p w14:paraId="392D5D45">
            <w:pPr>
              <w:jc w:val="center"/>
              <w:rPr>
                <w:rFonts w:hint="eastAsia" w:ascii="仿宋" w:hAnsi="仿宋" w:eastAsia="仿宋" w:cs="仿宋"/>
                <w:color w:val="auto"/>
                <w:sz w:val="24"/>
                <w:szCs w:val="24"/>
              </w:rPr>
            </w:pPr>
          </w:p>
        </w:tc>
        <w:tc>
          <w:tcPr>
            <w:tcW w:w="684" w:type="pct"/>
            <w:vMerge w:val="continue"/>
            <w:vAlign w:val="center"/>
          </w:tcPr>
          <w:p w14:paraId="13FAF7D9">
            <w:pPr>
              <w:jc w:val="center"/>
              <w:rPr>
                <w:rFonts w:hint="eastAsia" w:ascii="仿宋" w:hAnsi="仿宋" w:eastAsia="仿宋" w:cs="仿宋"/>
                <w:color w:val="auto"/>
                <w:sz w:val="24"/>
                <w:szCs w:val="24"/>
              </w:rPr>
            </w:pPr>
          </w:p>
        </w:tc>
        <w:tc>
          <w:tcPr>
            <w:tcW w:w="1198" w:type="pct"/>
            <w:vMerge w:val="continue"/>
            <w:vAlign w:val="center"/>
          </w:tcPr>
          <w:p w14:paraId="29B47A82">
            <w:pPr>
              <w:jc w:val="center"/>
              <w:rPr>
                <w:rFonts w:hint="eastAsia" w:ascii="仿宋" w:hAnsi="仿宋" w:eastAsia="仿宋" w:cs="仿宋"/>
                <w:color w:val="auto"/>
                <w:sz w:val="24"/>
                <w:szCs w:val="24"/>
              </w:rPr>
            </w:pPr>
          </w:p>
        </w:tc>
        <w:tc>
          <w:tcPr>
            <w:tcW w:w="2709" w:type="pct"/>
            <w:vMerge w:val="continue"/>
            <w:vAlign w:val="center"/>
          </w:tcPr>
          <w:p w14:paraId="61E15214">
            <w:pPr>
              <w:jc w:val="center"/>
              <w:rPr>
                <w:rFonts w:hint="eastAsia" w:ascii="仿宋" w:hAnsi="仿宋" w:eastAsia="仿宋" w:cs="仿宋"/>
                <w:color w:val="auto"/>
                <w:sz w:val="24"/>
                <w:szCs w:val="24"/>
              </w:rPr>
            </w:pPr>
          </w:p>
        </w:tc>
      </w:tr>
      <w:tr w14:paraId="02B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10489CC9">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1</w:t>
            </w:r>
          </w:p>
        </w:tc>
        <w:tc>
          <w:tcPr>
            <w:tcW w:w="1883" w:type="pct"/>
            <w:gridSpan w:val="2"/>
            <w:vAlign w:val="center"/>
          </w:tcPr>
          <w:p w14:paraId="5DCF6C05">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移动办案办公平台终端</w:t>
            </w:r>
          </w:p>
        </w:tc>
        <w:tc>
          <w:tcPr>
            <w:tcW w:w="2709" w:type="pct"/>
            <w:vAlign w:val="center"/>
          </w:tcPr>
          <w:p w14:paraId="08F39C7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12</w:t>
            </w: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bidi="ar"/>
              </w:rPr>
              <w:t>台</w:t>
            </w:r>
          </w:p>
        </w:tc>
      </w:tr>
      <w:tr w14:paraId="2873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restart"/>
            <w:vAlign w:val="center"/>
          </w:tcPr>
          <w:p w14:paraId="4CCC69AF">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2</w:t>
            </w:r>
          </w:p>
        </w:tc>
        <w:tc>
          <w:tcPr>
            <w:tcW w:w="684" w:type="pct"/>
            <w:vMerge w:val="restart"/>
            <w:vAlign w:val="center"/>
          </w:tcPr>
          <w:p w14:paraId="31CC30D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移动办案办公平台服务</w:t>
            </w:r>
          </w:p>
        </w:tc>
        <w:tc>
          <w:tcPr>
            <w:tcW w:w="1198" w:type="pct"/>
            <w:vAlign w:val="center"/>
          </w:tcPr>
          <w:p w14:paraId="68AD090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数据使用流量</w:t>
            </w:r>
          </w:p>
        </w:tc>
        <w:tc>
          <w:tcPr>
            <w:tcW w:w="2709" w:type="pct"/>
            <w:vAlign w:val="center"/>
          </w:tcPr>
          <w:p w14:paraId="332684A6">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≥200G通用流量</w:t>
            </w:r>
          </w:p>
        </w:tc>
      </w:tr>
      <w:tr w14:paraId="2F6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76B92344">
            <w:pPr>
              <w:jc w:val="center"/>
              <w:rPr>
                <w:rFonts w:hint="eastAsia" w:ascii="仿宋" w:hAnsi="仿宋" w:eastAsia="仿宋" w:cs="仿宋"/>
                <w:color w:val="auto"/>
                <w:sz w:val="24"/>
                <w:szCs w:val="24"/>
              </w:rPr>
            </w:pPr>
          </w:p>
        </w:tc>
        <w:tc>
          <w:tcPr>
            <w:tcW w:w="684" w:type="pct"/>
            <w:vMerge w:val="continue"/>
            <w:vAlign w:val="center"/>
          </w:tcPr>
          <w:p w14:paraId="6838C3C1">
            <w:pPr>
              <w:jc w:val="center"/>
              <w:rPr>
                <w:rFonts w:hint="eastAsia" w:ascii="仿宋" w:hAnsi="仿宋" w:eastAsia="仿宋" w:cs="仿宋"/>
                <w:color w:val="auto"/>
                <w:sz w:val="24"/>
                <w:szCs w:val="24"/>
              </w:rPr>
            </w:pPr>
          </w:p>
        </w:tc>
        <w:tc>
          <w:tcPr>
            <w:tcW w:w="1198" w:type="pct"/>
            <w:vAlign w:val="center"/>
          </w:tcPr>
          <w:p w14:paraId="1D37B42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语音通话时长</w:t>
            </w:r>
          </w:p>
        </w:tc>
        <w:tc>
          <w:tcPr>
            <w:tcW w:w="2709" w:type="pct"/>
            <w:vAlign w:val="center"/>
          </w:tcPr>
          <w:p w14:paraId="10BD90A4">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≥1500分钟（包括至少1000分钟普通通话时长）。</w:t>
            </w:r>
          </w:p>
          <w:p w14:paraId="0783DDB3">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提供短号集群网，省内短号互打免费。</w:t>
            </w:r>
          </w:p>
        </w:tc>
      </w:tr>
      <w:tr w14:paraId="7A6D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24B31A66">
            <w:pPr>
              <w:jc w:val="center"/>
              <w:rPr>
                <w:rFonts w:hint="eastAsia" w:ascii="仿宋" w:hAnsi="仿宋" w:eastAsia="仿宋" w:cs="仿宋"/>
                <w:color w:val="auto"/>
                <w:sz w:val="24"/>
                <w:szCs w:val="24"/>
              </w:rPr>
            </w:pPr>
          </w:p>
        </w:tc>
        <w:tc>
          <w:tcPr>
            <w:tcW w:w="684" w:type="pct"/>
            <w:vMerge w:val="continue"/>
            <w:vAlign w:val="center"/>
          </w:tcPr>
          <w:p w14:paraId="69113D1E">
            <w:pPr>
              <w:jc w:val="center"/>
              <w:rPr>
                <w:rFonts w:hint="eastAsia" w:ascii="仿宋" w:hAnsi="仿宋" w:eastAsia="仿宋" w:cs="仿宋"/>
                <w:color w:val="auto"/>
                <w:sz w:val="24"/>
                <w:szCs w:val="24"/>
              </w:rPr>
            </w:pPr>
          </w:p>
        </w:tc>
        <w:tc>
          <w:tcPr>
            <w:tcW w:w="1198" w:type="pct"/>
            <w:vAlign w:val="center"/>
          </w:tcPr>
          <w:p w14:paraId="1E1FF9BE">
            <w:pPr>
              <w:widowControl/>
              <w:spacing w:line="360" w:lineRule="auto"/>
              <w:ind w:firstLine="240" w:firstLineChars="100"/>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其他业务</w:t>
            </w:r>
          </w:p>
        </w:tc>
        <w:tc>
          <w:tcPr>
            <w:tcW w:w="2709" w:type="pct"/>
            <w:vAlign w:val="center"/>
          </w:tcPr>
          <w:p w14:paraId="16D6D1EE">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提供来电视频彩铃服务</w:t>
            </w:r>
          </w:p>
          <w:p w14:paraId="70CC8E3F">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短信≥200条/月</w:t>
            </w:r>
          </w:p>
          <w:p w14:paraId="73B7DC6F">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提供虚拟号码、云信码名片、云信码短信等服务，虚拟号码主叫≥200分钟/月，云名片、短信≥100条/月</w:t>
            </w:r>
          </w:p>
        </w:tc>
      </w:tr>
      <w:tr w14:paraId="2AA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1D40936F">
            <w:pPr>
              <w:jc w:val="center"/>
              <w:rPr>
                <w:rFonts w:hint="eastAsia" w:ascii="仿宋" w:hAnsi="仿宋" w:eastAsia="仿宋" w:cs="仿宋"/>
                <w:color w:val="auto"/>
                <w:sz w:val="24"/>
                <w:szCs w:val="24"/>
              </w:rPr>
            </w:pPr>
          </w:p>
        </w:tc>
        <w:tc>
          <w:tcPr>
            <w:tcW w:w="684" w:type="pct"/>
            <w:vMerge w:val="continue"/>
            <w:vAlign w:val="center"/>
          </w:tcPr>
          <w:p w14:paraId="2E13BBA0">
            <w:pPr>
              <w:jc w:val="center"/>
              <w:rPr>
                <w:rFonts w:hint="eastAsia" w:ascii="仿宋" w:hAnsi="仿宋" w:eastAsia="仿宋" w:cs="仿宋"/>
                <w:color w:val="auto"/>
                <w:sz w:val="24"/>
                <w:szCs w:val="24"/>
              </w:rPr>
            </w:pPr>
          </w:p>
        </w:tc>
        <w:tc>
          <w:tcPr>
            <w:tcW w:w="1198" w:type="pct"/>
            <w:vAlign w:val="center"/>
          </w:tcPr>
          <w:p w14:paraId="26FC0D6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服务响应时间</w:t>
            </w:r>
          </w:p>
        </w:tc>
        <w:tc>
          <w:tcPr>
            <w:tcW w:w="2709" w:type="pct"/>
            <w:vAlign w:val="center"/>
          </w:tcPr>
          <w:p w14:paraId="5991BBA2">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服务期内，由技术人员提供7×24小时电话咨询及远程技术协助服务。如咨询及远程调试不能解决，30分钟内回复，2小时内派遣技术人员赶赴现场解决技术问题，进行现场技术支持。</w:t>
            </w:r>
          </w:p>
        </w:tc>
      </w:tr>
      <w:tr w14:paraId="0E84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4BD873F5">
            <w:pPr>
              <w:jc w:val="center"/>
              <w:rPr>
                <w:rFonts w:hint="eastAsia" w:ascii="仿宋" w:hAnsi="仿宋" w:eastAsia="仿宋" w:cs="仿宋"/>
                <w:color w:val="auto"/>
                <w:sz w:val="24"/>
                <w:szCs w:val="24"/>
              </w:rPr>
            </w:pPr>
          </w:p>
        </w:tc>
        <w:tc>
          <w:tcPr>
            <w:tcW w:w="684" w:type="pct"/>
            <w:vMerge w:val="continue"/>
            <w:vAlign w:val="center"/>
          </w:tcPr>
          <w:p w14:paraId="28FFCB01">
            <w:pPr>
              <w:jc w:val="center"/>
              <w:rPr>
                <w:rFonts w:hint="eastAsia" w:ascii="仿宋" w:hAnsi="仿宋" w:eastAsia="仿宋" w:cs="仿宋"/>
                <w:color w:val="auto"/>
                <w:sz w:val="24"/>
                <w:szCs w:val="24"/>
              </w:rPr>
            </w:pPr>
          </w:p>
        </w:tc>
        <w:tc>
          <w:tcPr>
            <w:tcW w:w="1198" w:type="pct"/>
            <w:vAlign w:val="center"/>
          </w:tcPr>
          <w:p w14:paraId="777509B4">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其他服务</w:t>
            </w:r>
          </w:p>
        </w:tc>
        <w:tc>
          <w:tcPr>
            <w:tcW w:w="2709" w:type="pct"/>
            <w:vAlign w:val="center"/>
          </w:tcPr>
          <w:p w14:paraId="6B6C91F2">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1、提供首次服务使用及培训服务；</w:t>
            </w:r>
          </w:p>
          <w:p w14:paraId="4EF4C55F">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2、提供合同期内软件升级服务，对软件内核进行版本升级及更新。</w:t>
            </w:r>
          </w:p>
        </w:tc>
      </w:tr>
      <w:tr w14:paraId="090D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6E9E8FD7">
            <w:pPr>
              <w:jc w:val="center"/>
              <w:rPr>
                <w:rFonts w:hint="eastAsia" w:ascii="仿宋" w:hAnsi="仿宋" w:eastAsia="仿宋" w:cs="仿宋"/>
                <w:color w:val="auto"/>
                <w:sz w:val="24"/>
                <w:szCs w:val="24"/>
              </w:rPr>
            </w:pPr>
          </w:p>
        </w:tc>
        <w:tc>
          <w:tcPr>
            <w:tcW w:w="684" w:type="pct"/>
            <w:vMerge w:val="continue"/>
            <w:vAlign w:val="center"/>
          </w:tcPr>
          <w:p w14:paraId="1F380C07">
            <w:pPr>
              <w:jc w:val="center"/>
              <w:rPr>
                <w:rFonts w:hint="eastAsia" w:ascii="仿宋" w:hAnsi="仿宋" w:eastAsia="仿宋" w:cs="仿宋"/>
                <w:color w:val="auto"/>
                <w:sz w:val="24"/>
                <w:szCs w:val="24"/>
              </w:rPr>
            </w:pPr>
          </w:p>
        </w:tc>
        <w:tc>
          <w:tcPr>
            <w:tcW w:w="1198" w:type="pct"/>
            <w:vAlign w:val="center"/>
          </w:tcPr>
          <w:p w14:paraId="4800A2B5">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服务方式</w:t>
            </w:r>
          </w:p>
        </w:tc>
        <w:tc>
          <w:tcPr>
            <w:tcW w:w="2709" w:type="pct"/>
            <w:vAlign w:val="center"/>
          </w:tcPr>
          <w:p w14:paraId="3764B05C">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在服务期内，提供电话咨询、远程调试服务、现场支持服务等方式。</w:t>
            </w:r>
          </w:p>
        </w:tc>
      </w:tr>
    </w:tbl>
    <w:p w14:paraId="25AF078E">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注：实际数量以实施交付为主。</w:t>
      </w:r>
    </w:p>
    <w:p w14:paraId="6997925F">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（2）项目需求调研确认</w:t>
      </w:r>
    </w:p>
    <w:p w14:paraId="5127B4A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项目实施前必须进行项目需求调研，充分了解需求，严格按照需求进行准备工作，提供最优的解决方案。</w:t>
      </w:r>
    </w:p>
    <w:p w14:paraId="7489AB80">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（3）移动办案办公平台终端质量保障</w:t>
      </w:r>
    </w:p>
    <w:p w14:paraId="4B19A2C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根据项目需求对移动办案办公平台服务相关设备进行采购，为确保服务质量，必须对移动办案办公平台服务相关设备进行质量检查，检查合格的方可在服务上使用；对于检查不合格的设备，严禁使用。</w:t>
      </w:r>
    </w:p>
    <w:p w14:paraId="01A95FE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（4）项目实施及交付</w:t>
      </w:r>
    </w:p>
    <w:p w14:paraId="06F030A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使用检查合格的移动办案办公平台服务相关设备，在专业技术人员支持下，完成整个服务项目的实施交付过程。</w:t>
      </w:r>
    </w:p>
    <w:p w14:paraId="18916CBF">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交付使用后，由专职客户经理负责移动办案办公平台服务工作，定期到项目单位进行回访，解决项目单位产品问题及业务咨询，并由项目经理牵头组织开展定期产品巡检工作，服务次数根据项目单位实际需求不设上限，保障长期为项目单位方提供满足招标文件要求的服务，提前发现问题，解决问题。</w:t>
      </w:r>
    </w:p>
    <w:p w14:paraId="6F51F775">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移动办案办公平台终端。</w:t>
      </w:r>
    </w:p>
    <w:p w14:paraId="1A513ED2">
      <w:pPr>
        <w:widowControl/>
        <w:spacing w:line="360" w:lineRule="auto"/>
        <w:ind w:left="147"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移动办案办公平台终端规格参数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43"/>
        <w:gridCol w:w="6749"/>
      </w:tblGrid>
      <w:tr w14:paraId="7F9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CAAEE99">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序号</w:t>
            </w:r>
          </w:p>
        </w:tc>
        <w:tc>
          <w:tcPr>
            <w:tcW w:w="664" w:type="pct"/>
            <w:vAlign w:val="center"/>
          </w:tcPr>
          <w:p w14:paraId="06280ED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名称</w:t>
            </w:r>
          </w:p>
        </w:tc>
        <w:tc>
          <w:tcPr>
            <w:tcW w:w="3921" w:type="pct"/>
            <w:vAlign w:val="center"/>
          </w:tcPr>
          <w:p w14:paraId="49E51DC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移动办案办公平台终端技术指标</w:t>
            </w:r>
          </w:p>
        </w:tc>
      </w:tr>
      <w:tr w14:paraId="1098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03259DA">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64" w:type="pct"/>
            <w:vAlign w:val="center"/>
          </w:tcPr>
          <w:p w14:paraId="2028EC6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显示屏</w:t>
            </w:r>
          </w:p>
        </w:tc>
        <w:tc>
          <w:tcPr>
            <w:tcW w:w="3921" w:type="pct"/>
            <w:vAlign w:val="center"/>
          </w:tcPr>
          <w:p w14:paraId="03E876F3">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尺寸≥6.75英寸，OLED屏，屏幕分辨率≥FHD+ 2832 × 1280，1440Hz 高频PWM调光，300 Hz 触控采样率，1-120Hz LTPO自适应刷新率</w:t>
            </w:r>
          </w:p>
        </w:tc>
      </w:tr>
      <w:tr w14:paraId="171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9EAF11A">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64" w:type="pct"/>
            <w:vAlign w:val="center"/>
          </w:tcPr>
          <w:p w14:paraId="201AB178">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电池</w:t>
            </w:r>
          </w:p>
        </w:tc>
        <w:tc>
          <w:tcPr>
            <w:tcW w:w="3921" w:type="pct"/>
            <w:vAlign w:val="center"/>
          </w:tcPr>
          <w:p w14:paraId="7E674E95">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电池容量≥5750mAh</w:t>
            </w:r>
          </w:p>
        </w:tc>
      </w:tr>
      <w:tr w14:paraId="0070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F0AA711">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664" w:type="pct"/>
            <w:vAlign w:val="center"/>
          </w:tcPr>
          <w:p w14:paraId="14D78024">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网络制式</w:t>
            </w:r>
          </w:p>
        </w:tc>
        <w:tc>
          <w:tcPr>
            <w:tcW w:w="3921" w:type="pct"/>
            <w:vAlign w:val="center"/>
          </w:tcPr>
          <w:p w14:paraId="3902A072">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支持联通/电信5G/4G/3G/2G，移动5G/4G/2G，双卡双待，双卡支持5G </w:t>
            </w:r>
          </w:p>
        </w:tc>
      </w:tr>
      <w:tr w14:paraId="4FBA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vAlign w:val="center"/>
          </w:tcPr>
          <w:p w14:paraId="2BD04F96">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664" w:type="pct"/>
            <w:vMerge w:val="restart"/>
            <w:vAlign w:val="center"/>
          </w:tcPr>
          <w:p w14:paraId="7464961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存储空间</w:t>
            </w:r>
          </w:p>
        </w:tc>
        <w:tc>
          <w:tcPr>
            <w:tcW w:w="3921" w:type="pct"/>
            <w:vAlign w:val="center"/>
          </w:tcPr>
          <w:p w14:paraId="78F155FF">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运行内存：RAM容量≥12G</w:t>
            </w:r>
          </w:p>
        </w:tc>
      </w:tr>
      <w:tr w14:paraId="7A24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vAlign w:val="center"/>
          </w:tcPr>
          <w:p w14:paraId="6F8AC3EF">
            <w:pPr>
              <w:spacing w:line="360" w:lineRule="exact"/>
              <w:rPr>
                <w:rFonts w:hint="eastAsia" w:ascii="仿宋" w:hAnsi="仿宋" w:eastAsia="仿宋" w:cs="仿宋"/>
                <w:color w:val="auto"/>
                <w:sz w:val="24"/>
                <w:szCs w:val="24"/>
              </w:rPr>
            </w:pPr>
          </w:p>
        </w:tc>
        <w:tc>
          <w:tcPr>
            <w:tcW w:w="664" w:type="pct"/>
            <w:vMerge w:val="continue"/>
            <w:vAlign w:val="center"/>
          </w:tcPr>
          <w:p w14:paraId="1DA7AEC1">
            <w:pPr>
              <w:spacing w:line="360" w:lineRule="exact"/>
              <w:rPr>
                <w:rFonts w:hint="eastAsia" w:ascii="仿宋" w:hAnsi="仿宋" w:eastAsia="仿宋" w:cs="仿宋"/>
                <w:color w:val="auto"/>
                <w:sz w:val="24"/>
                <w:szCs w:val="24"/>
              </w:rPr>
            </w:pPr>
          </w:p>
        </w:tc>
        <w:tc>
          <w:tcPr>
            <w:tcW w:w="3921" w:type="pct"/>
            <w:vAlign w:val="center"/>
          </w:tcPr>
          <w:p w14:paraId="03B60D85">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机身内存：ROM容量≥512G</w:t>
            </w:r>
          </w:p>
        </w:tc>
      </w:tr>
      <w:tr w14:paraId="656C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vAlign w:val="center"/>
          </w:tcPr>
          <w:p w14:paraId="0B40178F">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664" w:type="pct"/>
            <w:vMerge w:val="restart"/>
            <w:vAlign w:val="center"/>
          </w:tcPr>
          <w:p w14:paraId="5F778DB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摄像头</w:t>
            </w:r>
          </w:p>
        </w:tc>
        <w:tc>
          <w:tcPr>
            <w:tcW w:w="3921" w:type="pct"/>
            <w:vAlign w:val="center"/>
          </w:tcPr>
          <w:p w14:paraId="34AA3FA0">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前置摄像头：≥1300万像素超广角摄像头</w:t>
            </w:r>
          </w:p>
        </w:tc>
      </w:tr>
      <w:tr w14:paraId="42E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vAlign w:val="center"/>
          </w:tcPr>
          <w:p w14:paraId="2591260C">
            <w:pPr>
              <w:spacing w:line="360" w:lineRule="exact"/>
              <w:rPr>
                <w:rFonts w:hint="eastAsia" w:ascii="仿宋" w:hAnsi="仿宋" w:eastAsia="仿宋" w:cs="仿宋"/>
                <w:color w:val="auto"/>
                <w:sz w:val="24"/>
                <w:szCs w:val="24"/>
              </w:rPr>
            </w:pPr>
          </w:p>
        </w:tc>
        <w:tc>
          <w:tcPr>
            <w:tcW w:w="664" w:type="pct"/>
            <w:vMerge w:val="continue"/>
            <w:vAlign w:val="center"/>
          </w:tcPr>
          <w:p w14:paraId="3EE25B26">
            <w:pPr>
              <w:spacing w:line="360" w:lineRule="exact"/>
              <w:rPr>
                <w:rFonts w:hint="eastAsia" w:ascii="仿宋" w:hAnsi="仿宋" w:eastAsia="仿宋" w:cs="仿宋"/>
                <w:color w:val="auto"/>
                <w:sz w:val="24"/>
                <w:szCs w:val="24"/>
              </w:rPr>
            </w:pPr>
          </w:p>
        </w:tc>
        <w:tc>
          <w:tcPr>
            <w:tcW w:w="3921" w:type="pct"/>
            <w:vAlign w:val="center"/>
          </w:tcPr>
          <w:p w14:paraId="5A32395A">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后置摄像头：不低于两摄，后置主摄像头≥5000万像素</w:t>
            </w:r>
          </w:p>
        </w:tc>
      </w:tr>
      <w:tr w14:paraId="682A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B8E9AAC">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664" w:type="pct"/>
            <w:vAlign w:val="center"/>
          </w:tcPr>
          <w:p w14:paraId="67839772">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操作系统</w:t>
            </w:r>
          </w:p>
        </w:tc>
        <w:tc>
          <w:tcPr>
            <w:tcW w:w="3921" w:type="pct"/>
            <w:vAlign w:val="center"/>
          </w:tcPr>
          <w:p w14:paraId="16EB7B2E">
            <w:pPr>
              <w:widowControl/>
              <w:spacing w:line="360" w:lineRule="exact"/>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国产自研操作系统，要求兼容性高，鸿蒙4.2及以上操作系统</w:t>
            </w:r>
          </w:p>
        </w:tc>
      </w:tr>
      <w:tr w14:paraId="11D6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397B36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664" w:type="pct"/>
            <w:vAlign w:val="center"/>
          </w:tcPr>
          <w:p w14:paraId="4A3576C9">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抗水防尘等级</w:t>
            </w:r>
          </w:p>
        </w:tc>
        <w:tc>
          <w:tcPr>
            <w:tcW w:w="3921" w:type="pct"/>
            <w:vAlign w:val="center"/>
          </w:tcPr>
          <w:p w14:paraId="3D96296D">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支持防尘抗水（≥IP68）</w:t>
            </w:r>
          </w:p>
        </w:tc>
      </w:tr>
      <w:tr w14:paraId="61D2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30562A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664" w:type="pct"/>
            <w:vAlign w:val="center"/>
          </w:tcPr>
          <w:p w14:paraId="7DFE224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定位服务</w:t>
            </w:r>
          </w:p>
        </w:tc>
        <w:tc>
          <w:tcPr>
            <w:tcW w:w="3921" w:type="pct"/>
            <w:vAlign w:val="center"/>
          </w:tcPr>
          <w:p w14:paraId="323834FA">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具备GPS / AGPS / GLONASS/ 北斗/ GALILEO/QZSS定位功能</w:t>
            </w:r>
          </w:p>
        </w:tc>
      </w:tr>
      <w:tr w14:paraId="2451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299F533">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664" w:type="pct"/>
            <w:vAlign w:val="center"/>
          </w:tcPr>
          <w:p w14:paraId="5C18301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NFC</w:t>
            </w:r>
          </w:p>
        </w:tc>
        <w:tc>
          <w:tcPr>
            <w:tcW w:w="3921" w:type="pct"/>
            <w:vAlign w:val="center"/>
          </w:tcPr>
          <w:p w14:paraId="05E9FB6D">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支持读卡器模式，卡模拟模式</w:t>
            </w:r>
          </w:p>
        </w:tc>
      </w:tr>
      <w:tr w14:paraId="346D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5744881">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664" w:type="pct"/>
            <w:vAlign w:val="center"/>
          </w:tcPr>
          <w:p w14:paraId="461745D4">
            <w:pPr>
              <w:widowControl/>
              <w:spacing w:line="360" w:lineRule="exact"/>
              <w:jc w:val="center"/>
              <w:rPr>
                <w:rFonts w:hint="eastAsia" w:ascii="仿宋" w:hAnsi="仿宋" w:eastAsia="仿宋" w:cs="仿宋"/>
                <w:color w:val="auto"/>
                <w:sz w:val="24"/>
                <w:szCs w:val="24"/>
                <w:highlight w:val="yellow"/>
              </w:rPr>
            </w:pPr>
            <w:r>
              <w:rPr>
                <w:rFonts w:hint="eastAsia" w:ascii="仿宋" w:hAnsi="仿宋" w:eastAsia="仿宋" w:cs="仿宋"/>
                <w:color w:val="auto"/>
                <w:kern w:val="0"/>
                <w:sz w:val="24"/>
                <w:szCs w:val="24"/>
                <w:lang w:bidi="ar"/>
              </w:rPr>
              <w:t>WLAN</w:t>
            </w:r>
          </w:p>
        </w:tc>
        <w:tc>
          <w:tcPr>
            <w:tcW w:w="3921" w:type="pct"/>
            <w:vAlign w:val="center"/>
          </w:tcPr>
          <w:p w14:paraId="24317237">
            <w:pPr>
              <w:widowControl/>
              <w:spacing w:line="360" w:lineRule="exact"/>
              <w:jc w:val="left"/>
              <w:rPr>
                <w:rFonts w:hint="eastAsia" w:ascii="仿宋" w:hAnsi="仿宋" w:eastAsia="仿宋" w:cs="仿宋"/>
                <w:color w:val="auto"/>
                <w:sz w:val="24"/>
                <w:szCs w:val="24"/>
                <w:highlight w:val="yellow"/>
              </w:rPr>
            </w:pPr>
            <w:r>
              <w:rPr>
                <w:rFonts w:hint="eastAsia" w:ascii="仿宋" w:hAnsi="仿宋" w:eastAsia="仿宋" w:cs="仿宋"/>
                <w:color w:val="auto"/>
                <w:kern w:val="0"/>
                <w:sz w:val="24"/>
                <w:szCs w:val="24"/>
                <w:lang w:bidi="ar"/>
              </w:rPr>
              <w:t xml:space="preserve">支持802.11 a/b/g/n/ac/ax/be </w:t>
            </w:r>
          </w:p>
        </w:tc>
      </w:tr>
      <w:tr w14:paraId="09C7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9FF68E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664" w:type="pct"/>
            <w:vAlign w:val="center"/>
          </w:tcPr>
          <w:p w14:paraId="55280016">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蓝牙</w:t>
            </w:r>
          </w:p>
        </w:tc>
        <w:tc>
          <w:tcPr>
            <w:tcW w:w="3921" w:type="pct"/>
            <w:vAlign w:val="center"/>
          </w:tcPr>
          <w:p w14:paraId="34CE649C">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蓝牙6.0，支持低功耗蓝牙，支持SBC、AAC，LDAC高清音频</w:t>
            </w:r>
          </w:p>
        </w:tc>
      </w:tr>
      <w:tr w14:paraId="51DB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9AB595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664" w:type="pct"/>
            <w:vAlign w:val="center"/>
          </w:tcPr>
          <w:p w14:paraId="463620F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传感器</w:t>
            </w:r>
          </w:p>
        </w:tc>
        <w:tc>
          <w:tcPr>
            <w:tcW w:w="3921" w:type="pct"/>
            <w:vAlign w:val="center"/>
          </w:tcPr>
          <w:p w14:paraId="757F0012">
            <w:pPr>
              <w:pStyle w:val="23"/>
              <w:widowControl w:val="0"/>
              <w:tabs>
                <w:tab w:val="left" w:pos="284"/>
              </w:tabs>
              <w:spacing w:before="0" w:after="0"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重力传感器，环境光传感器，接近光传感器，红外传感器，霍尔传感器，指南针等</w:t>
            </w:r>
          </w:p>
        </w:tc>
      </w:tr>
    </w:tbl>
    <w:p w14:paraId="454486B8">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bidi="ar"/>
        </w:rPr>
        <w:t>）移动办案办公平台终端需预置移动办案办公平台服务系统相关软件的能力，具备电信设备进网许可证。</w:t>
      </w:r>
    </w:p>
    <w:p w14:paraId="488FF625">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）提供的移动办案办公平台终端是全新的、质量合格的通信设备。</w:t>
      </w:r>
    </w:p>
    <w:p w14:paraId="416F45BC">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bidi="ar"/>
        </w:rPr>
        <w:t>）保证提供的移动办案办公平台终端支持双卡双待，满足移动办案办公平台服务使用需求。</w:t>
      </w:r>
    </w:p>
    <w:p w14:paraId="2C03CFD9">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（四）采购标的的数量、采购项目交付或者实施的时间和地点：</w:t>
      </w:r>
    </w:p>
    <w:p w14:paraId="47FB7D02">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val="0"/>
          <w:bCs/>
          <w:color w:val="auto"/>
          <w:kern w:val="44"/>
          <w:sz w:val="24"/>
          <w:szCs w:val="24"/>
          <w:lang w:val="en-US" w:eastAsia="zh-CN" w:bidi="ar-SA"/>
        </w:rPr>
      </w:pPr>
      <w:r>
        <w:rPr>
          <w:rFonts w:hint="eastAsia" w:ascii="仿宋" w:hAnsi="仿宋" w:eastAsia="仿宋" w:cs="仿宋"/>
          <w:b/>
          <w:bCs w:val="0"/>
          <w:color w:val="auto"/>
          <w:sz w:val="24"/>
          <w:szCs w:val="24"/>
          <w:lang w:val="en-US" w:eastAsia="zh-CN" w:bidi="ar"/>
        </w:rPr>
        <w:t>1.</w:t>
      </w:r>
      <w:r>
        <w:rPr>
          <w:rFonts w:hint="eastAsia" w:ascii="仿宋" w:hAnsi="仿宋" w:eastAsia="仿宋" w:cs="仿宋"/>
          <w:b/>
          <w:bCs w:val="0"/>
          <w:color w:val="auto"/>
          <w:sz w:val="24"/>
          <w:szCs w:val="24"/>
          <w:lang w:bidi="ar"/>
        </w:rPr>
        <w:t>服务规模：</w:t>
      </w:r>
      <w:r>
        <w:rPr>
          <w:rFonts w:hint="eastAsia" w:ascii="仿宋" w:hAnsi="仿宋" w:eastAsia="仿宋" w:cs="仿宋"/>
          <w:b w:val="0"/>
          <w:bCs/>
          <w:color w:val="auto"/>
          <w:sz w:val="24"/>
          <w:szCs w:val="24"/>
          <w:lang w:bidi="ar"/>
        </w:rPr>
        <w:t>主要针对昆明市晋宁区人民法院工作人员等提供满足质量标准的移动办案办公平台终端，同时提供一定额度的国内通话、国内数据流量使用费，提供首次服务使用、培训服务及售后服务等。</w:t>
      </w:r>
    </w:p>
    <w:p w14:paraId="484BCC89">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服务内容：</w:t>
      </w:r>
    </w:p>
    <w:p w14:paraId="4F150343">
      <w:pPr>
        <w:widowControl/>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专线服务：</w:t>
      </w:r>
      <w:r>
        <w:rPr>
          <w:rFonts w:hint="eastAsia" w:ascii="仿宋" w:hAnsi="仿宋" w:eastAsia="仿宋" w:cs="仿宋"/>
          <w:color w:val="auto"/>
          <w:sz w:val="24"/>
          <w:szCs w:val="24"/>
        </w:rPr>
        <w:t>基于昆明市晋宁区人民法院在用的专线服务合同即将到期，现使用情况为：一条 10M 数据专线、一条 50M 互联网专线、一条 100M 互联网专线、一条 300M 互联网专线。满足网络安全及数据高效传输要求,满足审务通、执行指挥系统信息数据交换需求。中标单位在中标后，进行网络切换过程中，必须确保网络不发生中断。</w:t>
      </w:r>
    </w:p>
    <w:p w14:paraId="1F70A973">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移动办案办公平台终端服务</w:t>
      </w:r>
      <w:r>
        <w:rPr>
          <w:rFonts w:hint="eastAsia" w:ascii="仿宋" w:hAnsi="仿宋" w:eastAsia="仿宋" w:cs="仿宋"/>
          <w:color w:val="auto"/>
          <w:sz w:val="24"/>
          <w:szCs w:val="24"/>
          <w:lang w:bidi="ar"/>
        </w:rPr>
        <w:t>：移动办案办公平台终端需适配多元使用场景，支持 5G 网络，具备多线程处理能力及相应服务容量；</w:t>
      </w:r>
    </w:p>
    <w:p w14:paraId="49029D6E">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3</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网络服务</w:t>
      </w:r>
      <w:r>
        <w:rPr>
          <w:rFonts w:hint="eastAsia" w:ascii="仿宋" w:hAnsi="仿宋" w:eastAsia="仿宋" w:cs="仿宋"/>
          <w:color w:val="auto"/>
          <w:sz w:val="24"/>
          <w:szCs w:val="24"/>
          <w:lang w:bidi="ar"/>
        </w:rPr>
        <w:t>：提供的移动办案办公平台网络服务需具备高带宽、高安全性、低时延、高稳定性、信号覆盖好等要求；提供一定额度的国内通话、国内数据流量使用费；提供的移动办案办公平台终端设备业务可接入法院一张网；</w:t>
      </w:r>
    </w:p>
    <w:p w14:paraId="16B1F83C">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4</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培训服务</w:t>
      </w:r>
      <w:r>
        <w:rPr>
          <w:rFonts w:hint="eastAsia" w:ascii="仿宋" w:hAnsi="仿宋" w:eastAsia="仿宋" w:cs="仿宋"/>
          <w:color w:val="auto"/>
          <w:sz w:val="24"/>
          <w:szCs w:val="24"/>
          <w:lang w:bidi="ar"/>
        </w:rPr>
        <w:t>：提供首次服务使用及培训服务，包括产品使用及操作特性说明、技术文件说明等；</w:t>
      </w:r>
    </w:p>
    <w:p w14:paraId="59F6F0D3">
      <w:pPr>
        <w:widowControl/>
        <w:tabs>
          <w:tab w:val="left" w:pos="720"/>
        </w:tabs>
        <w:spacing w:line="360" w:lineRule="auto"/>
        <w:ind w:firstLine="482" w:firstLineChars="200"/>
        <w:jc w:val="left"/>
        <w:rPr>
          <w:rFonts w:hint="eastAsia" w:ascii="仿宋" w:hAnsi="仿宋" w:eastAsia="仿宋" w:cs="仿宋"/>
          <w:color w:val="auto"/>
          <w:sz w:val="24"/>
          <w:szCs w:val="24"/>
          <w:lang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5</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软件服务</w:t>
      </w:r>
      <w:r>
        <w:rPr>
          <w:rFonts w:hint="eastAsia" w:ascii="仿宋" w:hAnsi="仿宋" w:eastAsia="仿宋" w:cs="仿宋"/>
          <w:color w:val="auto"/>
          <w:sz w:val="24"/>
          <w:szCs w:val="24"/>
          <w:lang w:bidi="ar"/>
        </w:rPr>
        <w:t>：在软件升级服务期内，对软件内核进行版本升级及更新。</w:t>
      </w:r>
    </w:p>
    <w:p w14:paraId="0A58DC46">
      <w:pPr>
        <w:widowControl/>
        <w:tabs>
          <w:tab w:val="left" w:pos="720"/>
        </w:tabs>
        <w:spacing w:line="360" w:lineRule="auto"/>
        <w:ind w:firstLine="482" w:firstLineChars="200"/>
        <w:jc w:val="left"/>
        <w:rPr>
          <w:rFonts w:hint="eastAsia" w:ascii="仿宋" w:hAnsi="仿宋" w:eastAsia="仿宋" w:cs="仿宋"/>
          <w:color w:val="auto"/>
          <w:sz w:val="24"/>
          <w:szCs w:val="24"/>
          <w:lang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6</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运维服务</w:t>
      </w:r>
      <w:r>
        <w:rPr>
          <w:rFonts w:hint="eastAsia" w:ascii="仿宋" w:hAnsi="仿宋" w:eastAsia="仿宋" w:cs="仿宋"/>
          <w:color w:val="auto"/>
          <w:sz w:val="24"/>
          <w:szCs w:val="24"/>
          <w:lang w:bidi="ar"/>
        </w:rPr>
        <w:t>：在服务期内，提供电话咨询及远程调试服务或现场支持服务。</w:t>
      </w:r>
    </w:p>
    <w:p w14:paraId="3AB81384">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服务期：36个月，合同签订后10个日历天内向采购人提供移动办案办公平台服务。服务期内按要求提供培训服务及售后等相关服务</w:t>
      </w:r>
      <w:r>
        <w:rPr>
          <w:rFonts w:hint="eastAsia" w:ascii="仿宋" w:hAnsi="仿宋" w:eastAsia="仿宋" w:cs="仿宋"/>
          <w:color w:val="auto"/>
          <w:sz w:val="24"/>
          <w:szCs w:val="24"/>
          <w:lang w:val="en-US" w:eastAsia="zh-CN" w:bidi="ar"/>
        </w:rPr>
        <w:t>（一采三年，</w:t>
      </w:r>
      <w:r>
        <w:rPr>
          <w:rFonts w:hint="eastAsia" w:ascii="仿宋" w:hAnsi="仿宋" w:eastAsia="仿宋" w:cs="仿宋"/>
          <w:color w:val="auto"/>
          <w:sz w:val="24"/>
        </w:rPr>
        <w:t>合同一年一签</w:t>
      </w:r>
      <w:r>
        <w:rPr>
          <w:rFonts w:hint="eastAsia" w:ascii="仿宋" w:hAnsi="仿宋" w:eastAsia="仿宋" w:cs="仿宋"/>
          <w:color w:val="auto"/>
          <w:sz w:val="24"/>
          <w:lang w:eastAsia="zh-CN"/>
        </w:rPr>
        <w:t>，</w:t>
      </w:r>
      <w:r>
        <w:rPr>
          <w:rFonts w:hint="eastAsia" w:ascii="仿宋" w:hAnsi="仿宋" w:eastAsia="仿宋" w:cs="仿宋"/>
          <w:color w:val="auto"/>
          <w:sz w:val="24"/>
        </w:rPr>
        <w:t>服务期满一年后，由采购人对服务方进行考核，考核合格后方可续签下一年度合同</w:t>
      </w:r>
      <w:r>
        <w:rPr>
          <w:rFonts w:hint="eastAsia" w:ascii="仿宋" w:hAnsi="仿宋" w:eastAsia="仿宋" w:cs="仿宋"/>
          <w:color w:val="auto"/>
          <w:sz w:val="24"/>
          <w:szCs w:val="24"/>
          <w:lang w:val="en-US" w:eastAsia="zh-CN" w:bidi="ar"/>
        </w:rPr>
        <w:t>）</w:t>
      </w:r>
      <w:r>
        <w:rPr>
          <w:rFonts w:hint="eastAsia" w:ascii="仿宋" w:hAnsi="仿宋" w:eastAsia="仿宋" w:cs="仿宋"/>
          <w:color w:val="auto"/>
          <w:sz w:val="24"/>
          <w:szCs w:val="24"/>
          <w:lang w:bidi="ar"/>
        </w:rPr>
        <w:t>。</w:t>
      </w:r>
    </w:p>
    <w:p w14:paraId="21E2F4F3">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4.服务地点：昆明市晋宁区人民法院，采购人指定地点。</w:t>
      </w:r>
    </w:p>
    <w:p w14:paraId="1FAE7E68">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（五）采购标的需满足的服务标准、期限、效率等要求：</w:t>
      </w:r>
    </w:p>
    <w:p w14:paraId="181643D2">
      <w:pPr>
        <w:widowControl/>
        <w:spacing w:line="360" w:lineRule="auto"/>
        <w:jc w:val="left"/>
        <w:outlineLvl w:val="1"/>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服务能力要求</w:t>
      </w:r>
    </w:p>
    <w:p w14:paraId="199C177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1</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供应商需为本次项目提供的移动办案办公平台服务网络具备高带宽、高安全性、低时延、高稳定性等要求。</w:t>
      </w:r>
    </w:p>
    <w:p w14:paraId="6359573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供应商需提供相应采购服务内容的操作培训、自动无线升级服务、服务器升级服务。</w:t>
      </w:r>
    </w:p>
    <w:p w14:paraId="2D6AE6F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供应商需提供不同场景的移动办案办公平台使用需求服务，在合同期内，提供合同签订数量的、能开展移动办案办公平台服务应用的移动办案办公平台站点终端，以便开展移动办案办公平台服务应用。</w:t>
      </w:r>
    </w:p>
    <w:p w14:paraId="5814929C">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承载移动办案办公平台终端需支持WLAN，频率2.4GHz和5GHz，支持WLAN直连，支持NFC，支持5G。</w:t>
      </w:r>
    </w:p>
    <w:p w14:paraId="5B2D0291">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5</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在合同约定期内提供优质服务，对支持业务能力的移动办案办公平台终端提供维保服务。</w:t>
      </w:r>
    </w:p>
    <w:p w14:paraId="4D04C32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6</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提供相应服务内容的操作培训、自动无线升级服务等。</w:t>
      </w:r>
    </w:p>
    <w:p w14:paraId="61BBA5C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提供安全可信服务，符合国家及法院在安全规范类的相关要求。</w:t>
      </w:r>
    </w:p>
    <w:p w14:paraId="7D39C94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8</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保证平台终端通信畅通，发生特殊原因欠费的不允许停机；并24小时支撑开机服务。</w:t>
      </w:r>
    </w:p>
    <w:p w14:paraId="0743D2C5">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9</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提供一定额度的国内通话、国内数据流量使用费（不包含港澳台）。</w:t>
      </w:r>
    </w:p>
    <w:p w14:paraId="0E30200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10</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在合约期维保期满以后，继续提供技术支持服务。</w:t>
      </w:r>
    </w:p>
    <w:p w14:paraId="031F9CF3">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服务体系：</w:t>
      </w:r>
    </w:p>
    <w:p w14:paraId="5FC2FEE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（1）提供首次服务使用及培训服务。</w:t>
      </w:r>
    </w:p>
    <w:p w14:paraId="6D8A04C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（2）提供合约期内软件升级服务，在软件升级服务期内，对软件内核进行版本升级及更新。</w:t>
      </w:r>
    </w:p>
    <w:p w14:paraId="799E8F8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（3）提供合约期内电话咨询及远程调试服务，在服务期内，由经过技术认证的工程师提供7*24小时电话咨询及远程技术协助服务。</w:t>
      </w:r>
    </w:p>
    <w:p w14:paraId="0D2A3F71">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（4）提供合约期内远程调试现场支持服务及远程咨询解决问题。如咨询及远程调试不能解决，24小时内派遣经过技术认证的工程师赶赴现场解决技术问题，进行现场技术支持。</w:t>
      </w:r>
    </w:p>
    <w:p w14:paraId="0856F8B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（5）在服务期内，保证所提供的各项服务功能、服务环境能够安全、稳定、正常运行，同时对各项服务功能、服务环境进行维保或故障更换及系统软件升级服务。</w:t>
      </w:r>
    </w:p>
    <w:p w14:paraId="620ED3D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（6）乙方提供的服务终端设备严格遵照国家的“三包”政策执行。</w:t>
      </w:r>
    </w:p>
    <w:p w14:paraId="015F886A">
      <w:pPr>
        <w:widowControl/>
        <w:spacing w:line="360" w:lineRule="auto"/>
        <w:jc w:val="left"/>
        <w:outlineLvl w:val="1"/>
        <w:rPr>
          <w:rFonts w:hint="eastAsia" w:ascii="仿宋" w:hAnsi="仿宋" w:eastAsia="仿宋" w:cs="仿宋"/>
          <w:b/>
          <w:bCs/>
          <w:color w:val="auto"/>
          <w:sz w:val="24"/>
          <w:szCs w:val="24"/>
          <w:lang w:bidi="ar"/>
        </w:rPr>
      </w:pPr>
      <w:bookmarkStart w:id="91" w:name="_Toc12149"/>
      <w:r>
        <w:rPr>
          <w:rFonts w:hint="eastAsia" w:ascii="仿宋" w:hAnsi="仿宋" w:eastAsia="仿宋" w:cs="仿宋"/>
          <w:b/>
          <w:bCs/>
          <w:color w:val="auto"/>
          <w:sz w:val="24"/>
          <w:szCs w:val="24"/>
          <w:lang w:val="en-US" w:eastAsia="zh-CN" w:bidi="ar"/>
        </w:rPr>
        <w:t>3.</w:t>
      </w:r>
      <w:r>
        <w:rPr>
          <w:rFonts w:hint="eastAsia" w:ascii="仿宋" w:hAnsi="仿宋" w:eastAsia="仿宋" w:cs="仿宋"/>
          <w:b/>
          <w:bCs/>
          <w:color w:val="auto"/>
          <w:sz w:val="24"/>
          <w:szCs w:val="24"/>
          <w:lang w:bidi="ar"/>
        </w:rPr>
        <w:t>移动办案</w:t>
      </w:r>
      <w:r>
        <w:rPr>
          <w:rFonts w:hint="eastAsia" w:ascii="仿宋" w:hAnsi="仿宋" w:eastAsia="仿宋" w:cs="仿宋"/>
          <w:b/>
          <w:color w:val="auto"/>
          <w:sz w:val="24"/>
          <w:szCs w:val="24"/>
          <w:lang w:bidi="ar"/>
        </w:rPr>
        <w:t>办公</w:t>
      </w:r>
      <w:r>
        <w:rPr>
          <w:rFonts w:hint="eastAsia" w:ascii="仿宋" w:hAnsi="仿宋" w:eastAsia="仿宋" w:cs="仿宋"/>
          <w:b/>
          <w:bCs/>
          <w:color w:val="auto"/>
          <w:sz w:val="24"/>
          <w:szCs w:val="24"/>
          <w:lang w:bidi="ar"/>
        </w:rPr>
        <w:t>平台服务要求</w:t>
      </w:r>
      <w:bookmarkEnd w:id="91"/>
    </w:p>
    <w:p w14:paraId="551BB07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（1）提供首次服务使用及培训服务。</w:t>
      </w:r>
    </w:p>
    <w:p w14:paraId="1C88CAEE">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（2）提供合同期内软件升级服务，在软件升级服务期内，对软件内核进行版本升级及更新。</w:t>
      </w:r>
    </w:p>
    <w:p w14:paraId="0CD5106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合同期内提供技术人员7×24小时电话咨询及远程技术协助服务，电话服务热线号码以中标方提供给项目单位的号码为准（如有更改，中标方至少在自更改之日起3天内以电子邮件、微信、电话的方式通知项目单位）。服务响应时长要求小于30分钟，如咨询及远程调试不能解决，2小时内派遣技术人员赶赴现场解决技术问题，进行现场技术支持。</w:t>
      </w:r>
    </w:p>
    <w:p w14:paraId="7F811D8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（4）合同期内，保证所提供的各项服务功能、服务环境能够安全、稳定、正常运行，同时对各项服务功能、服务环境进行维保或故障更换及系统软件升级服务。</w:t>
      </w:r>
    </w:p>
    <w:p w14:paraId="09479AE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跟踪与回访。具有完善的办案办公服务体系，建立项目单位服务档案管理和日常跟踪回访制度，定期对项目单位进行服务回访和项目单位服务档案更新。负责处理及维护项目单位系统存在的故障和异常，不定期地回访（包括现场回访和电话回访），了解系统运行状况、了解项目单位系统使用需求，了解系统维护人员现场维护服务的技术能力和服务态度，并根据回访情况及时改进服务。</w:t>
      </w:r>
    </w:p>
    <w:p w14:paraId="2983B4D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（6）服务质量保障体系。</w:t>
      </w:r>
    </w:p>
    <w:p w14:paraId="5003DA8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建立项目单位服务档案，管理项目单位的合同、相关技术档案、服务记录等详细资料。</w:t>
      </w:r>
    </w:p>
    <w:p w14:paraId="7AB1022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项目单位满意度调查。每次为项目单位服务后，由项目单位给予服务评价（电话跟踪评价、APP评价、填写服务质量表等方式）。</w:t>
      </w:r>
    </w:p>
    <w:p w14:paraId="04CF2F4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投诉服务体系。建立全面完善的投诉渠道和制度，实行首问负责制，确保服务质量。对项目单位在使用产品过程中出现的非故障类问题提供电话咨询服务；对涉及移动办案办公平台终端套餐等业务问题，可拨打投诉电话，处理结果在1-3个工作日之内予以回复，并进行跟踪监督，直至问题满意解决。</w:t>
      </w:r>
    </w:p>
    <w:p w14:paraId="10324D8E">
      <w:pPr>
        <w:widowControl/>
        <w:spacing w:line="360" w:lineRule="auto"/>
        <w:jc w:val="left"/>
        <w:outlineLvl w:val="1"/>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4.</w:t>
      </w:r>
      <w:r>
        <w:rPr>
          <w:rFonts w:hint="eastAsia" w:ascii="仿宋" w:hAnsi="仿宋" w:eastAsia="仿宋" w:cs="仿宋"/>
          <w:b/>
          <w:bCs/>
          <w:color w:val="auto"/>
          <w:sz w:val="24"/>
          <w:szCs w:val="24"/>
          <w:lang w:bidi="ar"/>
        </w:rPr>
        <w:t>团队要求</w:t>
      </w:r>
    </w:p>
    <w:p w14:paraId="47F9F5D0">
      <w:pPr>
        <w:widowControl/>
        <w:spacing w:line="360" w:lineRule="auto"/>
        <w:ind w:left="420" w:leftChars="200"/>
        <w:jc w:val="left"/>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项目组成员配置</w:t>
      </w:r>
      <w:r>
        <w:rPr>
          <w:rFonts w:hint="eastAsia" w:ascii="仿宋" w:hAnsi="仿宋" w:eastAsia="仿宋" w:cs="仿宋"/>
          <w:b/>
          <w:bCs/>
          <w:color w:val="auto"/>
          <w:sz w:val="24"/>
          <w:szCs w:val="24"/>
          <w:lang w:eastAsia="zh-CN" w:bidi="ar"/>
        </w:rPr>
        <w:t>：</w:t>
      </w:r>
    </w:p>
    <w:p w14:paraId="475476CA">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项目经理配置：需配备项目经理1名（具备PMP认证），负责项目组人员管理、职责管理、进度管理、质量管理、技能培训等管理工作。</w:t>
      </w:r>
    </w:p>
    <w:p w14:paraId="523FF89A">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项目服务人员配置：需配备不少于2名高级工程师，7名项目组人员对项目服务期间提供远程技术支持、特殊情况下的现场技术支持等。</w:t>
      </w:r>
    </w:p>
    <w:p w14:paraId="070F8F8D">
      <w:pPr>
        <w:widowControl/>
        <w:spacing w:line="360" w:lineRule="auto"/>
        <w:ind w:firstLine="482" w:firstLineChars="20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人员要求</w:t>
      </w:r>
      <w:r>
        <w:rPr>
          <w:rFonts w:hint="eastAsia" w:ascii="仿宋" w:hAnsi="仿宋" w:eastAsia="仿宋" w:cs="仿宋"/>
          <w:b/>
          <w:bCs/>
          <w:color w:val="auto"/>
          <w:sz w:val="24"/>
          <w:szCs w:val="24"/>
          <w:lang w:eastAsia="zh-CN" w:bidi="ar"/>
        </w:rPr>
        <w:t>：</w:t>
      </w:r>
    </w:p>
    <w:p w14:paraId="3BCBCD7A">
      <w:pPr>
        <w:widowControl/>
        <w:spacing w:line="360" w:lineRule="auto"/>
        <w:ind w:firstLine="480" w:firstLineChars="200"/>
        <w:jc w:val="left"/>
        <w:rPr>
          <w:rFonts w:hint="default" w:ascii="仿宋" w:hAnsi="仿宋" w:eastAsia="仿宋" w:cs="仿宋"/>
          <w:b/>
          <w:color w:val="auto"/>
          <w:kern w:val="44"/>
          <w:sz w:val="24"/>
          <w:szCs w:val="24"/>
          <w:lang w:val="en-US" w:eastAsia="zh-CN" w:bidi="ar-SA"/>
        </w:rPr>
      </w:pPr>
      <w:r>
        <w:rPr>
          <w:rFonts w:hint="eastAsia" w:ascii="仿宋" w:hAnsi="仿宋" w:eastAsia="仿宋" w:cs="仿宋"/>
          <w:color w:val="auto"/>
          <w:sz w:val="24"/>
          <w:szCs w:val="24"/>
          <w:lang w:bidi="ar"/>
        </w:rPr>
        <w:t>具备本项目相关技术服务能力及经验并能保证本项目的顺利实施，团队须胜任本项目管理、实施和服务，配置具有丰富经验的安全支撑服务人员。</w:t>
      </w:r>
    </w:p>
    <w:p w14:paraId="29A577EB">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（六）采购标的的验收标准：</w:t>
      </w:r>
    </w:p>
    <w:p w14:paraId="274FBEFE">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ind w:firstLine="480" w:firstLineChars="200"/>
        <w:textAlignment w:val="auto"/>
        <w:rPr>
          <w:rFonts w:hint="eastAsia" w:ascii="仿宋" w:hAnsi="仿宋" w:eastAsia="仿宋" w:cs="仿宋"/>
          <w:b w:val="0"/>
          <w:bCs/>
          <w:color w:val="auto"/>
          <w:kern w:val="44"/>
          <w:sz w:val="24"/>
          <w:szCs w:val="24"/>
          <w:lang w:val="en-US" w:eastAsia="zh-CN" w:bidi="ar-SA"/>
        </w:rPr>
      </w:pPr>
      <w:r>
        <w:rPr>
          <w:rFonts w:hint="eastAsia" w:ascii="仿宋" w:hAnsi="仿宋" w:eastAsia="仿宋" w:cs="仿宋"/>
          <w:b w:val="0"/>
          <w:bCs/>
          <w:color w:val="auto"/>
          <w:sz w:val="24"/>
          <w:szCs w:val="24"/>
          <w:lang w:bidi="ar"/>
        </w:rPr>
        <w:t>按照国家、法院及相关部门相关验收标准，完成采购需求中的所有内容。交付后由采购人组织的验收小组根据国家有关标准、采购文件及投标（响应）文件统一验收，采购人认为必要时可请有关专家共同参与验收。由供应商按合同规范要求完成各项合同内容，向采购人交付必需的相关资料；若发现不合格，必须予以改正，对由于缺陷而发生的任何不足负责，费用由供应商承担。供应商提交验收申请报告，由采购人组织专人检验是否合格并满足合同技术要求。采购人在验收清单中签字确认或出具验收报告并不免除供应商对项目的质量保证责任。</w:t>
      </w:r>
    </w:p>
    <w:p w14:paraId="74045FF0">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（七）采购标的的其他技术、服务等要求：</w:t>
      </w:r>
    </w:p>
    <w:p w14:paraId="573F3CDE">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其他服务要求：</w:t>
      </w:r>
    </w:p>
    <w:p w14:paraId="60652B15">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（1）服务响应时长要求小于30分钟，设备故障处置时长小于8小时（不包含配件更换除）。网络畅通率百分比应大于98%；</w:t>
      </w:r>
    </w:p>
    <w:p w14:paraId="1E477A1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（2）提供的移动办案办公平台终端业务可接入法院一张网；</w:t>
      </w:r>
    </w:p>
    <w:p w14:paraId="20724DB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（3）保证使用移动办案办公平台服务的入网卡号畅通，发生特殊原因欠费的不允许停机；并24小时支撑开机服务；</w:t>
      </w:r>
    </w:p>
    <w:p w14:paraId="00F6C0C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（4）到期尚未签订新的服务合同，以成本价提供备件和维修服务，设备更换或者修理将在收到该换修设备后三个月内维修并返回给甲方，同时提供备用设备供甲方使用；</w:t>
      </w:r>
    </w:p>
    <w:p w14:paraId="36C3A9D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通信运营商选择情况说明：需具备提供优质网络服务的能力，在移动办案办公平台服务业务使用区域需具备能够提供完善的网络覆盖、流畅的网络体验能力，在重大活动及重大安保期间，具备应急通信保障能力。目前法院工作人员使用移动、电信、联通、广电号码的情况均有存在，若中标运营商和法院工作人员在用运营商不一致时，项目交付时则需新办中标运营商手机号码或办理“携号转网”。</w:t>
      </w:r>
    </w:p>
    <w:p w14:paraId="34C8EBA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业务连续性：项目交付时，在法院工作人员原用号码符合国家工信部携号转网政策条件下，中标方需在合同签订之日起5日内将当前不同运营商服务携号转网至中标方提供的运营商服务；</w:t>
      </w:r>
    </w:p>
    <w:p w14:paraId="6929ED7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针对新增号卡需求，优先提供专属号码段或与原运营商尾号相同的号码供选择。</w:t>
      </w:r>
    </w:p>
    <w:p w14:paraId="443A38C8">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color w:val="auto"/>
          <w:sz w:val="24"/>
          <w:szCs w:val="24"/>
          <w:lang w:val="en-US" w:eastAsia="zh-CN"/>
        </w:rPr>
      </w:pPr>
    </w:p>
    <w:p w14:paraId="2FD6B8E3">
      <w:pPr>
        <w:pStyle w:val="8"/>
        <w:spacing w:line="360" w:lineRule="auto"/>
        <w:ind w:firstLine="360" w:firstLineChars="200"/>
        <w:rPr>
          <w:rFonts w:ascii="仿宋" w:hAnsi="仿宋" w:eastAsia="仿宋" w:cs="仿宋"/>
          <w:bCs/>
          <w:color w:val="auto"/>
          <w:szCs w:val="21"/>
          <w:shd w:val="clear" w:color="auto" w:fill="FFFFFF"/>
        </w:rPr>
      </w:pPr>
      <w:bookmarkStart w:id="92" w:name="_Toc13567"/>
      <w:bookmarkStart w:id="93" w:name="_Toc4485644"/>
      <w:r>
        <w:rPr>
          <w:rFonts w:hint="eastAsia" w:ascii="仿宋" w:hAnsi="仿宋" w:eastAsia="仿宋" w:cs="仿宋"/>
          <w:bCs/>
          <w:color w:val="auto"/>
          <w:szCs w:val="21"/>
          <w:shd w:val="clear" w:color="auto" w:fill="FFFFFF"/>
        </w:rPr>
        <w:br w:type="page"/>
      </w:r>
    </w:p>
    <w:p w14:paraId="5E7B7792">
      <w:pPr>
        <w:pStyle w:val="2"/>
        <w:adjustRightInd w:val="0"/>
        <w:snapToGrid w:val="0"/>
        <w:spacing w:before="319" w:beforeLines="100" w:after="319" w:afterLines="100" w:line="360" w:lineRule="auto"/>
        <w:jc w:val="center"/>
        <w:rPr>
          <w:rFonts w:ascii="仿宋" w:hAnsi="仿宋" w:eastAsia="仿宋" w:cs="仿宋"/>
          <w:color w:val="auto"/>
        </w:rPr>
      </w:pPr>
      <w:r>
        <w:rPr>
          <w:rFonts w:hint="eastAsia" w:ascii="仿宋" w:hAnsi="仿宋" w:eastAsia="仿宋" w:cs="仿宋"/>
          <w:color w:val="auto"/>
        </w:rPr>
        <w:t>第四章 磋商内容、磋商过程中可能实质性变动的内容</w:t>
      </w:r>
      <w:bookmarkEnd w:id="92"/>
      <w:bookmarkEnd w:id="93"/>
    </w:p>
    <w:p w14:paraId="126BEB90">
      <w:pPr>
        <w:widowControl/>
        <w:snapToGrid w:val="0"/>
        <w:spacing w:line="500" w:lineRule="exact"/>
        <w:jc w:val="left"/>
        <w:rPr>
          <w:rFonts w:ascii="仿宋" w:hAnsi="仿宋" w:eastAsia="仿宋" w:cs="仿宋"/>
          <w:bCs/>
          <w:color w:val="auto"/>
          <w:kern w:val="0"/>
          <w:szCs w:val="21"/>
        </w:rPr>
      </w:pPr>
      <w:r>
        <w:rPr>
          <w:rFonts w:hint="eastAsia" w:ascii="仿宋" w:hAnsi="仿宋" w:eastAsia="仿宋" w:cs="仿宋"/>
          <w:bCs/>
          <w:color w:val="auto"/>
          <w:kern w:val="0"/>
          <w:szCs w:val="21"/>
        </w:rPr>
        <w:t>磋商小组根据与供应商磋商情况可能实质性变动的内容（不得变动采购文件中的其他内容）： 无。</w:t>
      </w:r>
    </w:p>
    <w:p w14:paraId="79C75483">
      <w:pPr>
        <w:rPr>
          <w:rFonts w:ascii="仿宋" w:hAnsi="仿宋" w:eastAsia="仿宋" w:cs="仿宋"/>
          <w:bCs/>
          <w:color w:val="auto"/>
          <w:kern w:val="0"/>
          <w:szCs w:val="21"/>
        </w:rPr>
      </w:pPr>
    </w:p>
    <w:p w14:paraId="71D94459">
      <w:pPr>
        <w:rPr>
          <w:rFonts w:ascii="仿宋" w:hAnsi="仿宋" w:eastAsia="仿宋" w:cs="仿宋"/>
          <w:color w:val="auto"/>
        </w:rPr>
      </w:pPr>
    </w:p>
    <w:p w14:paraId="4BE92487">
      <w:pPr>
        <w:rPr>
          <w:rFonts w:ascii="仿宋" w:hAnsi="仿宋" w:eastAsia="仿宋" w:cs="仿宋"/>
          <w:color w:val="auto"/>
        </w:rPr>
      </w:pPr>
    </w:p>
    <w:p w14:paraId="57EC267F">
      <w:pPr>
        <w:rPr>
          <w:rFonts w:ascii="仿宋" w:hAnsi="仿宋" w:eastAsia="仿宋" w:cs="仿宋"/>
          <w:color w:val="auto"/>
        </w:rPr>
      </w:pPr>
    </w:p>
    <w:p w14:paraId="63013F96">
      <w:pPr>
        <w:rPr>
          <w:rFonts w:ascii="仿宋" w:hAnsi="仿宋" w:eastAsia="仿宋" w:cs="仿宋"/>
          <w:color w:val="auto"/>
        </w:rPr>
      </w:pPr>
    </w:p>
    <w:p w14:paraId="1F89AF22">
      <w:pPr>
        <w:rPr>
          <w:rFonts w:ascii="仿宋" w:hAnsi="仿宋" w:eastAsia="仿宋" w:cs="仿宋"/>
          <w:color w:val="auto"/>
        </w:rPr>
      </w:pPr>
    </w:p>
    <w:p w14:paraId="7037C6F7">
      <w:pPr>
        <w:rPr>
          <w:rFonts w:ascii="仿宋" w:hAnsi="仿宋" w:eastAsia="仿宋" w:cs="仿宋"/>
          <w:color w:val="auto"/>
        </w:rPr>
      </w:pPr>
    </w:p>
    <w:p w14:paraId="6A2D8D35">
      <w:pPr>
        <w:rPr>
          <w:rFonts w:ascii="仿宋" w:hAnsi="仿宋" w:eastAsia="仿宋" w:cs="仿宋"/>
          <w:color w:val="auto"/>
        </w:rPr>
      </w:pPr>
    </w:p>
    <w:p w14:paraId="37E64B8C">
      <w:pPr>
        <w:rPr>
          <w:rFonts w:ascii="仿宋" w:hAnsi="仿宋" w:eastAsia="仿宋" w:cs="仿宋"/>
          <w:color w:val="auto"/>
        </w:rPr>
      </w:pPr>
    </w:p>
    <w:p w14:paraId="606E5779">
      <w:pPr>
        <w:rPr>
          <w:rFonts w:ascii="仿宋" w:hAnsi="仿宋" w:eastAsia="仿宋" w:cs="仿宋"/>
          <w:bCs/>
          <w:color w:val="auto"/>
          <w:kern w:val="0"/>
          <w:szCs w:val="21"/>
        </w:rPr>
      </w:pPr>
      <w:r>
        <w:rPr>
          <w:rFonts w:hint="eastAsia" w:ascii="仿宋" w:hAnsi="仿宋" w:eastAsia="仿宋" w:cs="仿宋"/>
          <w:bCs/>
          <w:color w:val="auto"/>
          <w:kern w:val="0"/>
          <w:szCs w:val="21"/>
        </w:rPr>
        <w:t>注：采购人不同意采购文件在磋商过程中有任何变动的，直接写无，实质性变动的内容，须经采购人代表确认。</w:t>
      </w:r>
    </w:p>
    <w:p w14:paraId="7FBE0D16">
      <w:pPr>
        <w:widowControl/>
        <w:jc w:val="left"/>
        <w:rPr>
          <w:rFonts w:ascii="仿宋" w:hAnsi="仿宋" w:eastAsia="仿宋" w:cs="仿宋"/>
          <w:color w:val="auto"/>
        </w:rPr>
      </w:pPr>
    </w:p>
    <w:p w14:paraId="23C2FCED">
      <w:pPr>
        <w:pStyle w:val="2"/>
        <w:jc w:val="center"/>
        <w:rPr>
          <w:rFonts w:ascii="仿宋" w:hAnsi="仿宋" w:eastAsia="仿宋" w:cs="仿宋"/>
          <w:color w:val="auto"/>
        </w:rPr>
      </w:pPr>
      <w:bookmarkStart w:id="94" w:name="_Toc4485645"/>
      <w:r>
        <w:rPr>
          <w:rFonts w:hint="eastAsia" w:ascii="仿宋" w:hAnsi="仿宋" w:eastAsia="仿宋" w:cs="仿宋"/>
          <w:color w:val="auto"/>
        </w:rPr>
        <w:br w:type="page"/>
      </w:r>
      <w:bookmarkStart w:id="95" w:name="_Toc25260"/>
      <w:r>
        <w:rPr>
          <w:rFonts w:hint="eastAsia" w:ascii="仿宋" w:hAnsi="仿宋" w:eastAsia="仿宋" w:cs="仿宋"/>
          <w:color w:val="auto"/>
        </w:rPr>
        <w:t>第五章 评审办法</w:t>
      </w:r>
      <w:bookmarkEnd w:id="94"/>
      <w:bookmarkEnd w:id="95"/>
    </w:p>
    <w:p w14:paraId="6A9817A0">
      <w:pPr>
        <w:adjustRightInd w:val="0"/>
        <w:snapToGrid w:val="0"/>
        <w:spacing w:line="360" w:lineRule="auto"/>
        <w:ind w:firstLine="420" w:firstLineChars="200"/>
        <w:rPr>
          <w:rFonts w:ascii="仿宋" w:hAnsi="仿宋" w:eastAsia="仿宋" w:cs="仿宋"/>
          <w:bCs/>
          <w:color w:val="auto"/>
          <w:kern w:val="0"/>
          <w:szCs w:val="21"/>
        </w:rPr>
      </w:pPr>
      <w:r>
        <w:rPr>
          <w:rFonts w:hint="eastAsia" w:ascii="仿宋" w:hAnsi="仿宋" w:eastAsia="仿宋" w:cs="仿宋"/>
          <w:bCs/>
          <w:color w:val="auto"/>
          <w:kern w:val="0"/>
          <w:szCs w:val="21"/>
        </w:rPr>
        <w:t>本项目将按照采购文件第一章供应商须知中“六 磋商及评审”、“七 确定成交”及本章的规定评审。</w:t>
      </w:r>
    </w:p>
    <w:p w14:paraId="52C74C72">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一、评审方法</w:t>
      </w:r>
    </w:p>
    <w:p w14:paraId="20C789A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本项目采用</w:t>
      </w:r>
      <w:r>
        <w:rPr>
          <w:rFonts w:hint="eastAsia" w:ascii="仿宋" w:hAnsi="仿宋" w:eastAsia="仿宋" w:cs="仿宋"/>
          <w:color w:val="auto"/>
          <w:kern w:val="0"/>
          <w:szCs w:val="21"/>
          <w:u w:val="single"/>
        </w:rPr>
        <w:t xml:space="preserve"> 综合评分法 </w:t>
      </w:r>
      <w:r>
        <w:rPr>
          <w:rFonts w:hint="eastAsia" w:ascii="仿宋" w:hAnsi="仿宋" w:eastAsia="仿宋" w:cs="仿宋"/>
          <w:color w:val="auto"/>
          <w:kern w:val="0"/>
          <w:szCs w:val="21"/>
        </w:rPr>
        <w:t>进行</w:t>
      </w:r>
      <w:r>
        <w:rPr>
          <w:rFonts w:hint="eastAsia" w:ascii="仿宋" w:hAnsi="仿宋" w:eastAsia="仿宋" w:cs="仿宋"/>
          <w:bCs/>
          <w:color w:val="auto"/>
          <w:kern w:val="0"/>
          <w:szCs w:val="21"/>
        </w:rPr>
        <w:t>评审</w:t>
      </w:r>
      <w:r>
        <w:rPr>
          <w:rFonts w:hint="eastAsia" w:ascii="仿宋" w:hAnsi="仿宋" w:eastAsia="仿宋" w:cs="仿宋"/>
          <w:color w:val="auto"/>
          <w:kern w:val="0"/>
          <w:szCs w:val="21"/>
        </w:rPr>
        <w:t>。</w:t>
      </w:r>
    </w:p>
    <w:p w14:paraId="4E6EC633">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二、评审原则及程序</w:t>
      </w:r>
    </w:p>
    <w:p w14:paraId="7D225479">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（一）评审原则</w:t>
      </w:r>
    </w:p>
    <w:p w14:paraId="4F108CA4">
      <w:pPr>
        <w:adjustRightInd w:val="0"/>
        <w:snapToGrid w:val="0"/>
        <w:spacing w:line="360" w:lineRule="auto"/>
        <w:ind w:firstLine="420" w:firstLineChars="200"/>
        <w:textAlignment w:val="baseline"/>
        <w:rPr>
          <w:rFonts w:ascii="仿宋" w:hAnsi="仿宋" w:eastAsia="仿宋" w:cs="仿宋"/>
          <w:color w:val="auto"/>
          <w:kern w:val="0"/>
        </w:rPr>
      </w:pPr>
      <w:r>
        <w:rPr>
          <w:rFonts w:hint="eastAsia" w:ascii="仿宋" w:hAnsi="仿宋" w:eastAsia="仿宋" w:cs="仿宋"/>
          <w:color w:val="auto"/>
          <w:kern w:val="0"/>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74FD9566">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（二）评审程序</w:t>
      </w:r>
    </w:p>
    <w:p w14:paraId="4E0318B8">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1、资格审查</w:t>
      </w:r>
    </w:p>
    <w:p w14:paraId="7DC1A607">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详见供应商须知22条。资格审查表详见本章附件1。</w:t>
      </w:r>
    </w:p>
    <w:p w14:paraId="10E60687">
      <w:pPr>
        <w:numPr>
          <w:ilvl w:val="0"/>
          <w:numId w:val="4"/>
        </w:numPr>
        <w:adjustRightInd w:val="0"/>
        <w:snapToGrid w:val="0"/>
        <w:spacing w:line="360" w:lineRule="auto"/>
        <w:ind w:firstLine="422" w:firstLineChars="200"/>
        <w:textAlignment w:val="baseline"/>
        <w:rPr>
          <w:rFonts w:ascii="仿宋" w:hAnsi="仿宋" w:eastAsia="仿宋" w:cs="仿宋"/>
          <w:b/>
          <w:bCs/>
          <w:color w:val="auto"/>
          <w:kern w:val="0"/>
          <w:szCs w:val="21"/>
        </w:rPr>
      </w:pPr>
      <w:r>
        <w:rPr>
          <w:rFonts w:hint="eastAsia" w:ascii="仿宋" w:hAnsi="仿宋" w:eastAsia="仿宋" w:cs="仿宋"/>
          <w:b/>
          <w:bCs/>
          <w:color w:val="auto"/>
          <w:kern w:val="0"/>
          <w:szCs w:val="21"/>
        </w:rPr>
        <w:t>符合性审查</w:t>
      </w:r>
    </w:p>
    <w:p w14:paraId="07175AD0">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2.1详见供应商须知23条。符合性审查表详见本章附件2。</w:t>
      </w:r>
    </w:p>
    <w:p w14:paraId="3CE99EA7">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3、样品及演示</w:t>
      </w:r>
    </w:p>
    <w:p w14:paraId="286B8B13">
      <w:pPr>
        <w:adjustRightInd w:val="0"/>
        <w:snapToGrid w:val="0"/>
        <w:spacing w:line="360" w:lineRule="auto"/>
        <w:ind w:firstLine="420" w:firstLineChars="200"/>
        <w:textAlignment w:val="baseline"/>
        <w:rPr>
          <w:rFonts w:ascii="仿宋" w:hAnsi="仿宋" w:eastAsia="仿宋" w:cs="仿宋"/>
          <w:color w:val="auto"/>
          <w:szCs w:val="21"/>
        </w:rPr>
      </w:pPr>
      <w:r>
        <w:rPr>
          <w:rFonts w:hint="eastAsia" w:ascii="仿宋" w:hAnsi="仿宋" w:eastAsia="仿宋" w:cs="仿宋"/>
          <w:color w:val="auto"/>
          <w:kern w:val="0"/>
          <w:szCs w:val="21"/>
        </w:rPr>
        <w:t>本项目无需对样品进行评审。</w:t>
      </w:r>
    </w:p>
    <w:p w14:paraId="52BE9250">
      <w:pPr>
        <w:adjustRightInd w:val="0"/>
        <w:snapToGrid w:val="0"/>
        <w:spacing w:line="360" w:lineRule="auto"/>
        <w:ind w:firstLine="422" w:firstLineChars="200"/>
        <w:textAlignment w:val="baseline"/>
        <w:rPr>
          <w:rFonts w:ascii="仿宋" w:hAnsi="仿宋" w:eastAsia="仿宋" w:cs="仿宋"/>
          <w:b/>
          <w:bCs/>
          <w:color w:val="auto"/>
          <w:kern w:val="0"/>
          <w:szCs w:val="21"/>
        </w:rPr>
      </w:pPr>
      <w:r>
        <w:rPr>
          <w:rFonts w:hint="eastAsia" w:ascii="仿宋" w:hAnsi="仿宋" w:eastAsia="仿宋" w:cs="仿宋"/>
          <w:b/>
          <w:bCs/>
          <w:color w:val="auto"/>
          <w:kern w:val="0"/>
          <w:szCs w:val="21"/>
        </w:rPr>
        <w:t>4、磋商</w:t>
      </w:r>
    </w:p>
    <w:p w14:paraId="308F85E4">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详见供应商须知25条。</w:t>
      </w:r>
    </w:p>
    <w:p w14:paraId="041AF433">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bCs/>
          <w:color w:val="auto"/>
          <w:kern w:val="0"/>
          <w:szCs w:val="21"/>
        </w:rPr>
        <w:t>5、最后报价</w:t>
      </w:r>
    </w:p>
    <w:p w14:paraId="391C364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详见供应商须知26条。</w:t>
      </w:r>
    </w:p>
    <w:p w14:paraId="120F379C">
      <w:pPr>
        <w:adjustRightInd w:val="0"/>
        <w:snapToGrid w:val="0"/>
        <w:spacing w:line="360" w:lineRule="auto"/>
        <w:ind w:firstLine="413" w:firstLineChars="196"/>
        <w:rPr>
          <w:rFonts w:ascii="仿宋" w:hAnsi="仿宋" w:eastAsia="仿宋" w:cs="仿宋"/>
          <w:b/>
          <w:bCs/>
          <w:color w:val="auto"/>
          <w:kern w:val="0"/>
          <w:szCs w:val="21"/>
        </w:rPr>
      </w:pPr>
      <w:r>
        <w:rPr>
          <w:rFonts w:hint="eastAsia" w:ascii="仿宋" w:hAnsi="仿宋" w:eastAsia="仿宋" w:cs="仿宋"/>
          <w:b/>
          <w:bCs/>
          <w:color w:val="auto"/>
          <w:kern w:val="0"/>
          <w:szCs w:val="21"/>
        </w:rPr>
        <w:t>6、比较及评价</w:t>
      </w:r>
    </w:p>
    <w:p w14:paraId="1A3D4BFB">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6.1磋商小组对通过资格审查、符合性审查的响应文件进行比较和评价。</w:t>
      </w:r>
    </w:p>
    <w:p w14:paraId="425E99D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6.2在磋商期间，对响应文件的澄清按供应商须知24条内容执行。</w:t>
      </w:r>
    </w:p>
    <w:p w14:paraId="156EB4A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6.3磋商小组</w:t>
      </w:r>
      <w:r>
        <w:rPr>
          <w:rFonts w:hint="eastAsia" w:ascii="仿宋" w:hAnsi="仿宋" w:eastAsia="仿宋" w:cs="仿宋"/>
          <w:color w:val="auto"/>
          <w:szCs w:val="21"/>
        </w:rPr>
        <w:t>认为供应商的报价明显低于其他通过符合性审查的供应商报价，有可能影响服务质量或者不能诚信履约的，磋商小组应当要求其在评审现场合理的时间（</w:t>
      </w:r>
      <w:r>
        <w:rPr>
          <w:rFonts w:hint="eastAsia" w:ascii="仿宋" w:hAnsi="仿宋" w:eastAsia="仿宋" w:cs="仿宋"/>
          <w:color w:val="auto"/>
          <w:kern w:val="0"/>
          <w:szCs w:val="21"/>
        </w:rPr>
        <w:t>接到通知后</w:t>
      </w:r>
    </w:p>
    <w:p w14:paraId="480D49D8">
      <w:pPr>
        <w:adjustRightInd w:val="0"/>
        <w:snapToGrid w:val="0"/>
        <w:spacing w:line="360" w:lineRule="auto"/>
        <w:rPr>
          <w:rFonts w:ascii="仿宋" w:hAnsi="仿宋" w:eastAsia="仿宋" w:cs="仿宋"/>
          <w:color w:val="auto"/>
          <w:szCs w:val="21"/>
        </w:rPr>
      </w:pPr>
      <w:r>
        <w:rPr>
          <w:rFonts w:hint="eastAsia" w:ascii="仿宋" w:hAnsi="仿宋" w:eastAsia="仿宋" w:cs="仿宋"/>
          <w:color w:val="auto"/>
          <w:kern w:val="0"/>
          <w:szCs w:val="21"/>
          <w:u w:val="single"/>
        </w:rPr>
        <w:t>0.5</w:t>
      </w:r>
      <w:r>
        <w:rPr>
          <w:rFonts w:hint="eastAsia" w:ascii="仿宋" w:hAnsi="仿宋" w:eastAsia="仿宋" w:cs="仿宋"/>
          <w:color w:val="auto"/>
          <w:kern w:val="0"/>
          <w:szCs w:val="21"/>
        </w:rPr>
        <w:t>小时</w:t>
      </w:r>
      <w:r>
        <w:rPr>
          <w:rFonts w:hint="eastAsia" w:ascii="仿宋" w:hAnsi="仿宋" w:eastAsia="仿宋" w:cs="仿宋"/>
          <w:color w:val="auto"/>
          <w:szCs w:val="21"/>
        </w:rPr>
        <w:t>）内提供书面说明，并提交相关证明材料，</w:t>
      </w:r>
      <w:r>
        <w:rPr>
          <w:rFonts w:hint="eastAsia" w:ascii="仿宋" w:hAnsi="仿宋" w:eastAsia="仿宋" w:cs="仿宋"/>
          <w:color w:val="auto"/>
          <w:kern w:val="0"/>
          <w:szCs w:val="21"/>
        </w:rPr>
        <w:t>供应商不能证明其报价合理性的，磋商小组应当将</w:t>
      </w:r>
      <w:r>
        <w:rPr>
          <w:rFonts w:hint="eastAsia" w:ascii="仿宋" w:hAnsi="仿宋" w:eastAsia="仿宋" w:cs="仿宋"/>
          <w:color w:val="auto"/>
          <w:szCs w:val="21"/>
        </w:rPr>
        <w:t>其响应作为</w:t>
      </w:r>
      <w:r>
        <w:rPr>
          <w:rFonts w:hint="eastAsia" w:ascii="仿宋" w:hAnsi="仿宋" w:eastAsia="仿宋" w:cs="仿宋"/>
          <w:b/>
          <w:bCs/>
          <w:color w:val="auto"/>
          <w:szCs w:val="21"/>
        </w:rPr>
        <w:t>无效响应处理</w:t>
      </w:r>
      <w:r>
        <w:rPr>
          <w:rFonts w:hint="eastAsia" w:ascii="仿宋" w:hAnsi="仿宋" w:eastAsia="仿宋" w:cs="仿宋"/>
          <w:color w:val="auto"/>
          <w:szCs w:val="21"/>
        </w:rPr>
        <w:t>。</w:t>
      </w:r>
    </w:p>
    <w:p w14:paraId="67A7114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供应商的书面说明材料包含服务本身成本、人工费用、税收等相关费用，以及最后报价不会影响服务质量或诚信履约能力的说明等。</w:t>
      </w:r>
    </w:p>
    <w:p w14:paraId="50F236DD">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供应商的书面说明应当签字确认或者加盖公章，否则无效。书面说明的签字确认，由其法定代表人（非法人单位负责人或自然人本人）或者其授权代表签字确认。</w:t>
      </w:r>
    </w:p>
    <w:p w14:paraId="1F6DEF0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提供书面说明后，磋商小组应当结合采购项目采购需求、专业实际情况、供应商财务状况、与其他供应商比较情况等就供应商的书面说明进行审查评价。供应商如有下列情况的，磋商小组应当将其响应文件作为无效处理：</w:t>
      </w:r>
    </w:p>
    <w:p w14:paraId="34B6E5F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（1）拒绝或者变相拒绝提供有效书面说明；</w:t>
      </w:r>
    </w:p>
    <w:p w14:paraId="35CBB75A">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（2）书面说明不能证明其报价合理性的；</w:t>
      </w:r>
    </w:p>
    <w:p w14:paraId="032FFC1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（3）未在规定时间内递交有效书面说明书的。</w:t>
      </w:r>
    </w:p>
    <w:p w14:paraId="553F7E0D">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bCs/>
          <w:color w:val="auto"/>
          <w:kern w:val="0"/>
          <w:szCs w:val="21"/>
        </w:rPr>
        <w:t>7、需落实的政府采购政</w:t>
      </w:r>
      <w:r>
        <w:rPr>
          <w:rFonts w:hint="eastAsia" w:ascii="仿宋" w:hAnsi="仿宋" w:eastAsia="仿宋" w:cs="仿宋"/>
          <w:b/>
          <w:color w:val="auto"/>
          <w:kern w:val="0"/>
          <w:szCs w:val="21"/>
        </w:rPr>
        <w:t>策性规定：</w:t>
      </w:r>
    </w:p>
    <w:p w14:paraId="18147249">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7.1对于中小微企业的相关规定</w:t>
      </w:r>
    </w:p>
    <w:p w14:paraId="799CBB62">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7.1.1对于非专门面向中小企业的项目，在满足价格扣除条件且在响应文件中按要求提交了《中小企业声明函》</w:t>
      </w:r>
      <w:r>
        <w:rPr>
          <w:rFonts w:hint="eastAsia" w:ascii="仿宋" w:hAnsi="仿宋" w:eastAsia="仿宋" w:cs="仿宋"/>
          <w:color w:val="auto"/>
          <w:kern w:val="0"/>
          <w:szCs w:val="21"/>
        </w:rPr>
        <w:t>的，</w:t>
      </w:r>
      <w:r>
        <w:rPr>
          <w:rFonts w:hint="eastAsia" w:ascii="仿宋" w:hAnsi="仿宋" w:eastAsia="仿宋" w:cs="仿宋"/>
          <w:color w:val="auto"/>
          <w:szCs w:val="21"/>
        </w:rPr>
        <w:t>对最后报价给予价格扣除，用扣除后的价格参与评审。最后报价扣除比例如下：</w:t>
      </w:r>
    </w:p>
    <w:p w14:paraId="1EE513FD">
      <w:pPr>
        <w:adjustRightInd w:val="0"/>
        <w:snapToGrid w:val="0"/>
        <w:spacing w:line="360" w:lineRule="auto"/>
        <w:ind w:firstLine="210" w:firstLineChars="100"/>
        <w:jc w:val="left"/>
        <w:rPr>
          <w:rFonts w:ascii="仿宋" w:hAnsi="仿宋" w:eastAsia="仿宋" w:cs="仿宋"/>
          <w:color w:val="auto"/>
          <w:szCs w:val="21"/>
        </w:rPr>
      </w:pPr>
      <w:r>
        <w:rPr>
          <w:rFonts w:hint="eastAsia" w:ascii="仿宋" w:hAnsi="仿宋" w:eastAsia="仿宋" w:cs="仿宋"/>
          <w:color w:val="auto"/>
          <w:szCs w:val="21"/>
        </w:rPr>
        <w:t>（1）非联合体投标</w:t>
      </w:r>
    </w:p>
    <w:p w14:paraId="5E22FCE3">
      <w:pPr>
        <w:adjustRightInd w:val="0"/>
        <w:snapToGrid w:val="0"/>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小型和微型企业相应产品、服务最后报价的</w:t>
      </w:r>
      <w:r>
        <w:rPr>
          <w:rFonts w:hint="eastAsia" w:ascii="仿宋" w:hAnsi="仿宋" w:eastAsia="仿宋" w:cs="仿宋"/>
          <w:color w:val="auto"/>
          <w:kern w:val="0"/>
          <w:szCs w:val="21"/>
          <w:u w:val="single"/>
        </w:rPr>
        <w:t>10%</w:t>
      </w:r>
    </w:p>
    <w:p w14:paraId="2437C183">
      <w:pPr>
        <w:adjustRightInd w:val="0"/>
        <w:snapToGrid w:val="0"/>
        <w:spacing w:line="360" w:lineRule="auto"/>
        <w:ind w:firstLine="210" w:firstLineChars="100"/>
        <w:jc w:val="left"/>
        <w:rPr>
          <w:rFonts w:ascii="仿宋" w:hAnsi="仿宋" w:eastAsia="仿宋" w:cs="仿宋"/>
          <w:color w:val="auto"/>
          <w:szCs w:val="21"/>
        </w:rPr>
      </w:pPr>
      <w:r>
        <w:rPr>
          <w:rFonts w:hint="eastAsia" w:ascii="仿宋" w:hAnsi="仿宋" w:eastAsia="仿宋" w:cs="仿宋"/>
          <w:color w:val="auto"/>
          <w:szCs w:val="21"/>
        </w:rPr>
        <w:t>（2）联合体投标</w:t>
      </w:r>
    </w:p>
    <w:p w14:paraId="03FDD2A1">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仿宋" w:hAnsi="仿宋" w:eastAsia="仿宋" w:cs="仿宋"/>
          <w:color w:val="auto"/>
          <w:kern w:val="0"/>
          <w:szCs w:val="21"/>
          <w:u w:val="single"/>
        </w:rPr>
        <w:t>4%</w:t>
      </w:r>
      <w:r>
        <w:rPr>
          <w:rFonts w:hint="eastAsia" w:ascii="仿宋" w:hAnsi="仿宋" w:eastAsia="仿宋" w:cs="仿宋"/>
          <w:color w:val="auto"/>
          <w:szCs w:val="21"/>
        </w:rPr>
        <w:t>。</w:t>
      </w:r>
    </w:p>
    <w:p w14:paraId="1890D5BC">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578BA053">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7.1.2监狱企业视同小型、微型企业，在满足价格扣除条件且在响应文件中按要求提交了省级以上监狱管理局、戒毒管理局（含新疆生产建设兵团）出具的属于监狱企业的证明文件的，对其最后报价按本章5.1.1条款的比例予以扣除，</w:t>
      </w:r>
      <w:r>
        <w:rPr>
          <w:rFonts w:hint="eastAsia" w:ascii="仿宋" w:hAnsi="仿宋" w:eastAsia="仿宋" w:cs="仿宋"/>
          <w:color w:val="auto"/>
          <w:kern w:val="0"/>
          <w:szCs w:val="21"/>
        </w:rPr>
        <w:t>用扣除后的价格参与评审</w:t>
      </w:r>
      <w:r>
        <w:rPr>
          <w:rFonts w:hint="eastAsia" w:ascii="仿宋" w:hAnsi="仿宋" w:eastAsia="仿宋" w:cs="仿宋"/>
          <w:color w:val="auto"/>
          <w:szCs w:val="21"/>
        </w:rPr>
        <w:t>。</w:t>
      </w:r>
    </w:p>
    <w:p w14:paraId="50A81D34">
      <w:pPr>
        <w:adjustRightInd w:val="0"/>
        <w:snapToGrid w:val="0"/>
        <w:spacing w:line="360" w:lineRule="auto"/>
        <w:ind w:firstLine="422" w:firstLineChars="200"/>
        <w:jc w:val="left"/>
        <w:rPr>
          <w:rFonts w:ascii="仿宋" w:hAnsi="仿宋" w:eastAsia="仿宋" w:cs="仿宋"/>
          <w:color w:val="auto"/>
          <w:szCs w:val="21"/>
        </w:rPr>
      </w:pPr>
      <w:r>
        <w:rPr>
          <w:rFonts w:hint="eastAsia" w:ascii="仿宋" w:hAnsi="仿宋" w:eastAsia="仿宋" w:cs="仿宋"/>
          <w:b/>
          <w:color w:val="auto"/>
          <w:kern w:val="0"/>
          <w:szCs w:val="21"/>
        </w:rPr>
        <w:t>7.1.3</w:t>
      </w:r>
      <w:r>
        <w:rPr>
          <w:rFonts w:hint="eastAsia" w:ascii="仿宋" w:hAnsi="仿宋" w:eastAsia="仿宋" w:cs="仿宋"/>
          <w:color w:val="auto"/>
          <w:szCs w:val="21"/>
        </w:rPr>
        <w:t>残疾人福利性单位视同小型、微型企业，在满足价格扣除条件且在</w:t>
      </w:r>
      <w:r>
        <w:rPr>
          <w:rFonts w:hint="eastAsia" w:ascii="仿宋" w:hAnsi="仿宋" w:eastAsia="仿宋" w:cs="仿宋"/>
          <w:color w:val="auto"/>
          <w:kern w:val="0"/>
          <w:szCs w:val="21"/>
        </w:rPr>
        <w:t>响应文件中提供了《残疾人福利性单位声明函》的，</w:t>
      </w:r>
      <w:r>
        <w:rPr>
          <w:rFonts w:hint="eastAsia" w:ascii="仿宋" w:hAnsi="仿宋" w:eastAsia="仿宋" w:cs="仿宋"/>
          <w:color w:val="auto"/>
          <w:szCs w:val="21"/>
        </w:rPr>
        <w:t>对其最后报价按本章5.1.1条款的比例予以扣除</w:t>
      </w:r>
      <w:r>
        <w:rPr>
          <w:rFonts w:hint="eastAsia" w:ascii="仿宋" w:hAnsi="仿宋" w:eastAsia="仿宋" w:cs="仿宋"/>
          <w:color w:val="auto"/>
          <w:kern w:val="0"/>
          <w:szCs w:val="21"/>
        </w:rPr>
        <w:t>，用扣除后的价格参与评审。</w:t>
      </w:r>
    </w:p>
    <w:p w14:paraId="01950DF8">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7.1.4残疾人福利性单位属于小型、微型企业的，不重复享受政策。</w:t>
      </w:r>
    </w:p>
    <w:p w14:paraId="4B3A79A3">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7.1.5对于专门面向中小企业采购的项目，不再执行价格折扣或价格分加分政策。</w:t>
      </w:r>
    </w:p>
    <w:p w14:paraId="61A73397">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bCs/>
          <w:color w:val="auto"/>
          <w:kern w:val="0"/>
          <w:szCs w:val="21"/>
        </w:rPr>
        <w:t>8、响应无效</w:t>
      </w:r>
    </w:p>
    <w:p w14:paraId="0022025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详见供应商须知28条。</w:t>
      </w:r>
    </w:p>
    <w:p w14:paraId="1309EE90">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color w:val="auto"/>
          <w:kern w:val="0"/>
          <w:szCs w:val="21"/>
        </w:rPr>
        <w:t>★9</w:t>
      </w:r>
      <w:r>
        <w:rPr>
          <w:rFonts w:hint="eastAsia" w:ascii="仿宋" w:hAnsi="仿宋" w:eastAsia="仿宋" w:cs="仿宋"/>
          <w:b/>
          <w:bCs/>
          <w:color w:val="auto"/>
          <w:kern w:val="0"/>
          <w:szCs w:val="21"/>
        </w:rPr>
        <w:t>、推荐成标候选供应商的原则</w:t>
      </w:r>
    </w:p>
    <w:p w14:paraId="64FC5643">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详见第一章供应商须知第31条，具体处理办法如下：</w:t>
      </w:r>
    </w:p>
    <w:p w14:paraId="77E335D3">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得分相同的，按扣除后的最后报价由低到高顺序排序；</w:t>
      </w:r>
    </w:p>
    <w:p w14:paraId="66A533D1">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按前款不能区分的，按最后报价由低至高顺序排序；</w:t>
      </w:r>
    </w:p>
    <w:p w14:paraId="19D3F352">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按前款不能区分的，按技术指标优劣排序；</w:t>
      </w:r>
    </w:p>
    <w:p w14:paraId="1A5423C4">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其他情况，由磋商小组投票处理。</w:t>
      </w:r>
    </w:p>
    <w:p w14:paraId="780C46F4">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szCs w:val="21"/>
        </w:rPr>
        <w:t>三、</w:t>
      </w:r>
      <w:r>
        <w:rPr>
          <w:rFonts w:hint="eastAsia" w:ascii="仿宋" w:hAnsi="仿宋" w:eastAsia="仿宋" w:cs="仿宋"/>
          <w:b/>
          <w:color w:val="auto"/>
          <w:kern w:val="0"/>
          <w:szCs w:val="21"/>
        </w:rPr>
        <w:t>确定成交供应商</w:t>
      </w:r>
    </w:p>
    <w:p w14:paraId="34F4833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磋商小组根据全体磋商小组成员签字的原始评审记录和评审结果编写评审报告，并向采购人提交书面评审报告。评审报告应当包含以下内容：</w:t>
      </w:r>
    </w:p>
    <w:p w14:paraId="2959CD17">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（一）邀请供应商参加采购活动的具体方式和相关情况；</w:t>
      </w:r>
    </w:p>
    <w:p w14:paraId="7E663A4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（二）响应文件开启日期和地点；</w:t>
      </w:r>
    </w:p>
    <w:p w14:paraId="7D31848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（三）获取磋商文件的供应商名单和磋商小组成员名单；</w:t>
      </w:r>
    </w:p>
    <w:p w14:paraId="7A3C02BF">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（四）评审情况记录和说明，包括对供应商的资格审查情况、供应商响应文件评审情况、磋商情况、报价情况等；</w:t>
      </w:r>
    </w:p>
    <w:p w14:paraId="12B5AF2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（五）提出的成交候选供应商的排序名单及理由。</w:t>
      </w:r>
    </w:p>
    <w:p w14:paraId="27FBE84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42327F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采购人按照评审报告确定的成交候选供应商名单按顺序确定成交供应商，或由采购人委托磋商小组按照第一章 供应商须知表32条中规定的方式确定成交供应商。</w:t>
      </w:r>
    </w:p>
    <w:p w14:paraId="6D431B56">
      <w:pPr>
        <w:widowControl/>
        <w:snapToGrid w:val="0"/>
        <w:spacing w:line="360" w:lineRule="auto"/>
        <w:jc w:val="left"/>
        <w:rPr>
          <w:rFonts w:ascii="仿宋" w:hAnsi="仿宋" w:eastAsia="仿宋" w:cs="仿宋"/>
          <w:color w:val="auto"/>
          <w:kern w:val="0"/>
          <w:sz w:val="24"/>
        </w:rPr>
      </w:pPr>
    </w:p>
    <w:p w14:paraId="3C187C57">
      <w:pPr>
        <w:pStyle w:val="3"/>
        <w:adjustRightInd w:val="0"/>
        <w:snapToGrid w:val="0"/>
        <w:spacing w:before="0" w:after="0" w:line="240" w:lineRule="auto"/>
        <w:jc w:val="left"/>
        <w:rPr>
          <w:rFonts w:ascii="仿宋" w:hAnsi="仿宋" w:eastAsia="仿宋" w:cs="仿宋"/>
          <w:color w:val="auto"/>
          <w:sz w:val="28"/>
          <w:szCs w:val="28"/>
        </w:rPr>
      </w:pPr>
      <w:bookmarkStart w:id="96" w:name="_Toc4485646"/>
      <w:bookmarkStart w:id="97" w:name="_Toc533340170"/>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附件1</w:t>
      </w:r>
    </w:p>
    <w:p w14:paraId="63A0E71D">
      <w:pPr>
        <w:jc w:val="center"/>
        <w:rPr>
          <w:rFonts w:ascii="仿宋" w:hAnsi="仿宋" w:eastAsia="仿宋" w:cs="仿宋"/>
          <w:b/>
          <w:color w:val="auto"/>
          <w:sz w:val="32"/>
          <w:szCs w:val="32"/>
        </w:rPr>
      </w:pPr>
      <w:r>
        <w:rPr>
          <w:rFonts w:hint="eastAsia" w:ascii="仿宋" w:hAnsi="仿宋" w:eastAsia="仿宋" w:cs="仿宋"/>
          <w:b/>
          <w:color w:val="auto"/>
          <w:sz w:val="32"/>
          <w:szCs w:val="32"/>
        </w:rPr>
        <w:t>资格审查</w:t>
      </w:r>
      <w:bookmarkEnd w:id="96"/>
      <w:bookmarkEnd w:id="97"/>
      <w:r>
        <w:rPr>
          <w:rFonts w:hint="eastAsia" w:ascii="仿宋" w:hAnsi="仿宋" w:eastAsia="仿宋" w:cs="仿宋"/>
          <w:b/>
          <w:color w:val="auto"/>
          <w:sz w:val="32"/>
          <w:szCs w:val="32"/>
        </w:rPr>
        <w:t>标准</w:t>
      </w:r>
    </w:p>
    <w:tbl>
      <w:tblPr>
        <w:tblStyle w:val="25"/>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14"/>
        <w:gridCol w:w="4841"/>
        <w:gridCol w:w="1732"/>
        <w:gridCol w:w="706"/>
      </w:tblGrid>
      <w:tr w14:paraId="48B2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14" w:type="dxa"/>
            <w:noWrap/>
            <w:vAlign w:val="center"/>
          </w:tcPr>
          <w:p w14:paraId="1CB5C01E">
            <w:pPr>
              <w:ind w:left="-97" w:leftChars="-46" w:right="-86" w:rightChars="-41"/>
              <w:jc w:val="center"/>
              <w:rPr>
                <w:rFonts w:ascii="仿宋" w:hAnsi="仿宋" w:eastAsia="仿宋" w:cs="仿宋"/>
                <w:color w:val="auto"/>
                <w:sz w:val="24"/>
              </w:rPr>
            </w:pPr>
            <w:r>
              <w:rPr>
                <w:rFonts w:hint="eastAsia" w:ascii="仿宋" w:hAnsi="仿宋" w:eastAsia="仿宋" w:cs="仿宋"/>
                <w:color w:val="auto"/>
                <w:sz w:val="24"/>
              </w:rPr>
              <w:t>序号</w:t>
            </w:r>
          </w:p>
        </w:tc>
        <w:tc>
          <w:tcPr>
            <w:tcW w:w="5855" w:type="dxa"/>
            <w:gridSpan w:val="2"/>
            <w:noWrap/>
            <w:vAlign w:val="center"/>
          </w:tcPr>
          <w:p w14:paraId="1CEDF1EA">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审查项目</w:t>
            </w:r>
          </w:p>
        </w:tc>
        <w:tc>
          <w:tcPr>
            <w:tcW w:w="1732" w:type="dxa"/>
            <w:noWrap/>
            <w:vAlign w:val="center"/>
          </w:tcPr>
          <w:p w14:paraId="21D770FE">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审查标准</w:t>
            </w:r>
          </w:p>
        </w:tc>
        <w:tc>
          <w:tcPr>
            <w:tcW w:w="706" w:type="dxa"/>
            <w:noWrap/>
            <w:vAlign w:val="center"/>
          </w:tcPr>
          <w:p w14:paraId="61398D57">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备注</w:t>
            </w:r>
          </w:p>
        </w:tc>
      </w:tr>
      <w:tr w14:paraId="0206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14" w:type="dxa"/>
            <w:vMerge w:val="restart"/>
            <w:noWrap/>
            <w:vAlign w:val="center"/>
          </w:tcPr>
          <w:p w14:paraId="626B9F86">
            <w:pPr>
              <w:snapToGrid w:val="0"/>
              <w:jc w:val="center"/>
              <w:rPr>
                <w:rFonts w:ascii="仿宋" w:hAnsi="仿宋" w:eastAsia="仿宋" w:cs="仿宋"/>
                <w:color w:val="auto"/>
                <w:sz w:val="24"/>
              </w:rPr>
            </w:pPr>
            <w:r>
              <w:rPr>
                <w:rFonts w:hint="eastAsia" w:ascii="仿宋" w:hAnsi="仿宋" w:eastAsia="仿宋" w:cs="仿宋"/>
                <w:color w:val="auto"/>
                <w:sz w:val="24"/>
              </w:rPr>
              <w:t>1</w:t>
            </w:r>
          </w:p>
        </w:tc>
        <w:tc>
          <w:tcPr>
            <w:tcW w:w="1014" w:type="dxa"/>
            <w:vMerge w:val="restart"/>
            <w:noWrap/>
            <w:vAlign w:val="center"/>
          </w:tcPr>
          <w:p w14:paraId="007C945D">
            <w:pPr>
              <w:widowControl/>
              <w:snapToGrid w:val="0"/>
              <w:rPr>
                <w:rFonts w:ascii="仿宋" w:hAnsi="仿宋" w:eastAsia="仿宋" w:cs="仿宋"/>
                <w:color w:val="auto"/>
                <w:sz w:val="24"/>
              </w:rPr>
            </w:pPr>
            <w:r>
              <w:rPr>
                <w:rFonts w:hint="eastAsia" w:ascii="仿宋" w:hAnsi="仿宋" w:eastAsia="仿宋" w:cs="仿宋"/>
                <w:color w:val="auto"/>
                <w:sz w:val="24"/>
              </w:rPr>
              <w:t>《中华人民共和国政府采购法》第二十二条的规定要求</w:t>
            </w:r>
          </w:p>
        </w:tc>
        <w:tc>
          <w:tcPr>
            <w:tcW w:w="4841" w:type="dxa"/>
            <w:noWrap/>
            <w:vAlign w:val="center"/>
          </w:tcPr>
          <w:p w14:paraId="685C22CD">
            <w:pPr>
              <w:widowControl/>
              <w:snapToGrid w:val="0"/>
              <w:rPr>
                <w:rFonts w:ascii="仿宋" w:hAnsi="仿宋" w:eastAsia="仿宋" w:cs="仿宋"/>
                <w:color w:val="auto"/>
                <w:sz w:val="24"/>
              </w:rPr>
            </w:pPr>
            <w:bookmarkStart w:id="98" w:name="_Toc4485650"/>
            <w:bookmarkStart w:id="99" w:name="_Toc533340174"/>
            <w:r>
              <w:rPr>
                <w:rFonts w:hint="eastAsia" w:ascii="仿宋" w:hAnsi="仿宋" w:eastAsia="仿宋" w:cs="仿宋"/>
                <w:color w:val="auto"/>
                <w:sz w:val="24"/>
              </w:rPr>
              <w:t>提供营业执照或事业单位法人证书或执业许可证等证明文件复印件</w:t>
            </w:r>
          </w:p>
        </w:tc>
        <w:tc>
          <w:tcPr>
            <w:tcW w:w="1732" w:type="dxa"/>
            <w:vMerge w:val="restart"/>
            <w:noWrap/>
            <w:vAlign w:val="center"/>
          </w:tcPr>
          <w:p w14:paraId="47E567C3">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1.按要求提供</w:t>
            </w:r>
            <w:bookmarkEnd w:id="98"/>
            <w:bookmarkEnd w:id="99"/>
          </w:p>
          <w:p w14:paraId="0C487C45">
            <w:pPr>
              <w:pStyle w:val="3"/>
              <w:adjustRightInd w:val="0"/>
              <w:snapToGrid w:val="0"/>
              <w:spacing w:before="0" w:after="0" w:line="240" w:lineRule="auto"/>
              <w:rPr>
                <w:rFonts w:ascii="仿宋" w:hAnsi="仿宋" w:eastAsia="仿宋" w:cs="仿宋"/>
                <w:b w:val="0"/>
                <w:color w:val="auto"/>
                <w:sz w:val="24"/>
              </w:rPr>
            </w:pPr>
            <w:bookmarkStart w:id="100" w:name="_Toc533340175"/>
            <w:bookmarkStart w:id="101" w:name="_Toc4485651"/>
            <w:r>
              <w:rPr>
                <w:rFonts w:hint="eastAsia" w:ascii="仿宋" w:hAnsi="仿宋" w:eastAsia="仿宋" w:cs="仿宋"/>
                <w:b w:val="0"/>
                <w:color w:val="auto"/>
                <w:sz w:val="24"/>
              </w:rPr>
              <w:t>2.合法有效</w:t>
            </w:r>
            <w:bookmarkEnd w:id="100"/>
            <w:bookmarkEnd w:id="101"/>
          </w:p>
        </w:tc>
        <w:tc>
          <w:tcPr>
            <w:tcW w:w="706" w:type="dxa"/>
            <w:vMerge w:val="restart"/>
            <w:noWrap/>
            <w:vAlign w:val="center"/>
          </w:tcPr>
          <w:p w14:paraId="2CC8BB57">
            <w:pPr>
              <w:pStyle w:val="3"/>
              <w:adjustRightInd w:val="0"/>
              <w:snapToGrid w:val="0"/>
              <w:spacing w:before="0" w:after="0" w:line="240" w:lineRule="auto"/>
              <w:jc w:val="center"/>
              <w:rPr>
                <w:rFonts w:ascii="仿宋" w:hAnsi="仿宋" w:eastAsia="仿宋" w:cs="仿宋"/>
                <w:color w:val="auto"/>
                <w:sz w:val="24"/>
              </w:rPr>
            </w:pPr>
          </w:p>
        </w:tc>
      </w:tr>
      <w:tr w14:paraId="5DE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4" w:type="dxa"/>
            <w:vMerge w:val="continue"/>
            <w:noWrap/>
            <w:vAlign w:val="center"/>
          </w:tcPr>
          <w:p w14:paraId="32E084AA">
            <w:pPr>
              <w:snapToGrid w:val="0"/>
              <w:jc w:val="center"/>
              <w:rPr>
                <w:rFonts w:ascii="仿宋" w:hAnsi="仿宋" w:eastAsia="仿宋" w:cs="仿宋"/>
                <w:color w:val="auto"/>
                <w:sz w:val="24"/>
              </w:rPr>
            </w:pPr>
          </w:p>
        </w:tc>
        <w:tc>
          <w:tcPr>
            <w:tcW w:w="1014" w:type="dxa"/>
            <w:vMerge w:val="continue"/>
            <w:noWrap/>
            <w:vAlign w:val="center"/>
          </w:tcPr>
          <w:p w14:paraId="16E78855">
            <w:pPr>
              <w:widowControl/>
              <w:snapToGrid w:val="0"/>
              <w:rPr>
                <w:rFonts w:ascii="仿宋" w:hAnsi="仿宋" w:eastAsia="仿宋" w:cs="仿宋"/>
                <w:color w:val="auto"/>
                <w:sz w:val="24"/>
              </w:rPr>
            </w:pPr>
          </w:p>
        </w:tc>
        <w:tc>
          <w:tcPr>
            <w:tcW w:w="4841" w:type="dxa"/>
            <w:noWrap/>
            <w:vAlign w:val="center"/>
          </w:tcPr>
          <w:p w14:paraId="76CD78BD">
            <w:pPr>
              <w:widowControl/>
              <w:snapToGrid w:val="0"/>
              <w:rPr>
                <w:rFonts w:ascii="仿宋" w:hAnsi="仿宋" w:eastAsia="仿宋" w:cs="仿宋"/>
                <w:color w:val="auto"/>
                <w:sz w:val="24"/>
              </w:rPr>
            </w:pPr>
            <w:r>
              <w:rPr>
                <w:rFonts w:hint="eastAsia" w:ascii="仿宋" w:hAnsi="仿宋" w:eastAsia="仿宋" w:cs="仿宋"/>
                <w:color w:val="auto"/>
                <w:sz w:val="24"/>
              </w:rPr>
              <w:t>提供上年度（2025年或2024年）经会计师事务所或审计机构审计的财务报表及审计报告（2026年新成立的公司提供2026年的财务报表）或提供“具有良好的商业信誉和健全的财务会计制度”的承诺函，并签章，格式自拟。</w:t>
            </w:r>
          </w:p>
        </w:tc>
        <w:tc>
          <w:tcPr>
            <w:tcW w:w="1732" w:type="dxa"/>
            <w:vMerge w:val="continue"/>
            <w:noWrap/>
            <w:vAlign w:val="center"/>
          </w:tcPr>
          <w:p w14:paraId="6D9CB131">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0AF85C86">
            <w:pPr>
              <w:pStyle w:val="3"/>
              <w:adjustRightInd w:val="0"/>
              <w:snapToGrid w:val="0"/>
              <w:spacing w:before="0" w:after="0" w:line="240" w:lineRule="auto"/>
              <w:jc w:val="center"/>
              <w:rPr>
                <w:rFonts w:ascii="仿宋" w:hAnsi="仿宋" w:eastAsia="仿宋" w:cs="仿宋"/>
                <w:color w:val="auto"/>
                <w:sz w:val="24"/>
              </w:rPr>
            </w:pPr>
          </w:p>
        </w:tc>
      </w:tr>
      <w:tr w14:paraId="751E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14" w:type="dxa"/>
            <w:vMerge w:val="continue"/>
            <w:noWrap/>
            <w:vAlign w:val="center"/>
          </w:tcPr>
          <w:p w14:paraId="1C886FD7">
            <w:pPr>
              <w:snapToGrid w:val="0"/>
              <w:jc w:val="center"/>
              <w:rPr>
                <w:rFonts w:ascii="仿宋" w:hAnsi="仿宋" w:eastAsia="仿宋" w:cs="仿宋"/>
                <w:color w:val="auto"/>
                <w:sz w:val="24"/>
              </w:rPr>
            </w:pPr>
          </w:p>
        </w:tc>
        <w:tc>
          <w:tcPr>
            <w:tcW w:w="1014" w:type="dxa"/>
            <w:vMerge w:val="continue"/>
            <w:noWrap/>
            <w:vAlign w:val="center"/>
          </w:tcPr>
          <w:p w14:paraId="48A534C8">
            <w:pPr>
              <w:widowControl/>
              <w:snapToGrid w:val="0"/>
              <w:rPr>
                <w:rFonts w:ascii="仿宋" w:hAnsi="仿宋" w:eastAsia="仿宋" w:cs="仿宋"/>
                <w:color w:val="auto"/>
                <w:sz w:val="24"/>
              </w:rPr>
            </w:pPr>
          </w:p>
        </w:tc>
        <w:tc>
          <w:tcPr>
            <w:tcW w:w="4841" w:type="dxa"/>
            <w:noWrap/>
            <w:vAlign w:val="center"/>
          </w:tcPr>
          <w:p w14:paraId="4A08C06F">
            <w:pPr>
              <w:widowControl/>
              <w:snapToGrid w:val="0"/>
              <w:rPr>
                <w:rFonts w:ascii="仿宋" w:hAnsi="仿宋" w:eastAsia="仿宋" w:cs="仿宋"/>
                <w:color w:val="auto"/>
                <w:sz w:val="24"/>
                <w:highlight w:val="none"/>
              </w:rPr>
            </w:pPr>
            <w:r>
              <w:rPr>
                <w:rFonts w:hint="eastAsia" w:ascii="仿宋" w:hAnsi="仿宋" w:eastAsia="仿宋" w:cs="仿宋"/>
                <w:color w:val="auto"/>
                <w:sz w:val="24"/>
                <w:highlight w:val="none"/>
              </w:rPr>
              <w:t>提供投标截止时间前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个月内任一个月的依法缴纳税收的缴款凭据扫描件。依法免税的供应商，应提供相关证明材料，包括相关法规要求原文及加盖公章的情况说明。</w:t>
            </w:r>
          </w:p>
        </w:tc>
        <w:tc>
          <w:tcPr>
            <w:tcW w:w="1732" w:type="dxa"/>
            <w:vMerge w:val="continue"/>
            <w:noWrap/>
            <w:vAlign w:val="center"/>
          </w:tcPr>
          <w:p w14:paraId="22366172">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14A37ACE">
            <w:pPr>
              <w:pStyle w:val="3"/>
              <w:adjustRightInd w:val="0"/>
              <w:snapToGrid w:val="0"/>
              <w:spacing w:before="0" w:after="0" w:line="240" w:lineRule="auto"/>
              <w:jc w:val="center"/>
              <w:rPr>
                <w:rFonts w:ascii="仿宋" w:hAnsi="仿宋" w:eastAsia="仿宋" w:cs="仿宋"/>
                <w:color w:val="auto"/>
                <w:sz w:val="24"/>
              </w:rPr>
            </w:pPr>
          </w:p>
        </w:tc>
      </w:tr>
      <w:tr w14:paraId="135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14" w:type="dxa"/>
            <w:vMerge w:val="continue"/>
            <w:noWrap/>
            <w:vAlign w:val="center"/>
          </w:tcPr>
          <w:p w14:paraId="5CC2522F">
            <w:pPr>
              <w:snapToGrid w:val="0"/>
              <w:jc w:val="center"/>
              <w:rPr>
                <w:rFonts w:ascii="仿宋" w:hAnsi="仿宋" w:eastAsia="仿宋" w:cs="仿宋"/>
                <w:color w:val="auto"/>
                <w:sz w:val="24"/>
              </w:rPr>
            </w:pPr>
          </w:p>
        </w:tc>
        <w:tc>
          <w:tcPr>
            <w:tcW w:w="1014" w:type="dxa"/>
            <w:vMerge w:val="continue"/>
            <w:noWrap/>
            <w:vAlign w:val="center"/>
          </w:tcPr>
          <w:p w14:paraId="240CD764">
            <w:pPr>
              <w:widowControl/>
              <w:snapToGrid w:val="0"/>
              <w:rPr>
                <w:rFonts w:ascii="仿宋" w:hAnsi="仿宋" w:eastAsia="仿宋" w:cs="仿宋"/>
                <w:color w:val="auto"/>
                <w:sz w:val="24"/>
              </w:rPr>
            </w:pPr>
          </w:p>
        </w:tc>
        <w:tc>
          <w:tcPr>
            <w:tcW w:w="4841" w:type="dxa"/>
            <w:noWrap/>
            <w:vAlign w:val="center"/>
          </w:tcPr>
          <w:p w14:paraId="7C18C134">
            <w:pPr>
              <w:widowControl/>
              <w:snapToGrid w:val="0"/>
              <w:rPr>
                <w:rFonts w:ascii="仿宋" w:hAnsi="仿宋" w:eastAsia="仿宋" w:cs="仿宋"/>
                <w:color w:val="auto"/>
                <w:sz w:val="24"/>
                <w:highlight w:val="none"/>
              </w:rPr>
            </w:pPr>
            <w:r>
              <w:rPr>
                <w:rFonts w:hint="eastAsia" w:ascii="仿宋" w:hAnsi="仿宋" w:eastAsia="仿宋" w:cs="仿宋"/>
                <w:color w:val="auto"/>
                <w:sz w:val="24"/>
                <w:highlight w:val="none"/>
              </w:rPr>
              <w:t>提供投标截止时间前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个月内任一个月的依法缴纳社会保障资金的缴款凭据扫描件。依法不需要缴纳社会保障资金的供应商，应提供相关证明材料，包括相关法规要求原文及加盖公章的情况说明。</w:t>
            </w:r>
          </w:p>
        </w:tc>
        <w:tc>
          <w:tcPr>
            <w:tcW w:w="1732" w:type="dxa"/>
            <w:vMerge w:val="continue"/>
            <w:noWrap/>
            <w:vAlign w:val="center"/>
          </w:tcPr>
          <w:p w14:paraId="182804C7">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395935DD">
            <w:pPr>
              <w:pStyle w:val="3"/>
              <w:adjustRightInd w:val="0"/>
              <w:snapToGrid w:val="0"/>
              <w:spacing w:before="0" w:after="0" w:line="240" w:lineRule="auto"/>
              <w:jc w:val="center"/>
              <w:rPr>
                <w:rFonts w:ascii="仿宋" w:hAnsi="仿宋" w:eastAsia="仿宋" w:cs="仿宋"/>
                <w:color w:val="auto"/>
                <w:sz w:val="24"/>
              </w:rPr>
            </w:pPr>
          </w:p>
        </w:tc>
      </w:tr>
      <w:tr w14:paraId="2688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14" w:type="dxa"/>
            <w:vMerge w:val="continue"/>
            <w:noWrap/>
            <w:vAlign w:val="center"/>
          </w:tcPr>
          <w:p w14:paraId="446681A6">
            <w:pPr>
              <w:snapToGrid w:val="0"/>
              <w:jc w:val="center"/>
              <w:rPr>
                <w:rFonts w:ascii="仿宋" w:hAnsi="仿宋" w:eastAsia="仿宋" w:cs="仿宋"/>
                <w:color w:val="auto"/>
                <w:sz w:val="24"/>
              </w:rPr>
            </w:pPr>
          </w:p>
        </w:tc>
        <w:tc>
          <w:tcPr>
            <w:tcW w:w="1014" w:type="dxa"/>
            <w:vMerge w:val="continue"/>
            <w:noWrap/>
            <w:vAlign w:val="center"/>
          </w:tcPr>
          <w:p w14:paraId="35F34CDD">
            <w:pPr>
              <w:widowControl/>
              <w:snapToGrid w:val="0"/>
              <w:rPr>
                <w:rFonts w:ascii="仿宋" w:hAnsi="仿宋" w:eastAsia="仿宋" w:cs="仿宋"/>
                <w:color w:val="auto"/>
                <w:sz w:val="24"/>
              </w:rPr>
            </w:pPr>
          </w:p>
        </w:tc>
        <w:tc>
          <w:tcPr>
            <w:tcW w:w="4841" w:type="dxa"/>
            <w:noWrap/>
            <w:vAlign w:val="center"/>
          </w:tcPr>
          <w:p w14:paraId="769718CF">
            <w:pPr>
              <w:widowControl/>
              <w:snapToGrid w:val="0"/>
              <w:rPr>
                <w:rFonts w:ascii="仿宋" w:hAnsi="仿宋" w:eastAsia="仿宋" w:cs="仿宋"/>
                <w:color w:val="auto"/>
                <w:sz w:val="24"/>
              </w:rPr>
            </w:pPr>
            <w:r>
              <w:rPr>
                <w:rFonts w:hint="eastAsia" w:ascii="仿宋" w:hAnsi="仿宋" w:eastAsia="仿宋" w:cs="仿宋"/>
                <w:color w:val="auto"/>
                <w:sz w:val="24"/>
              </w:rPr>
              <w:t>提供具备履行合同所必需的设备和专业技术能力声明函，并签章。</w:t>
            </w:r>
          </w:p>
        </w:tc>
        <w:tc>
          <w:tcPr>
            <w:tcW w:w="1732" w:type="dxa"/>
            <w:vMerge w:val="continue"/>
            <w:noWrap/>
            <w:vAlign w:val="center"/>
          </w:tcPr>
          <w:p w14:paraId="5BD8A0FF">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73FF7C3B">
            <w:pPr>
              <w:pStyle w:val="3"/>
              <w:adjustRightInd w:val="0"/>
              <w:snapToGrid w:val="0"/>
              <w:spacing w:before="0" w:after="0" w:line="240" w:lineRule="auto"/>
              <w:jc w:val="center"/>
              <w:rPr>
                <w:rFonts w:ascii="仿宋" w:hAnsi="仿宋" w:eastAsia="仿宋" w:cs="仿宋"/>
                <w:color w:val="auto"/>
                <w:sz w:val="24"/>
              </w:rPr>
            </w:pPr>
          </w:p>
        </w:tc>
      </w:tr>
      <w:tr w14:paraId="7BD0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4" w:type="dxa"/>
            <w:vMerge w:val="continue"/>
            <w:noWrap/>
            <w:vAlign w:val="center"/>
          </w:tcPr>
          <w:p w14:paraId="10541A74">
            <w:pPr>
              <w:snapToGrid w:val="0"/>
              <w:jc w:val="center"/>
              <w:rPr>
                <w:rFonts w:ascii="仿宋" w:hAnsi="仿宋" w:eastAsia="仿宋" w:cs="仿宋"/>
                <w:color w:val="auto"/>
                <w:sz w:val="24"/>
              </w:rPr>
            </w:pPr>
          </w:p>
        </w:tc>
        <w:tc>
          <w:tcPr>
            <w:tcW w:w="1014" w:type="dxa"/>
            <w:vMerge w:val="continue"/>
            <w:noWrap/>
            <w:vAlign w:val="center"/>
          </w:tcPr>
          <w:p w14:paraId="65E5572E">
            <w:pPr>
              <w:widowControl/>
              <w:snapToGrid w:val="0"/>
              <w:rPr>
                <w:rFonts w:ascii="仿宋" w:hAnsi="仿宋" w:eastAsia="仿宋" w:cs="仿宋"/>
                <w:color w:val="auto"/>
                <w:sz w:val="24"/>
              </w:rPr>
            </w:pPr>
          </w:p>
        </w:tc>
        <w:tc>
          <w:tcPr>
            <w:tcW w:w="4841" w:type="dxa"/>
            <w:noWrap/>
            <w:vAlign w:val="center"/>
          </w:tcPr>
          <w:p w14:paraId="151AF291">
            <w:pPr>
              <w:widowControl/>
              <w:snapToGrid w:val="0"/>
              <w:rPr>
                <w:rFonts w:ascii="仿宋" w:hAnsi="仿宋" w:eastAsia="仿宋" w:cs="仿宋"/>
                <w:color w:val="auto"/>
                <w:sz w:val="24"/>
              </w:rPr>
            </w:pPr>
            <w:r>
              <w:rPr>
                <w:rFonts w:hint="eastAsia" w:ascii="仿宋" w:hAnsi="仿宋" w:eastAsia="仿宋" w:cs="仿宋"/>
                <w:color w:val="auto"/>
                <w:sz w:val="24"/>
              </w:rPr>
              <w:t>参加政府采购活动前3年内在经营活动中没有重大违法记录的书面声明，按采购文件格式提供，并签章。</w:t>
            </w:r>
          </w:p>
        </w:tc>
        <w:tc>
          <w:tcPr>
            <w:tcW w:w="1732" w:type="dxa"/>
            <w:vMerge w:val="continue"/>
            <w:noWrap/>
            <w:vAlign w:val="center"/>
          </w:tcPr>
          <w:p w14:paraId="747DA2DB">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345EF9C3">
            <w:pPr>
              <w:pStyle w:val="3"/>
              <w:adjustRightInd w:val="0"/>
              <w:snapToGrid w:val="0"/>
              <w:spacing w:before="0" w:after="0" w:line="240" w:lineRule="auto"/>
              <w:jc w:val="center"/>
              <w:rPr>
                <w:rFonts w:ascii="仿宋" w:hAnsi="仿宋" w:eastAsia="仿宋" w:cs="仿宋"/>
                <w:color w:val="auto"/>
                <w:sz w:val="24"/>
              </w:rPr>
            </w:pPr>
          </w:p>
        </w:tc>
      </w:tr>
      <w:tr w14:paraId="6928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14" w:type="dxa"/>
            <w:vMerge w:val="continue"/>
            <w:noWrap/>
            <w:vAlign w:val="center"/>
          </w:tcPr>
          <w:p w14:paraId="502E09D0">
            <w:pPr>
              <w:snapToGrid w:val="0"/>
              <w:jc w:val="center"/>
              <w:rPr>
                <w:rFonts w:ascii="仿宋" w:hAnsi="仿宋" w:eastAsia="仿宋" w:cs="仿宋"/>
                <w:color w:val="auto"/>
                <w:sz w:val="24"/>
              </w:rPr>
            </w:pPr>
          </w:p>
        </w:tc>
        <w:tc>
          <w:tcPr>
            <w:tcW w:w="1014" w:type="dxa"/>
            <w:vMerge w:val="continue"/>
            <w:noWrap/>
            <w:vAlign w:val="center"/>
          </w:tcPr>
          <w:p w14:paraId="0F2B1A17">
            <w:pPr>
              <w:widowControl/>
              <w:snapToGrid w:val="0"/>
              <w:rPr>
                <w:rFonts w:ascii="仿宋" w:hAnsi="仿宋" w:eastAsia="仿宋" w:cs="仿宋"/>
                <w:color w:val="auto"/>
                <w:sz w:val="24"/>
              </w:rPr>
            </w:pPr>
          </w:p>
        </w:tc>
        <w:tc>
          <w:tcPr>
            <w:tcW w:w="4841" w:type="dxa"/>
            <w:noWrap/>
            <w:vAlign w:val="center"/>
          </w:tcPr>
          <w:p w14:paraId="43609BBA">
            <w:pPr>
              <w:widowControl/>
              <w:snapToGrid w:val="0"/>
              <w:rPr>
                <w:rFonts w:ascii="仿宋" w:hAnsi="仿宋" w:eastAsia="仿宋" w:cs="仿宋"/>
                <w:color w:val="auto"/>
                <w:sz w:val="24"/>
              </w:rPr>
            </w:pPr>
            <w:r>
              <w:rPr>
                <w:rFonts w:hint="eastAsia" w:ascii="仿宋" w:hAnsi="仿宋" w:eastAsia="仿宋" w:cs="仿宋"/>
                <w:color w:val="auto"/>
                <w:sz w:val="24"/>
              </w:rPr>
              <w:t>具备法律、行政法规规定的其他条件的证明材料。</w:t>
            </w:r>
          </w:p>
        </w:tc>
        <w:tc>
          <w:tcPr>
            <w:tcW w:w="1732" w:type="dxa"/>
            <w:noWrap/>
            <w:vAlign w:val="center"/>
          </w:tcPr>
          <w:p w14:paraId="15367E43">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无要求</w:t>
            </w:r>
          </w:p>
        </w:tc>
        <w:tc>
          <w:tcPr>
            <w:tcW w:w="706" w:type="dxa"/>
            <w:vMerge w:val="continue"/>
            <w:noWrap/>
            <w:vAlign w:val="center"/>
          </w:tcPr>
          <w:p w14:paraId="616D2173">
            <w:pPr>
              <w:pStyle w:val="3"/>
              <w:adjustRightInd w:val="0"/>
              <w:snapToGrid w:val="0"/>
              <w:spacing w:before="0" w:after="0" w:line="240" w:lineRule="auto"/>
              <w:jc w:val="center"/>
              <w:rPr>
                <w:rFonts w:ascii="仿宋" w:hAnsi="仿宋" w:eastAsia="仿宋" w:cs="仿宋"/>
                <w:color w:val="auto"/>
                <w:sz w:val="24"/>
              </w:rPr>
            </w:pPr>
          </w:p>
        </w:tc>
      </w:tr>
      <w:tr w14:paraId="07D5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noWrap/>
            <w:vAlign w:val="center"/>
          </w:tcPr>
          <w:p w14:paraId="179D4F47">
            <w:pPr>
              <w:widowControl/>
              <w:snapToGrid w:val="0"/>
              <w:jc w:val="center"/>
              <w:rPr>
                <w:rFonts w:ascii="仿宋" w:hAnsi="仿宋" w:eastAsia="仿宋" w:cs="仿宋"/>
                <w:color w:val="auto"/>
                <w:sz w:val="24"/>
              </w:rPr>
            </w:pPr>
            <w:r>
              <w:rPr>
                <w:rFonts w:hint="eastAsia" w:ascii="仿宋" w:hAnsi="仿宋" w:eastAsia="仿宋" w:cs="仿宋"/>
                <w:color w:val="auto"/>
                <w:sz w:val="24"/>
              </w:rPr>
              <w:t>2</w:t>
            </w:r>
          </w:p>
        </w:tc>
        <w:tc>
          <w:tcPr>
            <w:tcW w:w="5855" w:type="dxa"/>
            <w:gridSpan w:val="2"/>
            <w:noWrap/>
            <w:vAlign w:val="center"/>
          </w:tcPr>
          <w:p w14:paraId="464E44D5">
            <w:pPr>
              <w:widowControl/>
              <w:snapToGrid w:val="0"/>
              <w:rPr>
                <w:rFonts w:ascii="仿宋" w:hAnsi="仿宋" w:eastAsia="仿宋" w:cs="仿宋"/>
                <w:color w:val="auto"/>
                <w:sz w:val="24"/>
              </w:rPr>
            </w:pPr>
            <w:r>
              <w:rPr>
                <w:rFonts w:hint="eastAsia" w:ascii="仿宋" w:hAnsi="仿宋" w:eastAsia="仿宋" w:cs="仿宋"/>
                <w:color w:val="auto"/>
                <w:sz w:val="24"/>
              </w:rPr>
              <w:t>落实政府采购政策需满足的资格要求</w:t>
            </w:r>
          </w:p>
        </w:tc>
        <w:tc>
          <w:tcPr>
            <w:tcW w:w="1732" w:type="dxa"/>
            <w:noWrap/>
            <w:vAlign w:val="center"/>
          </w:tcPr>
          <w:p w14:paraId="761AB602">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无</w:t>
            </w:r>
          </w:p>
        </w:tc>
        <w:tc>
          <w:tcPr>
            <w:tcW w:w="706" w:type="dxa"/>
            <w:vMerge w:val="continue"/>
            <w:noWrap/>
          </w:tcPr>
          <w:p w14:paraId="4261D2A5">
            <w:pPr>
              <w:pStyle w:val="3"/>
              <w:adjustRightInd w:val="0"/>
              <w:snapToGrid w:val="0"/>
              <w:spacing w:before="0" w:after="0" w:line="240" w:lineRule="auto"/>
              <w:jc w:val="center"/>
              <w:rPr>
                <w:rFonts w:ascii="仿宋" w:hAnsi="仿宋" w:eastAsia="仿宋" w:cs="仿宋"/>
                <w:color w:val="auto"/>
                <w:sz w:val="24"/>
              </w:rPr>
            </w:pPr>
          </w:p>
        </w:tc>
      </w:tr>
      <w:tr w14:paraId="1805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restart"/>
            <w:noWrap/>
            <w:vAlign w:val="center"/>
          </w:tcPr>
          <w:p w14:paraId="01FFEA4C">
            <w:pPr>
              <w:widowControl/>
              <w:snapToGrid w:val="0"/>
              <w:jc w:val="center"/>
              <w:rPr>
                <w:rFonts w:ascii="仿宋" w:hAnsi="仿宋" w:eastAsia="仿宋" w:cs="仿宋"/>
                <w:color w:val="auto"/>
                <w:sz w:val="24"/>
              </w:rPr>
            </w:pPr>
            <w:bookmarkStart w:id="102" w:name="_Toc4485675"/>
            <w:bookmarkStart w:id="103" w:name="_Toc533340199"/>
            <w:r>
              <w:rPr>
                <w:rFonts w:hint="eastAsia" w:ascii="仿宋" w:hAnsi="仿宋" w:eastAsia="仿宋" w:cs="仿宋"/>
                <w:color w:val="auto"/>
                <w:sz w:val="24"/>
              </w:rPr>
              <w:t>3</w:t>
            </w:r>
          </w:p>
        </w:tc>
        <w:tc>
          <w:tcPr>
            <w:tcW w:w="1014" w:type="dxa"/>
            <w:vMerge w:val="restart"/>
            <w:noWrap/>
            <w:vAlign w:val="center"/>
          </w:tcPr>
          <w:p w14:paraId="243F8F8A">
            <w:pPr>
              <w:widowControl/>
              <w:snapToGrid w:val="0"/>
              <w:rPr>
                <w:rFonts w:ascii="仿宋" w:hAnsi="仿宋" w:eastAsia="仿宋" w:cs="仿宋"/>
                <w:color w:val="auto"/>
                <w:sz w:val="24"/>
              </w:rPr>
            </w:pPr>
            <w:r>
              <w:rPr>
                <w:rFonts w:hint="eastAsia" w:ascii="仿宋" w:hAnsi="仿宋" w:eastAsia="仿宋" w:cs="仿宋"/>
                <w:color w:val="auto"/>
                <w:sz w:val="24"/>
              </w:rPr>
              <w:t>本项目的特定资格要求</w:t>
            </w:r>
          </w:p>
        </w:tc>
        <w:tc>
          <w:tcPr>
            <w:tcW w:w="4841" w:type="dxa"/>
            <w:noWrap/>
            <w:vAlign w:val="center"/>
          </w:tcPr>
          <w:p w14:paraId="1D830D79">
            <w:pPr>
              <w:widowControl/>
              <w:snapToGrid w:val="0"/>
              <w:rPr>
                <w:rFonts w:ascii="仿宋" w:hAnsi="仿宋" w:eastAsia="仿宋" w:cs="仿宋"/>
                <w:color w:val="auto"/>
                <w:sz w:val="24"/>
              </w:rPr>
            </w:pPr>
            <w:r>
              <w:rPr>
                <w:rFonts w:hint="eastAsia" w:ascii="仿宋" w:hAnsi="仿宋" w:eastAsia="仿宋" w:cs="仿宋"/>
                <w:color w:val="auto"/>
                <w:sz w:val="24"/>
              </w:rPr>
              <w:t>单位负责人为同一人或者存在控股、管理关系的不同单位，不得同时参加本次采购活动。提供声明并签章。</w:t>
            </w:r>
          </w:p>
        </w:tc>
        <w:tc>
          <w:tcPr>
            <w:tcW w:w="1732" w:type="dxa"/>
            <w:vMerge w:val="restart"/>
            <w:noWrap/>
            <w:vAlign w:val="center"/>
          </w:tcPr>
          <w:p w14:paraId="31197940">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1.按要求提供</w:t>
            </w:r>
          </w:p>
          <w:p w14:paraId="28DC5F73">
            <w:pPr>
              <w:widowControl/>
              <w:snapToGrid w:val="0"/>
              <w:rPr>
                <w:rFonts w:ascii="仿宋" w:hAnsi="仿宋" w:eastAsia="仿宋" w:cs="仿宋"/>
                <w:color w:val="auto"/>
                <w:sz w:val="24"/>
              </w:rPr>
            </w:pPr>
            <w:r>
              <w:rPr>
                <w:rFonts w:hint="eastAsia" w:ascii="仿宋" w:hAnsi="仿宋" w:eastAsia="仿宋" w:cs="仿宋"/>
                <w:b w:val="0"/>
                <w:color w:val="auto"/>
                <w:sz w:val="24"/>
              </w:rPr>
              <w:t>2.合法有效</w:t>
            </w:r>
          </w:p>
        </w:tc>
        <w:tc>
          <w:tcPr>
            <w:tcW w:w="706" w:type="dxa"/>
            <w:vMerge w:val="continue"/>
            <w:noWrap/>
          </w:tcPr>
          <w:p w14:paraId="718C1BF6">
            <w:pPr>
              <w:pStyle w:val="3"/>
              <w:adjustRightInd w:val="0"/>
              <w:snapToGrid w:val="0"/>
              <w:spacing w:before="0" w:after="0" w:line="240" w:lineRule="auto"/>
              <w:jc w:val="center"/>
              <w:rPr>
                <w:rFonts w:ascii="仿宋" w:hAnsi="仿宋" w:eastAsia="仿宋" w:cs="仿宋"/>
                <w:color w:val="auto"/>
                <w:sz w:val="24"/>
              </w:rPr>
            </w:pPr>
          </w:p>
        </w:tc>
      </w:tr>
      <w:tr w14:paraId="5E0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022EBDF8">
            <w:pPr>
              <w:widowControl/>
              <w:snapToGrid w:val="0"/>
              <w:jc w:val="center"/>
              <w:rPr>
                <w:rFonts w:ascii="仿宋" w:hAnsi="仿宋" w:eastAsia="仿宋" w:cs="仿宋"/>
                <w:color w:val="auto"/>
                <w:sz w:val="24"/>
              </w:rPr>
            </w:pPr>
          </w:p>
        </w:tc>
        <w:tc>
          <w:tcPr>
            <w:tcW w:w="1014" w:type="dxa"/>
            <w:vMerge w:val="continue"/>
            <w:noWrap/>
            <w:vAlign w:val="center"/>
          </w:tcPr>
          <w:p w14:paraId="0BE0685C">
            <w:pPr>
              <w:widowControl/>
              <w:snapToGrid w:val="0"/>
              <w:rPr>
                <w:rFonts w:ascii="仿宋" w:hAnsi="仿宋" w:eastAsia="仿宋" w:cs="仿宋"/>
                <w:color w:val="auto"/>
                <w:sz w:val="24"/>
              </w:rPr>
            </w:pPr>
          </w:p>
        </w:tc>
        <w:tc>
          <w:tcPr>
            <w:tcW w:w="4841" w:type="dxa"/>
            <w:noWrap/>
            <w:vAlign w:val="center"/>
          </w:tcPr>
          <w:p w14:paraId="03D2725D">
            <w:pPr>
              <w:widowControl/>
              <w:snapToGrid w:val="0"/>
              <w:rPr>
                <w:rFonts w:ascii="仿宋" w:hAnsi="仿宋" w:eastAsia="仿宋" w:cs="仿宋"/>
                <w:color w:val="auto"/>
                <w:sz w:val="24"/>
              </w:rPr>
            </w:pPr>
            <w:r>
              <w:rPr>
                <w:rFonts w:hint="eastAsia" w:ascii="仿宋" w:hAnsi="仿宋" w:eastAsia="仿宋" w:cs="仿宋"/>
                <w:color w:val="auto"/>
                <w:sz w:val="24"/>
              </w:rPr>
              <w:t>供应商成交后不得将采购项目整体转包给其他主体实施。提供声明并签章。</w:t>
            </w:r>
          </w:p>
        </w:tc>
        <w:tc>
          <w:tcPr>
            <w:tcW w:w="1732" w:type="dxa"/>
            <w:vMerge w:val="continue"/>
            <w:noWrap/>
            <w:vAlign w:val="center"/>
          </w:tcPr>
          <w:p w14:paraId="486139DB">
            <w:pPr>
              <w:widowControl/>
              <w:snapToGrid w:val="0"/>
              <w:rPr>
                <w:rFonts w:ascii="仿宋" w:hAnsi="仿宋" w:eastAsia="仿宋" w:cs="仿宋"/>
                <w:color w:val="auto"/>
                <w:sz w:val="24"/>
              </w:rPr>
            </w:pPr>
          </w:p>
        </w:tc>
        <w:tc>
          <w:tcPr>
            <w:tcW w:w="706" w:type="dxa"/>
            <w:vMerge w:val="continue"/>
            <w:noWrap/>
          </w:tcPr>
          <w:p w14:paraId="717FEE9D">
            <w:pPr>
              <w:pStyle w:val="3"/>
              <w:adjustRightInd w:val="0"/>
              <w:snapToGrid w:val="0"/>
              <w:spacing w:before="0" w:after="0" w:line="240" w:lineRule="auto"/>
              <w:jc w:val="center"/>
              <w:rPr>
                <w:rFonts w:ascii="仿宋" w:hAnsi="仿宋" w:eastAsia="仿宋" w:cs="仿宋"/>
                <w:color w:val="auto"/>
                <w:sz w:val="24"/>
              </w:rPr>
            </w:pPr>
          </w:p>
        </w:tc>
      </w:tr>
      <w:tr w14:paraId="431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24AD22C1">
            <w:pPr>
              <w:widowControl/>
              <w:snapToGrid w:val="0"/>
              <w:jc w:val="center"/>
              <w:rPr>
                <w:rFonts w:ascii="仿宋" w:hAnsi="仿宋" w:eastAsia="仿宋" w:cs="仿宋"/>
                <w:color w:val="auto"/>
                <w:sz w:val="24"/>
              </w:rPr>
            </w:pPr>
          </w:p>
        </w:tc>
        <w:tc>
          <w:tcPr>
            <w:tcW w:w="1014" w:type="dxa"/>
            <w:vMerge w:val="continue"/>
            <w:noWrap/>
            <w:vAlign w:val="center"/>
          </w:tcPr>
          <w:p w14:paraId="35CDF42C">
            <w:pPr>
              <w:widowControl/>
              <w:snapToGrid w:val="0"/>
              <w:rPr>
                <w:rFonts w:ascii="仿宋" w:hAnsi="仿宋" w:eastAsia="仿宋" w:cs="仿宋"/>
                <w:color w:val="auto"/>
                <w:sz w:val="24"/>
              </w:rPr>
            </w:pPr>
          </w:p>
        </w:tc>
        <w:tc>
          <w:tcPr>
            <w:tcW w:w="4841" w:type="dxa"/>
            <w:noWrap/>
            <w:vAlign w:val="center"/>
          </w:tcPr>
          <w:p w14:paraId="0E2F36A4">
            <w:pPr>
              <w:widowControl/>
              <w:snapToGrid w:val="0"/>
              <w:rPr>
                <w:rFonts w:ascii="仿宋" w:hAnsi="仿宋" w:eastAsia="仿宋" w:cs="仿宋"/>
                <w:color w:val="auto"/>
                <w:sz w:val="24"/>
              </w:rPr>
            </w:pPr>
            <w:r>
              <w:rPr>
                <w:rFonts w:hint="eastAsia" w:ascii="仿宋" w:hAnsi="仿宋" w:eastAsia="仿宋" w:cs="仿宋"/>
                <w:color w:val="auto"/>
                <w:sz w:val="24"/>
              </w:rPr>
              <w:t>为本采购项目提供整体设计、规范编制或者项目管理、监理、检测等服务的供应商，不允许参加本次采购活动。提供声明并签章。</w:t>
            </w:r>
          </w:p>
        </w:tc>
        <w:tc>
          <w:tcPr>
            <w:tcW w:w="1732" w:type="dxa"/>
            <w:vMerge w:val="continue"/>
            <w:noWrap/>
            <w:vAlign w:val="center"/>
          </w:tcPr>
          <w:p w14:paraId="6FACFFE3">
            <w:pPr>
              <w:widowControl/>
              <w:snapToGrid w:val="0"/>
              <w:rPr>
                <w:rFonts w:ascii="仿宋" w:hAnsi="仿宋" w:eastAsia="仿宋" w:cs="仿宋"/>
                <w:color w:val="auto"/>
                <w:sz w:val="24"/>
              </w:rPr>
            </w:pPr>
          </w:p>
        </w:tc>
        <w:tc>
          <w:tcPr>
            <w:tcW w:w="706" w:type="dxa"/>
            <w:vMerge w:val="continue"/>
            <w:noWrap/>
          </w:tcPr>
          <w:p w14:paraId="7A9148E9">
            <w:pPr>
              <w:pStyle w:val="3"/>
              <w:adjustRightInd w:val="0"/>
              <w:snapToGrid w:val="0"/>
              <w:spacing w:before="0" w:after="0" w:line="240" w:lineRule="auto"/>
              <w:jc w:val="center"/>
              <w:rPr>
                <w:rFonts w:ascii="仿宋" w:hAnsi="仿宋" w:eastAsia="仿宋" w:cs="仿宋"/>
                <w:color w:val="auto"/>
                <w:sz w:val="24"/>
              </w:rPr>
            </w:pPr>
          </w:p>
        </w:tc>
      </w:tr>
      <w:tr w14:paraId="4210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7F661E65">
            <w:pPr>
              <w:widowControl/>
              <w:snapToGrid w:val="0"/>
              <w:jc w:val="center"/>
              <w:rPr>
                <w:rFonts w:ascii="仿宋" w:hAnsi="仿宋" w:eastAsia="仿宋" w:cs="仿宋"/>
                <w:color w:val="auto"/>
                <w:sz w:val="24"/>
              </w:rPr>
            </w:pPr>
          </w:p>
        </w:tc>
        <w:tc>
          <w:tcPr>
            <w:tcW w:w="1014" w:type="dxa"/>
            <w:vMerge w:val="continue"/>
            <w:noWrap/>
            <w:vAlign w:val="center"/>
          </w:tcPr>
          <w:p w14:paraId="0D72640B">
            <w:pPr>
              <w:widowControl/>
              <w:snapToGrid w:val="0"/>
              <w:rPr>
                <w:rFonts w:ascii="仿宋" w:hAnsi="仿宋" w:eastAsia="仿宋" w:cs="仿宋"/>
                <w:color w:val="auto"/>
                <w:sz w:val="24"/>
              </w:rPr>
            </w:pPr>
          </w:p>
        </w:tc>
        <w:tc>
          <w:tcPr>
            <w:tcW w:w="4841" w:type="dxa"/>
            <w:noWrap/>
            <w:vAlign w:val="center"/>
          </w:tcPr>
          <w:p w14:paraId="21DC64FA">
            <w:pPr>
              <w:widowControl/>
              <w:snapToGrid w:val="0"/>
              <w:rPr>
                <w:rFonts w:ascii="仿宋" w:hAnsi="仿宋" w:eastAsia="仿宋" w:cs="仿宋"/>
                <w:color w:val="auto"/>
                <w:sz w:val="24"/>
              </w:rPr>
            </w:pPr>
            <w:r>
              <w:rPr>
                <w:rFonts w:hint="eastAsia" w:ascii="仿宋" w:hAnsi="仿宋" w:eastAsia="仿宋" w:cs="仿宋"/>
                <w:color w:val="auto"/>
                <w:sz w:val="24"/>
              </w:rPr>
              <w:t>供应商在参加政府采购活动前 3 年内因违法经营被禁止在一定期限内参加政府采购活动，期限届满的，可以参加本次政府采购活动。提供声明并签章。</w:t>
            </w:r>
          </w:p>
        </w:tc>
        <w:tc>
          <w:tcPr>
            <w:tcW w:w="1732" w:type="dxa"/>
            <w:vMerge w:val="continue"/>
            <w:noWrap/>
            <w:vAlign w:val="center"/>
          </w:tcPr>
          <w:p w14:paraId="43477223">
            <w:pPr>
              <w:widowControl/>
              <w:snapToGrid w:val="0"/>
              <w:rPr>
                <w:rFonts w:ascii="仿宋" w:hAnsi="仿宋" w:eastAsia="仿宋" w:cs="仿宋"/>
                <w:color w:val="auto"/>
                <w:sz w:val="24"/>
              </w:rPr>
            </w:pPr>
          </w:p>
        </w:tc>
        <w:tc>
          <w:tcPr>
            <w:tcW w:w="706" w:type="dxa"/>
            <w:vMerge w:val="continue"/>
            <w:noWrap/>
          </w:tcPr>
          <w:p w14:paraId="27DD78A0">
            <w:pPr>
              <w:pStyle w:val="3"/>
              <w:adjustRightInd w:val="0"/>
              <w:snapToGrid w:val="0"/>
              <w:spacing w:before="0" w:after="0" w:line="240" w:lineRule="auto"/>
              <w:jc w:val="center"/>
              <w:rPr>
                <w:rFonts w:ascii="仿宋" w:hAnsi="仿宋" w:eastAsia="仿宋" w:cs="仿宋"/>
                <w:color w:val="auto"/>
                <w:sz w:val="24"/>
              </w:rPr>
            </w:pPr>
          </w:p>
        </w:tc>
      </w:tr>
      <w:tr w14:paraId="3388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noWrap/>
            <w:vAlign w:val="center"/>
          </w:tcPr>
          <w:p w14:paraId="41D19DC4">
            <w:pPr>
              <w:widowControl/>
              <w:snapToGrid w:val="0"/>
              <w:jc w:val="center"/>
              <w:rPr>
                <w:rFonts w:ascii="仿宋" w:hAnsi="仿宋" w:eastAsia="仿宋" w:cs="仿宋"/>
                <w:color w:val="auto"/>
                <w:sz w:val="24"/>
              </w:rPr>
            </w:pPr>
            <w:r>
              <w:rPr>
                <w:rFonts w:hint="eastAsia" w:ascii="仿宋" w:hAnsi="仿宋" w:eastAsia="仿宋" w:cs="仿宋"/>
                <w:color w:val="auto"/>
                <w:sz w:val="24"/>
              </w:rPr>
              <w:t>4</w:t>
            </w:r>
          </w:p>
        </w:tc>
        <w:tc>
          <w:tcPr>
            <w:tcW w:w="5855" w:type="dxa"/>
            <w:gridSpan w:val="2"/>
            <w:noWrap/>
            <w:vAlign w:val="center"/>
          </w:tcPr>
          <w:p w14:paraId="582060AA">
            <w:pPr>
              <w:widowControl/>
              <w:snapToGrid w:val="0"/>
              <w:rPr>
                <w:rFonts w:ascii="仿宋" w:hAnsi="仿宋" w:eastAsia="仿宋" w:cs="仿宋"/>
                <w:color w:val="auto"/>
                <w:sz w:val="24"/>
              </w:rPr>
            </w:pPr>
            <w:r>
              <w:rPr>
                <w:rFonts w:hint="eastAsia" w:ascii="仿宋" w:hAnsi="仿宋" w:eastAsia="仿宋" w:cs="仿宋"/>
                <w:color w:val="auto"/>
                <w:sz w:val="24"/>
              </w:rPr>
              <w:t>信用记录（采购人或采购代理机构将按照采购文件规定的审查期间内进行查询）,供应商无需提供。</w:t>
            </w:r>
          </w:p>
        </w:tc>
        <w:tc>
          <w:tcPr>
            <w:tcW w:w="1732" w:type="dxa"/>
            <w:shd w:val="clear" w:color="auto" w:fill="auto"/>
            <w:noWrap/>
            <w:vAlign w:val="center"/>
          </w:tcPr>
          <w:p w14:paraId="18FDA396">
            <w:pPr>
              <w:widowControl/>
              <w:snapToGrid w:val="0"/>
              <w:jc w:val="left"/>
              <w:rPr>
                <w:rFonts w:ascii="仿宋" w:hAnsi="仿宋" w:eastAsia="仿宋" w:cs="仿宋"/>
                <w:color w:val="auto"/>
                <w:sz w:val="24"/>
              </w:rPr>
            </w:pPr>
            <w:r>
              <w:rPr>
                <w:rFonts w:hint="eastAsia" w:ascii="仿宋" w:hAnsi="仿宋" w:eastAsia="仿宋" w:cs="仿宋"/>
                <w:color w:val="auto"/>
                <w:sz w:val="24"/>
              </w:rPr>
              <w:t>无供应商须知22.2.1所述的不良记录</w:t>
            </w:r>
          </w:p>
        </w:tc>
        <w:tc>
          <w:tcPr>
            <w:tcW w:w="706" w:type="dxa"/>
            <w:noWrap/>
          </w:tcPr>
          <w:p w14:paraId="16590494">
            <w:pPr>
              <w:pStyle w:val="3"/>
              <w:adjustRightInd w:val="0"/>
              <w:snapToGrid w:val="0"/>
              <w:spacing w:before="0" w:after="0" w:line="240" w:lineRule="auto"/>
              <w:jc w:val="center"/>
              <w:rPr>
                <w:rFonts w:ascii="仿宋" w:hAnsi="仿宋" w:eastAsia="仿宋" w:cs="仿宋"/>
                <w:color w:val="auto"/>
                <w:sz w:val="24"/>
              </w:rPr>
            </w:pPr>
          </w:p>
        </w:tc>
      </w:tr>
    </w:tbl>
    <w:p w14:paraId="38AF51D8">
      <w:pPr>
        <w:pStyle w:val="3"/>
        <w:adjustRightInd w:val="0"/>
        <w:snapToGrid w:val="0"/>
        <w:spacing w:before="0" w:after="0" w:line="240" w:lineRule="auto"/>
        <w:jc w:val="left"/>
        <w:rPr>
          <w:rFonts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42399D5A">
      <w:pPr>
        <w:jc w:val="center"/>
        <w:rPr>
          <w:rFonts w:ascii="仿宋" w:hAnsi="仿宋" w:eastAsia="仿宋" w:cs="仿宋"/>
          <w:b/>
          <w:color w:val="auto"/>
          <w:sz w:val="32"/>
          <w:szCs w:val="32"/>
        </w:rPr>
      </w:pPr>
      <w:r>
        <w:rPr>
          <w:rFonts w:hint="eastAsia" w:ascii="仿宋" w:hAnsi="仿宋" w:eastAsia="仿宋" w:cs="仿宋"/>
          <w:b/>
          <w:color w:val="auto"/>
          <w:sz w:val="32"/>
          <w:szCs w:val="32"/>
        </w:rPr>
        <w:t>符合性审查表</w:t>
      </w:r>
      <w:bookmarkEnd w:id="102"/>
      <w:bookmarkEnd w:id="103"/>
    </w:p>
    <w:tbl>
      <w:tblPr>
        <w:tblStyle w:val="2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542"/>
        <w:gridCol w:w="3399"/>
        <w:gridCol w:w="2173"/>
      </w:tblGrid>
      <w:tr w14:paraId="6874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764" w:type="dxa"/>
            <w:noWrap/>
            <w:vAlign w:val="center"/>
          </w:tcPr>
          <w:p w14:paraId="799BA8FC">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序号</w:t>
            </w:r>
          </w:p>
        </w:tc>
        <w:tc>
          <w:tcPr>
            <w:tcW w:w="2542" w:type="dxa"/>
            <w:noWrap/>
            <w:vAlign w:val="center"/>
          </w:tcPr>
          <w:p w14:paraId="2A7E868A">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审查项目</w:t>
            </w:r>
          </w:p>
        </w:tc>
        <w:tc>
          <w:tcPr>
            <w:tcW w:w="3399" w:type="dxa"/>
            <w:noWrap/>
            <w:vAlign w:val="center"/>
          </w:tcPr>
          <w:p w14:paraId="37E448D4">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审查标准</w:t>
            </w:r>
          </w:p>
        </w:tc>
        <w:tc>
          <w:tcPr>
            <w:tcW w:w="2173" w:type="dxa"/>
            <w:noWrap/>
            <w:vAlign w:val="center"/>
          </w:tcPr>
          <w:p w14:paraId="36E2DA36">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备注</w:t>
            </w:r>
          </w:p>
        </w:tc>
      </w:tr>
      <w:tr w14:paraId="4E88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64" w:type="dxa"/>
            <w:noWrap/>
            <w:vAlign w:val="center"/>
          </w:tcPr>
          <w:p w14:paraId="7F9E9BC9">
            <w:pPr>
              <w:numPr>
                <w:ilvl w:val="0"/>
                <w:numId w:val="5"/>
              </w:numPr>
              <w:jc w:val="center"/>
              <w:rPr>
                <w:rFonts w:ascii="仿宋" w:hAnsi="仿宋" w:eastAsia="仿宋" w:cs="仿宋"/>
                <w:color w:val="auto"/>
                <w:sz w:val="24"/>
              </w:rPr>
            </w:pPr>
          </w:p>
        </w:tc>
        <w:tc>
          <w:tcPr>
            <w:tcW w:w="2542" w:type="dxa"/>
            <w:noWrap/>
            <w:vAlign w:val="center"/>
          </w:tcPr>
          <w:p w14:paraId="2D40CE8E">
            <w:pPr>
              <w:jc w:val="left"/>
              <w:rPr>
                <w:rFonts w:ascii="仿宋" w:hAnsi="仿宋" w:eastAsia="仿宋" w:cs="仿宋"/>
                <w:color w:val="auto"/>
                <w:sz w:val="24"/>
              </w:rPr>
            </w:pPr>
            <w:r>
              <w:rPr>
                <w:rFonts w:hint="eastAsia" w:ascii="仿宋" w:hAnsi="仿宋" w:eastAsia="仿宋" w:cs="仿宋"/>
                <w:color w:val="auto"/>
                <w:sz w:val="24"/>
              </w:rPr>
              <w:t>响应函</w:t>
            </w:r>
          </w:p>
        </w:tc>
        <w:tc>
          <w:tcPr>
            <w:tcW w:w="3399" w:type="dxa"/>
            <w:noWrap/>
          </w:tcPr>
          <w:p w14:paraId="58C3B1DA">
            <w:pPr>
              <w:pStyle w:val="3"/>
              <w:adjustRightInd w:val="0"/>
              <w:snapToGrid w:val="0"/>
              <w:spacing w:before="0" w:after="0" w:line="240" w:lineRule="auto"/>
              <w:jc w:val="left"/>
              <w:rPr>
                <w:rFonts w:ascii="仿宋" w:hAnsi="仿宋" w:eastAsia="仿宋" w:cs="仿宋"/>
                <w:b w:val="0"/>
                <w:color w:val="auto"/>
                <w:sz w:val="24"/>
              </w:rPr>
            </w:pPr>
            <w:bookmarkStart w:id="104" w:name="_Toc533340203"/>
            <w:bookmarkStart w:id="105" w:name="_Toc4485679"/>
            <w:r>
              <w:rPr>
                <w:rFonts w:hint="eastAsia" w:ascii="仿宋" w:hAnsi="仿宋" w:eastAsia="仿宋" w:cs="仿宋"/>
                <w:b w:val="0"/>
                <w:color w:val="auto"/>
                <w:sz w:val="24"/>
              </w:rPr>
              <w:t>1.按给定格式填写</w:t>
            </w:r>
            <w:bookmarkEnd w:id="104"/>
            <w:bookmarkEnd w:id="105"/>
          </w:p>
          <w:p w14:paraId="4875DEF8">
            <w:pPr>
              <w:jc w:val="left"/>
              <w:rPr>
                <w:rFonts w:ascii="仿宋" w:hAnsi="仿宋" w:eastAsia="仿宋" w:cs="仿宋"/>
                <w:color w:val="auto"/>
                <w:sz w:val="24"/>
              </w:rPr>
            </w:pPr>
            <w:r>
              <w:rPr>
                <w:rFonts w:hint="eastAsia" w:ascii="仿宋" w:hAnsi="仿宋" w:eastAsia="仿宋" w:cs="仿宋"/>
                <w:color w:val="auto"/>
                <w:sz w:val="24"/>
              </w:rPr>
              <w:t>2.响应采购文件实质性要求</w:t>
            </w:r>
          </w:p>
          <w:p w14:paraId="5C571B7F">
            <w:pPr>
              <w:pStyle w:val="3"/>
              <w:adjustRightInd w:val="0"/>
              <w:snapToGrid w:val="0"/>
              <w:spacing w:before="0" w:after="0" w:line="240" w:lineRule="auto"/>
              <w:jc w:val="left"/>
              <w:rPr>
                <w:rFonts w:ascii="仿宋" w:hAnsi="仿宋" w:eastAsia="仿宋" w:cs="仿宋"/>
                <w:b w:val="0"/>
                <w:color w:val="auto"/>
                <w:sz w:val="24"/>
              </w:rPr>
            </w:pPr>
            <w:bookmarkStart w:id="106" w:name="_Toc533340204"/>
            <w:bookmarkStart w:id="107" w:name="_Toc4485680"/>
            <w:r>
              <w:rPr>
                <w:rFonts w:hint="eastAsia" w:ascii="仿宋" w:hAnsi="仿宋" w:eastAsia="仿宋" w:cs="仿宋"/>
                <w:b w:val="0"/>
                <w:color w:val="auto"/>
                <w:sz w:val="24"/>
              </w:rPr>
              <w:t>3.按规定</w:t>
            </w:r>
            <w:bookmarkEnd w:id="106"/>
            <w:bookmarkEnd w:id="107"/>
            <w:r>
              <w:rPr>
                <w:rFonts w:hint="eastAsia" w:ascii="仿宋" w:hAnsi="仿宋" w:eastAsia="仿宋" w:cs="仿宋"/>
                <w:b w:val="0"/>
                <w:color w:val="auto"/>
                <w:sz w:val="24"/>
              </w:rPr>
              <w:t>签章</w:t>
            </w:r>
          </w:p>
        </w:tc>
        <w:tc>
          <w:tcPr>
            <w:tcW w:w="2173" w:type="dxa"/>
            <w:noWrap/>
            <w:vAlign w:val="center"/>
          </w:tcPr>
          <w:p w14:paraId="4CF446C4">
            <w:pPr>
              <w:pStyle w:val="3"/>
              <w:adjustRightInd w:val="0"/>
              <w:snapToGrid w:val="0"/>
              <w:spacing w:before="0" w:after="0" w:line="240" w:lineRule="auto"/>
              <w:jc w:val="center"/>
              <w:rPr>
                <w:rFonts w:ascii="仿宋" w:hAnsi="仿宋" w:eastAsia="仿宋" w:cs="仿宋"/>
                <w:color w:val="auto"/>
                <w:sz w:val="24"/>
              </w:rPr>
            </w:pPr>
          </w:p>
        </w:tc>
      </w:tr>
      <w:tr w14:paraId="6F83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64" w:type="dxa"/>
            <w:noWrap/>
            <w:vAlign w:val="center"/>
          </w:tcPr>
          <w:p w14:paraId="33342671">
            <w:pPr>
              <w:numPr>
                <w:ilvl w:val="0"/>
                <w:numId w:val="5"/>
              </w:numPr>
              <w:jc w:val="center"/>
              <w:rPr>
                <w:rFonts w:ascii="仿宋" w:hAnsi="仿宋" w:eastAsia="仿宋" w:cs="仿宋"/>
                <w:color w:val="auto"/>
                <w:sz w:val="24"/>
              </w:rPr>
            </w:pPr>
          </w:p>
        </w:tc>
        <w:tc>
          <w:tcPr>
            <w:tcW w:w="2542" w:type="dxa"/>
            <w:noWrap/>
            <w:vAlign w:val="center"/>
          </w:tcPr>
          <w:p w14:paraId="2DA4FDF7">
            <w:pPr>
              <w:jc w:val="left"/>
              <w:rPr>
                <w:rFonts w:ascii="仿宋" w:hAnsi="仿宋" w:eastAsia="仿宋" w:cs="仿宋"/>
                <w:color w:val="auto"/>
                <w:sz w:val="24"/>
              </w:rPr>
            </w:pPr>
            <w:r>
              <w:rPr>
                <w:rFonts w:hint="eastAsia" w:ascii="仿宋" w:hAnsi="仿宋" w:eastAsia="仿宋" w:cs="仿宋"/>
                <w:color w:val="auto"/>
                <w:sz w:val="24"/>
              </w:rPr>
              <w:t>报价一览表</w:t>
            </w:r>
          </w:p>
        </w:tc>
        <w:tc>
          <w:tcPr>
            <w:tcW w:w="3399" w:type="dxa"/>
            <w:noWrap/>
          </w:tcPr>
          <w:p w14:paraId="4FD691FA">
            <w:pPr>
              <w:pStyle w:val="3"/>
              <w:adjustRightInd w:val="0"/>
              <w:snapToGrid w:val="0"/>
              <w:spacing w:before="0" w:after="0" w:line="240" w:lineRule="auto"/>
              <w:jc w:val="left"/>
              <w:rPr>
                <w:rFonts w:ascii="仿宋" w:hAnsi="仿宋" w:eastAsia="仿宋" w:cs="仿宋"/>
                <w:b w:val="0"/>
                <w:color w:val="auto"/>
                <w:sz w:val="24"/>
              </w:rPr>
            </w:pPr>
            <w:bookmarkStart w:id="108" w:name="_Toc4485681"/>
            <w:bookmarkStart w:id="109" w:name="_Toc533340207"/>
            <w:r>
              <w:rPr>
                <w:rFonts w:hint="eastAsia" w:ascii="仿宋" w:hAnsi="仿宋" w:eastAsia="仿宋" w:cs="仿宋"/>
                <w:b w:val="0"/>
                <w:color w:val="auto"/>
                <w:sz w:val="24"/>
              </w:rPr>
              <w:t>1.按给定格式填写</w:t>
            </w:r>
            <w:bookmarkEnd w:id="108"/>
            <w:bookmarkEnd w:id="109"/>
          </w:p>
          <w:p w14:paraId="7E28F052">
            <w:pPr>
              <w:jc w:val="left"/>
              <w:rPr>
                <w:rFonts w:ascii="仿宋" w:hAnsi="仿宋" w:eastAsia="仿宋" w:cs="仿宋"/>
                <w:color w:val="auto"/>
                <w:sz w:val="24"/>
              </w:rPr>
            </w:pPr>
            <w:r>
              <w:rPr>
                <w:rFonts w:hint="eastAsia" w:ascii="仿宋" w:hAnsi="仿宋" w:eastAsia="仿宋" w:cs="仿宋"/>
                <w:color w:val="auto"/>
                <w:sz w:val="24"/>
              </w:rPr>
              <w:t>2.响应采购文件实质性要求</w:t>
            </w:r>
          </w:p>
          <w:p w14:paraId="7F4F32C5">
            <w:pPr>
              <w:pStyle w:val="3"/>
              <w:adjustRightInd w:val="0"/>
              <w:snapToGrid w:val="0"/>
              <w:spacing w:before="0" w:after="0" w:line="240" w:lineRule="auto"/>
              <w:jc w:val="left"/>
              <w:rPr>
                <w:rFonts w:ascii="仿宋" w:hAnsi="仿宋" w:eastAsia="仿宋" w:cs="仿宋"/>
                <w:b w:val="0"/>
                <w:color w:val="auto"/>
                <w:sz w:val="24"/>
              </w:rPr>
            </w:pPr>
            <w:bookmarkStart w:id="110" w:name="_Toc533340208"/>
            <w:bookmarkStart w:id="111" w:name="_Toc4485682"/>
            <w:r>
              <w:rPr>
                <w:rFonts w:hint="eastAsia" w:ascii="仿宋" w:hAnsi="仿宋" w:eastAsia="仿宋" w:cs="仿宋"/>
                <w:b w:val="0"/>
                <w:color w:val="auto"/>
                <w:sz w:val="24"/>
              </w:rPr>
              <w:t>3.按规定</w:t>
            </w:r>
            <w:bookmarkEnd w:id="110"/>
            <w:bookmarkEnd w:id="111"/>
            <w:r>
              <w:rPr>
                <w:rFonts w:hint="eastAsia" w:ascii="仿宋" w:hAnsi="仿宋" w:eastAsia="仿宋" w:cs="仿宋"/>
                <w:b w:val="0"/>
                <w:color w:val="auto"/>
                <w:sz w:val="24"/>
              </w:rPr>
              <w:t>签章</w:t>
            </w:r>
          </w:p>
        </w:tc>
        <w:tc>
          <w:tcPr>
            <w:tcW w:w="2173" w:type="dxa"/>
            <w:noWrap/>
          </w:tcPr>
          <w:p w14:paraId="20C8F050">
            <w:pPr>
              <w:pStyle w:val="3"/>
              <w:adjustRightInd w:val="0"/>
              <w:snapToGrid w:val="0"/>
              <w:spacing w:before="0" w:after="0" w:line="240" w:lineRule="auto"/>
              <w:jc w:val="center"/>
              <w:rPr>
                <w:rFonts w:ascii="仿宋" w:hAnsi="仿宋" w:eastAsia="仿宋" w:cs="仿宋"/>
                <w:color w:val="auto"/>
                <w:sz w:val="24"/>
              </w:rPr>
            </w:pPr>
          </w:p>
        </w:tc>
      </w:tr>
      <w:tr w14:paraId="61E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64" w:type="dxa"/>
            <w:noWrap/>
            <w:vAlign w:val="center"/>
          </w:tcPr>
          <w:p w14:paraId="43E13CC0">
            <w:pPr>
              <w:numPr>
                <w:ilvl w:val="0"/>
                <w:numId w:val="5"/>
              </w:numPr>
              <w:jc w:val="center"/>
              <w:rPr>
                <w:rFonts w:ascii="仿宋" w:hAnsi="仿宋" w:eastAsia="仿宋" w:cs="仿宋"/>
                <w:color w:val="auto"/>
                <w:sz w:val="24"/>
              </w:rPr>
            </w:pPr>
          </w:p>
        </w:tc>
        <w:tc>
          <w:tcPr>
            <w:tcW w:w="2542" w:type="dxa"/>
            <w:noWrap/>
            <w:vAlign w:val="center"/>
          </w:tcPr>
          <w:p w14:paraId="69E73702">
            <w:pPr>
              <w:jc w:val="left"/>
              <w:rPr>
                <w:rFonts w:ascii="仿宋" w:hAnsi="仿宋" w:eastAsia="仿宋" w:cs="仿宋"/>
                <w:color w:val="auto"/>
                <w:sz w:val="24"/>
              </w:rPr>
            </w:pPr>
            <w:r>
              <w:rPr>
                <w:rFonts w:hint="eastAsia" w:ascii="仿宋" w:hAnsi="仿宋" w:eastAsia="仿宋" w:cs="仿宋"/>
                <w:color w:val="auto"/>
                <w:sz w:val="24"/>
              </w:rPr>
              <w:t>法定代表人（或非法人组织负责人）身份证明书</w:t>
            </w:r>
          </w:p>
        </w:tc>
        <w:tc>
          <w:tcPr>
            <w:tcW w:w="3399" w:type="dxa"/>
            <w:noWrap/>
          </w:tcPr>
          <w:p w14:paraId="07E9FF74">
            <w:pPr>
              <w:numPr>
                <w:ilvl w:val="0"/>
                <w:numId w:val="6"/>
              </w:numPr>
              <w:jc w:val="left"/>
              <w:rPr>
                <w:rFonts w:ascii="仿宋" w:hAnsi="仿宋" w:eastAsia="仿宋" w:cs="仿宋"/>
                <w:color w:val="auto"/>
                <w:sz w:val="24"/>
              </w:rPr>
            </w:pPr>
            <w:r>
              <w:rPr>
                <w:rFonts w:hint="eastAsia" w:ascii="仿宋" w:hAnsi="仿宋" w:eastAsia="仿宋" w:cs="仿宋"/>
                <w:color w:val="auto"/>
                <w:sz w:val="24"/>
              </w:rPr>
              <w:t>按给定格式填写，信息完整</w:t>
            </w:r>
          </w:p>
          <w:p w14:paraId="20F8EF5C">
            <w:pPr>
              <w:jc w:val="left"/>
              <w:rPr>
                <w:rFonts w:ascii="仿宋" w:hAnsi="仿宋" w:eastAsia="仿宋" w:cs="仿宋"/>
                <w:color w:val="auto"/>
                <w:sz w:val="24"/>
              </w:rPr>
            </w:pPr>
            <w:r>
              <w:rPr>
                <w:rFonts w:hint="eastAsia" w:ascii="仿宋" w:hAnsi="仿宋" w:eastAsia="仿宋" w:cs="仿宋"/>
                <w:color w:val="auto"/>
                <w:sz w:val="24"/>
              </w:rPr>
              <w:t>2.按规定签章</w:t>
            </w:r>
          </w:p>
        </w:tc>
        <w:tc>
          <w:tcPr>
            <w:tcW w:w="2173" w:type="dxa"/>
            <w:noWrap/>
          </w:tcPr>
          <w:p w14:paraId="678AF02A">
            <w:pPr>
              <w:pStyle w:val="3"/>
              <w:adjustRightInd w:val="0"/>
              <w:snapToGrid w:val="0"/>
              <w:spacing w:before="0" w:after="0" w:line="240" w:lineRule="auto"/>
              <w:jc w:val="center"/>
              <w:rPr>
                <w:rFonts w:ascii="仿宋" w:hAnsi="仿宋" w:eastAsia="仿宋" w:cs="仿宋"/>
                <w:color w:val="auto"/>
                <w:sz w:val="24"/>
              </w:rPr>
            </w:pPr>
          </w:p>
        </w:tc>
      </w:tr>
      <w:tr w14:paraId="7CED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64" w:type="dxa"/>
            <w:noWrap/>
            <w:vAlign w:val="center"/>
          </w:tcPr>
          <w:p w14:paraId="485ECB6F">
            <w:pPr>
              <w:numPr>
                <w:ilvl w:val="0"/>
                <w:numId w:val="5"/>
              </w:numPr>
              <w:jc w:val="center"/>
              <w:rPr>
                <w:rFonts w:ascii="仿宋" w:hAnsi="仿宋" w:eastAsia="仿宋" w:cs="仿宋"/>
                <w:color w:val="auto"/>
                <w:sz w:val="24"/>
              </w:rPr>
            </w:pPr>
          </w:p>
        </w:tc>
        <w:tc>
          <w:tcPr>
            <w:tcW w:w="2542" w:type="dxa"/>
            <w:noWrap/>
            <w:vAlign w:val="center"/>
          </w:tcPr>
          <w:p w14:paraId="4DBE1BA3">
            <w:pPr>
              <w:jc w:val="left"/>
              <w:rPr>
                <w:rFonts w:ascii="仿宋" w:hAnsi="仿宋" w:eastAsia="仿宋" w:cs="仿宋"/>
                <w:color w:val="auto"/>
                <w:sz w:val="24"/>
              </w:rPr>
            </w:pPr>
            <w:r>
              <w:rPr>
                <w:rFonts w:hint="eastAsia" w:ascii="仿宋" w:hAnsi="仿宋" w:eastAsia="仿宋" w:cs="仿宋"/>
                <w:color w:val="auto"/>
                <w:sz w:val="24"/>
              </w:rPr>
              <w:t>法定代表人（或非法人组织负责人）授权委托书</w:t>
            </w:r>
          </w:p>
        </w:tc>
        <w:tc>
          <w:tcPr>
            <w:tcW w:w="3399" w:type="dxa"/>
            <w:noWrap/>
          </w:tcPr>
          <w:p w14:paraId="6DF9B7DC">
            <w:pPr>
              <w:numPr>
                <w:ilvl w:val="0"/>
                <w:numId w:val="7"/>
              </w:numPr>
              <w:jc w:val="left"/>
              <w:rPr>
                <w:rFonts w:ascii="仿宋" w:hAnsi="仿宋" w:eastAsia="仿宋" w:cs="仿宋"/>
                <w:color w:val="auto"/>
                <w:sz w:val="24"/>
              </w:rPr>
            </w:pPr>
            <w:r>
              <w:rPr>
                <w:rFonts w:hint="eastAsia" w:ascii="仿宋" w:hAnsi="仿宋" w:eastAsia="仿宋" w:cs="仿宋"/>
                <w:color w:val="auto"/>
                <w:sz w:val="24"/>
              </w:rPr>
              <w:t>按给定格式填写，信息完整</w:t>
            </w:r>
          </w:p>
          <w:p w14:paraId="1B35D64D">
            <w:pPr>
              <w:pStyle w:val="10"/>
              <w:rPr>
                <w:rFonts w:ascii="仿宋" w:hAnsi="仿宋" w:eastAsia="仿宋" w:cs="仿宋"/>
                <w:color w:val="auto"/>
                <w:sz w:val="24"/>
              </w:rPr>
            </w:pPr>
            <w:r>
              <w:rPr>
                <w:rFonts w:hint="eastAsia" w:ascii="仿宋" w:hAnsi="仿宋" w:eastAsia="仿宋" w:cs="仿宋"/>
                <w:color w:val="auto"/>
                <w:sz w:val="24"/>
              </w:rPr>
              <w:t>2.按规定签章</w:t>
            </w:r>
          </w:p>
        </w:tc>
        <w:tc>
          <w:tcPr>
            <w:tcW w:w="2173" w:type="dxa"/>
            <w:noWrap/>
          </w:tcPr>
          <w:p w14:paraId="7721FD38">
            <w:pPr>
              <w:pStyle w:val="3"/>
              <w:adjustRightInd w:val="0"/>
              <w:snapToGrid w:val="0"/>
              <w:spacing w:before="0" w:after="0" w:line="240" w:lineRule="auto"/>
              <w:jc w:val="center"/>
              <w:rPr>
                <w:rFonts w:ascii="仿宋" w:hAnsi="仿宋" w:eastAsia="仿宋" w:cs="仿宋"/>
                <w:color w:val="auto"/>
                <w:sz w:val="24"/>
              </w:rPr>
            </w:pPr>
            <w:r>
              <w:rPr>
                <w:rFonts w:hint="eastAsia" w:ascii="仿宋" w:hAnsi="仿宋" w:eastAsia="仿宋" w:cs="仿宋"/>
                <w:b w:val="0"/>
                <w:color w:val="auto"/>
                <w:sz w:val="24"/>
              </w:rPr>
              <w:t>法定代表人（或非法人组织负责人）亲自参加谈判活动的，该项不作要求。</w:t>
            </w:r>
          </w:p>
        </w:tc>
      </w:tr>
      <w:tr w14:paraId="2440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64" w:type="dxa"/>
            <w:noWrap/>
            <w:vAlign w:val="center"/>
          </w:tcPr>
          <w:p w14:paraId="3D341125">
            <w:pPr>
              <w:numPr>
                <w:ilvl w:val="0"/>
                <w:numId w:val="5"/>
              </w:numPr>
              <w:jc w:val="center"/>
              <w:rPr>
                <w:rFonts w:ascii="仿宋" w:hAnsi="仿宋" w:eastAsia="仿宋" w:cs="仿宋"/>
                <w:color w:val="auto"/>
                <w:sz w:val="24"/>
              </w:rPr>
            </w:pPr>
          </w:p>
        </w:tc>
        <w:tc>
          <w:tcPr>
            <w:tcW w:w="2542" w:type="dxa"/>
            <w:noWrap/>
            <w:vAlign w:val="center"/>
          </w:tcPr>
          <w:p w14:paraId="4ACF836A">
            <w:pPr>
              <w:jc w:val="left"/>
              <w:rPr>
                <w:rFonts w:ascii="仿宋" w:hAnsi="仿宋" w:eastAsia="仿宋" w:cs="仿宋"/>
                <w:color w:val="auto"/>
                <w:sz w:val="24"/>
              </w:rPr>
            </w:pPr>
            <w:r>
              <w:rPr>
                <w:rFonts w:hint="eastAsia" w:ascii="仿宋" w:hAnsi="仿宋" w:eastAsia="仿宋" w:cs="仿宋"/>
                <w:color w:val="auto"/>
                <w:sz w:val="24"/>
              </w:rPr>
              <w:t>采购需求响应表</w:t>
            </w:r>
          </w:p>
        </w:tc>
        <w:tc>
          <w:tcPr>
            <w:tcW w:w="3399" w:type="dxa"/>
            <w:noWrap/>
          </w:tcPr>
          <w:p w14:paraId="3F98CC5E">
            <w:pPr>
              <w:pStyle w:val="3"/>
              <w:adjustRightInd w:val="0"/>
              <w:snapToGrid w:val="0"/>
              <w:spacing w:before="0" w:after="0" w:line="240" w:lineRule="auto"/>
              <w:jc w:val="left"/>
              <w:rPr>
                <w:rFonts w:ascii="仿宋" w:hAnsi="仿宋" w:eastAsia="仿宋" w:cs="仿宋"/>
                <w:b w:val="0"/>
                <w:color w:val="auto"/>
                <w:sz w:val="24"/>
              </w:rPr>
            </w:pPr>
            <w:bookmarkStart w:id="112" w:name="_Toc533340211"/>
            <w:bookmarkStart w:id="113" w:name="_Toc4485685"/>
            <w:r>
              <w:rPr>
                <w:rFonts w:hint="eastAsia" w:ascii="仿宋" w:hAnsi="仿宋" w:eastAsia="仿宋" w:cs="仿宋"/>
                <w:b w:val="0"/>
                <w:color w:val="auto"/>
                <w:sz w:val="24"/>
              </w:rPr>
              <w:t>1.按给定格式填写</w:t>
            </w:r>
            <w:bookmarkEnd w:id="112"/>
            <w:bookmarkEnd w:id="113"/>
          </w:p>
          <w:p w14:paraId="06B9AC9B">
            <w:pPr>
              <w:jc w:val="left"/>
              <w:rPr>
                <w:rFonts w:ascii="仿宋" w:hAnsi="仿宋" w:eastAsia="仿宋" w:cs="仿宋"/>
                <w:color w:val="auto"/>
                <w:sz w:val="24"/>
              </w:rPr>
            </w:pPr>
            <w:r>
              <w:rPr>
                <w:rFonts w:hint="eastAsia" w:ascii="仿宋" w:hAnsi="仿宋" w:eastAsia="仿宋" w:cs="仿宋"/>
                <w:color w:val="auto"/>
                <w:sz w:val="24"/>
              </w:rPr>
              <w:t>2.响应采购需求中</w:t>
            </w:r>
            <w:r>
              <w:rPr>
                <w:rFonts w:hint="eastAsia" w:ascii="宋体" w:hAnsi="宋体" w:cs="宋体"/>
                <w:b/>
                <w:color w:val="auto"/>
                <w:sz w:val="24"/>
              </w:rPr>
              <w:t>▲</w:t>
            </w:r>
            <w:r>
              <w:rPr>
                <w:rFonts w:hint="eastAsia" w:ascii="仿宋" w:hAnsi="仿宋" w:eastAsia="仿宋" w:cs="仿宋"/>
                <w:b/>
                <w:color w:val="auto"/>
                <w:sz w:val="24"/>
              </w:rPr>
              <w:t>指标</w:t>
            </w:r>
            <w:r>
              <w:rPr>
                <w:rFonts w:hint="eastAsia" w:ascii="仿宋" w:hAnsi="仿宋" w:eastAsia="仿宋" w:cs="仿宋"/>
                <w:color w:val="auto"/>
                <w:sz w:val="24"/>
              </w:rPr>
              <w:t>实质性要求</w:t>
            </w:r>
          </w:p>
          <w:p w14:paraId="367F488E">
            <w:pPr>
              <w:pStyle w:val="3"/>
              <w:adjustRightInd w:val="0"/>
              <w:snapToGrid w:val="0"/>
              <w:spacing w:before="0" w:after="0" w:line="240" w:lineRule="auto"/>
              <w:jc w:val="left"/>
              <w:rPr>
                <w:rFonts w:ascii="仿宋" w:hAnsi="仿宋" w:eastAsia="仿宋" w:cs="仿宋"/>
                <w:b w:val="0"/>
                <w:color w:val="auto"/>
                <w:sz w:val="24"/>
              </w:rPr>
            </w:pPr>
            <w:bookmarkStart w:id="114" w:name="_Toc533340212"/>
            <w:bookmarkStart w:id="115" w:name="_Toc4485686"/>
            <w:r>
              <w:rPr>
                <w:rFonts w:hint="eastAsia" w:ascii="仿宋" w:hAnsi="仿宋" w:eastAsia="仿宋" w:cs="仿宋"/>
                <w:b w:val="0"/>
                <w:color w:val="auto"/>
                <w:sz w:val="24"/>
              </w:rPr>
              <w:t>3.按规定</w:t>
            </w:r>
            <w:bookmarkEnd w:id="114"/>
            <w:bookmarkEnd w:id="115"/>
            <w:r>
              <w:rPr>
                <w:rFonts w:hint="eastAsia" w:ascii="仿宋" w:hAnsi="仿宋" w:eastAsia="仿宋" w:cs="仿宋"/>
                <w:b w:val="0"/>
                <w:color w:val="auto"/>
                <w:sz w:val="24"/>
              </w:rPr>
              <w:t>签章</w:t>
            </w:r>
          </w:p>
        </w:tc>
        <w:tc>
          <w:tcPr>
            <w:tcW w:w="2173" w:type="dxa"/>
            <w:noWrap/>
          </w:tcPr>
          <w:p w14:paraId="315B50D5">
            <w:pPr>
              <w:pStyle w:val="3"/>
              <w:adjustRightInd w:val="0"/>
              <w:snapToGrid w:val="0"/>
              <w:spacing w:before="0" w:after="0" w:line="240" w:lineRule="auto"/>
              <w:jc w:val="center"/>
              <w:rPr>
                <w:rFonts w:ascii="仿宋" w:hAnsi="仿宋" w:eastAsia="仿宋" w:cs="仿宋"/>
                <w:color w:val="auto"/>
                <w:sz w:val="24"/>
              </w:rPr>
            </w:pPr>
          </w:p>
        </w:tc>
      </w:tr>
      <w:tr w14:paraId="05A4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4" w:type="dxa"/>
            <w:noWrap/>
            <w:vAlign w:val="center"/>
          </w:tcPr>
          <w:p w14:paraId="53F01684">
            <w:pPr>
              <w:numPr>
                <w:ilvl w:val="0"/>
                <w:numId w:val="5"/>
              </w:numPr>
              <w:jc w:val="center"/>
              <w:rPr>
                <w:rFonts w:ascii="仿宋" w:hAnsi="仿宋" w:eastAsia="仿宋" w:cs="仿宋"/>
                <w:color w:val="auto"/>
                <w:kern w:val="0"/>
                <w:sz w:val="24"/>
              </w:rPr>
            </w:pPr>
          </w:p>
        </w:tc>
        <w:tc>
          <w:tcPr>
            <w:tcW w:w="2542" w:type="dxa"/>
            <w:noWrap/>
            <w:vAlign w:val="center"/>
          </w:tcPr>
          <w:p w14:paraId="4ECE49E8">
            <w:pPr>
              <w:jc w:val="left"/>
              <w:rPr>
                <w:rFonts w:ascii="仿宋" w:hAnsi="仿宋" w:eastAsia="仿宋" w:cs="仿宋"/>
                <w:color w:val="auto"/>
                <w:sz w:val="24"/>
              </w:rPr>
            </w:pPr>
            <w:r>
              <w:rPr>
                <w:rFonts w:hint="eastAsia" w:ascii="仿宋" w:hAnsi="仿宋" w:eastAsia="仿宋" w:cs="仿宋"/>
                <w:color w:val="auto"/>
                <w:kern w:val="0"/>
                <w:sz w:val="24"/>
              </w:rPr>
              <w:t>其他符合性证明材料</w:t>
            </w:r>
          </w:p>
        </w:tc>
        <w:tc>
          <w:tcPr>
            <w:tcW w:w="3399" w:type="dxa"/>
            <w:noWrap/>
            <w:vAlign w:val="center"/>
          </w:tcPr>
          <w:p w14:paraId="513BFF08">
            <w:pPr>
              <w:jc w:val="left"/>
              <w:rPr>
                <w:rFonts w:ascii="仿宋" w:hAnsi="仿宋" w:eastAsia="仿宋" w:cs="仿宋"/>
                <w:color w:val="auto"/>
                <w:sz w:val="24"/>
              </w:rPr>
            </w:pPr>
            <w:r>
              <w:rPr>
                <w:rFonts w:hint="eastAsia" w:ascii="仿宋" w:hAnsi="仿宋" w:eastAsia="仿宋" w:cs="仿宋"/>
                <w:color w:val="auto"/>
                <w:sz w:val="24"/>
              </w:rPr>
              <w:t>响应采购文件实质性要求</w:t>
            </w:r>
          </w:p>
        </w:tc>
        <w:tc>
          <w:tcPr>
            <w:tcW w:w="2173" w:type="dxa"/>
            <w:noWrap/>
          </w:tcPr>
          <w:p w14:paraId="77653C60">
            <w:pPr>
              <w:pStyle w:val="3"/>
              <w:adjustRightInd w:val="0"/>
              <w:snapToGrid w:val="0"/>
              <w:spacing w:before="0" w:after="0" w:line="240" w:lineRule="auto"/>
              <w:jc w:val="center"/>
              <w:rPr>
                <w:rFonts w:ascii="仿宋" w:hAnsi="仿宋" w:eastAsia="仿宋" w:cs="仿宋"/>
                <w:color w:val="auto"/>
                <w:sz w:val="24"/>
              </w:rPr>
            </w:pPr>
          </w:p>
        </w:tc>
      </w:tr>
      <w:tr w14:paraId="43FC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64" w:type="dxa"/>
            <w:noWrap/>
            <w:vAlign w:val="center"/>
          </w:tcPr>
          <w:p w14:paraId="68B3AE12">
            <w:pPr>
              <w:numPr>
                <w:ilvl w:val="0"/>
                <w:numId w:val="5"/>
              </w:numPr>
              <w:snapToGrid w:val="0"/>
              <w:jc w:val="center"/>
              <w:rPr>
                <w:rFonts w:ascii="仿宋" w:hAnsi="仿宋" w:eastAsia="仿宋" w:cs="仿宋"/>
                <w:color w:val="auto"/>
                <w:sz w:val="24"/>
              </w:rPr>
            </w:pPr>
          </w:p>
        </w:tc>
        <w:tc>
          <w:tcPr>
            <w:tcW w:w="2542" w:type="dxa"/>
            <w:noWrap/>
            <w:vAlign w:val="center"/>
          </w:tcPr>
          <w:p w14:paraId="0582E02F">
            <w:pPr>
              <w:snapToGrid w:val="0"/>
              <w:jc w:val="left"/>
              <w:rPr>
                <w:rFonts w:ascii="仿宋" w:hAnsi="仿宋" w:eastAsia="仿宋" w:cs="仿宋"/>
                <w:color w:val="auto"/>
                <w:sz w:val="24"/>
              </w:rPr>
            </w:pPr>
            <w:r>
              <w:rPr>
                <w:rFonts w:hint="eastAsia" w:ascii="仿宋" w:hAnsi="仿宋" w:eastAsia="仿宋" w:cs="仿宋"/>
                <w:color w:val="auto"/>
                <w:sz w:val="24"/>
              </w:rPr>
              <w:t>响应报价</w:t>
            </w:r>
          </w:p>
        </w:tc>
        <w:tc>
          <w:tcPr>
            <w:tcW w:w="3399" w:type="dxa"/>
            <w:noWrap/>
          </w:tcPr>
          <w:p w14:paraId="607FF85A">
            <w:pPr>
              <w:pStyle w:val="3"/>
              <w:adjustRightInd w:val="0"/>
              <w:snapToGrid w:val="0"/>
              <w:spacing w:before="0" w:after="0" w:line="240" w:lineRule="auto"/>
              <w:jc w:val="left"/>
              <w:rPr>
                <w:rFonts w:ascii="仿宋" w:hAnsi="仿宋" w:eastAsia="仿宋" w:cs="仿宋"/>
                <w:b w:val="0"/>
                <w:color w:val="auto"/>
                <w:sz w:val="24"/>
              </w:rPr>
            </w:pPr>
            <w:bookmarkStart w:id="116" w:name="_Toc533340219"/>
            <w:bookmarkStart w:id="117" w:name="_Toc4485693"/>
            <w:r>
              <w:rPr>
                <w:rFonts w:hint="eastAsia" w:ascii="仿宋" w:hAnsi="仿宋" w:eastAsia="仿宋" w:cs="仿宋"/>
                <w:b w:val="0"/>
                <w:color w:val="auto"/>
                <w:sz w:val="24"/>
              </w:rPr>
              <w:t>1.响应采购文件实质性要求</w:t>
            </w:r>
            <w:bookmarkEnd w:id="116"/>
            <w:bookmarkEnd w:id="117"/>
          </w:p>
          <w:p w14:paraId="6A9343C1">
            <w:pPr>
              <w:pStyle w:val="3"/>
              <w:adjustRightInd w:val="0"/>
              <w:snapToGrid w:val="0"/>
              <w:spacing w:before="0" w:after="0" w:line="240" w:lineRule="auto"/>
              <w:jc w:val="left"/>
              <w:rPr>
                <w:rFonts w:ascii="仿宋" w:hAnsi="仿宋" w:eastAsia="仿宋" w:cs="仿宋"/>
                <w:b w:val="0"/>
                <w:color w:val="auto"/>
                <w:sz w:val="24"/>
              </w:rPr>
            </w:pPr>
            <w:bookmarkStart w:id="118" w:name="_Toc533340220"/>
            <w:bookmarkStart w:id="119" w:name="_Toc4485694"/>
            <w:r>
              <w:rPr>
                <w:rFonts w:hint="eastAsia" w:ascii="仿宋" w:hAnsi="仿宋" w:eastAsia="仿宋" w:cs="仿宋"/>
                <w:b w:val="0"/>
                <w:color w:val="auto"/>
                <w:sz w:val="24"/>
              </w:rPr>
              <w:t>2.无供应商须知27.2条所述情形</w:t>
            </w:r>
            <w:bookmarkEnd w:id="118"/>
            <w:bookmarkEnd w:id="119"/>
          </w:p>
        </w:tc>
        <w:tc>
          <w:tcPr>
            <w:tcW w:w="2173" w:type="dxa"/>
            <w:noWrap/>
          </w:tcPr>
          <w:p w14:paraId="792F43ED">
            <w:pPr>
              <w:pStyle w:val="3"/>
              <w:adjustRightInd w:val="0"/>
              <w:snapToGrid w:val="0"/>
              <w:spacing w:before="0" w:after="0" w:line="240" w:lineRule="auto"/>
              <w:jc w:val="center"/>
              <w:rPr>
                <w:rFonts w:ascii="仿宋" w:hAnsi="仿宋" w:eastAsia="仿宋" w:cs="仿宋"/>
                <w:color w:val="auto"/>
                <w:sz w:val="24"/>
              </w:rPr>
            </w:pPr>
          </w:p>
        </w:tc>
      </w:tr>
    </w:tbl>
    <w:p w14:paraId="1561E9B1">
      <w:pPr>
        <w:rPr>
          <w:rFonts w:ascii="仿宋" w:hAnsi="仿宋" w:eastAsia="仿宋" w:cs="仿宋"/>
          <w:color w:val="auto"/>
        </w:rPr>
      </w:pPr>
    </w:p>
    <w:p w14:paraId="7DA7BF7B">
      <w:pPr>
        <w:widowControl/>
        <w:jc w:val="left"/>
        <w:rPr>
          <w:rFonts w:ascii="仿宋" w:hAnsi="仿宋" w:eastAsia="仿宋" w:cs="仿宋"/>
          <w:color w:val="auto"/>
        </w:rPr>
      </w:pPr>
    </w:p>
    <w:p w14:paraId="02767940">
      <w:pPr>
        <w:rPr>
          <w:rFonts w:ascii="仿宋" w:hAnsi="仿宋" w:eastAsia="仿宋" w:cs="仿宋"/>
          <w:color w:val="auto"/>
          <w:szCs w:val="28"/>
        </w:rPr>
      </w:pPr>
      <w:bookmarkStart w:id="120" w:name="_Toc17433_WPSOffice_Level2"/>
      <w:r>
        <w:rPr>
          <w:rFonts w:hint="eastAsia" w:ascii="仿宋" w:hAnsi="仿宋" w:eastAsia="仿宋" w:cs="仿宋"/>
          <w:color w:val="auto"/>
          <w:szCs w:val="28"/>
        </w:rPr>
        <w:br w:type="page"/>
      </w:r>
    </w:p>
    <w:p w14:paraId="47640018">
      <w:pPr>
        <w:pStyle w:val="3"/>
        <w:adjustRightInd w:val="0"/>
        <w:snapToGrid w:val="0"/>
        <w:spacing w:before="0" w:after="0" w:line="240" w:lineRule="auto"/>
        <w:jc w:val="left"/>
        <w:rPr>
          <w:rFonts w:ascii="仿宋" w:hAnsi="仿宋" w:eastAsia="仿宋" w:cs="仿宋"/>
          <w:color w:val="auto"/>
          <w:sz w:val="28"/>
          <w:szCs w:val="28"/>
        </w:rPr>
      </w:pPr>
      <w:r>
        <w:rPr>
          <w:rFonts w:hint="eastAsia" w:ascii="仿宋" w:hAnsi="仿宋" w:eastAsia="仿宋" w:cs="仿宋"/>
          <w:color w:val="auto"/>
          <w:sz w:val="28"/>
        </w:rPr>
        <w:t>附件3</w:t>
      </w:r>
    </w:p>
    <w:p w14:paraId="56853EC9">
      <w:pPr>
        <w:jc w:val="center"/>
        <w:rPr>
          <w:rFonts w:ascii="仿宋" w:hAnsi="仿宋" w:eastAsia="仿宋" w:cs="仿宋"/>
          <w:b/>
          <w:color w:val="auto"/>
          <w:sz w:val="32"/>
          <w:szCs w:val="32"/>
        </w:rPr>
      </w:pPr>
      <w:r>
        <w:rPr>
          <w:rFonts w:hint="eastAsia" w:ascii="仿宋" w:hAnsi="仿宋" w:eastAsia="仿宋" w:cs="仿宋"/>
          <w:b/>
          <w:color w:val="auto"/>
          <w:sz w:val="32"/>
          <w:szCs w:val="32"/>
        </w:rPr>
        <w:t>综合评分细则</w:t>
      </w:r>
      <w:bookmarkEnd w:id="120"/>
    </w:p>
    <w:tbl>
      <w:tblPr>
        <w:tblStyle w:val="25"/>
        <w:tblpPr w:leftFromText="180" w:rightFromText="180" w:vertAnchor="text" w:horzAnchor="margin" w:tblpXSpec="center" w:tblpY="10"/>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16"/>
        <w:gridCol w:w="5554"/>
        <w:gridCol w:w="885"/>
      </w:tblGrid>
      <w:tr w14:paraId="697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262F2388">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项目</w:t>
            </w:r>
          </w:p>
        </w:tc>
        <w:tc>
          <w:tcPr>
            <w:tcW w:w="1316" w:type="dxa"/>
            <w:tcBorders>
              <w:top w:val="single" w:color="auto" w:sz="4" w:space="0"/>
              <w:left w:val="single" w:color="auto" w:sz="4" w:space="0"/>
              <w:bottom w:val="single" w:color="auto" w:sz="4" w:space="0"/>
              <w:right w:val="single" w:color="auto" w:sz="4" w:space="0"/>
            </w:tcBorders>
            <w:noWrap/>
            <w:vAlign w:val="center"/>
          </w:tcPr>
          <w:p w14:paraId="0254E07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分项名称</w:t>
            </w:r>
          </w:p>
        </w:tc>
        <w:tc>
          <w:tcPr>
            <w:tcW w:w="5554" w:type="dxa"/>
            <w:tcBorders>
              <w:top w:val="single" w:color="auto" w:sz="4" w:space="0"/>
              <w:left w:val="single" w:color="auto" w:sz="4" w:space="0"/>
              <w:bottom w:val="single" w:color="auto" w:sz="4" w:space="0"/>
              <w:right w:val="single" w:color="auto" w:sz="4" w:space="0"/>
            </w:tcBorders>
            <w:noWrap/>
            <w:vAlign w:val="center"/>
          </w:tcPr>
          <w:p w14:paraId="7EDFDA44">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评分标准</w:t>
            </w:r>
          </w:p>
        </w:tc>
        <w:tc>
          <w:tcPr>
            <w:tcW w:w="885" w:type="dxa"/>
            <w:tcBorders>
              <w:top w:val="single" w:color="auto" w:sz="4" w:space="0"/>
              <w:left w:val="single" w:color="auto" w:sz="4" w:space="0"/>
              <w:bottom w:val="single" w:color="auto" w:sz="4" w:space="0"/>
              <w:right w:val="single" w:color="auto" w:sz="4" w:space="0"/>
            </w:tcBorders>
            <w:noWrap/>
            <w:vAlign w:val="center"/>
          </w:tcPr>
          <w:p w14:paraId="1EF094B7">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满分</w:t>
            </w:r>
          </w:p>
        </w:tc>
      </w:tr>
      <w:tr w14:paraId="6A71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4C708EF0">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价格</w:t>
            </w:r>
          </w:p>
          <w:p w14:paraId="606DE23C">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部分</w:t>
            </w:r>
          </w:p>
        </w:tc>
        <w:tc>
          <w:tcPr>
            <w:tcW w:w="1316" w:type="dxa"/>
            <w:tcBorders>
              <w:top w:val="single" w:color="auto" w:sz="4" w:space="0"/>
              <w:left w:val="single" w:color="auto" w:sz="4" w:space="0"/>
              <w:bottom w:val="single" w:color="auto" w:sz="4" w:space="0"/>
              <w:right w:val="single" w:color="auto" w:sz="4" w:space="0"/>
            </w:tcBorders>
            <w:noWrap/>
            <w:vAlign w:val="center"/>
          </w:tcPr>
          <w:p w14:paraId="2B5FF28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b/>
                <w:bCs/>
                <w:color w:val="auto"/>
                <w:kern w:val="2"/>
              </w:rPr>
              <w:t>报价评审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5668B5AC">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综合评分法中的价格分统一采用低价优先法计算，即满足竞争性磋商文件要求且最低的供应商的价格为评标基准价，其价格分为满分。其他供应商的价格分统一按照下列公式计算：</w:t>
            </w:r>
          </w:p>
          <w:p w14:paraId="323F4829">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报价得分=（评标基准价/最后报价）×10分</w:t>
            </w:r>
          </w:p>
          <w:p w14:paraId="0BCABCE1">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备注：符合供应商须知中价格扣除规定的，在评审时予以价格扣除，用扣除后的价格参与评审。</w:t>
            </w:r>
          </w:p>
        </w:tc>
        <w:tc>
          <w:tcPr>
            <w:tcW w:w="885" w:type="dxa"/>
            <w:tcBorders>
              <w:top w:val="single" w:color="auto" w:sz="4" w:space="0"/>
              <w:left w:val="single" w:color="auto" w:sz="4" w:space="0"/>
              <w:bottom w:val="single" w:color="auto" w:sz="4" w:space="0"/>
              <w:right w:val="single" w:color="auto" w:sz="4" w:space="0"/>
            </w:tcBorders>
            <w:noWrap/>
            <w:vAlign w:val="center"/>
          </w:tcPr>
          <w:p w14:paraId="35920C25">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0628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rPr>
        <w:tc>
          <w:tcPr>
            <w:tcW w:w="1002" w:type="dxa"/>
            <w:vMerge w:val="restart"/>
            <w:tcBorders>
              <w:top w:val="single" w:color="auto" w:sz="4" w:space="0"/>
              <w:left w:val="single" w:color="auto" w:sz="4" w:space="0"/>
              <w:right w:val="single" w:color="auto" w:sz="4" w:space="0"/>
            </w:tcBorders>
            <w:noWrap/>
            <w:vAlign w:val="center"/>
          </w:tcPr>
          <w:p w14:paraId="0ADEBB06">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color w:val="auto"/>
                <w:kern w:val="2"/>
              </w:rPr>
              <w:t>技术商务部分</w:t>
            </w:r>
          </w:p>
        </w:tc>
        <w:tc>
          <w:tcPr>
            <w:tcW w:w="1316" w:type="dxa"/>
            <w:tcBorders>
              <w:top w:val="single" w:color="auto" w:sz="4" w:space="0"/>
              <w:left w:val="single" w:color="auto" w:sz="4" w:space="0"/>
              <w:right w:val="single" w:color="auto" w:sz="4" w:space="0"/>
            </w:tcBorders>
            <w:noWrap/>
            <w:vAlign w:val="center"/>
          </w:tcPr>
          <w:p w14:paraId="39BF6FFD">
            <w:pPr>
              <w:jc w:val="center"/>
              <w:rPr>
                <w:rFonts w:ascii="仿宋" w:hAnsi="仿宋" w:cs="仿宋"/>
                <w:color w:val="auto"/>
                <w:sz w:val="24"/>
              </w:rPr>
            </w:pPr>
            <w:r>
              <w:rPr>
                <w:rFonts w:hint="eastAsia" w:ascii="仿宋" w:hAnsi="仿宋" w:eastAsia="仿宋" w:cs="仿宋"/>
                <w:b/>
                <w:bCs/>
                <w:color w:val="auto"/>
                <w:kern w:val="0"/>
                <w:sz w:val="24"/>
              </w:rPr>
              <w:t>项目实施服务方案评审</w:t>
            </w:r>
          </w:p>
        </w:tc>
        <w:tc>
          <w:tcPr>
            <w:tcW w:w="5554" w:type="dxa"/>
            <w:tcBorders>
              <w:top w:val="single" w:color="auto" w:sz="4" w:space="0"/>
              <w:left w:val="single" w:color="auto" w:sz="4" w:space="0"/>
              <w:right w:val="single" w:color="auto" w:sz="4" w:space="0"/>
            </w:tcBorders>
            <w:noWrap/>
            <w:vAlign w:val="center"/>
          </w:tcPr>
          <w:p w14:paraId="53D270F3">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根据供应商提供项目实施服务方案进行评审，包含但不限于：①明确详细的服务内容；②响应承诺；③实施步骤；④系统平台终端设备配置；⑤网络通信数据服务能力。</w:t>
            </w:r>
          </w:p>
          <w:p w14:paraId="376A25FD">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以上五项内容均有详细、合理描述，针对性强、步骤具体的得满分30分，每有一项缺项的扣6分，每有一项内容不完整或有缺陷的扣3分。</w:t>
            </w:r>
          </w:p>
          <w:p w14:paraId="6FB81DFB">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注：内容不完整或有缺陷是指：非专门针对本项目或不适用本项目需求的情形、套用其他项目方案、内容前后矛盾、数据的传输能力一般、数据备份恢复策略一般、涉及的规范及标准错误等及其他情形。</w:t>
            </w:r>
          </w:p>
        </w:tc>
        <w:tc>
          <w:tcPr>
            <w:tcW w:w="885" w:type="dxa"/>
            <w:tcBorders>
              <w:top w:val="single" w:color="auto" w:sz="4" w:space="0"/>
              <w:left w:val="single" w:color="auto" w:sz="4" w:space="0"/>
              <w:right w:val="single" w:color="auto" w:sz="4" w:space="0"/>
            </w:tcBorders>
            <w:noWrap/>
            <w:vAlign w:val="center"/>
          </w:tcPr>
          <w:p w14:paraId="1A0ADBB1">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30分</w:t>
            </w:r>
          </w:p>
        </w:tc>
      </w:tr>
      <w:tr w14:paraId="1CD5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002" w:type="dxa"/>
            <w:vMerge w:val="continue"/>
            <w:tcBorders>
              <w:left w:val="single" w:color="auto" w:sz="4" w:space="0"/>
              <w:right w:val="single" w:color="auto" w:sz="4" w:space="0"/>
            </w:tcBorders>
            <w:noWrap/>
            <w:vAlign w:val="center"/>
          </w:tcPr>
          <w:p w14:paraId="347B46C8">
            <w:pPr>
              <w:pStyle w:val="23"/>
              <w:adjustRightInd w:val="0"/>
              <w:snapToGrid w:val="0"/>
              <w:spacing w:before="0" w:after="0" w:line="360" w:lineRule="auto"/>
              <w:jc w:val="center"/>
              <w:rPr>
                <w:rFonts w:ascii="仿宋" w:hAnsi="仿宋" w:eastAsia="仿宋" w:cs="仿宋"/>
                <w:color w:val="auto"/>
                <w:kern w:val="2"/>
              </w:rPr>
            </w:pPr>
          </w:p>
        </w:tc>
        <w:tc>
          <w:tcPr>
            <w:tcW w:w="1316" w:type="dxa"/>
            <w:tcBorders>
              <w:top w:val="single" w:color="auto" w:sz="4" w:space="0"/>
              <w:left w:val="single" w:color="auto" w:sz="4" w:space="0"/>
              <w:right w:val="single" w:color="auto" w:sz="4" w:space="0"/>
            </w:tcBorders>
            <w:noWrap/>
            <w:vAlign w:val="center"/>
          </w:tcPr>
          <w:p w14:paraId="08A3FE2F">
            <w:pPr>
              <w:jc w:val="center"/>
              <w:rPr>
                <w:rFonts w:ascii="仿宋" w:hAnsi="仿宋" w:eastAsia="仿宋" w:cs="仿宋"/>
                <w:b/>
                <w:bCs/>
                <w:color w:val="auto"/>
                <w:kern w:val="0"/>
                <w:sz w:val="24"/>
              </w:rPr>
            </w:pPr>
            <w:r>
              <w:rPr>
                <w:rFonts w:hint="eastAsia" w:ascii="仿宋" w:hAnsi="仿宋" w:eastAsia="仿宋" w:cs="仿宋"/>
                <w:b/>
                <w:bCs/>
                <w:color w:val="auto"/>
                <w:kern w:val="0"/>
                <w:sz w:val="24"/>
              </w:rPr>
              <w:t>网络可靠性、稳定性、安全性评审</w:t>
            </w:r>
          </w:p>
        </w:tc>
        <w:tc>
          <w:tcPr>
            <w:tcW w:w="5554" w:type="dxa"/>
            <w:tcBorders>
              <w:top w:val="single" w:color="auto" w:sz="4" w:space="0"/>
              <w:left w:val="single" w:color="auto" w:sz="4" w:space="0"/>
              <w:right w:val="single" w:color="auto" w:sz="4" w:space="0"/>
            </w:tcBorders>
            <w:noWrap/>
            <w:vAlign w:val="center"/>
          </w:tcPr>
          <w:p w14:paraId="3AFED2A0">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针对本项目分别提供：①网络可靠性；②网络稳定性；③网络安全性描述；</w:t>
            </w:r>
          </w:p>
          <w:p w14:paraId="4097272C">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以上三项网络性能优、可靠，稳定性非常强，易于维护，网络易于升级，安全性高，完全满足采购人需求的得满分9分，每有一项缺项的扣3分，每有一项内容不完整或有缺陷或性能一般的扣1.5分。</w:t>
            </w:r>
          </w:p>
        </w:tc>
        <w:tc>
          <w:tcPr>
            <w:tcW w:w="885" w:type="dxa"/>
            <w:tcBorders>
              <w:top w:val="single" w:color="auto" w:sz="4" w:space="0"/>
              <w:left w:val="single" w:color="auto" w:sz="4" w:space="0"/>
              <w:right w:val="single" w:color="auto" w:sz="4" w:space="0"/>
            </w:tcBorders>
            <w:noWrap/>
            <w:vAlign w:val="center"/>
          </w:tcPr>
          <w:p w14:paraId="7AE479AF">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color w:val="auto"/>
                <w:kern w:val="2"/>
              </w:rPr>
              <w:t>9分</w:t>
            </w:r>
          </w:p>
        </w:tc>
      </w:tr>
      <w:tr w14:paraId="1226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002" w:type="dxa"/>
            <w:vMerge w:val="continue"/>
            <w:tcBorders>
              <w:left w:val="single" w:color="auto" w:sz="4" w:space="0"/>
              <w:right w:val="single" w:color="auto" w:sz="4" w:space="0"/>
            </w:tcBorders>
            <w:noWrap/>
            <w:vAlign w:val="center"/>
          </w:tcPr>
          <w:p w14:paraId="53B974ED">
            <w:pPr>
              <w:pStyle w:val="23"/>
              <w:adjustRightInd w:val="0"/>
              <w:snapToGrid w:val="0"/>
              <w:spacing w:before="0" w:after="0" w:line="360" w:lineRule="auto"/>
              <w:jc w:val="center"/>
              <w:rPr>
                <w:rFonts w:ascii="仿宋" w:hAnsi="仿宋" w:eastAsia="仿宋" w:cs="仿宋"/>
                <w:color w:val="auto"/>
                <w:kern w:val="2"/>
              </w:rPr>
            </w:pPr>
          </w:p>
        </w:tc>
        <w:tc>
          <w:tcPr>
            <w:tcW w:w="1316" w:type="dxa"/>
            <w:tcBorders>
              <w:top w:val="single" w:color="auto" w:sz="4" w:space="0"/>
              <w:left w:val="single" w:color="auto" w:sz="4" w:space="0"/>
              <w:right w:val="single" w:color="auto" w:sz="4" w:space="0"/>
            </w:tcBorders>
            <w:noWrap/>
            <w:vAlign w:val="center"/>
          </w:tcPr>
          <w:p w14:paraId="146C8A1D">
            <w:pPr>
              <w:jc w:val="center"/>
              <w:rPr>
                <w:rFonts w:ascii="仿宋" w:hAnsi="仿宋" w:eastAsia="仿宋" w:cs="仿宋"/>
                <w:b/>
                <w:bCs/>
                <w:color w:val="auto"/>
                <w:kern w:val="0"/>
                <w:sz w:val="24"/>
              </w:rPr>
            </w:pPr>
            <w:r>
              <w:rPr>
                <w:rFonts w:hint="eastAsia" w:ascii="仿宋" w:hAnsi="仿宋" w:eastAsia="仿宋" w:cs="仿宋"/>
                <w:b/>
                <w:bCs/>
                <w:color w:val="auto"/>
                <w:kern w:val="0"/>
                <w:sz w:val="24"/>
              </w:rPr>
              <w:t>维护响应措施评审</w:t>
            </w:r>
          </w:p>
        </w:tc>
        <w:tc>
          <w:tcPr>
            <w:tcW w:w="5554" w:type="dxa"/>
            <w:tcBorders>
              <w:top w:val="single" w:color="auto" w:sz="4" w:space="0"/>
              <w:left w:val="single" w:color="auto" w:sz="4" w:space="0"/>
              <w:right w:val="single" w:color="auto" w:sz="4" w:space="0"/>
            </w:tcBorders>
            <w:noWrap/>
            <w:vAlign w:val="center"/>
          </w:tcPr>
          <w:p w14:paraId="68E18BE2">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根据供应商提供的维护响应措施进行评审，包括但不限于：①维护响应措施；②具体人员安排；③时间响应节点；④到现场故障点时效；⑤解决故障时效。</w:t>
            </w:r>
          </w:p>
          <w:p w14:paraId="24BAB6EB">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上述 5 项内容均提供了详尽描述且合理可行的得满分 10 分；针对上述 5 项内容，每有一个缺项扣2 分，每有一处缺乏完整性、合理性的扣 1 分，分数扣完为止。</w:t>
            </w:r>
          </w:p>
        </w:tc>
        <w:tc>
          <w:tcPr>
            <w:tcW w:w="885" w:type="dxa"/>
            <w:tcBorders>
              <w:top w:val="single" w:color="auto" w:sz="4" w:space="0"/>
              <w:left w:val="single" w:color="auto" w:sz="4" w:space="0"/>
              <w:right w:val="single" w:color="auto" w:sz="4" w:space="0"/>
            </w:tcBorders>
            <w:noWrap/>
            <w:vAlign w:val="center"/>
          </w:tcPr>
          <w:p w14:paraId="61BE447C">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color w:val="auto"/>
                <w:kern w:val="2"/>
              </w:rPr>
              <w:t>10分</w:t>
            </w:r>
          </w:p>
        </w:tc>
      </w:tr>
      <w:tr w14:paraId="67ED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02" w:type="dxa"/>
            <w:vMerge w:val="continue"/>
            <w:tcBorders>
              <w:left w:val="single" w:color="auto" w:sz="4" w:space="0"/>
              <w:right w:val="single" w:color="auto" w:sz="4" w:space="0"/>
            </w:tcBorders>
            <w:noWrap/>
            <w:vAlign w:val="center"/>
          </w:tcPr>
          <w:p w14:paraId="665CB2DC">
            <w:pPr>
              <w:pStyle w:val="23"/>
              <w:adjustRightInd w:val="0"/>
              <w:snapToGrid w:val="0"/>
              <w:spacing w:before="0" w:after="0" w:line="360" w:lineRule="auto"/>
              <w:jc w:val="center"/>
              <w:rPr>
                <w:rFonts w:ascii="仿宋" w:hAnsi="仿宋" w:eastAsia="仿宋" w:cs="仿宋"/>
                <w:color w:val="auto"/>
                <w:kern w:val="2"/>
              </w:rPr>
            </w:pPr>
          </w:p>
        </w:tc>
        <w:tc>
          <w:tcPr>
            <w:tcW w:w="1316" w:type="dxa"/>
            <w:tcBorders>
              <w:left w:val="single" w:color="auto" w:sz="4" w:space="0"/>
              <w:right w:val="single" w:color="auto" w:sz="4" w:space="0"/>
            </w:tcBorders>
            <w:noWrap/>
            <w:vAlign w:val="center"/>
          </w:tcPr>
          <w:p w14:paraId="74D051A3">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b/>
                <w:bCs/>
                <w:color w:val="auto"/>
              </w:rPr>
              <w:t>拟派人员方案评审</w:t>
            </w:r>
          </w:p>
        </w:tc>
        <w:tc>
          <w:tcPr>
            <w:tcW w:w="5554" w:type="dxa"/>
            <w:tcBorders>
              <w:left w:val="single" w:color="auto" w:sz="4" w:space="0"/>
              <w:right w:val="single" w:color="auto" w:sz="4" w:space="0"/>
            </w:tcBorders>
            <w:noWrap/>
            <w:vAlign w:val="center"/>
          </w:tcPr>
          <w:p w14:paraId="7B7B749A">
            <w:pPr>
              <w:pStyle w:val="23"/>
              <w:adjustRightInd w:val="0"/>
              <w:snapToGrid w:val="0"/>
              <w:spacing w:before="0" w:beforeAutospacing="0" w:after="0" w:afterAutospacing="0" w:line="360" w:lineRule="auto"/>
              <w:ind w:firstLine="240" w:firstLineChars="100"/>
              <w:rPr>
                <w:rFonts w:ascii="仿宋" w:hAnsi="仿宋" w:eastAsia="仿宋" w:cs="仿宋"/>
                <w:color w:val="auto"/>
                <w:kern w:val="2"/>
              </w:rPr>
            </w:pPr>
            <w:r>
              <w:rPr>
                <w:rFonts w:hint="eastAsia" w:ascii="仿宋" w:hAnsi="仿宋" w:eastAsia="仿宋" w:cs="仿宋"/>
                <w:color w:val="auto"/>
                <w:kern w:val="2"/>
              </w:rPr>
              <w:t>根据供应商的项目架构管理、分工，项目负责人管理经验、投入的人员数量、经验、能力水平等横向对比打分。</w:t>
            </w:r>
          </w:p>
          <w:p w14:paraId="089E69E8">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第一个档次（10分）</w:t>
            </w:r>
            <w:r>
              <w:rPr>
                <w:rFonts w:hint="eastAsia" w:ascii="仿宋" w:hAnsi="仿宋" w:eastAsia="仿宋" w:cs="仿宋"/>
                <w:color w:val="auto"/>
                <w:kern w:val="2"/>
              </w:rPr>
              <w:t>：供应商拟派项目负责人具备良好的工作经验、拟派人员数量、经验、能力均能满足项目实施要求的得；</w:t>
            </w:r>
          </w:p>
          <w:p w14:paraId="55B21761">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第二个档次（7分）</w:t>
            </w:r>
            <w:r>
              <w:rPr>
                <w:rFonts w:hint="eastAsia" w:ascii="仿宋" w:hAnsi="仿宋" w:eastAsia="仿宋" w:cs="仿宋"/>
                <w:color w:val="auto"/>
                <w:kern w:val="2"/>
              </w:rPr>
              <w:t>：供应商拟派项目负责人具备良好的工作经验、拟派人员数量、经验、能力均能较好满足项目实施要求的得；</w:t>
            </w:r>
          </w:p>
          <w:p w14:paraId="7AB62007">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第三个档次（4分）：</w:t>
            </w:r>
            <w:r>
              <w:rPr>
                <w:rFonts w:hint="eastAsia" w:ascii="仿宋" w:hAnsi="仿宋" w:eastAsia="仿宋" w:cs="仿宋"/>
                <w:color w:val="auto"/>
                <w:kern w:val="2"/>
              </w:rPr>
              <w:t>供应商拟派项目负责人具备良好的工作经验、拟派人员数量、经验、能力均能较好满足项目实施要求，但人员数量明显超出实际需求的得；</w:t>
            </w:r>
          </w:p>
          <w:p w14:paraId="00BA408D">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第四个档次（1分）</w:t>
            </w:r>
            <w:r>
              <w:rPr>
                <w:rFonts w:hint="eastAsia" w:ascii="仿宋" w:hAnsi="仿宋" w:eastAsia="仿宋" w:cs="仿宋"/>
                <w:color w:val="auto"/>
                <w:kern w:val="2"/>
              </w:rPr>
              <w:t>：供应商拟派项目负责人不具备类似工作经验、拟派人员数量、经验、能力不能满足项目实施要求的得；</w:t>
            </w:r>
          </w:p>
          <w:p w14:paraId="1FCEAC75">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第五个档次（0分）</w:t>
            </w:r>
            <w:r>
              <w:rPr>
                <w:rFonts w:hint="eastAsia" w:ascii="仿宋" w:hAnsi="仿宋" w:eastAsia="仿宋" w:cs="仿宋"/>
                <w:color w:val="auto"/>
                <w:kern w:val="2"/>
              </w:rPr>
              <w:t>：未提供相关内容的不得分。</w:t>
            </w:r>
          </w:p>
          <w:p w14:paraId="623F14CE">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szCs w:val="21"/>
              </w:rPr>
              <w:t>注：人员信息资料包括但不限于身份证、学历证、</w:t>
            </w:r>
            <w:r>
              <w:rPr>
                <w:rFonts w:hint="eastAsia" w:ascii="仿宋" w:hAnsi="仿宋" w:eastAsia="仿宋" w:cs="仿宋"/>
                <w:b/>
                <w:color w:val="auto"/>
                <w:szCs w:val="21"/>
              </w:rPr>
              <w:t>职称证书（如有）、相关资格证书（如有）</w:t>
            </w:r>
            <w:r>
              <w:rPr>
                <w:rFonts w:hint="eastAsia" w:ascii="仿宋" w:hAnsi="仿宋" w:eastAsia="仿宋" w:cs="仿宋"/>
                <w:b/>
                <w:bCs/>
                <w:color w:val="auto"/>
                <w:szCs w:val="21"/>
              </w:rPr>
              <w:t>、社保等有效的证明材料，未按要求提供或证明材料不明确，不予认可。</w:t>
            </w:r>
          </w:p>
        </w:tc>
        <w:tc>
          <w:tcPr>
            <w:tcW w:w="885" w:type="dxa"/>
            <w:tcBorders>
              <w:left w:val="single" w:color="auto" w:sz="4" w:space="0"/>
              <w:right w:val="single" w:color="auto" w:sz="4" w:space="0"/>
            </w:tcBorders>
            <w:noWrap/>
            <w:vAlign w:val="center"/>
          </w:tcPr>
          <w:p w14:paraId="4F0216EA">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1F32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02" w:type="dxa"/>
            <w:vMerge w:val="continue"/>
            <w:tcBorders>
              <w:left w:val="single" w:color="auto" w:sz="4" w:space="0"/>
              <w:right w:val="single" w:color="auto" w:sz="4" w:space="0"/>
            </w:tcBorders>
            <w:noWrap/>
            <w:vAlign w:val="center"/>
          </w:tcPr>
          <w:p w14:paraId="670CC85F">
            <w:pPr>
              <w:pStyle w:val="23"/>
              <w:adjustRightInd w:val="0"/>
              <w:snapToGrid w:val="0"/>
              <w:spacing w:before="0" w:after="0" w:line="360" w:lineRule="auto"/>
              <w:jc w:val="center"/>
              <w:rPr>
                <w:rFonts w:ascii="仿宋" w:hAnsi="仿宋" w:eastAsia="仿宋" w:cs="仿宋"/>
                <w:color w:val="auto"/>
                <w:kern w:val="2"/>
              </w:rPr>
            </w:pPr>
          </w:p>
        </w:tc>
        <w:tc>
          <w:tcPr>
            <w:tcW w:w="1316" w:type="dxa"/>
            <w:tcBorders>
              <w:left w:val="single" w:color="auto" w:sz="4" w:space="0"/>
              <w:right w:val="single" w:color="auto" w:sz="4" w:space="0"/>
            </w:tcBorders>
            <w:noWrap/>
            <w:vAlign w:val="center"/>
          </w:tcPr>
          <w:p w14:paraId="0B30EF9D">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b/>
                <w:bCs/>
                <w:color w:val="auto"/>
              </w:rPr>
              <w:t>保密管理保障措施及承诺评审</w:t>
            </w:r>
          </w:p>
        </w:tc>
        <w:tc>
          <w:tcPr>
            <w:tcW w:w="5554" w:type="dxa"/>
            <w:tcBorders>
              <w:left w:val="single" w:color="auto" w:sz="4" w:space="0"/>
              <w:bottom w:val="single" w:color="auto" w:sz="4" w:space="0"/>
              <w:right w:val="single" w:color="auto" w:sz="4" w:space="0"/>
            </w:tcBorders>
            <w:noWrap/>
            <w:vAlign w:val="center"/>
          </w:tcPr>
          <w:p w14:paraId="3EEE87C9">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的保密管理措施及承诺进行评审，包含但不限于：①保密安全管理制度；②保密安全管理规范；③保密安全管理措施；④保密安全承诺。上述四项内容完善具体，针对性强的得满分8分，每有一项缺项扣2分，每有一项内容不完整或有缺陷的扣1分，扣完为止，未提供不得分。</w:t>
            </w:r>
          </w:p>
          <w:p w14:paraId="111BF7FC">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注：内容不完整或有缺陷是指：非专门针对本项目或不适用本项目需求的情形、套用其他项目方案、内容前后矛盾、涉及的规范及标准错误等及其他情形。</w:t>
            </w:r>
          </w:p>
        </w:tc>
        <w:tc>
          <w:tcPr>
            <w:tcW w:w="885" w:type="dxa"/>
            <w:tcBorders>
              <w:left w:val="single" w:color="auto" w:sz="4" w:space="0"/>
              <w:bottom w:val="single" w:color="auto" w:sz="4" w:space="0"/>
              <w:right w:val="single" w:color="auto" w:sz="4" w:space="0"/>
            </w:tcBorders>
            <w:noWrap/>
            <w:vAlign w:val="center"/>
          </w:tcPr>
          <w:p w14:paraId="6EF1CA46">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8分</w:t>
            </w:r>
          </w:p>
        </w:tc>
      </w:tr>
      <w:tr w14:paraId="22B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002" w:type="dxa"/>
            <w:vMerge w:val="continue"/>
            <w:tcBorders>
              <w:left w:val="single" w:color="auto" w:sz="4" w:space="0"/>
              <w:right w:val="single" w:color="auto" w:sz="4" w:space="0"/>
            </w:tcBorders>
            <w:noWrap/>
            <w:vAlign w:val="center"/>
          </w:tcPr>
          <w:p w14:paraId="1532CAD4">
            <w:pPr>
              <w:widowControl/>
              <w:adjustRightInd w:val="0"/>
              <w:snapToGrid w:val="0"/>
              <w:spacing w:line="360" w:lineRule="auto"/>
              <w:jc w:val="center"/>
              <w:rPr>
                <w:rFonts w:ascii="仿宋" w:hAnsi="仿宋" w:eastAsia="仿宋" w:cs="仿宋"/>
                <w:color w:val="auto"/>
                <w:sz w:val="24"/>
              </w:rPr>
            </w:pPr>
          </w:p>
        </w:tc>
        <w:tc>
          <w:tcPr>
            <w:tcW w:w="1316" w:type="dxa"/>
            <w:tcBorders>
              <w:left w:val="single" w:color="auto" w:sz="4" w:space="0"/>
              <w:right w:val="single" w:color="auto" w:sz="4" w:space="0"/>
            </w:tcBorders>
            <w:noWrap/>
            <w:vAlign w:val="center"/>
          </w:tcPr>
          <w:p w14:paraId="1F382578">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b/>
                <w:bCs/>
                <w:color w:val="auto"/>
                <w:szCs w:val="21"/>
              </w:rPr>
              <w:t>增值服务评审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66BC892E">
            <w:pPr>
              <w:pStyle w:val="23"/>
              <w:adjustRightInd w:val="0"/>
              <w:snapToGrid w:val="0"/>
              <w:spacing w:before="0" w:beforeAutospacing="0" w:after="0" w:afterAutospacing="0" w:line="360" w:lineRule="auto"/>
              <w:ind w:firstLine="480" w:firstLineChars="200"/>
              <w:rPr>
                <w:rFonts w:ascii="仿宋" w:hAnsi="仿宋" w:eastAsia="仿宋" w:cs="仿宋"/>
                <w:b/>
                <w:bCs/>
                <w:color w:val="auto"/>
                <w:kern w:val="2"/>
              </w:rPr>
            </w:pPr>
            <w:r>
              <w:rPr>
                <w:rFonts w:hint="eastAsia" w:ascii="仿宋" w:hAnsi="仿宋" w:eastAsia="仿宋" w:cs="仿宋"/>
                <w:color w:val="auto"/>
                <w:lang w:bidi="ar"/>
              </w:rPr>
              <w:t>供应商根据本项目采购需求及自身条件，可以为采购人提供除必要售后服务外的其他与办公办案有关的实质性增值服务，每提供一项得1分，满分4分。</w:t>
            </w:r>
          </w:p>
        </w:tc>
        <w:tc>
          <w:tcPr>
            <w:tcW w:w="885" w:type="dxa"/>
            <w:tcBorders>
              <w:top w:val="single" w:color="auto" w:sz="4" w:space="0"/>
              <w:left w:val="single" w:color="auto" w:sz="4" w:space="0"/>
              <w:bottom w:val="single" w:color="auto" w:sz="4" w:space="0"/>
              <w:right w:val="single" w:color="auto" w:sz="4" w:space="0"/>
            </w:tcBorders>
            <w:noWrap/>
            <w:vAlign w:val="center"/>
          </w:tcPr>
          <w:p w14:paraId="7A05BEE6">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4分</w:t>
            </w:r>
          </w:p>
        </w:tc>
      </w:tr>
      <w:tr w14:paraId="04B5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1002" w:type="dxa"/>
            <w:vMerge w:val="continue"/>
            <w:tcBorders>
              <w:left w:val="single" w:color="auto" w:sz="4" w:space="0"/>
              <w:right w:val="single" w:color="auto" w:sz="4" w:space="0"/>
            </w:tcBorders>
            <w:noWrap/>
            <w:vAlign w:val="center"/>
          </w:tcPr>
          <w:p w14:paraId="0E6A661D">
            <w:pPr>
              <w:widowControl/>
              <w:adjustRightInd w:val="0"/>
              <w:snapToGrid w:val="0"/>
              <w:spacing w:line="360" w:lineRule="auto"/>
              <w:jc w:val="center"/>
              <w:rPr>
                <w:rFonts w:ascii="仿宋" w:hAnsi="仿宋" w:eastAsia="仿宋" w:cs="仿宋"/>
                <w:color w:val="auto"/>
                <w:sz w:val="24"/>
              </w:rPr>
            </w:pPr>
          </w:p>
        </w:tc>
        <w:tc>
          <w:tcPr>
            <w:tcW w:w="1316" w:type="dxa"/>
            <w:tcBorders>
              <w:left w:val="single" w:color="auto" w:sz="4" w:space="0"/>
              <w:right w:val="single" w:color="auto" w:sz="4" w:space="0"/>
            </w:tcBorders>
            <w:noWrap/>
            <w:vAlign w:val="center"/>
          </w:tcPr>
          <w:p w14:paraId="18C9D886">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售后服务能力评审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71B35E48">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根据供应商的售后服务能力进行评审，包括但不限于：①售后服务方案；②售后服务承诺及保证。</w:t>
            </w:r>
          </w:p>
          <w:p w14:paraId="1BA95EE9">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以上两项内容完整，售后服务方案、承诺及保证完善具体，针对性强，有完善的惩罚措施的可得满分9分，在此基础上每有一项缺项的扣4.5分，每有一项内容不完整或有缺陷的扣2分。</w:t>
            </w:r>
          </w:p>
        </w:tc>
        <w:tc>
          <w:tcPr>
            <w:tcW w:w="885" w:type="dxa"/>
            <w:tcBorders>
              <w:top w:val="single" w:color="auto" w:sz="4" w:space="0"/>
              <w:left w:val="single" w:color="auto" w:sz="4" w:space="0"/>
              <w:bottom w:val="single" w:color="auto" w:sz="4" w:space="0"/>
              <w:right w:val="single" w:color="auto" w:sz="4" w:space="0"/>
            </w:tcBorders>
            <w:noWrap/>
            <w:vAlign w:val="center"/>
          </w:tcPr>
          <w:p w14:paraId="6B622FE7">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9分</w:t>
            </w:r>
          </w:p>
        </w:tc>
      </w:tr>
      <w:tr w14:paraId="0318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02" w:type="dxa"/>
            <w:vMerge w:val="continue"/>
            <w:tcBorders>
              <w:left w:val="single" w:color="auto" w:sz="4" w:space="0"/>
              <w:right w:val="single" w:color="auto" w:sz="4" w:space="0"/>
            </w:tcBorders>
            <w:noWrap/>
            <w:vAlign w:val="center"/>
          </w:tcPr>
          <w:p w14:paraId="41A99A8D">
            <w:pPr>
              <w:widowControl/>
              <w:adjustRightInd w:val="0"/>
              <w:snapToGrid w:val="0"/>
              <w:spacing w:line="360" w:lineRule="auto"/>
              <w:jc w:val="center"/>
              <w:rPr>
                <w:rFonts w:ascii="仿宋" w:hAnsi="仿宋" w:eastAsia="仿宋" w:cs="仿宋"/>
                <w:color w:val="auto"/>
                <w:sz w:val="24"/>
              </w:rPr>
            </w:pPr>
          </w:p>
        </w:tc>
        <w:tc>
          <w:tcPr>
            <w:tcW w:w="1316" w:type="dxa"/>
            <w:tcBorders>
              <w:top w:val="single" w:color="auto" w:sz="4" w:space="0"/>
              <w:left w:val="single" w:color="auto" w:sz="4" w:space="0"/>
              <w:right w:val="single" w:color="auto" w:sz="4" w:space="0"/>
            </w:tcBorders>
            <w:noWrap/>
            <w:vAlign w:val="center"/>
          </w:tcPr>
          <w:p w14:paraId="51C6CB4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b/>
                <w:bCs/>
                <w:color w:val="auto"/>
                <w:kern w:val="2"/>
              </w:rPr>
              <w:t>类似业绩评审</w:t>
            </w:r>
          </w:p>
        </w:tc>
        <w:tc>
          <w:tcPr>
            <w:tcW w:w="5554" w:type="dxa"/>
            <w:tcBorders>
              <w:top w:val="single" w:color="auto" w:sz="4" w:space="0"/>
              <w:left w:val="single" w:color="auto" w:sz="4" w:space="0"/>
              <w:right w:val="single" w:color="auto" w:sz="4" w:space="0"/>
            </w:tcBorders>
            <w:noWrap/>
            <w:vAlign w:val="center"/>
          </w:tcPr>
          <w:p w14:paraId="4342F447">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自2023年1月至今，每提供一个与本项目服务类似业绩的得2分，满分10分。未提供业绩列表及相关证明材料的不得分。</w:t>
            </w:r>
          </w:p>
          <w:p w14:paraId="7D542157">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color w:val="auto"/>
                <w:kern w:val="2"/>
              </w:rPr>
              <w:t>注：响应文件中须提供业绩列表及相对应的业绩证明材料，业绩证明材料为中标/成交通知书或合同（合同首页、标的及金额所在页及合同签字盖章页加盖公章）。无证明材料或证明材料不明确、无法体现业绩内容的，不予认可。</w:t>
            </w:r>
          </w:p>
        </w:tc>
        <w:tc>
          <w:tcPr>
            <w:tcW w:w="885" w:type="dxa"/>
            <w:tcBorders>
              <w:top w:val="single" w:color="auto" w:sz="4" w:space="0"/>
              <w:left w:val="single" w:color="auto" w:sz="4" w:space="0"/>
              <w:right w:val="single" w:color="auto" w:sz="4" w:space="0"/>
            </w:tcBorders>
            <w:noWrap/>
            <w:vAlign w:val="center"/>
          </w:tcPr>
          <w:p w14:paraId="57AFB2BC">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2DC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517683AE">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合  计</w:t>
            </w:r>
          </w:p>
        </w:tc>
        <w:tc>
          <w:tcPr>
            <w:tcW w:w="1316" w:type="dxa"/>
            <w:tcBorders>
              <w:top w:val="single" w:color="auto" w:sz="4" w:space="0"/>
              <w:left w:val="single" w:color="auto" w:sz="4" w:space="0"/>
              <w:bottom w:val="single" w:color="auto" w:sz="4" w:space="0"/>
              <w:right w:val="single" w:color="auto" w:sz="4" w:space="0"/>
            </w:tcBorders>
            <w:noWrap/>
            <w:vAlign w:val="center"/>
          </w:tcPr>
          <w:p w14:paraId="79C9D063">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8项</w:t>
            </w:r>
          </w:p>
        </w:tc>
        <w:tc>
          <w:tcPr>
            <w:tcW w:w="5554" w:type="dxa"/>
            <w:tcBorders>
              <w:top w:val="single" w:color="auto" w:sz="4" w:space="0"/>
              <w:left w:val="single" w:color="auto" w:sz="4" w:space="0"/>
              <w:bottom w:val="single" w:color="auto" w:sz="4" w:space="0"/>
              <w:right w:val="single" w:color="auto" w:sz="4" w:space="0"/>
            </w:tcBorders>
            <w:noWrap/>
            <w:vAlign w:val="center"/>
          </w:tcPr>
          <w:p w14:paraId="63FFC1A8">
            <w:pPr>
              <w:pStyle w:val="23"/>
              <w:adjustRightInd w:val="0"/>
              <w:snapToGrid w:val="0"/>
              <w:spacing w:before="0" w:beforeAutospacing="0" w:after="0" w:afterAutospacing="0" w:line="360" w:lineRule="auto"/>
              <w:jc w:val="center"/>
              <w:rPr>
                <w:rFonts w:ascii="仿宋" w:hAnsi="仿宋" w:eastAsia="仿宋" w:cs="仿宋"/>
                <w:color w:val="auto"/>
                <w:kern w:val="2"/>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32CF8023">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100分</w:t>
            </w:r>
          </w:p>
        </w:tc>
      </w:tr>
    </w:tbl>
    <w:p w14:paraId="7F67B254">
      <w:pPr>
        <w:adjustRightInd w:val="0"/>
        <w:snapToGrid w:val="0"/>
        <w:spacing w:line="360" w:lineRule="auto"/>
        <w:jc w:val="left"/>
        <w:rPr>
          <w:rFonts w:ascii="仿宋" w:hAnsi="仿宋" w:eastAsia="仿宋" w:cs="仿宋"/>
          <w:color w:val="auto"/>
        </w:rPr>
      </w:pPr>
      <w:r>
        <w:rPr>
          <w:rFonts w:hint="eastAsia" w:ascii="仿宋" w:hAnsi="仿宋" w:eastAsia="仿宋" w:cs="仿宋"/>
          <w:color w:val="auto"/>
          <w:szCs w:val="21"/>
        </w:rPr>
        <w:br w:type="page"/>
      </w:r>
    </w:p>
    <w:p w14:paraId="648C192A">
      <w:pPr>
        <w:pStyle w:val="2"/>
        <w:spacing w:before="319" w:beforeLines="100" w:after="319" w:afterLines="100" w:line="360" w:lineRule="auto"/>
        <w:jc w:val="center"/>
        <w:rPr>
          <w:rFonts w:ascii="仿宋" w:hAnsi="仿宋" w:eastAsia="仿宋" w:cs="仿宋"/>
          <w:color w:val="auto"/>
        </w:rPr>
      </w:pPr>
      <w:bookmarkStart w:id="121" w:name="_Toc4485696"/>
      <w:bookmarkStart w:id="122" w:name="_Toc14568"/>
      <w:r>
        <w:rPr>
          <w:rFonts w:hint="eastAsia" w:ascii="仿宋" w:hAnsi="仿宋" w:eastAsia="仿宋" w:cs="仿宋"/>
          <w:color w:val="auto"/>
        </w:rPr>
        <w:t xml:space="preserve">第六章 </w:t>
      </w:r>
      <w:bookmarkEnd w:id="121"/>
      <w:r>
        <w:rPr>
          <w:rFonts w:hint="eastAsia" w:ascii="仿宋" w:hAnsi="仿宋" w:eastAsia="仿宋" w:cs="仿宋"/>
          <w:color w:val="auto"/>
        </w:rPr>
        <w:t xml:space="preserve"> 政府采购合同条款及格式</w:t>
      </w:r>
      <w:bookmarkEnd w:id="122"/>
    </w:p>
    <w:p w14:paraId="6FFAD57D">
      <w:pPr>
        <w:spacing w:before="319" w:beforeLines="100" w:after="319" w:afterLines="100"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政府采购合同条款</w:t>
      </w:r>
    </w:p>
    <w:p w14:paraId="2587010B">
      <w:pPr>
        <w:numPr>
          <w:ilvl w:val="0"/>
          <w:numId w:val="8"/>
        </w:numPr>
        <w:spacing w:line="360" w:lineRule="auto"/>
        <w:rPr>
          <w:rFonts w:ascii="仿宋" w:hAnsi="仿宋" w:eastAsia="仿宋" w:cs="仿宋"/>
          <w:b/>
          <w:color w:val="auto"/>
          <w:szCs w:val="21"/>
        </w:rPr>
      </w:pPr>
      <w:r>
        <w:rPr>
          <w:rFonts w:hint="eastAsia" w:ascii="仿宋" w:hAnsi="仿宋" w:eastAsia="仿宋" w:cs="仿宋"/>
          <w:b/>
          <w:color w:val="auto"/>
          <w:szCs w:val="21"/>
        </w:rPr>
        <w:t>术语定义</w:t>
      </w:r>
    </w:p>
    <w:p w14:paraId="46EFF81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本政府采购合同下列术语应解释为：</w:t>
      </w:r>
    </w:p>
    <w:p w14:paraId="16C82D5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1“政府采购合同”指供需双方依照政府采购程序、按照采购文件、响应文件确定的事项所达成的协议，包括附件、附录和上述文件所提到的构成政府采购合同的所有文件。</w:t>
      </w:r>
    </w:p>
    <w:p w14:paraId="412661E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2 “政府采购合同价”指根据合同约定供方在正确地完全履行政府采购合同义务后需方应支付给供方的价格。</w:t>
      </w:r>
    </w:p>
    <w:p w14:paraId="27CB75F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3 “服务”指政府采购合同服务清单（同响应文件中开标一览表及其附表，下同）所约定的服务内容。</w:t>
      </w:r>
    </w:p>
    <w:p w14:paraId="2CC53B2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5 “需方”指项目基本内容及要求中所述取得产品和服务的采购单位。</w:t>
      </w:r>
    </w:p>
    <w:p w14:paraId="093A6D2D">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6 “供方”指项目基本内容及要求中所述提供产品和服务的中标供应商。</w:t>
      </w:r>
    </w:p>
    <w:p w14:paraId="75ECE9B0">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7 “检验”指需方按照政府采购合同约定的标准对供方所提供服务进行的检测和查验。</w:t>
      </w:r>
    </w:p>
    <w:p w14:paraId="550D09F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8 “验收书”指采购单位或采购代理机构根据合同履约验收意见书形成反映采购单位和组织验收机构意见的文件。</w:t>
      </w:r>
    </w:p>
    <w:p w14:paraId="119DF93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1.9“天”指日历天数（如无特别说明）。</w:t>
      </w:r>
    </w:p>
    <w:p w14:paraId="396581A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10“第三人”是指本政府采购合同双方以外的任何中国境内外的自然人、法人或其它经济组织。</w:t>
      </w:r>
    </w:p>
    <w:p w14:paraId="2F3A248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11“法律、法规”是指由中国各级政府及有关部门制定的法律、行政法规、地方性法规、规章及其它规范性文件的有关规定。</w:t>
      </w:r>
    </w:p>
    <w:p w14:paraId="2F0C079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12“采购文件”指采购人或采购代理机构发布的采购文件。</w:t>
      </w:r>
    </w:p>
    <w:p w14:paraId="166F1AF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13“响应文件”指供方按照采购代理机构采购文件的要求编制和递交，并最终被评标委员会接受的响应文件。</w:t>
      </w:r>
    </w:p>
    <w:p w14:paraId="01918468">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2.技术规范与服务内容</w:t>
      </w:r>
    </w:p>
    <w:p w14:paraId="291D3A73">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2.1投标服务的技术规范应与采购文件规定的技术规范（如果有的话）相一致。若无相应说明，则以国家有关部门最新颁布的相应标准及规范为准。</w:t>
      </w:r>
    </w:p>
    <w:p w14:paraId="129CE357">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2.2 投标服务的服务内容应与采购文件规定服务内容及响应文件中的项目要求及投标响应表一致。</w:t>
      </w:r>
    </w:p>
    <w:p w14:paraId="3922A225">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3.知识产权</w:t>
      </w:r>
    </w:p>
    <w:p w14:paraId="0836C737">
      <w:pPr>
        <w:spacing w:line="360" w:lineRule="auto"/>
        <w:ind w:firstLine="411" w:firstLineChars="196"/>
        <w:jc w:val="left"/>
        <w:rPr>
          <w:rFonts w:ascii="仿宋" w:hAnsi="仿宋" w:eastAsia="仿宋" w:cs="仿宋"/>
          <w:color w:val="auto"/>
          <w:szCs w:val="21"/>
        </w:rPr>
      </w:pPr>
      <w:r>
        <w:rPr>
          <w:rFonts w:hint="eastAsia" w:ascii="仿宋" w:hAnsi="仿宋" w:eastAsia="仿宋" w:cs="仿宋"/>
          <w:color w:val="auto"/>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51C4DE84">
      <w:pPr>
        <w:spacing w:line="360" w:lineRule="auto"/>
        <w:ind w:firstLine="411" w:firstLineChars="196"/>
        <w:jc w:val="left"/>
        <w:rPr>
          <w:rFonts w:ascii="仿宋" w:hAnsi="仿宋" w:eastAsia="仿宋" w:cs="仿宋"/>
          <w:color w:val="auto"/>
          <w:szCs w:val="21"/>
        </w:rPr>
      </w:pPr>
      <w:r>
        <w:rPr>
          <w:rFonts w:hint="eastAsia" w:ascii="仿宋" w:hAnsi="仿宋" w:eastAsia="仿宋" w:cs="仿宋"/>
          <w:color w:val="auto"/>
          <w:szCs w:val="21"/>
        </w:rPr>
        <w:t>3.2供方应保证所供服务符合国家的有关规定。</w:t>
      </w:r>
    </w:p>
    <w:p w14:paraId="6DBFEBAC">
      <w:pPr>
        <w:tabs>
          <w:tab w:val="left" w:pos="360"/>
        </w:tabs>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4B48FD72">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4.完成方式</w:t>
      </w:r>
    </w:p>
    <w:p w14:paraId="7ACAD440">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供方按照合同约定的时间、地点完成服务。</w:t>
      </w:r>
    </w:p>
    <w:p w14:paraId="6CB8596E">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5.付款</w:t>
      </w:r>
    </w:p>
    <w:p w14:paraId="18F71D03">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5.1政府采购合同以人民币付款。</w:t>
      </w:r>
    </w:p>
    <w:p w14:paraId="15ECAD2C">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5.2在供方按照政府采购合同的规定履行服务后，需方按照合同约定的方式和条件付款。</w:t>
      </w:r>
    </w:p>
    <w:p w14:paraId="594683D9">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6.服务质量</w:t>
      </w:r>
    </w:p>
    <w:p w14:paraId="668E39B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6.1供方应保证政府采购合同项下所供服务是由供方提供的，并完全符合强制性的国家技术质量规范和政府采购合同规定的质量、性能和技术规范等要求。</w:t>
      </w:r>
    </w:p>
    <w:p w14:paraId="1B7846E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6.2供方提供的服务质量应满足行业一般标准，符合合同约定。</w:t>
      </w:r>
    </w:p>
    <w:p w14:paraId="77AF1E0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6.3需方有权对供方的服务质量进行监督，发现服务存在不符合合同标准的情形的，可以要求供方改正服务方式、替换服务人员等补救方式，供方应按需方要求改正，并赔偿需方实际损失。</w:t>
      </w:r>
    </w:p>
    <w:p w14:paraId="4A34734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6.4对于委托开发等最终以产品形式交付需方使用的服务，供方需按照采购文件要求对产品提供售后服务及质量保证，供方响应文件承诺的售后服务及质量保证优于采购文件要求的，以响应文件承诺的售后服务及质量保证为准。</w:t>
      </w:r>
    </w:p>
    <w:p w14:paraId="2008EE14">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7.技术服务和保修责任</w:t>
      </w:r>
    </w:p>
    <w:p w14:paraId="57E18EE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7.1本条适用于委托开发等最终以产品形式交付需方使用的服务。</w:t>
      </w:r>
    </w:p>
    <w:p w14:paraId="404A6314">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7.2供方对交付的产品的保修期，以采购文件中的规定为准，如果响应文件中的承诺优于采购文件规定，则以响应文件为准。</w:t>
      </w:r>
    </w:p>
    <w:p w14:paraId="5748ADB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7.3供方应按如下内容提供售后服务：</w:t>
      </w:r>
    </w:p>
    <w:p w14:paraId="3D56FD22">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7.3.1产品经过试运行期，所有性能指标达到技术规范书的要求时，可按采购文件、响应文件内容进行初验。在试运行期间，由于产品质量等造成某些指标达不到要求，供方须更换或进行修复，试运行期重新计算。</w:t>
      </w:r>
    </w:p>
    <w:p w14:paraId="7F1B749D">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3532A42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7.3.3保修期间供方要保修除消耗品以外的所有产品。如果系统、设备等发生故障，供方要调查故障原因并修复直至满足最终验收指标和性能的要求，或者修理、更换整个或部分有缺陷的材料。</w:t>
      </w:r>
    </w:p>
    <w:p w14:paraId="307838E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7.3.4保修期内，供方提供电话、电子邮件、Web、现场服务等方式的技术支持，对用户的现场服务要求，供方必须按响应文件做出的承诺进行响应。</w:t>
      </w:r>
    </w:p>
    <w:p w14:paraId="39101AD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7.3.5保修期内，供方应对出现故障无法修复的产品或无法正常运行的系统，提供替代产品以保证系统的正常工作。</w:t>
      </w:r>
    </w:p>
    <w:p w14:paraId="062C6F6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7.3.6保修期内，供方应投标时的承诺提供相关服务。</w:t>
      </w:r>
    </w:p>
    <w:p w14:paraId="541A2F8C">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C7A014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1C9F53A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5FC0FEAB">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46D4B918">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8.检验和验收</w:t>
      </w:r>
    </w:p>
    <w:p w14:paraId="033E8D6A">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8.1完成服务后，需方或采购代理机构（由具体项目决定）应在政府采购合同规定的时间内组织验收，并在“验收书”上签字。“验收书”将作为申请付款文件的一部分。</w:t>
      </w:r>
    </w:p>
    <w:p w14:paraId="6819796D">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8.2对于委托开发等最终以产品形式交付需方使用的服务，保修期自验收书签署之日起计算。</w:t>
      </w:r>
    </w:p>
    <w:p w14:paraId="11EE6DDC">
      <w:pPr>
        <w:tabs>
          <w:tab w:val="left" w:pos="360"/>
        </w:tabs>
        <w:spacing w:line="360" w:lineRule="auto"/>
        <w:ind w:firstLine="460" w:firstLineChars="218"/>
        <w:rPr>
          <w:rFonts w:ascii="仿宋" w:hAnsi="仿宋" w:eastAsia="仿宋" w:cs="仿宋"/>
          <w:b/>
          <w:color w:val="auto"/>
          <w:szCs w:val="21"/>
        </w:rPr>
      </w:pPr>
      <w:r>
        <w:rPr>
          <w:rFonts w:hint="eastAsia" w:ascii="仿宋" w:hAnsi="仿宋" w:eastAsia="仿宋" w:cs="仿宋"/>
          <w:b/>
          <w:color w:val="auto"/>
          <w:szCs w:val="21"/>
        </w:rPr>
        <w:t>9.违约责任</w:t>
      </w:r>
    </w:p>
    <w:p w14:paraId="5E41448A">
      <w:pPr>
        <w:spacing w:line="360" w:lineRule="auto"/>
        <w:ind w:firstLine="457" w:firstLineChars="218"/>
        <w:rPr>
          <w:rFonts w:ascii="仿宋" w:hAnsi="仿宋" w:eastAsia="仿宋" w:cs="仿宋"/>
          <w:color w:val="auto"/>
          <w:szCs w:val="21"/>
        </w:rPr>
      </w:pPr>
      <w:r>
        <w:rPr>
          <w:rFonts w:hint="eastAsia" w:ascii="仿宋" w:hAnsi="仿宋" w:eastAsia="仿宋" w:cs="仿宋"/>
          <w:color w:val="auto"/>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07F4F21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9.1.1在需方同意延长的期限内提供服务并承担由此给需方造成的一切损失；</w:t>
      </w:r>
    </w:p>
    <w:p w14:paraId="206CD59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9.1.2在需方规定的时间内，用符合政府采购合同规定的服务以达到政府采购合同规定的要求，供方应承担由此发生的一切费用和风险。此时，相关服务的期限也应相应延长；</w:t>
      </w:r>
    </w:p>
    <w:p w14:paraId="4102EEA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9.1.3需方有权部分或全部解除政府采购合同并要求供方赔偿由此造成的损失。此时需方可采取必要的补救措施，相关费用由供方承担。</w:t>
      </w:r>
    </w:p>
    <w:p w14:paraId="550B38C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511F7A8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9.3延期服务的违约责任</w:t>
      </w:r>
    </w:p>
    <w:p w14:paraId="1D08B20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2ED77D9A">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8.4以上各项交付的违约金并不影响违约方履行政府采购合同的各项义务。</w:t>
      </w:r>
    </w:p>
    <w:p w14:paraId="22693B51">
      <w:pPr>
        <w:spacing w:line="360" w:lineRule="auto"/>
        <w:ind w:left="420"/>
        <w:rPr>
          <w:rFonts w:ascii="仿宋" w:hAnsi="仿宋" w:eastAsia="仿宋" w:cs="仿宋"/>
          <w:b/>
          <w:color w:val="auto"/>
          <w:szCs w:val="21"/>
        </w:rPr>
      </w:pPr>
      <w:r>
        <w:rPr>
          <w:rFonts w:hint="eastAsia" w:ascii="仿宋" w:hAnsi="仿宋" w:eastAsia="仿宋" w:cs="仿宋"/>
          <w:b/>
          <w:color w:val="auto"/>
          <w:szCs w:val="21"/>
        </w:rPr>
        <w:t>10.不可抗力</w:t>
      </w:r>
    </w:p>
    <w:p w14:paraId="5C19327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4819DE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10.2本条所述的“不可抗力”系指那些双方无法控制，不可预见的事件，但不包括双方的违约或疏忽。这些事件包括但不限于：战争、严重火灾、洪水、台风、地震。</w:t>
      </w:r>
    </w:p>
    <w:p w14:paraId="26AED1F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040FF996">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11.争端的解决</w:t>
      </w:r>
    </w:p>
    <w:p w14:paraId="65EFEC88">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11.1需方和供方应通过友好协商，解决在执行本政府采购合同过程中所发生的或与本政府采购合同有关的一切争端。</w:t>
      </w:r>
    </w:p>
    <w:p w14:paraId="7658384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11.2如果协商不成，双方中的任何一方可向需方所在地的人民法院提起诉讼。</w:t>
      </w:r>
    </w:p>
    <w:p w14:paraId="12B7826A">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11.3因政府采购合同部分履行引发诉讼的，在诉讼期间，除正在进行诉讼的部分外，本政府采购合同的其它部分应继续执行。</w:t>
      </w:r>
    </w:p>
    <w:p w14:paraId="676E102C">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12.违约终止政府采购合同</w:t>
      </w:r>
    </w:p>
    <w:p w14:paraId="382E8E6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12.1在需方因供方违约而按政府采购合同约定采取的任何补救措施不起作用的情况下，需方可在下列情况下向供方发出书面通知，提出终止部分或全部政府采购合同。</w:t>
      </w:r>
    </w:p>
    <w:p w14:paraId="3CCB33F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12.1.1如果供方未能在政府采购合同规定的限期或需方同意延长的限期内提供部分或全部服务；</w:t>
      </w:r>
    </w:p>
    <w:p w14:paraId="30DDAB50">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12.1.2如果供方未能履行政府采购合同规定的其它任何义务。</w:t>
      </w:r>
    </w:p>
    <w:p w14:paraId="5C80948D">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12.1.3未经需方事先书面同意，供方部分转让和分包或全部转让和分包其应履行的政府采购合同义务。</w:t>
      </w:r>
    </w:p>
    <w:p w14:paraId="152D0299">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765AD065">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13.政府采购法对政府采购合同变更终止的规定</w:t>
      </w:r>
    </w:p>
    <w:p w14:paraId="07A85991">
      <w:pPr>
        <w:spacing w:line="360" w:lineRule="auto"/>
        <w:ind w:firstLine="411" w:firstLineChars="196"/>
        <w:rPr>
          <w:rFonts w:ascii="仿宋" w:hAnsi="仿宋" w:eastAsia="仿宋" w:cs="仿宋"/>
          <w:b/>
          <w:color w:val="auto"/>
          <w:szCs w:val="21"/>
        </w:rPr>
      </w:pPr>
      <w:r>
        <w:rPr>
          <w:rFonts w:hint="eastAsia" w:ascii="仿宋" w:hAnsi="仿宋" w:eastAsia="仿宋" w:cs="仿宋"/>
          <w:color w:val="auto"/>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240C4FC0">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14.政府采购合同转让和分包</w:t>
      </w:r>
    </w:p>
    <w:p w14:paraId="5A97B394">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除采购文件规定,并经需方事先书面同意外，供方不得部分转让和分包或全部转让和分包其应履行的政府采购合同义务。</w:t>
      </w:r>
    </w:p>
    <w:p w14:paraId="279ACA5D">
      <w:pPr>
        <w:spacing w:line="360" w:lineRule="auto"/>
        <w:ind w:firstLine="413" w:firstLineChars="196"/>
        <w:rPr>
          <w:rFonts w:ascii="仿宋" w:hAnsi="仿宋" w:eastAsia="仿宋" w:cs="仿宋"/>
          <w:color w:val="auto"/>
          <w:szCs w:val="21"/>
        </w:rPr>
      </w:pPr>
      <w:r>
        <w:rPr>
          <w:rFonts w:hint="eastAsia" w:ascii="仿宋" w:hAnsi="仿宋" w:eastAsia="仿宋" w:cs="仿宋"/>
          <w:b/>
          <w:color w:val="auto"/>
          <w:szCs w:val="21"/>
        </w:rPr>
        <w:t>15.适用法律：</w:t>
      </w:r>
      <w:r>
        <w:rPr>
          <w:rFonts w:hint="eastAsia" w:ascii="仿宋" w:hAnsi="仿宋" w:eastAsia="仿宋" w:cs="仿宋"/>
          <w:color w:val="auto"/>
          <w:szCs w:val="21"/>
        </w:rPr>
        <w:t>本政府采购合同按照中华人民共和国的现行法律进行解释。</w:t>
      </w:r>
    </w:p>
    <w:p w14:paraId="2968D4D1">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16.政府采购合同生效</w:t>
      </w:r>
    </w:p>
    <w:p w14:paraId="703DA1C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16.1本政府采购合同在供需双方法定代表人或其授权代理人签字和加盖公章后生效。</w:t>
      </w:r>
    </w:p>
    <w:p w14:paraId="48D6CF8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 xml:space="preserve">16.2本政府采购合同一式五份，需方执二份，供方、采购代理机构、财政部门各执一份。 </w:t>
      </w:r>
    </w:p>
    <w:p w14:paraId="691E22E5">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17.政府采购合同附件</w:t>
      </w:r>
    </w:p>
    <w:p w14:paraId="47622120">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下列文件构成本政府采购合同不可分割的组成部分，与本政府采购合同具有同等法律效力：</w:t>
      </w:r>
    </w:p>
    <w:p w14:paraId="5662700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17.1采购文件；</w:t>
      </w:r>
    </w:p>
    <w:p w14:paraId="50A06D0E">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17.2采购文件的更正公告、变更公告；</w:t>
      </w:r>
    </w:p>
    <w:p w14:paraId="575AA24B">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 xml:space="preserve">17.3中标供应商提交的响应文件；        </w:t>
      </w:r>
    </w:p>
    <w:p w14:paraId="5A57853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17.4政府采购合同条款；</w:t>
      </w:r>
    </w:p>
    <w:p w14:paraId="26CAF498">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17.5中标通知书；</w:t>
      </w:r>
    </w:p>
    <w:p w14:paraId="5BF3C201">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17.6政府采购合同的其它附件。</w:t>
      </w:r>
    </w:p>
    <w:p w14:paraId="555E0FD4">
      <w:pPr>
        <w:ind w:firstLine="470" w:firstLineChars="196"/>
        <w:rPr>
          <w:rFonts w:ascii="仿宋" w:hAnsi="仿宋" w:eastAsia="仿宋" w:cs="仿宋"/>
          <w:color w:val="auto"/>
          <w:sz w:val="24"/>
        </w:rPr>
      </w:pPr>
    </w:p>
    <w:p w14:paraId="277CF9BB">
      <w:pPr>
        <w:ind w:firstLine="470" w:firstLineChars="196"/>
        <w:rPr>
          <w:rFonts w:ascii="仿宋" w:hAnsi="仿宋" w:eastAsia="仿宋" w:cs="仿宋"/>
          <w:color w:val="auto"/>
          <w:sz w:val="24"/>
        </w:rPr>
      </w:pPr>
    </w:p>
    <w:p w14:paraId="13549705">
      <w:pPr>
        <w:rPr>
          <w:rFonts w:ascii="仿宋" w:hAnsi="仿宋" w:eastAsia="仿宋" w:cs="仿宋"/>
          <w:color w:val="auto"/>
          <w:sz w:val="24"/>
        </w:rPr>
      </w:pPr>
      <w:r>
        <w:rPr>
          <w:rFonts w:hint="eastAsia" w:ascii="仿宋" w:hAnsi="仿宋" w:eastAsia="仿宋" w:cs="仿宋"/>
          <w:color w:val="auto"/>
          <w:sz w:val="24"/>
        </w:rPr>
        <w:br w:type="page"/>
      </w:r>
    </w:p>
    <w:p w14:paraId="2B1917BC">
      <w:pPr>
        <w:pStyle w:val="3"/>
        <w:adjustRightInd w:val="0"/>
        <w:snapToGrid w:val="0"/>
        <w:spacing w:line="240" w:lineRule="auto"/>
        <w:jc w:val="center"/>
        <w:rPr>
          <w:rFonts w:ascii="仿宋" w:hAnsi="仿宋" w:eastAsia="仿宋" w:cs="仿宋"/>
          <w:color w:val="auto"/>
          <w:szCs w:val="28"/>
        </w:rPr>
      </w:pPr>
      <w:bookmarkStart w:id="123" w:name="_Toc11644_WPSOffice_Level1"/>
      <w:bookmarkStart w:id="124" w:name="_Toc7832_WPSOffice_Level1"/>
      <w:r>
        <w:rPr>
          <w:rFonts w:hint="eastAsia" w:ascii="仿宋" w:hAnsi="仿宋" w:eastAsia="仿宋" w:cs="仿宋"/>
          <w:color w:val="auto"/>
          <w:szCs w:val="28"/>
        </w:rPr>
        <w:t>政府采购合同格式</w:t>
      </w:r>
      <w:bookmarkEnd w:id="123"/>
      <w:bookmarkEnd w:id="124"/>
    </w:p>
    <w:p w14:paraId="204E26D4">
      <w:pPr>
        <w:autoSpaceDE w:val="0"/>
        <w:autoSpaceDN w:val="0"/>
        <w:adjustRightInd w:val="0"/>
        <w:spacing w:line="360" w:lineRule="auto"/>
        <w:ind w:right="-72"/>
        <w:jc w:val="left"/>
        <w:rPr>
          <w:rFonts w:ascii="仿宋" w:hAnsi="仿宋" w:eastAsia="仿宋" w:cs="仿宋"/>
          <w:b/>
          <w:color w:val="auto"/>
          <w:kern w:val="0"/>
          <w:sz w:val="28"/>
          <w:szCs w:val="28"/>
        </w:rPr>
      </w:pPr>
      <w:r>
        <w:rPr>
          <w:rFonts w:hint="eastAsia" w:ascii="仿宋" w:hAnsi="仿宋" w:eastAsia="仿宋" w:cs="仿宋"/>
          <w:color w:val="auto"/>
          <w:sz w:val="28"/>
          <w:szCs w:val="28"/>
        </w:rPr>
        <w:t xml:space="preserve">合同编号：             合同自编号：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项目编号：</w:t>
      </w:r>
    </w:p>
    <w:p w14:paraId="4ADE8FAE">
      <w:pPr>
        <w:autoSpaceDE w:val="0"/>
        <w:autoSpaceDN w:val="0"/>
        <w:adjustRightInd w:val="0"/>
        <w:spacing w:line="360" w:lineRule="auto"/>
        <w:ind w:right="568"/>
        <w:rPr>
          <w:rFonts w:ascii="仿宋" w:hAnsi="仿宋" w:eastAsia="仿宋" w:cs="仿宋"/>
          <w:color w:val="auto"/>
          <w:kern w:val="0"/>
          <w:sz w:val="22"/>
          <w:szCs w:val="32"/>
        </w:rPr>
      </w:pPr>
      <w:r>
        <w:rPr>
          <w:rFonts w:hint="eastAsia" w:ascii="仿宋" w:hAnsi="仿宋" w:eastAsia="仿宋" w:cs="仿宋"/>
          <w:color w:val="auto"/>
          <w:kern w:val="0"/>
          <w:sz w:val="22"/>
          <w:szCs w:val="32"/>
        </w:rPr>
        <w:t>●本合同须加盖甲乙双方骑缝章有效</w:t>
      </w:r>
    </w:p>
    <w:p w14:paraId="575BD9B9">
      <w:pPr>
        <w:autoSpaceDE w:val="0"/>
        <w:autoSpaceDN w:val="0"/>
        <w:adjustRightInd w:val="0"/>
        <w:spacing w:line="360" w:lineRule="auto"/>
        <w:jc w:val="center"/>
        <w:rPr>
          <w:rFonts w:ascii="仿宋" w:hAnsi="仿宋" w:eastAsia="仿宋" w:cs="仿宋"/>
          <w:color w:val="auto"/>
          <w:kern w:val="0"/>
          <w:sz w:val="22"/>
          <w:szCs w:val="32"/>
        </w:rPr>
      </w:pPr>
    </w:p>
    <w:p w14:paraId="6F708E4F">
      <w:pPr>
        <w:autoSpaceDE w:val="0"/>
        <w:autoSpaceDN w:val="0"/>
        <w:adjustRightInd w:val="0"/>
        <w:spacing w:line="360" w:lineRule="auto"/>
        <w:jc w:val="center"/>
        <w:rPr>
          <w:rFonts w:ascii="仿宋" w:hAnsi="仿宋" w:eastAsia="仿宋" w:cs="仿宋"/>
          <w:b/>
          <w:color w:val="auto"/>
          <w:kern w:val="0"/>
          <w:sz w:val="32"/>
          <w:szCs w:val="44"/>
        </w:rPr>
      </w:pPr>
      <w:r>
        <w:rPr>
          <w:rFonts w:hint="eastAsia" w:ascii="仿宋" w:hAnsi="仿宋" w:eastAsia="仿宋" w:cs="仿宋"/>
          <w:b/>
          <w:bCs/>
          <w:color w:val="auto"/>
          <w:kern w:val="0"/>
          <w:sz w:val="52"/>
          <w:szCs w:val="52"/>
        </w:rPr>
        <w:t>昆明市晋宁区人民法院移动安全办案办公服务项目</w:t>
      </w:r>
    </w:p>
    <w:p w14:paraId="05A69415">
      <w:pPr>
        <w:autoSpaceDE w:val="0"/>
        <w:autoSpaceDN w:val="0"/>
        <w:adjustRightInd w:val="0"/>
        <w:spacing w:line="360" w:lineRule="auto"/>
        <w:jc w:val="center"/>
        <w:rPr>
          <w:rFonts w:ascii="仿宋" w:hAnsi="仿宋" w:eastAsia="仿宋" w:cs="仿宋"/>
          <w:b/>
          <w:color w:val="auto"/>
          <w:kern w:val="0"/>
          <w:sz w:val="32"/>
          <w:szCs w:val="44"/>
        </w:rPr>
      </w:pPr>
      <w:r>
        <w:rPr>
          <w:rFonts w:hint="eastAsia" w:ascii="仿宋" w:hAnsi="仿宋" w:eastAsia="仿宋" w:cs="仿宋"/>
          <w:color w:val="auto"/>
          <w:sz w:val="24"/>
          <w:szCs w:val="33"/>
        </w:rPr>
        <w:t>（委托采购）</w:t>
      </w:r>
    </w:p>
    <w:p w14:paraId="4030247C">
      <w:pPr>
        <w:autoSpaceDE w:val="0"/>
        <w:autoSpaceDN w:val="0"/>
        <w:adjustRightInd w:val="0"/>
        <w:spacing w:line="360" w:lineRule="auto"/>
        <w:jc w:val="center"/>
        <w:rPr>
          <w:rFonts w:ascii="仿宋" w:hAnsi="仿宋" w:eastAsia="仿宋" w:cs="仿宋"/>
          <w:color w:val="auto"/>
          <w:kern w:val="0"/>
          <w:sz w:val="13"/>
          <w:szCs w:val="18"/>
        </w:rPr>
      </w:pPr>
    </w:p>
    <w:p w14:paraId="5D43B3BB">
      <w:pPr>
        <w:autoSpaceDE w:val="0"/>
        <w:autoSpaceDN w:val="0"/>
        <w:adjustRightInd w:val="0"/>
        <w:spacing w:line="360" w:lineRule="auto"/>
        <w:jc w:val="center"/>
        <w:rPr>
          <w:rFonts w:ascii="仿宋" w:hAnsi="仿宋" w:eastAsia="仿宋" w:cs="仿宋"/>
          <w:color w:val="auto"/>
          <w:kern w:val="0"/>
          <w:sz w:val="13"/>
          <w:szCs w:val="18"/>
        </w:rPr>
      </w:pPr>
    </w:p>
    <w:p w14:paraId="76C79E4B">
      <w:pPr>
        <w:autoSpaceDE w:val="0"/>
        <w:autoSpaceDN w:val="0"/>
        <w:adjustRightInd w:val="0"/>
        <w:spacing w:line="360" w:lineRule="auto"/>
        <w:jc w:val="center"/>
        <w:rPr>
          <w:rFonts w:ascii="仿宋" w:hAnsi="仿宋" w:eastAsia="仿宋" w:cs="仿宋"/>
          <w:color w:val="auto"/>
          <w:kern w:val="0"/>
          <w:sz w:val="84"/>
          <w:szCs w:val="84"/>
        </w:rPr>
      </w:pPr>
      <w:r>
        <w:rPr>
          <w:rFonts w:hint="eastAsia" w:ascii="仿宋" w:hAnsi="仿宋" w:eastAsia="仿宋" w:cs="仿宋"/>
          <w:color w:val="auto"/>
          <w:kern w:val="0"/>
          <w:sz w:val="84"/>
          <w:szCs w:val="84"/>
        </w:rPr>
        <w:t xml:space="preserve">合 </w:t>
      </w:r>
    </w:p>
    <w:p w14:paraId="09BAE6D5">
      <w:pPr>
        <w:autoSpaceDE w:val="0"/>
        <w:autoSpaceDN w:val="0"/>
        <w:adjustRightInd w:val="0"/>
        <w:spacing w:line="360" w:lineRule="auto"/>
        <w:jc w:val="center"/>
        <w:rPr>
          <w:rFonts w:ascii="仿宋" w:hAnsi="仿宋" w:eastAsia="仿宋" w:cs="仿宋"/>
          <w:color w:val="auto"/>
          <w:kern w:val="0"/>
          <w:sz w:val="84"/>
          <w:szCs w:val="84"/>
        </w:rPr>
      </w:pPr>
      <w:r>
        <w:rPr>
          <w:rFonts w:hint="eastAsia" w:ascii="仿宋" w:hAnsi="仿宋" w:eastAsia="仿宋" w:cs="仿宋"/>
          <w:color w:val="auto"/>
          <w:kern w:val="0"/>
          <w:sz w:val="84"/>
          <w:szCs w:val="84"/>
        </w:rPr>
        <w:t xml:space="preserve">同 </w:t>
      </w:r>
    </w:p>
    <w:p w14:paraId="599FC2B2">
      <w:pPr>
        <w:autoSpaceDE w:val="0"/>
        <w:autoSpaceDN w:val="0"/>
        <w:adjustRightInd w:val="0"/>
        <w:spacing w:line="360" w:lineRule="auto"/>
        <w:jc w:val="center"/>
        <w:rPr>
          <w:rFonts w:ascii="仿宋" w:hAnsi="仿宋" w:eastAsia="仿宋" w:cs="仿宋"/>
          <w:color w:val="auto"/>
          <w:kern w:val="0"/>
          <w:sz w:val="52"/>
          <w:szCs w:val="84"/>
        </w:rPr>
      </w:pPr>
      <w:r>
        <w:rPr>
          <w:rFonts w:hint="eastAsia" w:ascii="仿宋" w:hAnsi="仿宋" w:eastAsia="仿宋" w:cs="仿宋"/>
          <w:color w:val="auto"/>
          <w:kern w:val="0"/>
          <w:sz w:val="84"/>
          <w:szCs w:val="84"/>
        </w:rPr>
        <w:t xml:space="preserve">书 </w:t>
      </w:r>
    </w:p>
    <w:p w14:paraId="0E9260FD">
      <w:pPr>
        <w:autoSpaceDE w:val="0"/>
        <w:autoSpaceDN w:val="0"/>
        <w:adjustRightInd w:val="0"/>
        <w:spacing w:line="360" w:lineRule="auto"/>
        <w:jc w:val="center"/>
        <w:rPr>
          <w:rFonts w:ascii="仿宋" w:hAnsi="仿宋" w:eastAsia="仿宋" w:cs="仿宋"/>
          <w:color w:val="auto"/>
          <w:kern w:val="0"/>
          <w:sz w:val="48"/>
          <w:szCs w:val="72"/>
        </w:rPr>
      </w:pPr>
    </w:p>
    <w:p w14:paraId="24A0FD4B">
      <w:pPr>
        <w:autoSpaceDE w:val="0"/>
        <w:autoSpaceDN w:val="0"/>
        <w:adjustRightInd w:val="0"/>
        <w:spacing w:line="360" w:lineRule="auto"/>
        <w:jc w:val="center"/>
        <w:rPr>
          <w:rFonts w:ascii="仿宋" w:hAnsi="仿宋" w:eastAsia="仿宋" w:cs="仿宋"/>
          <w:b/>
          <w:color w:val="auto"/>
          <w:kern w:val="0"/>
          <w:sz w:val="32"/>
          <w:szCs w:val="32"/>
        </w:rPr>
      </w:pPr>
      <w:r>
        <w:rPr>
          <w:rFonts w:hint="eastAsia" w:ascii="仿宋" w:hAnsi="仿宋" w:eastAsia="仿宋" w:cs="仿宋"/>
          <w:b/>
          <w:color w:val="auto"/>
          <w:kern w:val="0"/>
          <w:sz w:val="32"/>
          <w:szCs w:val="32"/>
          <w:lang w:val="zh-CN"/>
        </w:rPr>
        <w:t>签订地点：</w:t>
      </w:r>
      <w:r>
        <w:rPr>
          <w:rFonts w:hint="eastAsia" w:ascii="仿宋" w:hAnsi="仿宋" w:eastAsia="仿宋" w:cs="仿宋"/>
          <w:b/>
          <w:color w:val="auto"/>
          <w:spacing w:val="40"/>
          <w:kern w:val="0"/>
          <w:sz w:val="32"/>
          <w:szCs w:val="32"/>
          <w:lang w:val="zh-CN"/>
        </w:rPr>
        <w:t xml:space="preserve"> 昆明市晋宁区人民法</w:t>
      </w:r>
      <w:r>
        <w:rPr>
          <w:rFonts w:hint="eastAsia" w:ascii="仿宋" w:hAnsi="仿宋" w:eastAsia="仿宋" w:cs="仿宋"/>
          <w:b/>
          <w:color w:val="auto"/>
          <w:spacing w:val="40"/>
          <w:kern w:val="0"/>
          <w:sz w:val="32"/>
          <w:szCs w:val="32"/>
        </w:rPr>
        <w:t>院</w:t>
      </w:r>
    </w:p>
    <w:p w14:paraId="3594A551">
      <w:pPr>
        <w:autoSpaceDE w:val="0"/>
        <w:autoSpaceDN w:val="0"/>
        <w:adjustRightInd w:val="0"/>
        <w:spacing w:line="360" w:lineRule="auto"/>
        <w:jc w:val="center"/>
        <w:rPr>
          <w:rFonts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签订日期：   年　月　日</w:t>
      </w:r>
    </w:p>
    <w:p w14:paraId="3CC6E651">
      <w:pPr>
        <w:autoSpaceDE w:val="0"/>
        <w:autoSpaceDN w:val="0"/>
        <w:adjustRightInd w:val="0"/>
        <w:spacing w:line="360" w:lineRule="auto"/>
        <w:jc w:val="center"/>
        <w:rPr>
          <w:rFonts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云南省财政厅　制</w:t>
      </w:r>
    </w:p>
    <w:p w14:paraId="3C2E429A">
      <w:pPr>
        <w:autoSpaceDE w:val="0"/>
        <w:autoSpaceDN w:val="0"/>
        <w:adjustRightInd w:val="0"/>
        <w:spacing w:line="360" w:lineRule="auto"/>
        <w:jc w:val="center"/>
        <w:rPr>
          <w:rFonts w:ascii="仿宋" w:hAnsi="仿宋" w:eastAsia="仿宋" w:cs="仿宋"/>
          <w:b/>
          <w:color w:val="auto"/>
          <w:kern w:val="0"/>
          <w:sz w:val="32"/>
          <w:szCs w:val="32"/>
          <w:lang w:val="zh-CN"/>
        </w:rPr>
      </w:pPr>
    </w:p>
    <w:p w14:paraId="2291A464">
      <w:pPr>
        <w:spacing w:line="360" w:lineRule="auto"/>
        <w:rPr>
          <w:rFonts w:ascii="仿宋" w:hAnsi="仿宋" w:eastAsia="仿宋" w:cs="仿宋"/>
          <w:color w:val="auto"/>
          <w:sz w:val="28"/>
          <w:szCs w:val="28"/>
        </w:rPr>
      </w:pPr>
      <w:r>
        <w:rPr>
          <w:rFonts w:hint="eastAsia" w:ascii="仿宋" w:hAnsi="仿宋" w:eastAsia="仿宋" w:cs="仿宋"/>
          <w:color w:val="auto"/>
          <w:szCs w:val="28"/>
        </w:rPr>
        <w:br w:type="page"/>
      </w:r>
      <w:r>
        <w:rPr>
          <w:rFonts w:hint="eastAsia" w:ascii="仿宋" w:hAnsi="仿宋" w:eastAsia="仿宋" w:cs="仿宋"/>
          <w:color w:val="auto"/>
          <w:sz w:val="28"/>
          <w:szCs w:val="28"/>
        </w:rPr>
        <w:t>甲方（采购人公章）名称：</w:t>
      </w:r>
    </w:p>
    <w:p w14:paraId="1D8C04E5">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520BC415">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5B67354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67E7902D">
      <w:pPr>
        <w:pStyle w:val="10"/>
        <w:spacing w:after="0"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0AEA30E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77CCB563">
      <w:pPr>
        <w:pStyle w:val="10"/>
        <w:spacing w:after="0" w:line="360" w:lineRule="auto"/>
        <w:rPr>
          <w:rFonts w:ascii="仿宋" w:hAnsi="仿宋" w:eastAsia="仿宋" w:cs="仿宋"/>
          <w:color w:val="auto"/>
        </w:rPr>
      </w:pPr>
      <w:r>
        <w:rPr>
          <w:rFonts w:hint="eastAsia" w:ascii="仿宋" w:hAnsi="仿宋" w:eastAsia="仿宋" w:cs="仿宋"/>
          <w:color w:val="auto"/>
          <w:sz w:val="28"/>
          <w:szCs w:val="28"/>
        </w:rPr>
        <w:t xml:space="preserve">              签订日期：</w:t>
      </w:r>
    </w:p>
    <w:p w14:paraId="2DDEDF92">
      <w:pPr>
        <w:spacing w:line="360" w:lineRule="auto"/>
        <w:rPr>
          <w:rFonts w:ascii="仿宋" w:hAnsi="仿宋" w:eastAsia="仿宋" w:cs="仿宋"/>
          <w:color w:val="auto"/>
          <w:sz w:val="28"/>
          <w:szCs w:val="28"/>
        </w:rPr>
      </w:pPr>
    </w:p>
    <w:p w14:paraId="14AD6CD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乙方（供应商公章）名称：</w:t>
      </w:r>
    </w:p>
    <w:p w14:paraId="114A9886">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2AC5AC7E">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252736C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725AB2EB">
      <w:pPr>
        <w:pStyle w:val="10"/>
        <w:spacing w:after="0"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34586E4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11D6DA9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签订日期：</w:t>
      </w:r>
    </w:p>
    <w:p w14:paraId="3D083D0A">
      <w:pPr>
        <w:autoSpaceDE w:val="0"/>
        <w:autoSpaceDN w:val="0"/>
        <w:adjustRightInd w:val="0"/>
        <w:spacing w:line="360" w:lineRule="auto"/>
        <w:jc w:val="left"/>
        <w:rPr>
          <w:rFonts w:ascii="仿宋" w:hAnsi="仿宋" w:eastAsia="仿宋" w:cs="仿宋"/>
          <w:color w:val="auto"/>
          <w:kern w:val="0"/>
          <w:sz w:val="24"/>
          <w:lang w:val="zh-CN"/>
        </w:rPr>
      </w:pPr>
    </w:p>
    <w:p w14:paraId="7BFA80A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丙方（鉴证方公章）名称：</w:t>
      </w:r>
    </w:p>
    <w:p w14:paraId="63067FA7">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152C2DEA">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700694A4">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4B7B717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140A4D11">
      <w:pPr>
        <w:autoSpaceDE w:val="0"/>
        <w:autoSpaceDN w:val="0"/>
        <w:adjustRightIn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44C6B6C4">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u w:val="single"/>
        </w:rPr>
        <w:t xml:space="preserve">    (需方名称</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（以下简称需方）和</w:t>
      </w:r>
      <w:r>
        <w:rPr>
          <w:rFonts w:hint="eastAsia" w:ascii="仿宋" w:hAnsi="仿宋" w:eastAsia="仿宋" w:cs="仿宋"/>
          <w:color w:val="auto"/>
          <w:szCs w:val="21"/>
          <w:u w:val="single"/>
        </w:rPr>
        <w:t xml:space="preserve">   (供方名称)    </w:t>
      </w:r>
      <w:r>
        <w:rPr>
          <w:rFonts w:hint="eastAsia" w:ascii="仿宋" w:hAnsi="仿宋" w:eastAsia="仿宋" w:cs="仿宋"/>
          <w:color w:val="auto"/>
          <w:szCs w:val="21"/>
        </w:rPr>
        <w:t xml:space="preserve"> （以下简称供方）根据《中华人民共和国民法典》和有关法律法规，遵循平等、自愿、公平和诚实信用原则，同意按照下面的条款和条件订立本政府采购合同，共同信守。</w:t>
      </w:r>
    </w:p>
    <w:p w14:paraId="3947E70E">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一、政府采购合同文件</w:t>
      </w:r>
    </w:p>
    <w:p w14:paraId="79981D4E">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本政府采购合同所附下列文件是构成本政府采购合同不可分割的部分：</w:t>
      </w:r>
    </w:p>
    <w:p w14:paraId="01B8C52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1.竞争性磋商文件（竞争性磋商文件编号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13F0203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2.竞争性磋商文件的更正公告、变更公告；</w:t>
      </w:r>
    </w:p>
    <w:p w14:paraId="7330C9E1">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3.成交供应商提交的响应文件；</w:t>
      </w:r>
    </w:p>
    <w:p w14:paraId="5F94D7DF">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4.政府采购合同条款；</w:t>
      </w:r>
    </w:p>
    <w:p w14:paraId="65AF020C">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5.成交通知书；</w:t>
      </w:r>
    </w:p>
    <w:p w14:paraId="41332D6D">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6.政府采购合同的其它附件。</w:t>
      </w:r>
    </w:p>
    <w:p w14:paraId="50B3A79F">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二、政府采购合同范围和条件</w:t>
      </w:r>
    </w:p>
    <w:p w14:paraId="5B97F5ED">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本政府采购合同的范围和条件与上述政府采购合同文件的规定相一致。</w:t>
      </w:r>
    </w:p>
    <w:p w14:paraId="299AC6D8">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三、政府采购合同标的</w:t>
      </w:r>
    </w:p>
    <w:p w14:paraId="2672756B">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本政府采购合同的标的为采购文件中所列相关服务及服务所需采购的货物。</w:t>
      </w:r>
    </w:p>
    <w:p w14:paraId="4091846D">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四、政府采购合同金额</w:t>
      </w:r>
    </w:p>
    <w:p w14:paraId="22CA212C">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根据上述政府采购合同文件要求，政府采购合同的总金额为人民币</w:t>
      </w:r>
      <w:r>
        <w:rPr>
          <w:rFonts w:hint="eastAsia" w:ascii="仿宋" w:hAnsi="仿宋" w:eastAsia="仿宋" w:cs="仿宋"/>
          <w:color w:val="auto"/>
          <w:szCs w:val="21"/>
          <w:u w:val="single"/>
        </w:rPr>
        <w:t xml:space="preserve">  （大写）                </w:t>
      </w:r>
      <w:r>
        <w:rPr>
          <w:rFonts w:hint="eastAsia" w:ascii="仿宋" w:hAnsi="仿宋" w:eastAsia="仿宋" w:cs="仿宋"/>
          <w:color w:val="auto"/>
          <w:szCs w:val="21"/>
        </w:rPr>
        <w:t xml:space="preserve"> 元。</w:t>
      </w:r>
    </w:p>
    <w:p w14:paraId="151913CD">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五、付款方式及条件</w:t>
      </w:r>
    </w:p>
    <w:p w14:paraId="20D1DFF1">
      <w:pPr>
        <w:spacing w:line="360" w:lineRule="auto"/>
        <w:jc w:val="left"/>
        <w:rPr>
          <w:rFonts w:ascii="仿宋" w:hAnsi="仿宋" w:eastAsia="仿宋" w:cs="仿宋"/>
          <w:b/>
          <w:color w:val="auto"/>
          <w:szCs w:val="21"/>
          <w:u w:val="single"/>
        </w:rPr>
      </w:pPr>
      <w:r>
        <w:rPr>
          <w:rFonts w:hint="eastAsia" w:ascii="仿宋" w:hAnsi="仿宋" w:eastAsia="仿宋" w:cs="仿宋"/>
          <w:b/>
          <w:color w:val="auto"/>
          <w:szCs w:val="21"/>
        </w:rPr>
        <w:t xml:space="preserve">     </w:t>
      </w:r>
      <w:r>
        <w:rPr>
          <w:rFonts w:hint="eastAsia" w:ascii="仿宋" w:hAnsi="仿宋" w:eastAsia="仿宋" w:cs="仿宋"/>
          <w:b/>
          <w:color w:val="auto"/>
          <w:szCs w:val="21"/>
          <w:u w:val="single"/>
        </w:rPr>
        <w:t xml:space="preserve">                  </w:t>
      </w:r>
    </w:p>
    <w:p w14:paraId="29BE2E58">
      <w:pPr>
        <w:spacing w:line="360" w:lineRule="auto"/>
        <w:jc w:val="left"/>
        <w:rPr>
          <w:rFonts w:ascii="仿宋" w:hAnsi="仿宋" w:eastAsia="仿宋" w:cs="仿宋"/>
          <w:color w:val="auto"/>
          <w:szCs w:val="21"/>
        </w:rPr>
      </w:pPr>
      <w:r>
        <w:rPr>
          <w:rFonts w:hint="eastAsia" w:ascii="仿宋" w:hAnsi="仿宋" w:eastAsia="仿宋" w:cs="仿宋"/>
          <w:b/>
          <w:color w:val="auto"/>
          <w:szCs w:val="21"/>
        </w:rPr>
        <w:t>　　六、服务时间和服务地点</w:t>
      </w:r>
      <w:r>
        <w:rPr>
          <w:rFonts w:hint="eastAsia" w:ascii="仿宋" w:hAnsi="仿宋" w:eastAsia="仿宋" w:cs="仿宋"/>
          <w:color w:val="auto"/>
          <w:szCs w:val="21"/>
        </w:rPr>
        <w:t xml:space="preserve">   </w:t>
      </w:r>
    </w:p>
    <w:p w14:paraId="45C76D5C">
      <w:pPr>
        <w:spacing w:line="360" w:lineRule="auto"/>
        <w:jc w:val="left"/>
        <w:rPr>
          <w:rFonts w:ascii="仿宋" w:hAnsi="仿宋" w:eastAsia="仿宋" w:cs="仿宋"/>
          <w:color w:val="auto"/>
          <w:szCs w:val="21"/>
          <w:u w:val="single"/>
        </w:rPr>
      </w:pPr>
      <w:r>
        <w:rPr>
          <w:rFonts w:hint="eastAsia" w:ascii="仿宋" w:hAnsi="仿宋" w:eastAsia="仿宋" w:cs="仿宋"/>
          <w:color w:val="auto"/>
          <w:szCs w:val="21"/>
        </w:rPr>
        <w:t xml:space="preserve">    1.服务时间：</w:t>
      </w:r>
      <w:r>
        <w:rPr>
          <w:rFonts w:hint="eastAsia" w:ascii="仿宋" w:hAnsi="仿宋" w:eastAsia="仿宋" w:cs="仿宋"/>
          <w:color w:val="auto"/>
          <w:szCs w:val="21"/>
          <w:u w:val="single"/>
        </w:rPr>
        <w:t xml:space="preserve">        </w:t>
      </w:r>
    </w:p>
    <w:p w14:paraId="33AD1FC7">
      <w:pPr>
        <w:spacing w:line="360" w:lineRule="auto"/>
        <w:jc w:val="left"/>
        <w:rPr>
          <w:rFonts w:ascii="仿宋" w:hAnsi="仿宋" w:eastAsia="仿宋" w:cs="仿宋"/>
          <w:color w:val="auto"/>
          <w:szCs w:val="21"/>
          <w:u w:val="single"/>
        </w:rPr>
      </w:pPr>
      <w:r>
        <w:rPr>
          <w:rFonts w:hint="eastAsia" w:ascii="仿宋" w:hAnsi="仿宋" w:eastAsia="仿宋" w:cs="仿宋"/>
          <w:color w:val="auto"/>
          <w:szCs w:val="21"/>
        </w:rPr>
        <w:t xml:space="preserve">    2.服务地点：</w:t>
      </w:r>
      <w:r>
        <w:rPr>
          <w:rFonts w:hint="eastAsia" w:ascii="仿宋" w:hAnsi="仿宋" w:eastAsia="仿宋" w:cs="仿宋"/>
          <w:color w:val="auto"/>
          <w:szCs w:val="21"/>
          <w:u w:val="single"/>
        </w:rPr>
        <w:t xml:space="preserve">        </w:t>
      </w:r>
    </w:p>
    <w:p w14:paraId="579ECD2C">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七、验收要求</w:t>
      </w:r>
    </w:p>
    <w:p w14:paraId="6B6F5170">
      <w:pPr>
        <w:spacing w:line="360" w:lineRule="auto"/>
        <w:jc w:val="left"/>
        <w:rPr>
          <w:rFonts w:ascii="仿宋" w:hAnsi="仿宋" w:eastAsia="仿宋" w:cs="仿宋"/>
          <w:color w:val="auto"/>
          <w:szCs w:val="21"/>
          <w:u w:val="single"/>
        </w:rPr>
      </w:pPr>
      <w:r>
        <w:rPr>
          <w:rFonts w:hint="eastAsia" w:ascii="仿宋" w:hAnsi="仿宋" w:eastAsia="仿宋" w:cs="仿宋"/>
          <w:b/>
          <w:color w:val="auto"/>
          <w:szCs w:val="21"/>
        </w:rPr>
        <w:t xml:space="preserve">    </w:t>
      </w:r>
      <w:r>
        <w:rPr>
          <w:rFonts w:hint="eastAsia" w:ascii="仿宋" w:hAnsi="仿宋" w:eastAsia="仿宋" w:cs="仿宋"/>
          <w:color w:val="auto"/>
          <w:szCs w:val="21"/>
        </w:rPr>
        <w:t>供方完全履行合同义务后，需方或需方的最终用户按照上述政府采购合同文件列明的标准进行验收，验收不合格的，供方需按照第八条的约定承担相应违约责任。</w:t>
      </w:r>
    </w:p>
    <w:p w14:paraId="16225286">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八、违约责任</w:t>
      </w:r>
    </w:p>
    <w:p w14:paraId="114F9EA9">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1.供方逾期提供服务的，每逾期一天向需方支付合同金额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%的违约金，逾期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日的，需方有权单方面解除本协议。</w:t>
      </w:r>
    </w:p>
    <w:p w14:paraId="685FFB00">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2.供方提供的服务不符合约定的，需方有权向供方书面提出整改意见，供方需无条件整改至符合约定，自需方向供方提出书面意见之日起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日内，供方仍未整改或整改后服务仍不符合约定的，需方有权单方面解除本协议。</w:t>
      </w:r>
    </w:p>
    <w:p w14:paraId="0602F23A">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3.需方逾期付款的，每逾期一天向供方支付逾期金额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%的违约金，逾期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日的，供方有权单方面解除本协议。</w:t>
      </w:r>
    </w:p>
    <w:p w14:paraId="593BE163">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九、争议解决</w:t>
      </w:r>
    </w:p>
    <w:p w14:paraId="4ECCFE0B">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双方因履行本协议而产生的争议，应友好协商解决，协商不成的，任何一方可向需方所在地的人民法院提起诉讼。</w:t>
      </w:r>
    </w:p>
    <w:p w14:paraId="67ADAED1">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十、合同生效</w:t>
      </w:r>
    </w:p>
    <w:p w14:paraId="71C10F7C">
      <w:pPr>
        <w:spacing w:line="480" w:lineRule="auto"/>
        <w:ind w:left="612"/>
        <w:rPr>
          <w:rFonts w:ascii="仿宋" w:hAnsi="仿宋" w:eastAsia="仿宋" w:cs="仿宋"/>
          <w:color w:val="auto"/>
          <w:sz w:val="24"/>
          <w:u w:val="single"/>
        </w:rPr>
      </w:pPr>
      <w:r>
        <w:rPr>
          <w:rFonts w:hint="eastAsia" w:ascii="仿宋" w:hAnsi="仿宋" w:eastAsia="仿宋" w:cs="仿宋"/>
          <w:color w:val="auto"/>
          <w:szCs w:val="21"/>
        </w:rPr>
        <w:t xml:space="preserve">    本政府采购合同经双方授权代表签字盖章后生效。</w:t>
      </w:r>
    </w:p>
    <w:p w14:paraId="2A2C1715">
      <w:pPr>
        <w:spacing w:line="360" w:lineRule="auto"/>
        <w:jc w:val="center"/>
        <w:outlineLvl w:val="0"/>
        <w:rPr>
          <w:rFonts w:ascii="仿宋" w:hAnsi="仿宋" w:eastAsia="仿宋" w:cs="仿宋"/>
          <w:color w:val="auto"/>
        </w:rPr>
      </w:pPr>
      <w:r>
        <w:rPr>
          <w:rFonts w:hint="eastAsia" w:ascii="仿宋" w:hAnsi="仿宋" w:eastAsia="仿宋" w:cs="仿宋"/>
          <w:color w:val="auto"/>
        </w:rPr>
        <w:br w:type="page"/>
      </w:r>
      <w:bookmarkStart w:id="125" w:name="_Toc26392"/>
      <w:r>
        <w:rPr>
          <w:rFonts w:hint="eastAsia" w:ascii="仿宋" w:hAnsi="仿宋" w:eastAsia="仿宋" w:cs="仿宋"/>
          <w:b/>
          <w:color w:val="auto"/>
          <w:kern w:val="44"/>
          <w:sz w:val="44"/>
        </w:rPr>
        <w:t>第七章 竞争性磋商文件补充内容</w:t>
      </w:r>
      <w:bookmarkEnd w:id="125"/>
    </w:p>
    <w:p w14:paraId="1924C1F3">
      <w:pPr>
        <w:pStyle w:val="3"/>
        <w:rPr>
          <w:rFonts w:ascii="仿宋" w:hAnsi="仿宋" w:eastAsia="仿宋" w:cs="仿宋"/>
          <w:color w:val="auto"/>
        </w:rPr>
      </w:pPr>
      <w:bookmarkStart w:id="126" w:name="_Toc19527"/>
      <w:bookmarkStart w:id="127" w:name="_Toc16695"/>
      <w:bookmarkStart w:id="128" w:name="_Toc10968"/>
      <w:r>
        <w:rPr>
          <w:rFonts w:hint="eastAsia" w:ascii="仿宋" w:hAnsi="仿宋" w:eastAsia="仿宋" w:cs="仿宋"/>
          <w:color w:val="auto"/>
        </w:rPr>
        <w:t>（一）统计上大中小微型企业划分标准</w:t>
      </w:r>
      <w:bookmarkEnd w:id="126"/>
      <w:bookmarkEnd w:id="127"/>
      <w:bookmarkEnd w:id="128"/>
    </w:p>
    <w:p w14:paraId="7D68B3EB">
      <w:pPr>
        <w:widowControl/>
        <w:spacing w:line="330" w:lineRule="atLeast"/>
        <w:jc w:val="left"/>
        <w:rPr>
          <w:rFonts w:ascii="仿宋" w:hAnsi="仿宋" w:eastAsia="仿宋" w:cs="仿宋"/>
          <w:color w:val="auto"/>
          <w:kern w:val="0"/>
          <w:sz w:val="24"/>
          <w:szCs w:val="2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373"/>
        <w:gridCol w:w="711"/>
        <w:gridCol w:w="1129"/>
        <w:gridCol w:w="1706"/>
        <w:gridCol w:w="1431"/>
        <w:gridCol w:w="995"/>
      </w:tblGrid>
      <w:tr w14:paraId="59C1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120" w:type="dxa"/>
            <w:noWrap/>
            <w:vAlign w:val="center"/>
          </w:tcPr>
          <w:p w14:paraId="76801177">
            <w:pPr>
              <w:widowControl/>
              <w:spacing w:line="240" w:lineRule="exact"/>
              <w:contextualSpacing/>
              <w:jc w:val="center"/>
              <w:rPr>
                <w:rFonts w:ascii="仿宋" w:hAnsi="仿宋" w:eastAsia="仿宋" w:cs="仿宋"/>
                <w:b/>
                <w:bCs/>
                <w:color w:val="auto"/>
                <w:kern w:val="0"/>
                <w:sz w:val="18"/>
                <w:szCs w:val="21"/>
              </w:rPr>
            </w:pPr>
            <w:r>
              <w:rPr>
                <w:rFonts w:hint="eastAsia" w:ascii="仿宋" w:hAnsi="仿宋" w:eastAsia="仿宋" w:cs="仿宋"/>
                <w:b/>
                <w:bCs/>
                <w:color w:val="auto"/>
                <w:kern w:val="0"/>
                <w:sz w:val="18"/>
                <w:szCs w:val="21"/>
              </w:rPr>
              <w:t>行业名称</w:t>
            </w:r>
          </w:p>
        </w:tc>
        <w:tc>
          <w:tcPr>
            <w:tcW w:w="1373" w:type="dxa"/>
            <w:noWrap/>
            <w:vAlign w:val="center"/>
          </w:tcPr>
          <w:p w14:paraId="54ABBC4F">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指标名称</w:t>
            </w:r>
          </w:p>
        </w:tc>
        <w:tc>
          <w:tcPr>
            <w:tcW w:w="711" w:type="dxa"/>
            <w:noWrap/>
            <w:vAlign w:val="center"/>
          </w:tcPr>
          <w:p w14:paraId="0B0318AA">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计量</w:t>
            </w:r>
            <w:r>
              <w:rPr>
                <w:rFonts w:hint="eastAsia" w:ascii="仿宋" w:hAnsi="仿宋" w:eastAsia="仿宋" w:cs="仿宋"/>
                <w:b/>
                <w:bCs/>
                <w:color w:val="auto"/>
                <w:kern w:val="0"/>
                <w:sz w:val="18"/>
                <w:szCs w:val="18"/>
              </w:rPr>
              <w:br w:type="textWrapping"/>
            </w:r>
            <w:r>
              <w:rPr>
                <w:rFonts w:hint="eastAsia" w:ascii="仿宋" w:hAnsi="仿宋" w:eastAsia="仿宋" w:cs="仿宋"/>
                <w:b/>
                <w:bCs/>
                <w:color w:val="auto"/>
                <w:kern w:val="0"/>
                <w:sz w:val="18"/>
                <w:szCs w:val="18"/>
              </w:rPr>
              <w:t>单位</w:t>
            </w:r>
          </w:p>
        </w:tc>
        <w:tc>
          <w:tcPr>
            <w:tcW w:w="1129" w:type="dxa"/>
            <w:noWrap/>
            <w:vAlign w:val="center"/>
          </w:tcPr>
          <w:p w14:paraId="60414A33">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大型</w:t>
            </w:r>
          </w:p>
        </w:tc>
        <w:tc>
          <w:tcPr>
            <w:tcW w:w="1706" w:type="dxa"/>
            <w:noWrap/>
            <w:vAlign w:val="center"/>
          </w:tcPr>
          <w:p w14:paraId="5D2FF2DB">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中型</w:t>
            </w:r>
          </w:p>
        </w:tc>
        <w:tc>
          <w:tcPr>
            <w:tcW w:w="1431" w:type="dxa"/>
            <w:noWrap/>
            <w:vAlign w:val="center"/>
          </w:tcPr>
          <w:p w14:paraId="7AB2DE78">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小型</w:t>
            </w:r>
          </w:p>
        </w:tc>
        <w:tc>
          <w:tcPr>
            <w:tcW w:w="995" w:type="dxa"/>
            <w:noWrap/>
            <w:vAlign w:val="center"/>
          </w:tcPr>
          <w:p w14:paraId="363B530F">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微型</w:t>
            </w:r>
          </w:p>
        </w:tc>
      </w:tr>
      <w:tr w14:paraId="5F62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noWrap/>
            <w:vAlign w:val="center"/>
          </w:tcPr>
          <w:p w14:paraId="3F10A480">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农、林、牧、渔业</w:t>
            </w:r>
          </w:p>
        </w:tc>
        <w:tc>
          <w:tcPr>
            <w:tcW w:w="1373" w:type="dxa"/>
            <w:noWrap/>
            <w:vAlign w:val="center"/>
          </w:tcPr>
          <w:p w14:paraId="78AEEB6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0048AB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D58116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w:t>
            </w:r>
          </w:p>
        </w:tc>
        <w:tc>
          <w:tcPr>
            <w:tcW w:w="1706" w:type="dxa"/>
            <w:noWrap/>
            <w:vAlign w:val="center"/>
          </w:tcPr>
          <w:p w14:paraId="1D35811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500≤Y＜20000</w:t>
            </w:r>
          </w:p>
        </w:tc>
        <w:tc>
          <w:tcPr>
            <w:tcW w:w="1431" w:type="dxa"/>
            <w:noWrap/>
            <w:vAlign w:val="center"/>
          </w:tcPr>
          <w:p w14:paraId="13FBE49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50≤Y＜500</w:t>
            </w:r>
          </w:p>
        </w:tc>
        <w:tc>
          <w:tcPr>
            <w:tcW w:w="995" w:type="dxa"/>
            <w:noWrap/>
            <w:vAlign w:val="center"/>
          </w:tcPr>
          <w:p w14:paraId="3599F75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2118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3B7D85D8">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工业 *</w:t>
            </w:r>
          </w:p>
        </w:tc>
        <w:tc>
          <w:tcPr>
            <w:tcW w:w="1373" w:type="dxa"/>
            <w:noWrap/>
            <w:vAlign w:val="center"/>
          </w:tcPr>
          <w:p w14:paraId="6F684F9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BFA1E5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CB04AB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12BB083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6FAECAC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156C5E5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72EC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1C3F3254">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DE3D8C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F4819F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2D62A29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Y≥40000</w:t>
            </w:r>
          </w:p>
        </w:tc>
        <w:tc>
          <w:tcPr>
            <w:tcW w:w="1706" w:type="dxa"/>
            <w:noWrap/>
            <w:vAlign w:val="center"/>
          </w:tcPr>
          <w:p w14:paraId="7B2CDEF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2000≤Y＜40000</w:t>
            </w:r>
          </w:p>
        </w:tc>
        <w:tc>
          <w:tcPr>
            <w:tcW w:w="1431" w:type="dxa"/>
            <w:noWrap/>
            <w:vAlign w:val="center"/>
          </w:tcPr>
          <w:p w14:paraId="77A8D4A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300≤Y＜2000</w:t>
            </w:r>
          </w:p>
        </w:tc>
        <w:tc>
          <w:tcPr>
            <w:tcW w:w="995" w:type="dxa"/>
            <w:noWrap/>
            <w:vAlign w:val="center"/>
          </w:tcPr>
          <w:p w14:paraId="6A7565C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391C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79615140">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建筑业</w:t>
            </w:r>
          </w:p>
        </w:tc>
        <w:tc>
          <w:tcPr>
            <w:tcW w:w="1373" w:type="dxa"/>
            <w:noWrap/>
            <w:vAlign w:val="center"/>
          </w:tcPr>
          <w:p w14:paraId="0A5BB99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AEFAA9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4B3E37C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Y≥80000</w:t>
            </w:r>
          </w:p>
        </w:tc>
        <w:tc>
          <w:tcPr>
            <w:tcW w:w="1706" w:type="dxa"/>
            <w:noWrap/>
            <w:vAlign w:val="center"/>
          </w:tcPr>
          <w:p w14:paraId="4030073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6000≤Y＜80000</w:t>
            </w:r>
          </w:p>
        </w:tc>
        <w:tc>
          <w:tcPr>
            <w:tcW w:w="1431" w:type="dxa"/>
            <w:noWrap/>
            <w:vAlign w:val="center"/>
          </w:tcPr>
          <w:p w14:paraId="3A6C4F0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300≤Y＜6000</w:t>
            </w:r>
          </w:p>
        </w:tc>
        <w:tc>
          <w:tcPr>
            <w:tcW w:w="995" w:type="dxa"/>
            <w:noWrap/>
            <w:vAlign w:val="center"/>
          </w:tcPr>
          <w:p w14:paraId="3B89470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7BB8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C25284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0D47E0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2395F1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0082C0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Z≥80000</w:t>
            </w:r>
          </w:p>
        </w:tc>
        <w:tc>
          <w:tcPr>
            <w:tcW w:w="1706" w:type="dxa"/>
            <w:noWrap/>
            <w:vAlign w:val="center"/>
          </w:tcPr>
          <w:p w14:paraId="2CCF925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5000≤Z＜80000</w:t>
            </w:r>
          </w:p>
        </w:tc>
        <w:tc>
          <w:tcPr>
            <w:tcW w:w="1431" w:type="dxa"/>
            <w:noWrap/>
            <w:vAlign w:val="center"/>
          </w:tcPr>
          <w:p w14:paraId="459E33D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300≤Z＜5000</w:t>
            </w:r>
          </w:p>
        </w:tc>
        <w:tc>
          <w:tcPr>
            <w:tcW w:w="995" w:type="dxa"/>
            <w:noWrap/>
            <w:vAlign w:val="center"/>
          </w:tcPr>
          <w:p w14:paraId="6DA7125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Z＜300</w:t>
            </w:r>
          </w:p>
        </w:tc>
      </w:tr>
      <w:tr w14:paraId="47E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178B8D53">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批发业</w:t>
            </w:r>
          </w:p>
        </w:tc>
        <w:tc>
          <w:tcPr>
            <w:tcW w:w="1373" w:type="dxa"/>
            <w:noWrap/>
            <w:vAlign w:val="center"/>
          </w:tcPr>
          <w:p w14:paraId="5B9205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7B81D13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402DC28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w:t>
            </w:r>
          </w:p>
        </w:tc>
        <w:tc>
          <w:tcPr>
            <w:tcW w:w="1706" w:type="dxa"/>
            <w:noWrap/>
            <w:vAlign w:val="center"/>
          </w:tcPr>
          <w:p w14:paraId="6638EDB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20≤X＜200</w:t>
            </w:r>
          </w:p>
        </w:tc>
        <w:tc>
          <w:tcPr>
            <w:tcW w:w="1431" w:type="dxa"/>
            <w:noWrap/>
            <w:vAlign w:val="center"/>
          </w:tcPr>
          <w:p w14:paraId="4AEB71D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5≤X＜20</w:t>
            </w:r>
          </w:p>
        </w:tc>
        <w:tc>
          <w:tcPr>
            <w:tcW w:w="995" w:type="dxa"/>
            <w:noWrap/>
            <w:vAlign w:val="center"/>
          </w:tcPr>
          <w:p w14:paraId="6C855C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X＜5</w:t>
            </w:r>
          </w:p>
        </w:tc>
      </w:tr>
      <w:tr w14:paraId="678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67A50E8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333BF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57C2914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504978B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Y≥40000</w:t>
            </w:r>
          </w:p>
        </w:tc>
        <w:tc>
          <w:tcPr>
            <w:tcW w:w="1706" w:type="dxa"/>
            <w:noWrap/>
            <w:vAlign w:val="center"/>
          </w:tcPr>
          <w:p w14:paraId="1B6301D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5000≤Y＜40000</w:t>
            </w:r>
          </w:p>
        </w:tc>
        <w:tc>
          <w:tcPr>
            <w:tcW w:w="1431" w:type="dxa"/>
            <w:noWrap/>
            <w:vAlign w:val="center"/>
          </w:tcPr>
          <w:p w14:paraId="2E033E2F">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995" w:type="dxa"/>
            <w:noWrap/>
            <w:vAlign w:val="center"/>
          </w:tcPr>
          <w:p w14:paraId="0A89237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w:t>
            </w:r>
          </w:p>
        </w:tc>
      </w:tr>
      <w:tr w14:paraId="2E79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57C28B27">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零售业</w:t>
            </w:r>
          </w:p>
        </w:tc>
        <w:tc>
          <w:tcPr>
            <w:tcW w:w="1373" w:type="dxa"/>
            <w:noWrap/>
            <w:vAlign w:val="center"/>
          </w:tcPr>
          <w:p w14:paraId="26EF70C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B1821D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4AF5269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1DE2B29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50≤X＜300</w:t>
            </w:r>
          </w:p>
        </w:tc>
        <w:tc>
          <w:tcPr>
            <w:tcW w:w="1431" w:type="dxa"/>
            <w:noWrap/>
            <w:vAlign w:val="center"/>
          </w:tcPr>
          <w:p w14:paraId="3AC7BE48">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10≤X＜50 </w:t>
            </w:r>
          </w:p>
        </w:tc>
        <w:tc>
          <w:tcPr>
            <w:tcW w:w="995" w:type="dxa"/>
            <w:noWrap/>
            <w:vAlign w:val="center"/>
          </w:tcPr>
          <w:p w14:paraId="4D88BE2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6840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2EFFA62F">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78476E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073FC35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549855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w:t>
            </w:r>
          </w:p>
        </w:tc>
        <w:tc>
          <w:tcPr>
            <w:tcW w:w="1706" w:type="dxa"/>
            <w:noWrap/>
            <w:vAlign w:val="center"/>
          </w:tcPr>
          <w:p w14:paraId="69AD5C5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500≤Y＜20000</w:t>
            </w:r>
          </w:p>
        </w:tc>
        <w:tc>
          <w:tcPr>
            <w:tcW w:w="1431" w:type="dxa"/>
            <w:noWrap/>
            <w:vAlign w:val="center"/>
          </w:tcPr>
          <w:p w14:paraId="5912541E">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100≤Y＜500 </w:t>
            </w:r>
          </w:p>
        </w:tc>
        <w:tc>
          <w:tcPr>
            <w:tcW w:w="995" w:type="dxa"/>
            <w:noWrap/>
            <w:vAlign w:val="center"/>
          </w:tcPr>
          <w:p w14:paraId="42E145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1DF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08714F8F">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交通运输业 *</w:t>
            </w:r>
          </w:p>
        </w:tc>
        <w:tc>
          <w:tcPr>
            <w:tcW w:w="1373" w:type="dxa"/>
            <w:noWrap/>
            <w:vAlign w:val="center"/>
          </w:tcPr>
          <w:p w14:paraId="0BB7181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4E176DF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6FFCDAF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15A7B5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53A9021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2596C8D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4BD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505F3EF2">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2F2B411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3EE7D74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06BF27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15654E2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3000≤Y＜30000</w:t>
            </w:r>
          </w:p>
        </w:tc>
        <w:tc>
          <w:tcPr>
            <w:tcW w:w="1431" w:type="dxa"/>
            <w:noWrap/>
            <w:vAlign w:val="center"/>
          </w:tcPr>
          <w:p w14:paraId="3CD3DE4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200≤Y＜3000</w:t>
            </w:r>
          </w:p>
        </w:tc>
        <w:tc>
          <w:tcPr>
            <w:tcW w:w="995" w:type="dxa"/>
            <w:noWrap/>
            <w:vAlign w:val="center"/>
          </w:tcPr>
          <w:p w14:paraId="1790BF7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w:t>
            </w:r>
          </w:p>
        </w:tc>
      </w:tr>
      <w:tr w14:paraId="4261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54CE50CE">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仓储业</w:t>
            </w:r>
          </w:p>
        </w:tc>
        <w:tc>
          <w:tcPr>
            <w:tcW w:w="1373" w:type="dxa"/>
            <w:noWrap/>
            <w:vAlign w:val="center"/>
          </w:tcPr>
          <w:p w14:paraId="29C7A66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947AD6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774307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w:t>
            </w:r>
          </w:p>
        </w:tc>
        <w:tc>
          <w:tcPr>
            <w:tcW w:w="1706" w:type="dxa"/>
            <w:noWrap/>
            <w:vAlign w:val="center"/>
          </w:tcPr>
          <w:p w14:paraId="13F2791B">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100≤X＜200</w:t>
            </w:r>
          </w:p>
        </w:tc>
        <w:tc>
          <w:tcPr>
            <w:tcW w:w="1431" w:type="dxa"/>
            <w:noWrap/>
            <w:vAlign w:val="center"/>
          </w:tcPr>
          <w:p w14:paraId="1171CDD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20≤X＜100</w:t>
            </w:r>
          </w:p>
        </w:tc>
        <w:tc>
          <w:tcPr>
            <w:tcW w:w="995" w:type="dxa"/>
            <w:noWrap/>
            <w:vAlign w:val="center"/>
          </w:tcPr>
          <w:p w14:paraId="2C732F2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C9E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0DAB599A">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650B5B7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3A648B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67C098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4D9F800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1000≤Y＜30000</w:t>
            </w:r>
          </w:p>
        </w:tc>
        <w:tc>
          <w:tcPr>
            <w:tcW w:w="1431" w:type="dxa"/>
            <w:noWrap/>
            <w:vAlign w:val="center"/>
          </w:tcPr>
          <w:p w14:paraId="3738F13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08C7C26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D17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775CCE92">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邮政业</w:t>
            </w:r>
          </w:p>
        </w:tc>
        <w:tc>
          <w:tcPr>
            <w:tcW w:w="1373" w:type="dxa"/>
            <w:noWrap/>
            <w:vAlign w:val="center"/>
          </w:tcPr>
          <w:p w14:paraId="1A1FC7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344B6AF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7508AF6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7550E90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63656C4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2BAEDA3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49A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3FDC09DC">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4990458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3652575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B6A675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47A52F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2000≤Y＜30000</w:t>
            </w:r>
          </w:p>
        </w:tc>
        <w:tc>
          <w:tcPr>
            <w:tcW w:w="1431" w:type="dxa"/>
            <w:noWrap/>
            <w:vAlign w:val="center"/>
          </w:tcPr>
          <w:p w14:paraId="6A107F6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5517F4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64D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6BF1D276">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住宿业</w:t>
            </w:r>
          </w:p>
        </w:tc>
        <w:tc>
          <w:tcPr>
            <w:tcW w:w="1373" w:type="dxa"/>
            <w:noWrap/>
            <w:vAlign w:val="center"/>
          </w:tcPr>
          <w:p w14:paraId="480260B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A8F451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14EECE4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1AFBEB8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29761BD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18F9655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4D5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62F5B4C6">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E6CA80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475CB22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27144A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0A9744A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431" w:type="dxa"/>
            <w:noWrap/>
            <w:vAlign w:val="center"/>
          </w:tcPr>
          <w:p w14:paraId="50B5E77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71CBEC3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6C5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04EC63EF">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餐饮业</w:t>
            </w:r>
          </w:p>
        </w:tc>
        <w:tc>
          <w:tcPr>
            <w:tcW w:w="1373" w:type="dxa"/>
            <w:noWrap/>
            <w:vAlign w:val="center"/>
          </w:tcPr>
          <w:p w14:paraId="03E0EDF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337D94F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0FC8B61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2F531A6">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4A07CD0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577FAE1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4BE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5BA495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C30CF1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73F1FD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FB5596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1B079D9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431" w:type="dxa"/>
            <w:noWrap/>
            <w:vAlign w:val="center"/>
          </w:tcPr>
          <w:p w14:paraId="32F9FBC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622B2FE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3F77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6A24E52A">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信息传输业 *</w:t>
            </w:r>
          </w:p>
        </w:tc>
        <w:tc>
          <w:tcPr>
            <w:tcW w:w="1373" w:type="dxa"/>
            <w:noWrap/>
            <w:vAlign w:val="center"/>
          </w:tcPr>
          <w:p w14:paraId="1A7489C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5A15410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02DB94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X≥2000</w:t>
            </w:r>
          </w:p>
        </w:tc>
        <w:tc>
          <w:tcPr>
            <w:tcW w:w="1706" w:type="dxa"/>
            <w:noWrap/>
            <w:vAlign w:val="center"/>
          </w:tcPr>
          <w:p w14:paraId="1F3EA1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100≤X＜2000</w:t>
            </w:r>
          </w:p>
        </w:tc>
        <w:tc>
          <w:tcPr>
            <w:tcW w:w="1431" w:type="dxa"/>
            <w:noWrap/>
            <w:vAlign w:val="center"/>
          </w:tcPr>
          <w:p w14:paraId="78C10A3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27F8F1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423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AE17E7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83812A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7B84D5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323175B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Y≥100000</w:t>
            </w:r>
          </w:p>
        </w:tc>
        <w:tc>
          <w:tcPr>
            <w:tcW w:w="1706" w:type="dxa"/>
            <w:noWrap/>
            <w:vAlign w:val="center"/>
          </w:tcPr>
          <w:p w14:paraId="5D15DC9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1000≤Y＜100000</w:t>
            </w:r>
          </w:p>
        </w:tc>
        <w:tc>
          <w:tcPr>
            <w:tcW w:w="1431" w:type="dxa"/>
            <w:noWrap/>
            <w:vAlign w:val="center"/>
          </w:tcPr>
          <w:p w14:paraId="345CC36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5E0675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2FA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08D2A5E3">
            <w:pPr>
              <w:widowControl/>
              <w:spacing w:line="240" w:lineRule="exact"/>
              <w:contextualSpacing/>
              <w:jc w:val="left"/>
              <w:rPr>
                <w:rFonts w:ascii="仿宋" w:hAnsi="仿宋" w:eastAsia="仿宋" w:cs="仿宋"/>
                <w:color w:val="auto"/>
                <w:spacing w:val="-12"/>
                <w:kern w:val="0"/>
                <w:sz w:val="18"/>
                <w:szCs w:val="18"/>
              </w:rPr>
            </w:pPr>
            <w:r>
              <w:rPr>
                <w:rFonts w:hint="eastAsia" w:ascii="仿宋" w:hAnsi="仿宋" w:eastAsia="仿宋" w:cs="仿宋"/>
                <w:color w:val="auto"/>
                <w:spacing w:val="-12"/>
                <w:kern w:val="0"/>
                <w:sz w:val="18"/>
                <w:szCs w:val="18"/>
              </w:rPr>
              <w:t>软件和信息技术服</w:t>
            </w:r>
            <w:r>
              <w:rPr>
                <w:rFonts w:hint="eastAsia" w:ascii="仿宋" w:hAnsi="仿宋" w:eastAsia="仿宋" w:cs="仿宋"/>
                <w:color w:val="auto"/>
                <w:kern w:val="0"/>
                <w:sz w:val="18"/>
                <w:szCs w:val="18"/>
              </w:rPr>
              <w:t>务业</w:t>
            </w:r>
          </w:p>
        </w:tc>
        <w:tc>
          <w:tcPr>
            <w:tcW w:w="1373" w:type="dxa"/>
            <w:noWrap/>
            <w:vAlign w:val="center"/>
          </w:tcPr>
          <w:p w14:paraId="2036910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F9B5BE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E7EFC0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7FD4CFFC">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1EAA660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5B60239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DF2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30E951C4">
            <w:pPr>
              <w:widowControl/>
              <w:spacing w:line="240" w:lineRule="exact"/>
              <w:contextualSpacing/>
              <w:jc w:val="left"/>
              <w:rPr>
                <w:rFonts w:ascii="仿宋" w:hAnsi="仿宋" w:eastAsia="仿宋" w:cs="仿宋"/>
                <w:color w:val="auto"/>
                <w:spacing w:val="-12"/>
                <w:kern w:val="0"/>
                <w:sz w:val="18"/>
                <w:szCs w:val="18"/>
              </w:rPr>
            </w:pPr>
          </w:p>
        </w:tc>
        <w:tc>
          <w:tcPr>
            <w:tcW w:w="1373" w:type="dxa"/>
            <w:noWrap/>
            <w:vAlign w:val="center"/>
          </w:tcPr>
          <w:p w14:paraId="1993744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135FB3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DB2C2E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22CB640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1000≤Y＜10000</w:t>
            </w:r>
          </w:p>
        </w:tc>
        <w:tc>
          <w:tcPr>
            <w:tcW w:w="1431" w:type="dxa"/>
            <w:noWrap/>
            <w:vAlign w:val="center"/>
          </w:tcPr>
          <w:p w14:paraId="410300E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50≤Y＜1000</w:t>
            </w:r>
          </w:p>
        </w:tc>
        <w:tc>
          <w:tcPr>
            <w:tcW w:w="995" w:type="dxa"/>
            <w:noWrap/>
            <w:vAlign w:val="center"/>
          </w:tcPr>
          <w:p w14:paraId="5197710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4A1A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55FA815B">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房地产开发经营</w:t>
            </w:r>
          </w:p>
        </w:tc>
        <w:tc>
          <w:tcPr>
            <w:tcW w:w="1373" w:type="dxa"/>
            <w:noWrap/>
            <w:vAlign w:val="center"/>
          </w:tcPr>
          <w:p w14:paraId="30763A9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10CF259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4EDD10A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Y≥200000</w:t>
            </w:r>
          </w:p>
        </w:tc>
        <w:tc>
          <w:tcPr>
            <w:tcW w:w="1706" w:type="dxa"/>
            <w:noWrap/>
            <w:vAlign w:val="center"/>
          </w:tcPr>
          <w:p w14:paraId="5331B7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1000≤Y＜200000</w:t>
            </w:r>
          </w:p>
        </w:tc>
        <w:tc>
          <w:tcPr>
            <w:tcW w:w="1431" w:type="dxa"/>
            <w:noWrap/>
            <w:vAlign w:val="center"/>
          </w:tcPr>
          <w:p w14:paraId="573AF90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264ACCF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461B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0CDEE42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BA6961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59C3AC0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1DD56FE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Z≥10000</w:t>
            </w:r>
          </w:p>
        </w:tc>
        <w:tc>
          <w:tcPr>
            <w:tcW w:w="1706" w:type="dxa"/>
            <w:noWrap/>
            <w:vAlign w:val="center"/>
          </w:tcPr>
          <w:p w14:paraId="11F3DAE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5000≤Z＜10000</w:t>
            </w:r>
          </w:p>
        </w:tc>
        <w:tc>
          <w:tcPr>
            <w:tcW w:w="1431" w:type="dxa"/>
            <w:noWrap/>
            <w:vAlign w:val="center"/>
          </w:tcPr>
          <w:p w14:paraId="328CD1D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2000≤Z＜5000   </w:t>
            </w:r>
          </w:p>
        </w:tc>
        <w:tc>
          <w:tcPr>
            <w:tcW w:w="995" w:type="dxa"/>
            <w:noWrap/>
            <w:vAlign w:val="center"/>
          </w:tcPr>
          <w:p w14:paraId="1C7ECC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Z＜2000</w:t>
            </w:r>
          </w:p>
        </w:tc>
      </w:tr>
      <w:tr w14:paraId="52D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02E9D82A">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物业管理</w:t>
            </w:r>
          </w:p>
        </w:tc>
        <w:tc>
          <w:tcPr>
            <w:tcW w:w="1373" w:type="dxa"/>
            <w:noWrap/>
            <w:vAlign w:val="center"/>
          </w:tcPr>
          <w:p w14:paraId="14F000C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45769EE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30F571D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5CE5AB8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337B9EB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995" w:type="dxa"/>
            <w:noWrap/>
            <w:vAlign w:val="center"/>
          </w:tcPr>
          <w:p w14:paraId="1D09FBF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6EEA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7AB87B33">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5058193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E6248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307A4DF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Y≥5000</w:t>
            </w:r>
          </w:p>
        </w:tc>
        <w:tc>
          <w:tcPr>
            <w:tcW w:w="1706" w:type="dxa"/>
            <w:noWrap/>
            <w:vAlign w:val="center"/>
          </w:tcPr>
          <w:p w14:paraId="41E7A81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1000≤Y＜5000 </w:t>
            </w:r>
          </w:p>
        </w:tc>
        <w:tc>
          <w:tcPr>
            <w:tcW w:w="1431" w:type="dxa"/>
            <w:noWrap/>
            <w:vAlign w:val="center"/>
          </w:tcPr>
          <w:p w14:paraId="345DE11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500≤Y＜1000</w:t>
            </w:r>
          </w:p>
        </w:tc>
        <w:tc>
          <w:tcPr>
            <w:tcW w:w="995" w:type="dxa"/>
            <w:noWrap/>
            <w:vAlign w:val="center"/>
          </w:tcPr>
          <w:p w14:paraId="12D4B24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Y＜500</w:t>
            </w:r>
          </w:p>
        </w:tc>
      </w:tr>
      <w:tr w14:paraId="2888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3A10C4B8">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租赁和商务服务业</w:t>
            </w:r>
          </w:p>
        </w:tc>
        <w:tc>
          <w:tcPr>
            <w:tcW w:w="1373" w:type="dxa"/>
            <w:noWrap/>
            <w:vAlign w:val="center"/>
          </w:tcPr>
          <w:p w14:paraId="21F9B97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F032B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67FBF1F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2E22C1A">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576AF08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2880E2C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5AE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031AF78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5016632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2278F07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17FD92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Z≥120000</w:t>
            </w:r>
          </w:p>
        </w:tc>
        <w:tc>
          <w:tcPr>
            <w:tcW w:w="1706" w:type="dxa"/>
            <w:noWrap/>
            <w:vAlign w:val="center"/>
          </w:tcPr>
          <w:p w14:paraId="448C543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8000≤Z＜120000</w:t>
            </w:r>
          </w:p>
        </w:tc>
        <w:tc>
          <w:tcPr>
            <w:tcW w:w="1431" w:type="dxa"/>
            <w:noWrap/>
            <w:vAlign w:val="center"/>
          </w:tcPr>
          <w:p w14:paraId="0C98A9C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100≤Z＜8000</w:t>
            </w:r>
          </w:p>
        </w:tc>
        <w:tc>
          <w:tcPr>
            <w:tcW w:w="995" w:type="dxa"/>
            <w:noWrap/>
            <w:vAlign w:val="center"/>
          </w:tcPr>
          <w:p w14:paraId="213578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Z＜100</w:t>
            </w:r>
          </w:p>
        </w:tc>
      </w:tr>
      <w:tr w14:paraId="4D2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noWrap/>
            <w:vAlign w:val="center"/>
          </w:tcPr>
          <w:p w14:paraId="1BBCE3D4">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其他未列明行业 *</w:t>
            </w:r>
          </w:p>
        </w:tc>
        <w:tc>
          <w:tcPr>
            <w:tcW w:w="1373" w:type="dxa"/>
            <w:noWrap/>
            <w:vAlign w:val="center"/>
          </w:tcPr>
          <w:p w14:paraId="665CE7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523487F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0AD58A5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351636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4F36489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0A1145A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bl>
    <w:p w14:paraId="3EDCC518">
      <w:pPr>
        <w:spacing w:line="276" w:lineRule="auto"/>
        <w:rPr>
          <w:rFonts w:ascii="仿宋" w:hAnsi="仿宋" w:eastAsia="仿宋" w:cs="仿宋"/>
          <w:color w:val="auto"/>
          <w:spacing w:val="8"/>
          <w:kern w:val="0"/>
          <w:sz w:val="24"/>
          <w:szCs w:val="22"/>
        </w:rPr>
      </w:pPr>
    </w:p>
    <w:p w14:paraId="6B5D2FC8">
      <w:pPr>
        <w:spacing w:line="360" w:lineRule="auto"/>
        <w:rPr>
          <w:rFonts w:ascii="仿宋" w:hAnsi="仿宋" w:eastAsia="仿宋" w:cs="仿宋"/>
          <w:color w:val="auto"/>
          <w:spacing w:val="8"/>
          <w:kern w:val="0"/>
          <w:sz w:val="24"/>
        </w:rPr>
      </w:pPr>
      <w:r>
        <w:rPr>
          <w:rFonts w:hint="eastAsia" w:ascii="仿宋" w:hAnsi="仿宋" w:eastAsia="仿宋" w:cs="仿宋"/>
          <w:color w:val="auto"/>
          <w:spacing w:val="8"/>
          <w:kern w:val="0"/>
          <w:sz w:val="24"/>
        </w:rPr>
        <w:t>说明：上述标准参照《关于印发中小企业划型标准规定的通知》（工信部联企业[2011]300号），大型、中型和小型企业须同时满足所列指标的下限，否则下划一档；微型企业只须满足所列指标中的一项即可。</w:t>
      </w:r>
    </w:p>
    <w:p w14:paraId="366D8BB4">
      <w:pPr>
        <w:spacing w:line="360" w:lineRule="auto"/>
        <w:rPr>
          <w:rFonts w:ascii="仿宋" w:hAnsi="仿宋" w:eastAsia="仿宋" w:cs="仿宋"/>
          <w:color w:val="auto"/>
          <w:sz w:val="24"/>
        </w:rPr>
      </w:pPr>
      <w:r>
        <w:rPr>
          <w:rFonts w:hint="eastAsia" w:ascii="仿宋" w:hAnsi="仿宋" w:eastAsia="仿宋" w:cs="仿宋"/>
          <w:color w:val="auto"/>
          <w:sz w:val="24"/>
        </w:rPr>
        <w:br w:type="page"/>
      </w:r>
    </w:p>
    <w:p w14:paraId="4529F28A">
      <w:pPr>
        <w:pStyle w:val="3"/>
        <w:rPr>
          <w:rFonts w:ascii="仿宋" w:hAnsi="仿宋" w:eastAsia="仿宋" w:cs="仿宋"/>
          <w:bCs/>
          <w:color w:val="auto"/>
          <w:szCs w:val="32"/>
        </w:rPr>
      </w:pPr>
      <w:bookmarkStart w:id="129" w:name="_Toc27507"/>
      <w:bookmarkStart w:id="130" w:name="_Toc28702"/>
      <w:bookmarkStart w:id="131" w:name="_Toc4057"/>
      <w:r>
        <w:rPr>
          <w:rFonts w:hint="eastAsia" w:ascii="仿宋" w:hAnsi="仿宋" w:eastAsia="仿宋" w:cs="仿宋"/>
          <w:bCs/>
          <w:color w:val="auto"/>
          <w:szCs w:val="32"/>
        </w:rPr>
        <w:t>（二）质疑函范本</w:t>
      </w:r>
      <w:bookmarkEnd w:id="129"/>
      <w:bookmarkEnd w:id="130"/>
      <w:bookmarkEnd w:id="131"/>
    </w:p>
    <w:p w14:paraId="03985B71">
      <w:pPr>
        <w:adjustRightInd w:val="0"/>
        <w:snapToGrid w:val="0"/>
        <w:spacing w:before="319" w:beforeLines="100" w:line="360" w:lineRule="auto"/>
        <w:rPr>
          <w:rFonts w:ascii="仿宋" w:hAnsi="仿宋" w:eastAsia="仿宋" w:cs="仿宋"/>
          <w:bCs/>
          <w:color w:val="auto"/>
          <w:sz w:val="24"/>
        </w:rPr>
      </w:pPr>
      <w:r>
        <w:rPr>
          <w:rFonts w:hint="eastAsia" w:ascii="仿宋" w:hAnsi="仿宋" w:eastAsia="仿宋" w:cs="仿宋"/>
          <w:bCs/>
          <w:color w:val="auto"/>
          <w:sz w:val="24"/>
        </w:rPr>
        <w:t>一、质疑供应商基本信息</w:t>
      </w:r>
    </w:p>
    <w:p w14:paraId="37828565">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质疑供应商：</w:t>
      </w:r>
    </w:p>
    <w:p w14:paraId="6607D5E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地址：邮编：</w:t>
      </w:r>
    </w:p>
    <w:p w14:paraId="42BFBFB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联系人：联系电话：</w:t>
      </w:r>
    </w:p>
    <w:p w14:paraId="4CDDEEE4">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授权代表：</w:t>
      </w:r>
    </w:p>
    <w:p w14:paraId="5ED69F5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联系电话：</w:t>
      </w:r>
    </w:p>
    <w:p w14:paraId="2C1E05D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地址： 邮编：</w:t>
      </w:r>
    </w:p>
    <w:p w14:paraId="78977048">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二、质疑项目基本情况</w:t>
      </w:r>
    </w:p>
    <w:p w14:paraId="05CA1B0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质疑项目的名称：</w:t>
      </w:r>
    </w:p>
    <w:p w14:paraId="634BF99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质疑项目的编号：包号：</w:t>
      </w:r>
    </w:p>
    <w:p w14:paraId="30FB3727">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采购人名称：</w:t>
      </w:r>
    </w:p>
    <w:p w14:paraId="2840731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采购文件获取日期：</w:t>
      </w:r>
    </w:p>
    <w:p w14:paraId="60E93262">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三、质疑事项具体内容</w:t>
      </w:r>
    </w:p>
    <w:p w14:paraId="6FA9B09D">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质疑事项1：</w:t>
      </w:r>
    </w:p>
    <w:p w14:paraId="2EEF0B9F">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事实依据：</w:t>
      </w:r>
    </w:p>
    <w:p w14:paraId="45AB5565">
      <w:pPr>
        <w:adjustRightInd w:val="0"/>
        <w:snapToGrid w:val="0"/>
        <w:spacing w:line="360" w:lineRule="auto"/>
        <w:rPr>
          <w:rFonts w:ascii="仿宋" w:hAnsi="仿宋" w:eastAsia="仿宋" w:cs="仿宋"/>
          <w:color w:val="auto"/>
          <w:sz w:val="24"/>
        </w:rPr>
      </w:pPr>
    </w:p>
    <w:p w14:paraId="419C5E46">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法律依据：</w:t>
      </w:r>
    </w:p>
    <w:p w14:paraId="51C90C3A">
      <w:pPr>
        <w:adjustRightInd w:val="0"/>
        <w:snapToGrid w:val="0"/>
        <w:spacing w:line="360" w:lineRule="auto"/>
        <w:rPr>
          <w:rFonts w:ascii="仿宋" w:hAnsi="仿宋" w:eastAsia="仿宋" w:cs="仿宋"/>
          <w:color w:val="auto"/>
          <w:sz w:val="24"/>
          <w:u w:val="dotted"/>
        </w:rPr>
      </w:pPr>
    </w:p>
    <w:p w14:paraId="23ABB7FE">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质疑事项2</w:t>
      </w:r>
    </w:p>
    <w:p w14:paraId="097DD50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w:t>
      </w:r>
    </w:p>
    <w:p w14:paraId="508FA720">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四、与质疑事项相关的质疑请求</w:t>
      </w:r>
    </w:p>
    <w:p w14:paraId="34E527FE">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请求：</w:t>
      </w:r>
    </w:p>
    <w:p w14:paraId="584A462F">
      <w:pPr>
        <w:rPr>
          <w:rFonts w:ascii="仿宋" w:hAnsi="仿宋" w:eastAsia="仿宋" w:cs="仿宋"/>
          <w:color w:val="auto"/>
          <w:sz w:val="24"/>
        </w:rPr>
      </w:pPr>
      <w:r>
        <w:rPr>
          <w:rFonts w:hint="eastAsia" w:ascii="仿宋" w:hAnsi="仿宋" w:eastAsia="仿宋" w:cs="仿宋"/>
          <w:color w:val="auto"/>
          <w:sz w:val="24"/>
        </w:rPr>
        <w:t xml:space="preserve">签字(签字或盖章)：                   公章：                      </w:t>
      </w:r>
    </w:p>
    <w:p w14:paraId="1ADCA492">
      <w:pPr>
        <w:rPr>
          <w:rFonts w:ascii="仿宋" w:hAnsi="仿宋" w:eastAsia="仿宋" w:cs="仿宋"/>
          <w:color w:val="auto"/>
          <w:sz w:val="24"/>
        </w:rPr>
      </w:pPr>
      <w:r>
        <w:rPr>
          <w:rFonts w:hint="eastAsia" w:ascii="仿宋" w:hAnsi="仿宋" w:eastAsia="仿宋" w:cs="仿宋"/>
          <w:color w:val="auto"/>
          <w:sz w:val="24"/>
        </w:rPr>
        <w:t xml:space="preserve">日期：    </w:t>
      </w:r>
    </w:p>
    <w:p w14:paraId="69E186A2">
      <w:pPr>
        <w:adjustRightInd w:val="0"/>
        <w:snapToGrid w:val="0"/>
        <w:spacing w:line="360" w:lineRule="auto"/>
        <w:rPr>
          <w:rFonts w:ascii="仿宋" w:hAnsi="仿宋" w:eastAsia="仿宋" w:cs="仿宋"/>
          <w:color w:val="auto"/>
          <w:szCs w:val="21"/>
        </w:rPr>
      </w:pPr>
    </w:p>
    <w:p w14:paraId="21E7E690">
      <w:pPr>
        <w:adjustRightInd w:val="0"/>
        <w:snapToGrid w:val="0"/>
        <w:spacing w:line="360" w:lineRule="auto"/>
        <w:rPr>
          <w:rFonts w:ascii="仿宋" w:hAnsi="仿宋" w:eastAsia="仿宋" w:cs="仿宋"/>
          <w:color w:val="auto"/>
          <w:szCs w:val="21"/>
        </w:rPr>
      </w:pPr>
    </w:p>
    <w:p w14:paraId="66675700">
      <w:pPr>
        <w:jc w:val="center"/>
        <w:rPr>
          <w:rFonts w:ascii="仿宋" w:hAnsi="仿宋" w:eastAsia="仿宋" w:cs="仿宋"/>
          <w:b/>
          <w:bCs/>
          <w:color w:val="auto"/>
          <w:szCs w:val="21"/>
        </w:rPr>
      </w:pPr>
    </w:p>
    <w:p w14:paraId="50D7E23D">
      <w:pPr>
        <w:jc w:val="center"/>
        <w:rPr>
          <w:rFonts w:ascii="仿宋" w:hAnsi="仿宋" w:eastAsia="仿宋" w:cs="仿宋"/>
          <w:b/>
          <w:bCs/>
          <w:color w:val="auto"/>
          <w:szCs w:val="21"/>
        </w:rPr>
      </w:pPr>
    </w:p>
    <w:p w14:paraId="401D6B5F">
      <w:pPr>
        <w:jc w:val="center"/>
        <w:rPr>
          <w:rFonts w:ascii="仿宋" w:hAnsi="仿宋" w:eastAsia="仿宋" w:cs="仿宋"/>
          <w:b/>
          <w:bCs/>
          <w:color w:val="auto"/>
          <w:szCs w:val="21"/>
        </w:rPr>
      </w:pPr>
    </w:p>
    <w:p w14:paraId="0E6C293B">
      <w:pPr>
        <w:pStyle w:val="5"/>
        <w:ind w:firstLine="0"/>
        <w:rPr>
          <w:color w:val="auto"/>
        </w:rPr>
      </w:pPr>
    </w:p>
    <w:p w14:paraId="13983800">
      <w:pPr>
        <w:rPr>
          <w:rFonts w:ascii="仿宋" w:hAnsi="仿宋" w:eastAsia="仿宋" w:cs="仿宋"/>
          <w:b/>
          <w:color w:val="auto"/>
          <w:szCs w:val="21"/>
        </w:rPr>
      </w:pPr>
    </w:p>
    <w:p w14:paraId="514606EB">
      <w:pPr>
        <w:spacing w:line="360" w:lineRule="auto"/>
        <w:rPr>
          <w:rFonts w:ascii="仿宋" w:hAnsi="仿宋" w:eastAsia="仿宋" w:cs="仿宋"/>
          <w:b/>
          <w:color w:val="auto"/>
          <w:sz w:val="24"/>
        </w:rPr>
      </w:pPr>
      <w:r>
        <w:rPr>
          <w:rFonts w:hint="eastAsia" w:ascii="仿宋" w:hAnsi="仿宋" w:eastAsia="仿宋" w:cs="仿宋"/>
          <w:b/>
          <w:color w:val="auto"/>
          <w:sz w:val="24"/>
        </w:rPr>
        <w:t>质疑函制作说明：</w:t>
      </w:r>
    </w:p>
    <w:p w14:paraId="1E3DED55">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644CC1A5">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w:t>
      </w:r>
      <w:r>
        <w:rPr>
          <w:rFonts w:hint="eastAsia" w:ascii="仿宋" w:hAnsi="仿宋" w:eastAsia="仿宋" w:cs="仿宋"/>
          <w:color w:val="auto"/>
          <w:kern w:val="0"/>
          <w:sz w:val="24"/>
        </w:rPr>
        <w:t>供应商签署的授权委托书。授权委托书应载明代理人的姓名或者名称、代理事项、具体权限、期限和相关事项。</w:t>
      </w:r>
    </w:p>
    <w:p w14:paraId="2A961E56">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157E282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1FA3F949">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14:paraId="0315058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14:paraId="47BFBAA1">
      <w:pPr>
        <w:adjustRightInd w:val="0"/>
        <w:snapToGrid w:val="0"/>
        <w:spacing w:line="360" w:lineRule="auto"/>
        <w:rPr>
          <w:rFonts w:ascii="仿宋" w:hAnsi="仿宋" w:eastAsia="仿宋" w:cs="仿宋"/>
          <w:color w:val="auto"/>
          <w:szCs w:val="21"/>
          <w:u w:val="single"/>
        </w:rPr>
      </w:pPr>
    </w:p>
    <w:p w14:paraId="3D6A9980">
      <w:pPr>
        <w:adjustRightInd w:val="0"/>
        <w:snapToGrid w:val="0"/>
        <w:spacing w:line="360" w:lineRule="auto"/>
        <w:jc w:val="right"/>
        <w:rPr>
          <w:rFonts w:ascii="仿宋" w:hAnsi="仿宋" w:eastAsia="仿宋" w:cs="仿宋"/>
          <w:color w:val="auto"/>
          <w:szCs w:val="21"/>
        </w:rPr>
      </w:pPr>
    </w:p>
    <w:p w14:paraId="4EF79969">
      <w:pPr>
        <w:pStyle w:val="3"/>
        <w:rPr>
          <w:rFonts w:ascii="仿宋" w:hAnsi="仿宋" w:eastAsia="仿宋" w:cs="仿宋"/>
          <w:bCs/>
          <w:color w:val="auto"/>
          <w:szCs w:val="32"/>
        </w:rPr>
      </w:pPr>
      <w:r>
        <w:rPr>
          <w:rFonts w:hint="eastAsia" w:ascii="仿宋" w:hAnsi="仿宋" w:eastAsia="仿宋" w:cs="仿宋"/>
          <w:color w:val="auto"/>
          <w:szCs w:val="21"/>
        </w:rPr>
        <w:br w:type="page"/>
      </w:r>
      <w:r>
        <w:rPr>
          <w:rFonts w:hint="eastAsia" w:ascii="仿宋" w:hAnsi="仿宋" w:eastAsia="仿宋" w:cs="仿宋"/>
          <w:bCs/>
          <w:color w:val="auto"/>
          <w:szCs w:val="32"/>
        </w:rPr>
        <w:t>（三）投诉书范本</w:t>
      </w:r>
    </w:p>
    <w:p w14:paraId="7438FC66">
      <w:pPr>
        <w:spacing w:line="360" w:lineRule="auto"/>
        <w:rPr>
          <w:rFonts w:ascii="仿宋" w:hAnsi="仿宋" w:eastAsia="仿宋" w:cs="仿宋"/>
          <w:color w:val="auto"/>
          <w:sz w:val="24"/>
        </w:rPr>
      </w:pPr>
      <w:r>
        <w:rPr>
          <w:rFonts w:hint="eastAsia" w:ascii="仿宋" w:hAnsi="仿宋" w:eastAsia="仿宋" w:cs="仿宋"/>
          <w:color w:val="auto"/>
          <w:sz w:val="24"/>
        </w:rPr>
        <w:t>一、投诉相关主体基本情况</w:t>
      </w:r>
    </w:p>
    <w:p w14:paraId="34455DAE">
      <w:pPr>
        <w:spacing w:line="360" w:lineRule="auto"/>
        <w:rPr>
          <w:rFonts w:ascii="仿宋" w:hAnsi="仿宋" w:eastAsia="仿宋" w:cs="仿宋"/>
          <w:color w:val="auto"/>
          <w:sz w:val="24"/>
          <w:u w:val="dotted"/>
        </w:rPr>
      </w:pPr>
      <w:r>
        <w:rPr>
          <w:rFonts w:hint="eastAsia" w:ascii="仿宋" w:hAnsi="仿宋" w:eastAsia="仿宋" w:cs="仿宋"/>
          <w:color w:val="auto"/>
          <w:sz w:val="24"/>
        </w:rPr>
        <w:t>投诉人：</w:t>
      </w:r>
      <w:r>
        <w:rPr>
          <w:rFonts w:hint="eastAsia" w:ascii="仿宋" w:hAnsi="仿宋" w:eastAsia="仿宋" w:cs="仿宋"/>
          <w:color w:val="auto"/>
          <w:sz w:val="24"/>
          <w:u w:val="dotted"/>
        </w:rPr>
        <w:t xml:space="preserve">                                               </w:t>
      </w:r>
    </w:p>
    <w:p w14:paraId="6E008A91">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69336561">
      <w:pPr>
        <w:tabs>
          <w:tab w:val="left" w:pos="6510"/>
        </w:tabs>
        <w:spacing w:line="360" w:lineRule="auto"/>
        <w:jc w:val="left"/>
        <w:rPr>
          <w:rFonts w:ascii="仿宋" w:hAnsi="仿宋" w:eastAsia="仿宋" w:cs="仿宋"/>
          <w:color w:val="auto"/>
          <w:sz w:val="24"/>
        </w:rPr>
      </w:pPr>
      <w:r>
        <w:rPr>
          <w:rFonts w:hint="eastAsia" w:ascii="仿宋" w:hAnsi="仿宋" w:eastAsia="仿宋" w:cs="仿宋"/>
          <w:color w:val="auto"/>
          <w:sz w:val="24"/>
        </w:rPr>
        <w:t>法定代表人/主要负责人：</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7EC11A99">
      <w:pPr>
        <w:tabs>
          <w:tab w:val="left" w:pos="6510"/>
        </w:tabs>
        <w:spacing w:line="360" w:lineRule="auto"/>
        <w:rPr>
          <w:rFonts w:ascii="仿宋" w:hAnsi="仿宋" w:eastAsia="仿宋" w:cs="仿宋"/>
          <w:color w:val="auto"/>
          <w:sz w:val="24"/>
          <w:u w:val="dotted"/>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448B400A">
      <w:pPr>
        <w:spacing w:line="360" w:lineRule="auto"/>
        <w:rPr>
          <w:rFonts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1A005F42">
      <w:pPr>
        <w:spacing w:line="360" w:lineRule="auto"/>
        <w:rPr>
          <w:rFonts w:ascii="仿宋" w:hAnsi="仿宋" w:eastAsia="仿宋" w:cs="仿宋"/>
          <w:color w:val="auto"/>
          <w:sz w:val="24"/>
          <w:u w:val="dotted"/>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3FE043B4">
      <w:pPr>
        <w:spacing w:line="360" w:lineRule="auto"/>
        <w:rPr>
          <w:rFonts w:ascii="仿宋" w:hAnsi="仿宋" w:eastAsia="仿宋" w:cs="仿宋"/>
          <w:color w:val="auto"/>
          <w:sz w:val="24"/>
          <w:u w:val="single"/>
        </w:rPr>
      </w:pPr>
      <w:r>
        <w:rPr>
          <w:rFonts w:hint="eastAsia" w:ascii="仿宋" w:hAnsi="仿宋" w:eastAsia="仿宋" w:cs="仿宋"/>
          <w:color w:val="auto"/>
          <w:sz w:val="24"/>
        </w:rPr>
        <w:t>被投诉人1：</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F5EAFDD">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F897EB1">
      <w:pPr>
        <w:spacing w:line="360" w:lineRule="auto"/>
        <w:rPr>
          <w:rFonts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96238CE">
      <w:pPr>
        <w:spacing w:line="360" w:lineRule="auto"/>
        <w:rPr>
          <w:rFonts w:ascii="仿宋" w:hAnsi="仿宋" w:eastAsia="仿宋" w:cs="仿宋"/>
          <w:color w:val="auto"/>
          <w:sz w:val="24"/>
        </w:rPr>
      </w:pPr>
      <w:r>
        <w:rPr>
          <w:rFonts w:hint="eastAsia" w:ascii="仿宋" w:hAnsi="仿宋" w:eastAsia="仿宋" w:cs="仿宋"/>
          <w:color w:val="auto"/>
          <w:sz w:val="24"/>
        </w:rPr>
        <w:t>被投诉人2</w:t>
      </w:r>
    </w:p>
    <w:p w14:paraId="6E5085D9">
      <w:pPr>
        <w:spacing w:line="360" w:lineRule="auto"/>
        <w:rPr>
          <w:rFonts w:ascii="仿宋" w:hAnsi="仿宋" w:eastAsia="仿宋" w:cs="仿宋"/>
          <w:color w:val="auto"/>
          <w:sz w:val="24"/>
          <w:u w:val="dotted"/>
        </w:rPr>
      </w:pPr>
      <w:r>
        <w:rPr>
          <w:rFonts w:hint="eastAsia" w:ascii="仿宋" w:hAnsi="仿宋" w:eastAsia="仿宋" w:cs="仿宋"/>
          <w:color w:val="auto"/>
          <w:sz w:val="24"/>
        </w:rPr>
        <w:t>……</w:t>
      </w:r>
    </w:p>
    <w:p w14:paraId="4AF9FE2E">
      <w:pPr>
        <w:spacing w:line="360" w:lineRule="auto"/>
        <w:rPr>
          <w:rFonts w:ascii="仿宋" w:hAnsi="仿宋" w:eastAsia="仿宋" w:cs="仿宋"/>
          <w:color w:val="auto"/>
          <w:sz w:val="24"/>
          <w:u w:val="single"/>
        </w:rPr>
      </w:pPr>
      <w:r>
        <w:rPr>
          <w:rFonts w:hint="eastAsia" w:ascii="仿宋" w:hAnsi="仿宋" w:eastAsia="仿宋" w:cs="仿宋"/>
          <w:color w:val="auto"/>
          <w:sz w:val="24"/>
        </w:rPr>
        <w:t>相关供应商：</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BD627FA">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499012D">
      <w:pPr>
        <w:spacing w:line="360" w:lineRule="auto"/>
        <w:rPr>
          <w:rFonts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47A0B45">
      <w:pPr>
        <w:spacing w:line="360" w:lineRule="auto"/>
        <w:rPr>
          <w:rFonts w:ascii="仿宋" w:hAnsi="仿宋" w:eastAsia="仿宋" w:cs="仿宋"/>
          <w:color w:val="auto"/>
          <w:sz w:val="24"/>
        </w:rPr>
      </w:pPr>
      <w:r>
        <w:rPr>
          <w:rFonts w:hint="eastAsia" w:ascii="仿宋" w:hAnsi="仿宋" w:eastAsia="仿宋" w:cs="仿宋"/>
          <w:color w:val="auto"/>
          <w:sz w:val="24"/>
        </w:rPr>
        <w:t>二、投诉项目基本情况</w:t>
      </w:r>
    </w:p>
    <w:p w14:paraId="41A5D799">
      <w:pPr>
        <w:spacing w:line="360" w:lineRule="auto"/>
        <w:rPr>
          <w:rFonts w:ascii="仿宋" w:hAnsi="仿宋" w:eastAsia="仿宋" w:cs="仿宋"/>
          <w:color w:val="auto"/>
          <w:sz w:val="24"/>
          <w:u w:val="dotted"/>
        </w:rPr>
      </w:pPr>
      <w:r>
        <w:rPr>
          <w:rFonts w:hint="eastAsia" w:ascii="仿宋" w:hAnsi="仿宋" w:eastAsia="仿宋" w:cs="仿宋"/>
          <w:color w:val="auto"/>
          <w:sz w:val="24"/>
        </w:rPr>
        <w:t>采购项目名称：</w:t>
      </w:r>
      <w:r>
        <w:rPr>
          <w:rFonts w:hint="eastAsia" w:ascii="仿宋" w:hAnsi="仿宋" w:eastAsia="仿宋" w:cs="仿宋"/>
          <w:color w:val="auto"/>
          <w:sz w:val="24"/>
          <w:u w:val="dotted"/>
        </w:rPr>
        <w:t xml:space="preserve">                                        </w:t>
      </w:r>
    </w:p>
    <w:p w14:paraId="1671821E">
      <w:pPr>
        <w:spacing w:line="360" w:lineRule="auto"/>
        <w:rPr>
          <w:rFonts w:ascii="仿宋" w:hAnsi="仿宋" w:eastAsia="仿宋" w:cs="仿宋"/>
          <w:color w:val="auto"/>
          <w:sz w:val="24"/>
          <w:u w:val="single"/>
        </w:rPr>
      </w:pPr>
      <w:r>
        <w:rPr>
          <w:rFonts w:hint="eastAsia" w:ascii="仿宋" w:hAnsi="仿宋" w:eastAsia="仿宋" w:cs="仿宋"/>
          <w:color w:val="auto"/>
          <w:sz w:val="24"/>
        </w:rPr>
        <w:t>采购项目编号：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5A9F1F1D">
      <w:pPr>
        <w:spacing w:line="360" w:lineRule="auto"/>
        <w:rPr>
          <w:rFonts w:ascii="仿宋" w:hAnsi="仿宋" w:eastAsia="仿宋" w:cs="仿宋"/>
          <w:color w:val="auto"/>
          <w:sz w:val="24"/>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13A61EA7">
      <w:pPr>
        <w:spacing w:line="360" w:lineRule="auto"/>
        <w:rPr>
          <w:rFonts w:ascii="仿宋" w:hAnsi="仿宋" w:eastAsia="仿宋" w:cs="仿宋"/>
          <w:color w:val="auto"/>
          <w:sz w:val="24"/>
          <w:u w:val="single"/>
        </w:rPr>
      </w:pPr>
      <w:r>
        <w:rPr>
          <w:rFonts w:hint="eastAsia" w:ascii="仿宋" w:hAnsi="仿宋" w:eastAsia="仿宋" w:cs="仿宋"/>
          <w:color w:val="auto"/>
          <w:sz w:val="24"/>
        </w:rPr>
        <w:t>代理机构名称：</w:t>
      </w:r>
      <w:r>
        <w:rPr>
          <w:rFonts w:hint="eastAsia" w:ascii="仿宋" w:hAnsi="仿宋" w:eastAsia="仿宋" w:cs="仿宋"/>
          <w:color w:val="auto"/>
          <w:sz w:val="24"/>
          <w:u w:val="dotted"/>
        </w:rPr>
        <w:t xml:space="preserve">                                         </w:t>
      </w:r>
    </w:p>
    <w:p w14:paraId="35C34FC1">
      <w:pPr>
        <w:spacing w:line="360" w:lineRule="auto"/>
        <w:rPr>
          <w:rFonts w:ascii="仿宋" w:hAnsi="仿宋" w:eastAsia="仿宋" w:cs="仿宋"/>
          <w:color w:val="auto"/>
          <w:sz w:val="24"/>
          <w:u w:val="dotted"/>
        </w:rPr>
      </w:pPr>
      <w:r>
        <w:rPr>
          <w:rFonts w:hint="eastAsia" w:ascii="仿宋" w:hAnsi="仿宋" w:eastAsia="仿宋" w:cs="仿宋"/>
          <w:color w:val="auto"/>
          <w:sz w:val="24"/>
        </w:rPr>
        <w:t>采购文件公告: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2BED8190">
      <w:pPr>
        <w:spacing w:line="360" w:lineRule="auto"/>
        <w:rPr>
          <w:rFonts w:ascii="仿宋" w:hAnsi="仿宋" w:eastAsia="仿宋" w:cs="仿宋"/>
          <w:color w:val="auto"/>
          <w:sz w:val="24"/>
          <w:u w:val="single"/>
        </w:rPr>
      </w:pPr>
      <w:r>
        <w:rPr>
          <w:rFonts w:hint="eastAsia" w:ascii="仿宋" w:hAnsi="仿宋" w:eastAsia="仿宋" w:cs="仿宋"/>
          <w:color w:val="auto"/>
          <w:sz w:val="24"/>
        </w:rPr>
        <w:t>采购结果公告: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1726A86F">
      <w:pPr>
        <w:spacing w:line="360" w:lineRule="auto"/>
        <w:rPr>
          <w:rFonts w:ascii="仿宋" w:hAnsi="仿宋" w:eastAsia="仿宋" w:cs="仿宋"/>
          <w:color w:val="auto"/>
          <w:sz w:val="24"/>
        </w:rPr>
      </w:pPr>
      <w:r>
        <w:rPr>
          <w:rFonts w:hint="eastAsia" w:ascii="仿宋" w:hAnsi="仿宋" w:eastAsia="仿宋" w:cs="仿宋"/>
          <w:color w:val="auto"/>
          <w:sz w:val="24"/>
        </w:rPr>
        <w:t>三、质疑基本情况</w:t>
      </w:r>
    </w:p>
    <w:p w14:paraId="520E7AA4">
      <w:pPr>
        <w:spacing w:line="360" w:lineRule="auto"/>
        <w:ind w:firstLine="480" w:firstLineChars="200"/>
        <w:rPr>
          <w:rFonts w:ascii="仿宋" w:hAnsi="仿宋" w:eastAsia="仿宋" w:cs="仿宋"/>
          <w:color w:val="auto"/>
          <w:sz w:val="24"/>
          <w:u w:val="dotted"/>
        </w:rPr>
      </w:pPr>
      <w:r>
        <w:rPr>
          <w:rFonts w:hint="eastAsia" w:ascii="仿宋" w:hAnsi="仿宋" w:eastAsia="仿宋" w:cs="仿宋"/>
          <w:color w:val="auto"/>
          <w:sz w:val="24"/>
        </w:rPr>
        <w:t>投诉人于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日,向</w:t>
      </w:r>
      <w:r>
        <w:rPr>
          <w:rFonts w:hint="eastAsia" w:ascii="仿宋" w:hAnsi="仿宋" w:eastAsia="仿宋" w:cs="仿宋"/>
          <w:color w:val="auto"/>
          <w:sz w:val="24"/>
          <w:u w:val="dotted"/>
        </w:rPr>
        <w:t xml:space="preserve">                   </w:t>
      </w:r>
      <w:r>
        <w:rPr>
          <w:rFonts w:hint="eastAsia" w:ascii="仿宋" w:hAnsi="仿宋" w:eastAsia="仿宋" w:cs="仿宋"/>
          <w:color w:val="auto"/>
          <w:sz w:val="24"/>
        </w:rPr>
        <w:t>提出质疑，质疑事项为：</w:t>
      </w:r>
      <w:r>
        <w:rPr>
          <w:rFonts w:hint="eastAsia" w:ascii="仿宋" w:hAnsi="仿宋" w:eastAsia="仿宋" w:cs="仿宋"/>
          <w:color w:val="auto"/>
          <w:sz w:val="24"/>
          <w:u w:val="dotted"/>
        </w:rPr>
        <w:t xml:space="preserve">                                </w:t>
      </w:r>
    </w:p>
    <w:p w14:paraId="189EAF43">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6A58555E">
      <w:pPr>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u w:val="dotted"/>
        </w:rPr>
        <w:t>采购人/代理机构</w:t>
      </w:r>
      <w:r>
        <w:rPr>
          <w:rFonts w:hint="eastAsia" w:ascii="仿宋" w:hAnsi="仿宋" w:eastAsia="仿宋" w:cs="仿宋"/>
          <w:color w:val="auto"/>
          <w:sz w:val="24"/>
        </w:rPr>
        <w:t>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日,就质疑事项作出了答复/没有在法定期限内作出答复。</w:t>
      </w:r>
    </w:p>
    <w:p w14:paraId="60246882">
      <w:pPr>
        <w:spacing w:line="360" w:lineRule="auto"/>
        <w:rPr>
          <w:rFonts w:ascii="仿宋" w:hAnsi="仿宋" w:eastAsia="仿宋" w:cs="仿宋"/>
          <w:color w:val="auto"/>
          <w:sz w:val="24"/>
        </w:rPr>
      </w:pPr>
      <w:r>
        <w:rPr>
          <w:rFonts w:hint="eastAsia" w:ascii="仿宋" w:hAnsi="仿宋" w:eastAsia="仿宋" w:cs="仿宋"/>
          <w:color w:val="auto"/>
          <w:sz w:val="24"/>
        </w:rPr>
        <w:t>四、投诉事项具体内容</w:t>
      </w:r>
    </w:p>
    <w:p w14:paraId="5D051584">
      <w:pPr>
        <w:spacing w:line="360" w:lineRule="auto"/>
        <w:rPr>
          <w:rFonts w:ascii="仿宋" w:hAnsi="仿宋" w:eastAsia="仿宋" w:cs="仿宋"/>
          <w:color w:val="auto"/>
          <w:sz w:val="24"/>
          <w:u w:val="single"/>
        </w:rPr>
      </w:pPr>
      <w:r>
        <w:rPr>
          <w:rFonts w:hint="eastAsia" w:ascii="仿宋" w:hAnsi="仿宋" w:eastAsia="仿宋" w:cs="仿宋"/>
          <w:color w:val="auto"/>
          <w:sz w:val="24"/>
        </w:rPr>
        <w:t>投诉事项 1：</w:t>
      </w:r>
      <w:r>
        <w:rPr>
          <w:rFonts w:hint="eastAsia" w:ascii="仿宋" w:hAnsi="仿宋" w:eastAsia="仿宋" w:cs="仿宋"/>
          <w:color w:val="auto"/>
          <w:sz w:val="24"/>
          <w:u w:val="dotted"/>
        </w:rPr>
        <w:t xml:space="preserve">                                       </w:t>
      </w:r>
    </w:p>
    <w:p w14:paraId="53F141B2">
      <w:pPr>
        <w:spacing w:line="360" w:lineRule="auto"/>
        <w:rPr>
          <w:rFonts w:ascii="仿宋" w:hAnsi="仿宋" w:eastAsia="仿宋" w:cs="仿宋"/>
          <w:color w:val="auto"/>
          <w:sz w:val="24"/>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3A93AF68">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p>
    <w:p w14:paraId="2A4B517E">
      <w:pPr>
        <w:spacing w:line="360" w:lineRule="auto"/>
        <w:rPr>
          <w:rFonts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53F20729">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p>
    <w:p w14:paraId="1D642B32">
      <w:pPr>
        <w:spacing w:line="360" w:lineRule="auto"/>
        <w:rPr>
          <w:rFonts w:ascii="仿宋" w:hAnsi="仿宋" w:eastAsia="仿宋" w:cs="仿宋"/>
          <w:color w:val="auto"/>
          <w:sz w:val="24"/>
        </w:rPr>
      </w:pPr>
      <w:r>
        <w:rPr>
          <w:rFonts w:hint="eastAsia" w:ascii="仿宋" w:hAnsi="仿宋" w:eastAsia="仿宋" w:cs="仿宋"/>
          <w:color w:val="auto"/>
          <w:sz w:val="24"/>
        </w:rPr>
        <w:t>投诉事项2</w:t>
      </w:r>
    </w:p>
    <w:p w14:paraId="5A16930C">
      <w:pPr>
        <w:spacing w:line="360" w:lineRule="auto"/>
        <w:rPr>
          <w:rFonts w:ascii="仿宋" w:hAnsi="仿宋" w:eastAsia="仿宋" w:cs="仿宋"/>
          <w:color w:val="auto"/>
          <w:sz w:val="24"/>
          <w:u w:val="dotted"/>
        </w:rPr>
      </w:pPr>
      <w:r>
        <w:rPr>
          <w:rFonts w:hint="eastAsia" w:ascii="仿宋" w:hAnsi="仿宋" w:eastAsia="仿宋" w:cs="仿宋"/>
          <w:color w:val="auto"/>
          <w:sz w:val="24"/>
        </w:rPr>
        <w:t>……</w:t>
      </w:r>
    </w:p>
    <w:p w14:paraId="25541AE1">
      <w:pPr>
        <w:spacing w:line="360" w:lineRule="auto"/>
        <w:rPr>
          <w:rFonts w:ascii="仿宋" w:hAnsi="仿宋" w:eastAsia="仿宋" w:cs="仿宋"/>
          <w:color w:val="auto"/>
          <w:sz w:val="24"/>
        </w:rPr>
      </w:pPr>
      <w:r>
        <w:rPr>
          <w:rFonts w:hint="eastAsia" w:ascii="仿宋" w:hAnsi="仿宋" w:eastAsia="仿宋" w:cs="仿宋"/>
          <w:color w:val="auto"/>
          <w:sz w:val="24"/>
        </w:rPr>
        <w:t>五、与投诉事项相关的投诉请求</w:t>
      </w:r>
    </w:p>
    <w:p w14:paraId="563EFFC8">
      <w:pPr>
        <w:spacing w:line="360" w:lineRule="auto"/>
        <w:rPr>
          <w:rFonts w:ascii="仿宋" w:hAnsi="仿宋" w:eastAsia="仿宋" w:cs="仿宋"/>
          <w:color w:val="auto"/>
          <w:sz w:val="24"/>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25DB47AD">
      <w:pPr>
        <w:spacing w:line="360" w:lineRule="auto"/>
        <w:rPr>
          <w:rFonts w:ascii="仿宋" w:hAnsi="仿宋" w:eastAsia="仿宋" w:cs="仿宋"/>
          <w:color w:val="auto"/>
          <w:sz w:val="24"/>
          <w:u w:val="single"/>
        </w:rPr>
      </w:pPr>
      <w:r>
        <w:rPr>
          <w:rFonts w:hint="eastAsia" w:ascii="仿宋" w:hAnsi="仿宋" w:eastAsia="仿宋" w:cs="仿宋"/>
          <w:color w:val="auto"/>
          <w:sz w:val="24"/>
        </w:rPr>
        <w:t xml:space="preserve">                                                                                                    </w:t>
      </w:r>
    </w:p>
    <w:p w14:paraId="4F5C5118">
      <w:pPr>
        <w:spacing w:line="360" w:lineRule="auto"/>
        <w:rPr>
          <w:rFonts w:ascii="仿宋" w:hAnsi="仿宋" w:eastAsia="仿宋" w:cs="仿宋"/>
          <w:color w:val="auto"/>
          <w:sz w:val="24"/>
        </w:rPr>
      </w:pPr>
      <w:r>
        <w:rPr>
          <w:rFonts w:hint="eastAsia" w:ascii="仿宋" w:hAnsi="仿宋" w:eastAsia="仿宋" w:cs="仿宋"/>
          <w:color w:val="auto"/>
          <w:sz w:val="24"/>
        </w:rPr>
        <w:t xml:space="preserve">签字(签章)：                   公章：                      </w:t>
      </w:r>
    </w:p>
    <w:p w14:paraId="7DE1D955">
      <w:pPr>
        <w:spacing w:line="360" w:lineRule="auto"/>
        <w:rPr>
          <w:rFonts w:ascii="仿宋" w:hAnsi="仿宋" w:eastAsia="仿宋" w:cs="仿宋"/>
          <w:color w:val="auto"/>
          <w:sz w:val="24"/>
        </w:rPr>
      </w:pPr>
      <w:r>
        <w:rPr>
          <w:rFonts w:hint="eastAsia" w:ascii="仿宋" w:hAnsi="仿宋" w:eastAsia="仿宋" w:cs="仿宋"/>
          <w:color w:val="auto"/>
          <w:sz w:val="24"/>
        </w:rPr>
        <w:t xml:space="preserve">日期：    </w:t>
      </w:r>
    </w:p>
    <w:p w14:paraId="60B99672">
      <w:pPr>
        <w:rPr>
          <w:rFonts w:ascii="仿宋" w:hAnsi="仿宋" w:eastAsia="仿宋" w:cs="仿宋"/>
          <w:b/>
          <w:color w:val="auto"/>
          <w:sz w:val="32"/>
          <w:szCs w:val="32"/>
        </w:rPr>
      </w:pPr>
    </w:p>
    <w:p w14:paraId="7B56E6F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投诉书制作说明：</w:t>
      </w:r>
    </w:p>
    <w:p w14:paraId="6363ABA3">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1.投诉人提起投诉时，应当提交投诉书和必要的证明材料，并按照被投诉人和与投诉事项有关的供应商数量提供投诉书副本。</w:t>
      </w:r>
    </w:p>
    <w:p w14:paraId="20774D07">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AB84B3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3.投诉人若对项目的某一分包进行投诉，投诉书应列明具体分包号。</w:t>
      </w:r>
    </w:p>
    <w:p w14:paraId="715489CD">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4.投诉书应简要列明质疑事项，质疑函、质疑答复等作为附件材料提供。</w:t>
      </w:r>
    </w:p>
    <w:p w14:paraId="43662B4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5.投诉书的投诉事项应具体、明确，并有必要的事实依据和法律依据。</w:t>
      </w:r>
    </w:p>
    <w:p w14:paraId="333147B3">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6.投诉书的投诉请求应与投诉事项相关。</w:t>
      </w:r>
    </w:p>
    <w:p w14:paraId="4C1835A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7.投诉人为自然人的，投诉书应当由本人签字；投诉人为法人或者其他组织的，投诉书应当由法定代表人、主要负责人，或者其授权代表签字或者盖章，并加盖公章。</w:t>
      </w:r>
    </w:p>
    <w:p w14:paraId="3C35D1FB">
      <w:pPr>
        <w:adjustRightInd w:val="0"/>
        <w:snapToGrid w:val="0"/>
        <w:spacing w:line="360" w:lineRule="auto"/>
        <w:jc w:val="left"/>
        <w:rPr>
          <w:rFonts w:ascii="仿宋" w:hAnsi="仿宋" w:eastAsia="仿宋" w:cs="仿宋"/>
          <w:color w:val="auto"/>
          <w:szCs w:val="21"/>
        </w:rPr>
      </w:pPr>
    </w:p>
    <w:sectPr>
      <w:footerReference r:id="rId5" w:type="default"/>
      <w:pgSz w:w="11906" w:h="16838"/>
      <w:pgMar w:top="1440" w:right="148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ZhunYuan-M02S">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978A">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C5B77C">
                          <w:pPr>
                            <w:pStyle w:val="19"/>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14:paraId="36C5B77C">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C865">
    <w:pPr>
      <w:pStyle w:val="19"/>
      <w:jc w:val="center"/>
    </w:pPr>
    <w:r>
      <w:fldChar w:fldCharType="begin"/>
    </w:r>
    <w:r>
      <w:instrText xml:space="preserve">PAGE   \* MERGEFORMAT</w:instrText>
    </w:r>
    <w:r>
      <w:fldChar w:fldCharType="separate"/>
    </w:r>
    <w:r>
      <w:rPr>
        <w:lang w:val="zh-CN"/>
      </w:rPr>
      <w:t>46</w:t>
    </w:r>
    <w:r>
      <w:rPr>
        <w:lang w:val="zh-CN"/>
      </w:rPr>
      <w:fldChar w:fldCharType="end"/>
    </w:r>
  </w:p>
  <w:p w14:paraId="439A7A43">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3BB61">
    <w:pPr>
      <w:pStyle w:val="57"/>
      <w:rPr>
        <w:szCs w:val="21"/>
      </w:rPr>
    </w:pPr>
    <w:r>
      <w:rPr>
        <w:rFonts w:hint="eastAsia" w:ascii="宋体" w:hAnsi="宋体" w:cs="宋体"/>
        <w:szCs w:val="21"/>
        <w:u w:val="single"/>
      </w:rPr>
      <w:t>昆明市晋宁区人民法院移动安全办案办公服务项目                      竞争性磋商文件</w:t>
    </w:r>
    <w:r>
      <w:rPr>
        <w:rFonts w:hint="eastAsia" w:ascii="仿宋" w:hAnsi="仿宋" w:eastAsia="仿宋" w:cs="仿宋"/>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4499"/>
    <w:multiLevelType w:val="singleLevel"/>
    <w:tmpl w:val="999B4499"/>
    <w:lvl w:ilvl="0" w:tentative="0">
      <w:start w:val="1"/>
      <w:numFmt w:val="decimal"/>
      <w:lvlText w:val="%1."/>
      <w:lvlJc w:val="left"/>
      <w:pPr>
        <w:tabs>
          <w:tab w:val="left" w:pos="312"/>
        </w:tabs>
      </w:pPr>
    </w:lvl>
  </w:abstractNum>
  <w:abstractNum w:abstractNumId="1">
    <w:nsid w:val="F77C3188"/>
    <w:multiLevelType w:val="singleLevel"/>
    <w:tmpl w:val="F77C3188"/>
    <w:lvl w:ilvl="0" w:tentative="0">
      <w:start w:val="2"/>
      <w:numFmt w:val="decimal"/>
      <w:suff w:val="nothing"/>
      <w:lvlText w:val="%1、"/>
      <w:lvlJc w:val="left"/>
    </w:lvl>
  </w:abstractNum>
  <w:abstractNum w:abstractNumId="2">
    <w:nsid w:val="1B49A82F"/>
    <w:multiLevelType w:val="singleLevel"/>
    <w:tmpl w:val="1B49A82F"/>
    <w:lvl w:ilvl="0" w:tentative="0">
      <w:start w:val="1"/>
      <w:numFmt w:val="decimal"/>
      <w:suff w:val="nothing"/>
      <w:lvlText w:val="%1、"/>
      <w:lvlJc w:val="left"/>
    </w:lvl>
  </w:abstractNum>
  <w:abstractNum w:abstractNumId="3">
    <w:nsid w:val="1CC0AA6F"/>
    <w:multiLevelType w:val="singleLevel"/>
    <w:tmpl w:val="1CC0AA6F"/>
    <w:lvl w:ilvl="0" w:tentative="0">
      <w:start w:val="1"/>
      <w:numFmt w:val="decimal"/>
      <w:lvlText w:val="%1."/>
      <w:lvlJc w:val="left"/>
      <w:pPr>
        <w:tabs>
          <w:tab w:val="left" w:pos="312"/>
        </w:tabs>
      </w:pPr>
    </w:lvl>
  </w:abstractNum>
  <w:abstractNum w:abstractNumId="4">
    <w:nsid w:val="420C153B"/>
    <w:multiLevelType w:val="multilevel"/>
    <w:tmpl w:val="420C153B"/>
    <w:lvl w:ilvl="0" w:tentative="0">
      <w:start w:val="1"/>
      <w:numFmt w:val="decimal"/>
      <w:pStyle w:val="4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B634178"/>
    <w:multiLevelType w:val="singleLevel"/>
    <w:tmpl w:val="4B634178"/>
    <w:lvl w:ilvl="0" w:tentative="0">
      <w:start w:val="1"/>
      <w:numFmt w:val="decimal"/>
      <w:lvlText w:val="%1."/>
      <w:lvlJc w:val="left"/>
      <w:pPr>
        <w:ind w:left="425" w:hanging="425"/>
      </w:pPr>
      <w:rPr>
        <w:rFonts w:hint="default"/>
      </w:rPr>
    </w:lvl>
  </w:abstractNum>
  <w:abstractNum w:abstractNumId="6">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7">
    <w:nsid w:val="5A8B2E98"/>
    <w:multiLevelType w:val="singleLevel"/>
    <w:tmpl w:val="5A8B2E98"/>
    <w:lvl w:ilvl="0" w:tentative="0">
      <w:start w:val="1"/>
      <w:numFmt w:val="decimal"/>
      <w:lvlText w:val="%1."/>
      <w:lvlJc w:val="left"/>
      <w:pPr>
        <w:tabs>
          <w:tab w:val="left" w:pos="312"/>
        </w:tabs>
      </w:p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3"/>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N2U4ZmI0YmE0NzRjOGJkZTFhOGM2MTZmYjg4MWYifQ=="/>
  </w:docVars>
  <w:rsids>
    <w:rsidRoot w:val="35AB3B2B"/>
    <w:rsid w:val="000073CE"/>
    <w:rsid w:val="00007BCB"/>
    <w:rsid w:val="00010ACC"/>
    <w:rsid w:val="00011C8C"/>
    <w:rsid w:val="00011D0D"/>
    <w:rsid w:val="00017861"/>
    <w:rsid w:val="00017B55"/>
    <w:rsid w:val="00020305"/>
    <w:rsid w:val="00020B39"/>
    <w:rsid w:val="00020C20"/>
    <w:rsid w:val="0002450C"/>
    <w:rsid w:val="00030667"/>
    <w:rsid w:val="0003153D"/>
    <w:rsid w:val="00035830"/>
    <w:rsid w:val="000366EB"/>
    <w:rsid w:val="0003776A"/>
    <w:rsid w:val="000406B4"/>
    <w:rsid w:val="00040886"/>
    <w:rsid w:val="00040B5B"/>
    <w:rsid w:val="00051759"/>
    <w:rsid w:val="0005548C"/>
    <w:rsid w:val="0006040B"/>
    <w:rsid w:val="0006626C"/>
    <w:rsid w:val="00083219"/>
    <w:rsid w:val="00087626"/>
    <w:rsid w:val="000909D3"/>
    <w:rsid w:val="000922FC"/>
    <w:rsid w:val="00096194"/>
    <w:rsid w:val="000A3122"/>
    <w:rsid w:val="000B05A5"/>
    <w:rsid w:val="000B1E2F"/>
    <w:rsid w:val="000B69EC"/>
    <w:rsid w:val="000B78F5"/>
    <w:rsid w:val="000C28F9"/>
    <w:rsid w:val="000C66F6"/>
    <w:rsid w:val="000C6DD2"/>
    <w:rsid w:val="000C6F0E"/>
    <w:rsid w:val="000D1545"/>
    <w:rsid w:val="000D2960"/>
    <w:rsid w:val="000D2C1D"/>
    <w:rsid w:val="000E4BB4"/>
    <w:rsid w:val="000E6A7B"/>
    <w:rsid w:val="000F17B2"/>
    <w:rsid w:val="000F4130"/>
    <w:rsid w:val="000F5D16"/>
    <w:rsid w:val="00102355"/>
    <w:rsid w:val="00112309"/>
    <w:rsid w:val="0011683B"/>
    <w:rsid w:val="001203EC"/>
    <w:rsid w:val="001249DD"/>
    <w:rsid w:val="00124A13"/>
    <w:rsid w:val="0013083C"/>
    <w:rsid w:val="00130CA0"/>
    <w:rsid w:val="0013158F"/>
    <w:rsid w:val="00132068"/>
    <w:rsid w:val="00132852"/>
    <w:rsid w:val="0013776E"/>
    <w:rsid w:val="0015390E"/>
    <w:rsid w:val="00154CCD"/>
    <w:rsid w:val="00167297"/>
    <w:rsid w:val="001712A2"/>
    <w:rsid w:val="00171AF8"/>
    <w:rsid w:val="00185BFC"/>
    <w:rsid w:val="00185D8B"/>
    <w:rsid w:val="00187BB0"/>
    <w:rsid w:val="00191F4C"/>
    <w:rsid w:val="00193136"/>
    <w:rsid w:val="001A326D"/>
    <w:rsid w:val="001B0330"/>
    <w:rsid w:val="001B2FBA"/>
    <w:rsid w:val="001B3BA4"/>
    <w:rsid w:val="001B7FCB"/>
    <w:rsid w:val="001C68EC"/>
    <w:rsid w:val="001E4670"/>
    <w:rsid w:val="001E776C"/>
    <w:rsid w:val="001F423E"/>
    <w:rsid w:val="001F567E"/>
    <w:rsid w:val="001F70A6"/>
    <w:rsid w:val="002005AF"/>
    <w:rsid w:val="00202A79"/>
    <w:rsid w:val="0021042D"/>
    <w:rsid w:val="00213462"/>
    <w:rsid w:val="0021427F"/>
    <w:rsid w:val="00215DBA"/>
    <w:rsid w:val="00227FDA"/>
    <w:rsid w:val="00232AA3"/>
    <w:rsid w:val="002367F7"/>
    <w:rsid w:val="00237E6D"/>
    <w:rsid w:val="002400AC"/>
    <w:rsid w:val="002440B1"/>
    <w:rsid w:val="00264193"/>
    <w:rsid w:val="002706E5"/>
    <w:rsid w:val="00270A5C"/>
    <w:rsid w:val="002742E6"/>
    <w:rsid w:val="002743E6"/>
    <w:rsid w:val="0027524C"/>
    <w:rsid w:val="002908AE"/>
    <w:rsid w:val="002A41DE"/>
    <w:rsid w:val="002B03B5"/>
    <w:rsid w:val="002B08BA"/>
    <w:rsid w:val="002C582E"/>
    <w:rsid w:val="002C58D5"/>
    <w:rsid w:val="002D5694"/>
    <w:rsid w:val="002E5846"/>
    <w:rsid w:val="002F0866"/>
    <w:rsid w:val="002F5921"/>
    <w:rsid w:val="002F6CF7"/>
    <w:rsid w:val="003013EB"/>
    <w:rsid w:val="00302761"/>
    <w:rsid w:val="00324252"/>
    <w:rsid w:val="0032558B"/>
    <w:rsid w:val="00332350"/>
    <w:rsid w:val="0033768B"/>
    <w:rsid w:val="003532A1"/>
    <w:rsid w:val="003577B2"/>
    <w:rsid w:val="003615B4"/>
    <w:rsid w:val="0037130E"/>
    <w:rsid w:val="00374B84"/>
    <w:rsid w:val="00381164"/>
    <w:rsid w:val="0038216F"/>
    <w:rsid w:val="00383A37"/>
    <w:rsid w:val="003A3FBB"/>
    <w:rsid w:val="003A4369"/>
    <w:rsid w:val="003A43C7"/>
    <w:rsid w:val="003D1064"/>
    <w:rsid w:val="003D5AD5"/>
    <w:rsid w:val="003D5E53"/>
    <w:rsid w:val="003E562B"/>
    <w:rsid w:val="003F1BE6"/>
    <w:rsid w:val="003F346A"/>
    <w:rsid w:val="003F6E87"/>
    <w:rsid w:val="004053E3"/>
    <w:rsid w:val="00415B97"/>
    <w:rsid w:val="00420DC3"/>
    <w:rsid w:val="00424004"/>
    <w:rsid w:val="0042796F"/>
    <w:rsid w:val="00432E48"/>
    <w:rsid w:val="00436CEC"/>
    <w:rsid w:val="004417BB"/>
    <w:rsid w:val="00441C13"/>
    <w:rsid w:val="0044288A"/>
    <w:rsid w:val="00443EF4"/>
    <w:rsid w:val="004468DD"/>
    <w:rsid w:val="00450710"/>
    <w:rsid w:val="00453190"/>
    <w:rsid w:val="00454E85"/>
    <w:rsid w:val="0046016B"/>
    <w:rsid w:val="0046167F"/>
    <w:rsid w:val="0046200F"/>
    <w:rsid w:val="00462C35"/>
    <w:rsid w:val="00463F1C"/>
    <w:rsid w:val="00466697"/>
    <w:rsid w:val="0047535F"/>
    <w:rsid w:val="0048085C"/>
    <w:rsid w:val="00480B5C"/>
    <w:rsid w:val="00480CFA"/>
    <w:rsid w:val="00482059"/>
    <w:rsid w:val="0048675D"/>
    <w:rsid w:val="00493F6F"/>
    <w:rsid w:val="00495BA7"/>
    <w:rsid w:val="0049755B"/>
    <w:rsid w:val="004A2961"/>
    <w:rsid w:val="004A4274"/>
    <w:rsid w:val="004A58A0"/>
    <w:rsid w:val="004A59F5"/>
    <w:rsid w:val="004B05DF"/>
    <w:rsid w:val="004B31C2"/>
    <w:rsid w:val="004B66AB"/>
    <w:rsid w:val="004B7D2C"/>
    <w:rsid w:val="004C2470"/>
    <w:rsid w:val="004E460D"/>
    <w:rsid w:val="004E5365"/>
    <w:rsid w:val="004E690F"/>
    <w:rsid w:val="004F0D04"/>
    <w:rsid w:val="004F1259"/>
    <w:rsid w:val="004F1FB5"/>
    <w:rsid w:val="00503D81"/>
    <w:rsid w:val="00506175"/>
    <w:rsid w:val="0050625F"/>
    <w:rsid w:val="00511899"/>
    <w:rsid w:val="00512824"/>
    <w:rsid w:val="00512F22"/>
    <w:rsid w:val="00521EE3"/>
    <w:rsid w:val="00523EE1"/>
    <w:rsid w:val="00526A9D"/>
    <w:rsid w:val="00533776"/>
    <w:rsid w:val="00541B72"/>
    <w:rsid w:val="005429BA"/>
    <w:rsid w:val="00542C90"/>
    <w:rsid w:val="00546AD5"/>
    <w:rsid w:val="00546DC1"/>
    <w:rsid w:val="00547460"/>
    <w:rsid w:val="00550C50"/>
    <w:rsid w:val="00551407"/>
    <w:rsid w:val="005535F8"/>
    <w:rsid w:val="00556D0D"/>
    <w:rsid w:val="00557F0B"/>
    <w:rsid w:val="005634CC"/>
    <w:rsid w:val="005636FD"/>
    <w:rsid w:val="00564D0F"/>
    <w:rsid w:val="005659BD"/>
    <w:rsid w:val="0057148B"/>
    <w:rsid w:val="00585B8B"/>
    <w:rsid w:val="005863BC"/>
    <w:rsid w:val="005A38DE"/>
    <w:rsid w:val="005A5A53"/>
    <w:rsid w:val="005B2D03"/>
    <w:rsid w:val="005C4242"/>
    <w:rsid w:val="005C4E89"/>
    <w:rsid w:val="005C78DA"/>
    <w:rsid w:val="005E2ABC"/>
    <w:rsid w:val="005E3ED4"/>
    <w:rsid w:val="005E61EE"/>
    <w:rsid w:val="005E6927"/>
    <w:rsid w:val="005E714F"/>
    <w:rsid w:val="005F281B"/>
    <w:rsid w:val="005F7EF8"/>
    <w:rsid w:val="006056FD"/>
    <w:rsid w:val="00607CA9"/>
    <w:rsid w:val="006314DE"/>
    <w:rsid w:val="00633F4D"/>
    <w:rsid w:val="00652313"/>
    <w:rsid w:val="00666732"/>
    <w:rsid w:val="00673701"/>
    <w:rsid w:val="00674519"/>
    <w:rsid w:val="00676449"/>
    <w:rsid w:val="00677DB3"/>
    <w:rsid w:val="006800BB"/>
    <w:rsid w:val="006814F3"/>
    <w:rsid w:val="006873D0"/>
    <w:rsid w:val="00687966"/>
    <w:rsid w:val="00691878"/>
    <w:rsid w:val="006950F5"/>
    <w:rsid w:val="006977FB"/>
    <w:rsid w:val="006A7EF3"/>
    <w:rsid w:val="006B0FE1"/>
    <w:rsid w:val="006C57FF"/>
    <w:rsid w:val="006C617D"/>
    <w:rsid w:val="006C6B21"/>
    <w:rsid w:val="006D256A"/>
    <w:rsid w:val="006D7F80"/>
    <w:rsid w:val="006E0811"/>
    <w:rsid w:val="006E0BBE"/>
    <w:rsid w:val="006E50EE"/>
    <w:rsid w:val="006E5B1C"/>
    <w:rsid w:val="006E63CA"/>
    <w:rsid w:val="006F19E3"/>
    <w:rsid w:val="006F266B"/>
    <w:rsid w:val="006F28CA"/>
    <w:rsid w:val="006F2AD7"/>
    <w:rsid w:val="006F48FA"/>
    <w:rsid w:val="006F5BB1"/>
    <w:rsid w:val="006F61B6"/>
    <w:rsid w:val="006F696A"/>
    <w:rsid w:val="0070149A"/>
    <w:rsid w:val="00703AF0"/>
    <w:rsid w:val="00710D56"/>
    <w:rsid w:val="00713C88"/>
    <w:rsid w:val="00716810"/>
    <w:rsid w:val="00724D2F"/>
    <w:rsid w:val="007260AF"/>
    <w:rsid w:val="00763DAC"/>
    <w:rsid w:val="00775171"/>
    <w:rsid w:val="00781DB0"/>
    <w:rsid w:val="007846B3"/>
    <w:rsid w:val="00786720"/>
    <w:rsid w:val="00792C38"/>
    <w:rsid w:val="007A2BB9"/>
    <w:rsid w:val="007A2E17"/>
    <w:rsid w:val="007B248A"/>
    <w:rsid w:val="007B6E36"/>
    <w:rsid w:val="007C0486"/>
    <w:rsid w:val="007C4E10"/>
    <w:rsid w:val="007C5F25"/>
    <w:rsid w:val="007D6551"/>
    <w:rsid w:val="007E5631"/>
    <w:rsid w:val="007E5A29"/>
    <w:rsid w:val="007E5FCE"/>
    <w:rsid w:val="007F321C"/>
    <w:rsid w:val="00801392"/>
    <w:rsid w:val="00801886"/>
    <w:rsid w:val="00802FF5"/>
    <w:rsid w:val="00807274"/>
    <w:rsid w:val="00807717"/>
    <w:rsid w:val="00811577"/>
    <w:rsid w:val="00813006"/>
    <w:rsid w:val="0081353A"/>
    <w:rsid w:val="008136E9"/>
    <w:rsid w:val="00813C21"/>
    <w:rsid w:val="00820C29"/>
    <w:rsid w:val="00820F82"/>
    <w:rsid w:val="00821256"/>
    <w:rsid w:val="008218BD"/>
    <w:rsid w:val="00823F9E"/>
    <w:rsid w:val="00844AC6"/>
    <w:rsid w:val="00846134"/>
    <w:rsid w:val="00851CBE"/>
    <w:rsid w:val="0085232A"/>
    <w:rsid w:val="008623AC"/>
    <w:rsid w:val="0087266C"/>
    <w:rsid w:val="0087275E"/>
    <w:rsid w:val="00874685"/>
    <w:rsid w:val="00883007"/>
    <w:rsid w:val="00890434"/>
    <w:rsid w:val="008932A6"/>
    <w:rsid w:val="00896983"/>
    <w:rsid w:val="008A27CF"/>
    <w:rsid w:val="008A6258"/>
    <w:rsid w:val="008B1170"/>
    <w:rsid w:val="008B3079"/>
    <w:rsid w:val="008B5895"/>
    <w:rsid w:val="008C1681"/>
    <w:rsid w:val="008C5191"/>
    <w:rsid w:val="008C6C43"/>
    <w:rsid w:val="008D00A6"/>
    <w:rsid w:val="008D1C7E"/>
    <w:rsid w:val="008D63CA"/>
    <w:rsid w:val="008E472C"/>
    <w:rsid w:val="008E664F"/>
    <w:rsid w:val="0090119B"/>
    <w:rsid w:val="00916453"/>
    <w:rsid w:val="009174AF"/>
    <w:rsid w:val="00921D88"/>
    <w:rsid w:val="00927284"/>
    <w:rsid w:val="00935AB5"/>
    <w:rsid w:val="00935B3A"/>
    <w:rsid w:val="00936E4D"/>
    <w:rsid w:val="00937D8B"/>
    <w:rsid w:val="00945196"/>
    <w:rsid w:val="00945810"/>
    <w:rsid w:val="009517C2"/>
    <w:rsid w:val="00955892"/>
    <w:rsid w:val="0096214D"/>
    <w:rsid w:val="00962617"/>
    <w:rsid w:val="009656DA"/>
    <w:rsid w:val="0097457D"/>
    <w:rsid w:val="00977D07"/>
    <w:rsid w:val="00985042"/>
    <w:rsid w:val="009852DE"/>
    <w:rsid w:val="009A097B"/>
    <w:rsid w:val="009A6377"/>
    <w:rsid w:val="009A7A23"/>
    <w:rsid w:val="009B3544"/>
    <w:rsid w:val="009B4C4E"/>
    <w:rsid w:val="009C0378"/>
    <w:rsid w:val="009C2B50"/>
    <w:rsid w:val="009C3EE3"/>
    <w:rsid w:val="009C4A28"/>
    <w:rsid w:val="009C7AA3"/>
    <w:rsid w:val="009C7CDB"/>
    <w:rsid w:val="009F1A84"/>
    <w:rsid w:val="009F4F86"/>
    <w:rsid w:val="009F6F96"/>
    <w:rsid w:val="009F7113"/>
    <w:rsid w:val="00A00449"/>
    <w:rsid w:val="00A0382C"/>
    <w:rsid w:val="00A05EFA"/>
    <w:rsid w:val="00A20034"/>
    <w:rsid w:val="00A23717"/>
    <w:rsid w:val="00A27C65"/>
    <w:rsid w:val="00A34297"/>
    <w:rsid w:val="00A36DF1"/>
    <w:rsid w:val="00A40C92"/>
    <w:rsid w:val="00A4363D"/>
    <w:rsid w:val="00A44AA0"/>
    <w:rsid w:val="00A60CBA"/>
    <w:rsid w:val="00A60D10"/>
    <w:rsid w:val="00A61331"/>
    <w:rsid w:val="00A67ABF"/>
    <w:rsid w:val="00A73727"/>
    <w:rsid w:val="00A73DB3"/>
    <w:rsid w:val="00A7544E"/>
    <w:rsid w:val="00A759B5"/>
    <w:rsid w:val="00A80E10"/>
    <w:rsid w:val="00A81824"/>
    <w:rsid w:val="00A915D5"/>
    <w:rsid w:val="00A91E1D"/>
    <w:rsid w:val="00A945FE"/>
    <w:rsid w:val="00A96232"/>
    <w:rsid w:val="00AA4B91"/>
    <w:rsid w:val="00AA7CAE"/>
    <w:rsid w:val="00AB20CE"/>
    <w:rsid w:val="00AB21D1"/>
    <w:rsid w:val="00AB516E"/>
    <w:rsid w:val="00AC5D2C"/>
    <w:rsid w:val="00AD167D"/>
    <w:rsid w:val="00AD7338"/>
    <w:rsid w:val="00AD7A85"/>
    <w:rsid w:val="00AE181B"/>
    <w:rsid w:val="00AF33EA"/>
    <w:rsid w:val="00B01524"/>
    <w:rsid w:val="00B05620"/>
    <w:rsid w:val="00B12B71"/>
    <w:rsid w:val="00B151FA"/>
    <w:rsid w:val="00B164FA"/>
    <w:rsid w:val="00B17A91"/>
    <w:rsid w:val="00B214F2"/>
    <w:rsid w:val="00B21859"/>
    <w:rsid w:val="00B24DEC"/>
    <w:rsid w:val="00B26F29"/>
    <w:rsid w:val="00B35102"/>
    <w:rsid w:val="00B412C7"/>
    <w:rsid w:val="00B4204C"/>
    <w:rsid w:val="00B42957"/>
    <w:rsid w:val="00B42EF1"/>
    <w:rsid w:val="00B45835"/>
    <w:rsid w:val="00B4593D"/>
    <w:rsid w:val="00B45A91"/>
    <w:rsid w:val="00B46895"/>
    <w:rsid w:val="00B67877"/>
    <w:rsid w:val="00B71CFA"/>
    <w:rsid w:val="00B7290F"/>
    <w:rsid w:val="00B73698"/>
    <w:rsid w:val="00B9169C"/>
    <w:rsid w:val="00B93189"/>
    <w:rsid w:val="00B944E9"/>
    <w:rsid w:val="00B9681B"/>
    <w:rsid w:val="00B96AE5"/>
    <w:rsid w:val="00B96C1C"/>
    <w:rsid w:val="00BA4313"/>
    <w:rsid w:val="00BA483E"/>
    <w:rsid w:val="00BA54C9"/>
    <w:rsid w:val="00BA7C61"/>
    <w:rsid w:val="00BB3D9F"/>
    <w:rsid w:val="00BC4F02"/>
    <w:rsid w:val="00BC5A18"/>
    <w:rsid w:val="00BD4456"/>
    <w:rsid w:val="00BD4A11"/>
    <w:rsid w:val="00BD6D48"/>
    <w:rsid w:val="00BE189E"/>
    <w:rsid w:val="00BE63EE"/>
    <w:rsid w:val="00BF0415"/>
    <w:rsid w:val="00BF1844"/>
    <w:rsid w:val="00BF2D5F"/>
    <w:rsid w:val="00C007B0"/>
    <w:rsid w:val="00C119E2"/>
    <w:rsid w:val="00C12EE2"/>
    <w:rsid w:val="00C1695F"/>
    <w:rsid w:val="00C204EF"/>
    <w:rsid w:val="00C26147"/>
    <w:rsid w:val="00C42477"/>
    <w:rsid w:val="00C430E2"/>
    <w:rsid w:val="00C51672"/>
    <w:rsid w:val="00C608B4"/>
    <w:rsid w:val="00C61085"/>
    <w:rsid w:val="00C63B72"/>
    <w:rsid w:val="00C646B5"/>
    <w:rsid w:val="00C707F2"/>
    <w:rsid w:val="00C73630"/>
    <w:rsid w:val="00C73855"/>
    <w:rsid w:val="00C75905"/>
    <w:rsid w:val="00C7798C"/>
    <w:rsid w:val="00C8406F"/>
    <w:rsid w:val="00C873A5"/>
    <w:rsid w:val="00C94AC1"/>
    <w:rsid w:val="00CA011F"/>
    <w:rsid w:val="00CA754E"/>
    <w:rsid w:val="00CB2481"/>
    <w:rsid w:val="00CB2A73"/>
    <w:rsid w:val="00CC52A5"/>
    <w:rsid w:val="00CC5AE5"/>
    <w:rsid w:val="00CD3570"/>
    <w:rsid w:val="00CD41FB"/>
    <w:rsid w:val="00CE18D7"/>
    <w:rsid w:val="00CE4031"/>
    <w:rsid w:val="00CF5612"/>
    <w:rsid w:val="00D03771"/>
    <w:rsid w:val="00D12A29"/>
    <w:rsid w:val="00D12A77"/>
    <w:rsid w:val="00D1310D"/>
    <w:rsid w:val="00D15EB3"/>
    <w:rsid w:val="00D16C8E"/>
    <w:rsid w:val="00D20E66"/>
    <w:rsid w:val="00D23683"/>
    <w:rsid w:val="00D2600E"/>
    <w:rsid w:val="00D270B9"/>
    <w:rsid w:val="00D37BB8"/>
    <w:rsid w:val="00D43E5E"/>
    <w:rsid w:val="00D53C58"/>
    <w:rsid w:val="00D57015"/>
    <w:rsid w:val="00D63F92"/>
    <w:rsid w:val="00D81D78"/>
    <w:rsid w:val="00D8252E"/>
    <w:rsid w:val="00D83E9F"/>
    <w:rsid w:val="00D863DB"/>
    <w:rsid w:val="00D86E39"/>
    <w:rsid w:val="00D906D4"/>
    <w:rsid w:val="00D93A7F"/>
    <w:rsid w:val="00D94C88"/>
    <w:rsid w:val="00DA26C6"/>
    <w:rsid w:val="00DA4D1C"/>
    <w:rsid w:val="00DB10A5"/>
    <w:rsid w:val="00DB41F3"/>
    <w:rsid w:val="00DB56FE"/>
    <w:rsid w:val="00DB72A1"/>
    <w:rsid w:val="00DC1547"/>
    <w:rsid w:val="00DC1AA9"/>
    <w:rsid w:val="00DC3333"/>
    <w:rsid w:val="00DC7AD3"/>
    <w:rsid w:val="00DD1DC8"/>
    <w:rsid w:val="00DE39C0"/>
    <w:rsid w:val="00DE6CF7"/>
    <w:rsid w:val="00DF6E76"/>
    <w:rsid w:val="00E02CC5"/>
    <w:rsid w:val="00E03D40"/>
    <w:rsid w:val="00E120A5"/>
    <w:rsid w:val="00E1259B"/>
    <w:rsid w:val="00E157A0"/>
    <w:rsid w:val="00E318D6"/>
    <w:rsid w:val="00E33686"/>
    <w:rsid w:val="00E34F59"/>
    <w:rsid w:val="00E46E2C"/>
    <w:rsid w:val="00E47803"/>
    <w:rsid w:val="00E51EAC"/>
    <w:rsid w:val="00E51EEE"/>
    <w:rsid w:val="00E527B6"/>
    <w:rsid w:val="00E532F7"/>
    <w:rsid w:val="00E57717"/>
    <w:rsid w:val="00E66547"/>
    <w:rsid w:val="00E763E3"/>
    <w:rsid w:val="00E80F20"/>
    <w:rsid w:val="00E904B4"/>
    <w:rsid w:val="00EA1D3F"/>
    <w:rsid w:val="00EA20C9"/>
    <w:rsid w:val="00EA6938"/>
    <w:rsid w:val="00EB68F2"/>
    <w:rsid w:val="00ED1893"/>
    <w:rsid w:val="00ED2AD0"/>
    <w:rsid w:val="00ED60F0"/>
    <w:rsid w:val="00ED7B94"/>
    <w:rsid w:val="00EE4B7A"/>
    <w:rsid w:val="00EE696B"/>
    <w:rsid w:val="00EE758F"/>
    <w:rsid w:val="00EF5158"/>
    <w:rsid w:val="00F03D34"/>
    <w:rsid w:val="00F12143"/>
    <w:rsid w:val="00F12D67"/>
    <w:rsid w:val="00F15778"/>
    <w:rsid w:val="00F17C4C"/>
    <w:rsid w:val="00F26065"/>
    <w:rsid w:val="00F26878"/>
    <w:rsid w:val="00F310E3"/>
    <w:rsid w:val="00F32FB8"/>
    <w:rsid w:val="00F40B88"/>
    <w:rsid w:val="00F471F5"/>
    <w:rsid w:val="00F47970"/>
    <w:rsid w:val="00F5029F"/>
    <w:rsid w:val="00F56C87"/>
    <w:rsid w:val="00F6408D"/>
    <w:rsid w:val="00F64CB3"/>
    <w:rsid w:val="00F668E7"/>
    <w:rsid w:val="00F67E67"/>
    <w:rsid w:val="00F727CC"/>
    <w:rsid w:val="00F737C5"/>
    <w:rsid w:val="00F81FBE"/>
    <w:rsid w:val="00F84B22"/>
    <w:rsid w:val="00F86ABE"/>
    <w:rsid w:val="00F944CD"/>
    <w:rsid w:val="00F95804"/>
    <w:rsid w:val="00F979BF"/>
    <w:rsid w:val="00FB1CD8"/>
    <w:rsid w:val="00FB20EB"/>
    <w:rsid w:val="00FB4BB5"/>
    <w:rsid w:val="00FB7C6C"/>
    <w:rsid w:val="00FC3673"/>
    <w:rsid w:val="00FD2D5A"/>
    <w:rsid w:val="00FD55CA"/>
    <w:rsid w:val="00FE0C55"/>
    <w:rsid w:val="00FE6CA1"/>
    <w:rsid w:val="00FE7360"/>
    <w:rsid w:val="00FF62E0"/>
    <w:rsid w:val="00FF76FC"/>
    <w:rsid w:val="010E6AC8"/>
    <w:rsid w:val="01323CE1"/>
    <w:rsid w:val="01520AA4"/>
    <w:rsid w:val="01633786"/>
    <w:rsid w:val="017734C4"/>
    <w:rsid w:val="019A5532"/>
    <w:rsid w:val="01C04C85"/>
    <w:rsid w:val="01E82BE5"/>
    <w:rsid w:val="01EB5EF8"/>
    <w:rsid w:val="0207002B"/>
    <w:rsid w:val="022E26FA"/>
    <w:rsid w:val="02413319"/>
    <w:rsid w:val="02450450"/>
    <w:rsid w:val="02472F76"/>
    <w:rsid w:val="02686A03"/>
    <w:rsid w:val="02987D19"/>
    <w:rsid w:val="0299720E"/>
    <w:rsid w:val="02B91F96"/>
    <w:rsid w:val="02DE7FB0"/>
    <w:rsid w:val="02E755A0"/>
    <w:rsid w:val="02FA30D3"/>
    <w:rsid w:val="03084CFA"/>
    <w:rsid w:val="034616C7"/>
    <w:rsid w:val="039C4C1C"/>
    <w:rsid w:val="04005878"/>
    <w:rsid w:val="042F7701"/>
    <w:rsid w:val="047E231D"/>
    <w:rsid w:val="04806B11"/>
    <w:rsid w:val="04837C03"/>
    <w:rsid w:val="048C542A"/>
    <w:rsid w:val="04AC72EC"/>
    <w:rsid w:val="05190704"/>
    <w:rsid w:val="051D57BB"/>
    <w:rsid w:val="05270DB5"/>
    <w:rsid w:val="052817BB"/>
    <w:rsid w:val="05510247"/>
    <w:rsid w:val="0580226C"/>
    <w:rsid w:val="05917C5F"/>
    <w:rsid w:val="05BD2E69"/>
    <w:rsid w:val="05BE0F3C"/>
    <w:rsid w:val="05DA7AA4"/>
    <w:rsid w:val="05DD6CA7"/>
    <w:rsid w:val="05F6339D"/>
    <w:rsid w:val="061331D5"/>
    <w:rsid w:val="06241D7C"/>
    <w:rsid w:val="063976EA"/>
    <w:rsid w:val="06750C66"/>
    <w:rsid w:val="06A7319D"/>
    <w:rsid w:val="06D346D6"/>
    <w:rsid w:val="07107252"/>
    <w:rsid w:val="07116147"/>
    <w:rsid w:val="0712691E"/>
    <w:rsid w:val="0714742B"/>
    <w:rsid w:val="072C6AB1"/>
    <w:rsid w:val="07520836"/>
    <w:rsid w:val="075E76FE"/>
    <w:rsid w:val="07723089"/>
    <w:rsid w:val="077D7634"/>
    <w:rsid w:val="07EA70C4"/>
    <w:rsid w:val="084362F9"/>
    <w:rsid w:val="08524FDB"/>
    <w:rsid w:val="0855720F"/>
    <w:rsid w:val="08892439"/>
    <w:rsid w:val="088D5F5C"/>
    <w:rsid w:val="089D4136"/>
    <w:rsid w:val="08A2174C"/>
    <w:rsid w:val="08AA0E22"/>
    <w:rsid w:val="08B71729"/>
    <w:rsid w:val="08C23379"/>
    <w:rsid w:val="093C026C"/>
    <w:rsid w:val="09705641"/>
    <w:rsid w:val="0997077C"/>
    <w:rsid w:val="09DC2A3C"/>
    <w:rsid w:val="09E813E1"/>
    <w:rsid w:val="0A231A27"/>
    <w:rsid w:val="0A260FC3"/>
    <w:rsid w:val="0A2E0EA5"/>
    <w:rsid w:val="0A4E254C"/>
    <w:rsid w:val="0A654A44"/>
    <w:rsid w:val="0A8C009B"/>
    <w:rsid w:val="0A8E562B"/>
    <w:rsid w:val="0A9450C5"/>
    <w:rsid w:val="0ABA4C8A"/>
    <w:rsid w:val="0ACA4546"/>
    <w:rsid w:val="0ACC4AB7"/>
    <w:rsid w:val="0AE43B71"/>
    <w:rsid w:val="0AE67CD4"/>
    <w:rsid w:val="0AE940B6"/>
    <w:rsid w:val="0B04224A"/>
    <w:rsid w:val="0B0F299D"/>
    <w:rsid w:val="0B1D4C72"/>
    <w:rsid w:val="0B226ED5"/>
    <w:rsid w:val="0B290A93"/>
    <w:rsid w:val="0B44507A"/>
    <w:rsid w:val="0B734ACD"/>
    <w:rsid w:val="0B966F45"/>
    <w:rsid w:val="0BA525D8"/>
    <w:rsid w:val="0BD50CE3"/>
    <w:rsid w:val="0BEE2901"/>
    <w:rsid w:val="0C2E29A6"/>
    <w:rsid w:val="0C2F6006"/>
    <w:rsid w:val="0C4C2659"/>
    <w:rsid w:val="0C4E34BF"/>
    <w:rsid w:val="0C5B37C6"/>
    <w:rsid w:val="0C7B02EA"/>
    <w:rsid w:val="0C8352C9"/>
    <w:rsid w:val="0C88726E"/>
    <w:rsid w:val="0C98437D"/>
    <w:rsid w:val="0D12601B"/>
    <w:rsid w:val="0D455427"/>
    <w:rsid w:val="0D4A15ED"/>
    <w:rsid w:val="0D4C1F32"/>
    <w:rsid w:val="0D5616A6"/>
    <w:rsid w:val="0D5E5DCC"/>
    <w:rsid w:val="0D7E5707"/>
    <w:rsid w:val="0DC72578"/>
    <w:rsid w:val="0DE87C01"/>
    <w:rsid w:val="0DF94501"/>
    <w:rsid w:val="0E32720B"/>
    <w:rsid w:val="0E40144B"/>
    <w:rsid w:val="0E473521"/>
    <w:rsid w:val="0E4B0190"/>
    <w:rsid w:val="0E5057A7"/>
    <w:rsid w:val="0E686A1C"/>
    <w:rsid w:val="0E7864B7"/>
    <w:rsid w:val="0E794CFD"/>
    <w:rsid w:val="0EBC7032"/>
    <w:rsid w:val="0EC2230D"/>
    <w:rsid w:val="0ED30636"/>
    <w:rsid w:val="0EDA4061"/>
    <w:rsid w:val="0F0F7410"/>
    <w:rsid w:val="0F465E03"/>
    <w:rsid w:val="0F582888"/>
    <w:rsid w:val="0F5951D3"/>
    <w:rsid w:val="0F673144"/>
    <w:rsid w:val="0F681E22"/>
    <w:rsid w:val="0F781459"/>
    <w:rsid w:val="0F9262E5"/>
    <w:rsid w:val="0FD005A4"/>
    <w:rsid w:val="0FDF28CA"/>
    <w:rsid w:val="0FE95EB3"/>
    <w:rsid w:val="10390CED"/>
    <w:rsid w:val="105A46BB"/>
    <w:rsid w:val="10680058"/>
    <w:rsid w:val="10752CF3"/>
    <w:rsid w:val="108160EB"/>
    <w:rsid w:val="10835CE5"/>
    <w:rsid w:val="108D7FEC"/>
    <w:rsid w:val="10973028"/>
    <w:rsid w:val="10B70ADD"/>
    <w:rsid w:val="10EB0A61"/>
    <w:rsid w:val="10F96CD3"/>
    <w:rsid w:val="11230728"/>
    <w:rsid w:val="112B1DC1"/>
    <w:rsid w:val="11714A01"/>
    <w:rsid w:val="117E3EBF"/>
    <w:rsid w:val="11875983"/>
    <w:rsid w:val="119360D6"/>
    <w:rsid w:val="11A63895"/>
    <w:rsid w:val="11AA0E33"/>
    <w:rsid w:val="11D465DE"/>
    <w:rsid w:val="11F823DD"/>
    <w:rsid w:val="12286F7D"/>
    <w:rsid w:val="1234204C"/>
    <w:rsid w:val="12356713"/>
    <w:rsid w:val="124E6914"/>
    <w:rsid w:val="12922832"/>
    <w:rsid w:val="12AA6CF7"/>
    <w:rsid w:val="12BC0338"/>
    <w:rsid w:val="12D93FBD"/>
    <w:rsid w:val="12DE4113"/>
    <w:rsid w:val="12E724A9"/>
    <w:rsid w:val="12F51579"/>
    <w:rsid w:val="12FC46B3"/>
    <w:rsid w:val="13042B7A"/>
    <w:rsid w:val="1338631F"/>
    <w:rsid w:val="134C29E0"/>
    <w:rsid w:val="13941C69"/>
    <w:rsid w:val="13B124D5"/>
    <w:rsid w:val="13D053C0"/>
    <w:rsid w:val="13F9694A"/>
    <w:rsid w:val="140712E6"/>
    <w:rsid w:val="14333776"/>
    <w:rsid w:val="144F6715"/>
    <w:rsid w:val="14537D9F"/>
    <w:rsid w:val="14742001"/>
    <w:rsid w:val="14AA5797"/>
    <w:rsid w:val="14B71172"/>
    <w:rsid w:val="14D15CCE"/>
    <w:rsid w:val="14EC3C3A"/>
    <w:rsid w:val="15667555"/>
    <w:rsid w:val="156758B0"/>
    <w:rsid w:val="159D4A00"/>
    <w:rsid w:val="15BD1974"/>
    <w:rsid w:val="15C01D2D"/>
    <w:rsid w:val="160E7BD1"/>
    <w:rsid w:val="16143402"/>
    <w:rsid w:val="16150220"/>
    <w:rsid w:val="1618628E"/>
    <w:rsid w:val="161F09ED"/>
    <w:rsid w:val="163D7EC9"/>
    <w:rsid w:val="164342FA"/>
    <w:rsid w:val="164E497A"/>
    <w:rsid w:val="165D035E"/>
    <w:rsid w:val="16A22BEB"/>
    <w:rsid w:val="16B966B9"/>
    <w:rsid w:val="16CB645F"/>
    <w:rsid w:val="16CF2919"/>
    <w:rsid w:val="16DC22CD"/>
    <w:rsid w:val="16F86A08"/>
    <w:rsid w:val="171820A2"/>
    <w:rsid w:val="17451061"/>
    <w:rsid w:val="174F47B2"/>
    <w:rsid w:val="17571001"/>
    <w:rsid w:val="17614457"/>
    <w:rsid w:val="179606CE"/>
    <w:rsid w:val="17B377ED"/>
    <w:rsid w:val="17F972C4"/>
    <w:rsid w:val="18113658"/>
    <w:rsid w:val="181262C3"/>
    <w:rsid w:val="181270D8"/>
    <w:rsid w:val="183A7AB3"/>
    <w:rsid w:val="184335AA"/>
    <w:rsid w:val="185C4B83"/>
    <w:rsid w:val="18BB7470"/>
    <w:rsid w:val="18DC1263"/>
    <w:rsid w:val="18E757E1"/>
    <w:rsid w:val="195C5947"/>
    <w:rsid w:val="195E76ED"/>
    <w:rsid w:val="19A71B6C"/>
    <w:rsid w:val="19CA28B1"/>
    <w:rsid w:val="19E95BEC"/>
    <w:rsid w:val="19FB1E5B"/>
    <w:rsid w:val="1A26730A"/>
    <w:rsid w:val="1A295695"/>
    <w:rsid w:val="1A66082C"/>
    <w:rsid w:val="1A78230D"/>
    <w:rsid w:val="1ADD1051"/>
    <w:rsid w:val="1B170F6C"/>
    <w:rsid w:val="1B1B26AB"/>
    <w:rsid w:val="1B200CF6"/>
    <w:rsid w:val="1B2E05FE"/>
    <w:rsid w:val="1B804CE5"/>
    <w:rsid w:val="1B8448B7"/>
    <w:rsid w:val="1B8F46BA"/>
    <w:rsid w:val="1BF44C8D"/>
    <w:rsid w:val="1BF754B3"/>
    <w:rsid w:val="1C055E22"/>
    <w:rsid w:val="1C2753D6"/>
    <w:rsid w:val="1C69716C"/>
    <w:rsid w:val="1C8B27CB"/>
    <w:rsid w:val="1CA7647F"/>
    <w:rsid w:val="1CB1569A"/>
    <w:rsid w:val="1CB313F6"/>
    <w:rsid w:val="1CD30593"/>
    <w:rsid w:val="1CE27293"/>
    <w:rsid w:val="1CEC75C1"/>
    <w:rsid w:val="1D320622"/>
    <w:rsid w:val="1D344347"/>
    <w:rsid w:val="1D3544E5"/>
    <w:rsid w:val="1D503F50"/>
    <w:rsid w:val="1D6C4B3B"/>
    <w:rsid w:val="1D825650"/>
    <w:rsid w:val="1DB85629"/>
    <w:rsid w:val="1DEE5D0A"/>
    <w:rsid w:val="1DF719E4"/>
    <w:rsid w:val="1DFA09B3"/>
    <w:rsid w:val="1E1C5E73"/>
    <w:rsid w:val="1E3D5BFF"/>
    <w:rsid w:val="1E5B585E"/>
    <w:rsid w:val="1E786747"/>
    <w:rsid w:val="1E7D6144"/>
    <w:rsid w:val="1E8563ED"/>
    <w:rsid w:val="1EA0459D"/>
    <w:rsid w:val="1EA41923"/>
    <w:rsid w:val="1EB21D4C"/>
    <w:rsid w:val="1ED42809"/>
    <w:rsid w:val="1EF26B32"/>
    <w:rsid w:val="1F2B6DFB"/>
    <w:rsid w:val="1F446C62"/>
    <w:rsid w:val="1F492E83"/>
    <w:rsid w:val="1F6A2CF4"/>
    <w:rsid w:val="1F715EA6"/>
    <w:rsid w:val="1F8137B1"/>
    <w:rsid w:val="1FC81641"/>
    <w:rsid w:val="1FFD6FC8"/>
    <w:rsid w:val="201C373B"/>
    <w:rsid w:val="202279CC"/>
    <w:rsid w:val="20441B19"/>
    <w:rsid w:val="20663493"/>
    <w:rsid w:val="20A6481A"/>
    <w:rsid w:val="20B87A68"/>
    <w:rsid w:val="20BF45FE"/>
    <w:rsid w:val="20C70459"/>
    <w:rsid w:val="20DC60D3"/>
    <w:rsid w:val="20F327F1"/>
    <w:rsid w:val="210144A1"/>
    <w:rsid w:val="2102069D"/>
    <w:rsid w:val="2112446B"/>
    <w:rsid w:val="211D5C24"/>
    <w:rsid w:val="212E7BC9"/>
    <w:rsid w:val="215F78EC"/>
    <w:rsid w:val="21E34E4F"/>
    <w:rsid w:val="21F11A78"/>
    <w:rsid w:val="22160B82"/>
    <w:rsid w:val="222E4ADC"/>
    <w:rsid w:val="2245532A"/>
    <w:rsid w:val="22596F3A"/>
    <w:rsid w:val="22633CAD"/>
    <w:rsid w:val="22643E0F"/>
    <w:rsid w:val="228F5B85"/>
    <w:rsid w:val="229F23A9"/>
    <w:rsid w:val="22CC769A"/>
    <w:rsid w:val="22D26F9A"/>
    <w:rsid w:val="22E8299A"/>
    <w:rsid w:val="22F234E2"/>
    <w:rsid w:val="230A1F70"/>
    <w:rsid w:val="230F44D7"/>
    <w:rsid w:val="231678A1"/>
    <w:rsid w:val="233733AC"/>
    <w:rsid w:val="23845C20"/>
    <w:rsid w:val="23B12896"/>
    <w:rsid w:val="23C00A75"/>
    <w:rsid w:val="23F316BB"/>
    <w:rsid w:val="23F65C0D"/>
    <w:rsid w:val="24436BD9"/>
    <w:rsid w:val="24651B54"/>
    <w:rsid w:val="24772897"/>
    <w:rsid w:val="248A7D5E"/>
    <w:rsid w:val="24901F3A"/>
    <w:rsid w:val="24963225"/>
    <w:rsid w:val="24994A73"/>
    <w:rsid w:val="24EC4414"/>
    <w:rsid w:val="24F25805"/>
    <w:rsid w:val="25377C12"/>
    <w:rsid w:val="256D07EF"/>
    <w:rsid w:val="25873D4C"/>
    <w:rsid w:val="25A008DD"/>
    <w:rsid w:val="25B0273C"/>
    <w:rsid w:val="25B86354"/>
    <w:rsid w:val="25C40A14"/>
    <w:rsid w:val="25D45C3E"/>
    <w:rsid w:val="25DB33D1"/>
    <w:rsid w:val="25DD61F7"/>
    <w:rsid w:val="26172F77"/>
    <w:rsid w:val="263F56EE"/>
    <w:rsid w:val="264F6C0E"/>
    <w:rsid w:val="26AC4400"/>
    <w:rsid w:val="26BA3BB5"/>
    <w:rsid w:val="26EA6341"/>
    <w:rsid w:val="271F3084"/>
    <w:rsid w:val="272835E1"/>
    <w:rsid w:val="27582C83"/>
    <w:rsid w:val="276E7580"/>
    <w:rsid w:val="277070EA"/>
    <w:rsid w:val="278D7F5C"/>
    <w:rsid w:val="279E1806"/>
    <w:rsid w:val="279F27E3"/>
    <w:rsid w:val="27C13471"/>
    <w:rsid w:val="281E11E4"/>
    <w:rsid w:val="285D4024"/>
    <w:rsid w:val="288051AE"/>
    <w:rsid w:val="288C5A63"/>
    <w:rsid w:val="28B92147"/>
    <w:rsid w:val="291678C1"/>
    <w:rsid w:val="293407FF"/>
    <w:rsid w:val="296323DA"/>
    <w:rsid w:val="29B80978"/>
    <w:rsid w:val="29D26BE3"/>
    <w:rsid w:val="2A063491"/>
    <w:rsid w:val="2A1805FD"/>
    <w:rsid w:val="2A19597B"/>
    <w:rsid w:val="2A4F4A98"/>
    <w:rsid w:val="2A6C2D68"/>
    <w:rsid w:val="2A7439F6"/>
    <w:rsid w:val="2A8F792B"/>
    <w:rsid w:val="2AB21EBA"/>
    <w:rsid w:val="2AEA69C9"/>
    <w:rsid w:val="2AFF1738"/>
    <w:rsid w:val="2B0355C5"/>
    <w:rsid w:val="2B0F6376"/>
    <w:rsid w:val="2B34148C"/>
    <w:rsid w:val="2B371124"/>
    <w:rsid w:val="2B376F2C"/>
    <w:rsid w:val="2B3E03DE"/>
    <w:rsid w:val="2B417276"/>
    <w:rsid w:val="2B51291E"/>
    <w:rsid w:val="2B556927"/>
    <w:rsid w:val="2B561DD3"/>
    <w:rsid w:val="2B5A5895"/>
    <w:rsid w:val="2B9D45A2"/>
    <w:rsid w:val="2BA702B7"/>
    <w:rsid w:val="2BAF326F"/>
    <w:rsid w:val="2BB179B9"/>
    <w:rsid w:val="2BBE765A"/>
    <w:rsid w:val="2BEC3741"/>
    <w:rsid w:val="2C245A81"/>
    <w:rsid w:val="2C460888"/>
    <w:rsid w:val="2C4F787A"/>
    <w:rsid w:val="2C764B59"/>
    <w:rsid w:val="2C852F06"/>
    <w:rsid w:val="2C9214D0"/>
    <w:rsid w:val="2C942F95"/>
    <w:rsid w:val="2C9A44E5"/>
    <w:rsid w:val="2C9F53AF"/>
    <w:rsid w:val="2CBA641B"/>
    <w:rsid w:val="2CD734EF"/>
    <w:rsid w:val="2CFB4920"/>
    <w:rsid w:val="2D4E224A"/>
    <w:rsid w:val="2D982E0B"/>
    <w:rsid w:val="2DA20924"/>
    <w:rsid w:val="2DAD00C8"/>
    <w:rsid w:val="2DC773DC"/>
    <w:rsid w:val="2DEE5C16"/>
    <w:rsid w:val="2E072654"/>
    <w:rsid w:val="2E9D1EEA"/>
    <w:rsid w:val="2EAC24EC"/>
    <w:rsid w:val="2EB6719F"/>
    <w:rsid w:val="2EE1772D"/>
    <w:rsid w:val="2F0D3659"/>
    <w:rsid w:val="2F2E122B"/>
    <w:rsid w:val="2F4C23B0"/>
    <w:rsid w:val="2F5D6A7E"/>
    <w:rsid w:val="2F6333F4"/>
    <w:rsid w:val="2F72323B"/>
    <w:rsid w:val="2F9075F6"/>
    <w:rsid w:val="2F994DA8"/>
    <w:rsid w:val="2FB860F9"/>
    <w:rsid w:val="2FEC4779"/>
    <w:rsid w:val="2FEF2C1A"/>
    <w:rsid w:val="2FF81ACE"/>
    <w:rsid w:val="3011493E"/>
    <w:rsid w:val="301821C7"/>
    <w:rsid w:val="301B0605"/>
    <w:rsid w:val="303365C0"/>
    <w:rsid w:val="30352CA7"/>
    <w:rsid w:val="304F32F8"/>
    <w:rsid w:val="307B4A76"/>
    <w:rsid w:val="30B4501F"/>
    <w:rsid w:val="30F23B11"/>
    <w:rsid w:val="31011E8B"/>
    <w:rsid w:val="31181CFC"/>
    <w:rsid w:val="31587869"/>
    <w:rsid w:val="31756E6A"/>
    <w:rsid w:val="317F3D7D"/>
    <w:rsid w:val="318C3530"/>
    <w:rsid w:val="31B60DCF"/>
    <w:rsid w:val="31BC0D04"/>
    <w:rsid w:val="31C628AB"/>
    <w:rsid w:val="31C63E66"/>
    <w:rsid w:val="31CD0C24"/>
    <w:rsid w:val="31E41961"/>
    <w:rsid w:val="31F0559B"/>
    <w:rsid w:val="31F167D5"/>
    <w:rsid w:val="322859CC"/>
    <w:rsid w:val="322963D4"/>
    <w:rsid w:val="324C6101"/>
    <w:rsid w:val="32715B68"/>
    <w:rsid w:val="32843AED"/>
    <w:rsid w:val="328846B7"/>
    <w:rsid w:val="32A01606"/>
    <w:rsid w:val="32C94A9C"/>
    <w:rsid w:val="32DA4848"/>
    <w:rsid w:val="32E41A23"/>
    <w:rsid w:val="32EF7972"/>
    <w:rsid w:val="332D454F"/>
    <w:rsid w:val="334E1463"/>
    <w:rsid w:val="33573F06"/>
    <w:rsid w:val="335F00B6"/>
    <w:rsid w:val="33AF6948"/>
    <w:rsid w:val="33B94DA4"/>
    <w:rsid w:val="33D231F8"/>
    <w:rsid w:val="33F85559"/>
    <w:rsid w:val="34157A58"/>
    <w:rsid w:val="344920A7"/>
    <w:rsid w:val="34954276"/>
    <w:rsid w:val="34983E85"/>
    <w:rsid w:val="34A07D70"/>
    <w:rsid w:val="34B5590B"/>
    <w:rsid w:val="34D47380"/>
    <w:rsid w:val="34F03F21"/>
    <w:rsid w:val="350601DC"/>
    <w:rsid w:val="350B22A4"/>
    <w:rsid w:val="353E331F"/>
    <w:rsid w:val="354C1DF6"/>
    <w:rsid w:val="3577140D"/>
    <w:rsid w:val="357C6838"/>
    <w:rsid w:val="35843E04"/>
    <w:rsid w:val="3591737C"/>
    <w:rsid w:val="35A63D95"/>
    <w:rsid w:val="35AB3B2B"/>
    <w:rsid w:val="35B11597"/>
    <w:rsid w:val="360B3E62"/>
    <w:rsid w:val="362E479C"/>
    <w:rsid w:val="3647730B"/>
    <w:rsid w:val="36650D1E"/>
    <w:rsid w:val="367F29FE"/>
    <w:rsid w:val="36CD31A6"/>
    <w:rsid w:val="36D01C1A"/>
    <w:rsid w:val="36D72917"/>
    <w:rsid w:val="36E41E01"/>
    <w:rsid w:val="36F21BFC"/>
    <w:rsid w:val="370E4390"/>
    <w:rsid w:val="373A697A"/>
    <w:rsid w:val="3744619F"/>
    <w:rsid w:val="375724D3"/>
    <w:rsid w:val="376C34BF"/>
    <w:rsid w:val="376F2B4C"/>
    <w:rsid w:val="37797AAB"/>
    <w:rsid w:val="37965565"/>
    <w:rsid w:val="379A7963"/>
    <w:rsid w:val="37B207B5"/>
    <w:rsid w:val="37B70A92"/>
    <w:rsid w:val="37EA40BB"/>
    <w:rsid w:val="37FE7E9E"/>
    <w:rsid w:val="38195423"/>
    <w:rsid w:val="38433C02"/>
    <w:rsid w:val="38E2156D"/>
    <w:rsid w:val="3917195A"/>
    <w:rsid w:val="39192682"/>
    <w:rsid w:val="39273424"/>
    <w:rsid w:val="392F4087"/>
    <w:rsid w:val="3971655D"/>
    <w:rsid w:val="397A5637"/>
    <w:rsid w:val="397B07A1"/>
    <w:rsid w:val="399F745E"/>
    <w:rsid w:val="39AC73E9"/>
    <w:rsid w:val="39FF1CAB"/>
    <w:rsid w:val="3A1B6A12"/>
    <w:rsid w:val="3A2705DA"/>
    <w:rsid w:val="3A3276D0"/>
    <w:rsid w:val="3A496DD4"/>
    <w:rsid w:val="3A5971A0"/>
    <w:rsid w:val="3A8525FC"/>
    <w:rsid w:val="3A9668B9"/>
    <w:rsid w:val="3AAC1548"/>
    <w:rsid w:val="3AC91B59"/>
    <w:rsid w:val="3AD4225A"/>
    <w:rsid w:val="3AFE0553"/>
    <w:rsid w:val="3B0E6A79"/>
    <w:rsid w:val="3B265EE6"/>
    <w:rsid w:val="3B2958E9"/>
    <w:rsid w:val="3B4330B3"/>
    <w:rsid w:val="3B443E1A"/>
    <w:rsid w:val="3B5D137F"/>
    <w:rsid w:val="3B5F68BA"/>
    <w:rsid w:val="3B8371A7"/>
    <w:rsid w:val="3B9153A8"/>
    <w:rsid w:val="3BB371F1"/>
    <w:rsid w:val="3BB450D2"/>
    <w:rsid w:val="3BBC1B7C"/>
    <w:rsid w:val="3BE81CD4"/>
    <w:rsid w:val="3C016259"/>
    <w:rsid w:val="3C0C648C"/>
    <w:rsid w:val="3C412EAA"/>
    <w:rsid w:val="3C806348"/>
    <w:rsid w:val="3C834E15"/>
    <w:rsid w:val="3C8C13E6"/>
    <w:rsid w:val="3C8C1D3C"/>
    <w:rsid w:val="3C98743F"/>
    <w:rsid w:val="3D11205B"/>
    <w:rsid w:val="3D3D55B3"/>
    <w:rsid w:val="3D3F29A4"/>
    <w:rsid w:val="3DA63C06"/>
    <w:rsid w:val="3DAC5982"/>
    <w:rsid w:val="3DB3113D"/>
    <w:rsid w:val="3DC079A3"/>
    <w:rsid w:val="3DF57717"/>
    <w:rsid w:val="3E2A2B34"/>
    <w:rsid w:val="3E78202C"/>
    <w:rsid w:val="3E87586E"/>
    <w:rsid w:val="3EE651E8"/>
    <w:rsid w:val="3EED47C8"/>
    <w:rsid w:val="3F0613BF"/>
    <w:rsid w:val="3F12480E"/>
    <w:rsid w:val="3F416DEB"/>
    <w:rsid w:val="3F50722A"/>
    <w:rsid w:val="3F547CFB"/>
    <w:rsid w:val="3F645D9C"/>
    <w:rsid w:val="3FB341CD"/>
    <w:rsid w:val="3FDD54B1"/>
    <w:rsid w:val="3FE168EF"/>
    <w:rsid w:val="3FEF4963"/>
    <w:rsid w:val="400B7D6B"/>
    <w:rsid w:val="4017102C"/>
    <w:rsid w:val="401F6C03"/>
    <w:rsid w:val="40317FFA"/>
    <w:rsid w:val="40566491"/>
    <w:rsid w:val="405A34BE"/>
    <w:rsid w:val="40681E08"/>
    <w:rsid w:val="40B251CA"/>
    <w:rsid w:val="40C003E6"/>
    <w:rsid w:val="40D12F9B"/>
    <w:rsid w:val="40D50F73"/>
    <w:rsid w:val="40E765BD"/>
    <w:rsid w:val="40F577A9"/>
    <w:rsid w:val="413D3583"/>
    <w:rsid w:val="414A7CB0"/>
    <w:rsid w:val="414E6719"/>
    <w:rsid w:val="41680A9F"/>
    <w:rsid w:val="417A46D4"/>
    <w:rsid w:val="419345E1"/>
    <w:rsid w:val="41940CDA"/>
    <w:rsid w:val="41B941AD"/>
    <w:rsid w:val="41BB7F90"/>
    <w:rsid w:val="41CF0BCF"/>
    <w:rsid w:val="41D427C4"/>
    <w:rsid w:val="41E04248"/>
    <w:rsid w:val="42042CCA"/>
    <w:rsid w:val="42072045"/>
    <w:rsid w:val="421C2955"/>
    <w:rsid w:val="425A3F23"/>
    <w:rsid w:val="42AF01B5"/>
    <w:rsid w:val="42EA1278"/>
    <w:rsid w:val="42ED5DF4"/>
    <w:rsid w:val="43014CE6"/>
    <w:rsid w:val="430E2E86"/>
    <w:rsid w:val="431437FB"/>
    <w:rsid w:val="43192030"/>
    <w:rsid w:val="431E31A2"/>
    <w:rsid w:val="432253F9"/>
    <w:rsid w:val="432969BD"/>
    <w:rsid w:val="433C6D75"/>
    <w:rsid w:val="43482809"/>
    <w:rsid w:val="435B61A4"/>
    <w:rsid w:val="43727FC7"/>
    <w:rsid w:val="43794BD1"/>
    <w:rsid w:val="43962EE7"/>
    <w:rsid w:val="43982C37"/>
    <w:rsid w:val="43B52EE4"/>
    <w:rsid w:val="43F11169"/>
    <w:rsid w:val="442567B2"/>
    <w:rsid w:val="44716743"/>
    <w:rsid w:val="44781099"/>
    <w:rsid w:val="448D3228"/>
    <w:rsid w:val="44A21BB1"/>
    <w:rsid w:val="44D70159"/>
    <w:rsid w:val="44E1292E"/>
    <w:rsid w:val="44F8685E"/>
    <w:rsid w:val="452D591E"/>
    <w:rsid w:val="4553238D"/>
    <w:rsid w:val="455A06DD"/>
    <w:rsid w:val="458F25CF"/>
    <w:rsid w:val="459D5BB4"/>
    <w:rsid w:val="45FC3543"/>
    <w:rsid w:val="460F1B7E"/>
    <w:rsid w:val="461A78A6"/>
    <w:rsid w:val="46750922"/>
    <w:rsid w:val="46753A21"/>
    <w:rsid w:val="469C0D40"/>
    <w:rsid w:val="46A301C2"/>
    <w:rsid w:val="46B215A3"/>
    <w:rsid w:val="46C36755"/>
    <w:rsid w:val="46D027AA"/>
    <w:rsid w:val="46D16AA8"/>
    <w:rsid w:val="46EE732F"/>
    <w:rsid w:val="471425D5"/>
    <w:rsid w:val="47440ED2"/>
    <w:rsid w:val="47637D1D"/>
    <w:rsid w:val="47723768"/>
    <w:rsid w:val="479D6455"/>
    <w:rsid w:val="47D14699"/>
    <w:rsid w:val="47D9353C"/>
    <w:rsid w:val="47FB70B2"/>
    <w:rsid w:val="483219A8"/>
    <w:rsid w:val="48552D94"/>
    <w:rsid w:val="485F0E48"/>
    <w:rsid w:val="48875C49"/>
    <w:rsid w:val="48B42737"/>
    <w:rsid w:val="48B5112D"/>
    <w:rsid w:val="48BA1ECA"/>
    <w:rsid w:val="48DC58FD"/>
    <w:rsid w:val="48DD2962"/>
    <w:rsid w:val="48E924A4"/>
    <w:rsid w:val="48F75EF7"/>
    <w:rsid w:val="49060960"/>
    <w:rsid w:val="49340CA0"/>
    <w:rsid w:val="49413270"/>
    <w:rsid w:val="4942032F"/>
    <w:rsid w:val="49490BB1"/>
    <w:rsid w:val="49494CF1"/>
    <w:rsid w:val="49692915"/>
    <w:rsid w:val="49891591"/>
    <w:rsid w:val="49ED6B54"/>
    <w:rsid w:val="49EF1F42"/>
    <w:rsid w:val="49F54794"/>
    <w:rsid w:val="4A0355CE"/>
    <w:rsid w:val="4A192915"/>
    <w:rsid w:val="4A3847B0"/>
    <w:rsid w:val="4A3F772C"/>
    <w:rsid w:val="4A6603DD"/>
    <w:rsid w:val="4A6E7668"/>
    <w:rsid w:val="4A8E0DA6"/>
    <w:rsid w:val="4AAE2EEE"/>
    <w:rsid w:val="4AE2438A"/>
    <w:rsid w:val="4AE81E2D"/>
    <w:rsid w:val="4B2A4D9B"/>
    <w:rsid w:val="4B71571B"/>
    <w:rsid w:val="4B976D28"/>
    <w:rsid w:val="4B992729"/>
    <w:rsid w:val="4BAB7C29"/>
    <w:rsid w:val="4BC44B03"/>
    <w:rsid w:val="4BF14E5C"/>
    <w:rsid w:val="4C1916D1"/>
    <w:rsid w:val="4C3A3D0D"/>
    <w:rsid w:val="4CAC7A71"/>
    <w:rsid w:val="4CD4213C"/>
    <w:rsid w:val="4CE21286"/>
    <w:rsid w:val="4CE216E4"/>
    <w:rsid w:val="4D2301A6"/>
    <w:rsid w:val="4D397E04"/>
    <w:rsid w:val="4D48005A"/>
    <w:rsid w:val="4D665E71"/>
    <w:rsid w:val="4D750D7E"/>
    <w:rsid w:val="4DA237EC"/>
    <w:rsid w:val="4DD1007C"/>
    <w:rsid w:val="4DD80FF0"/>
    <w:rsid w:val="4DE51125"/>
    <w:rsid w:val="4DF37665"/>
    <w:rsid w:val="4E200716"/>
    <w:rsid w:val="4E7B3B9E"/>
    <w:rsid w:val="4E984750"/>
    <w:rsid w:val="4EBC4081"/>
    <w:rsid w:val="4F025A3F"/>
    <w:rsid w:val="4F195165"/>
    <w:rsid w:val="4F3F6565"/>
    <w:rsid w:val="4F4F0B87"/>
    <w:rsid w:val="4F6E725F"/>
    <w:rsid w:val="4F706460"/>
    <w:rsid w:val="4F7E30DC"/>
    <w:rsid w:val="4F96706C"/>
    <w:rsid w:val="4FA060F5"/>
    <w:rsid w:val="4FC915F8"/>
    <w:rsid w:val="4FCA77BD"/>
    <w:rsid w:val="4FE87012"/>
    <w:rsid w:val="50026152"/>
    <w:rsid w:val="50227DCE"/>
    <w:rsid w:val="504E4277"/>
    <w:rsid w:val="506F3038"/>
    <w:rsid w:val="50830AE8"/>
    <w:rsid w:val="508362F4"/>
    <w:rsid w:val="50B64539"/>
    <w:rsid w:val="50EB072C"/>
    <w:rsid w:val="50F07683"/>
    <w:rsid w:val="51272C39"/>
    <w:rsid w:val="51404C2B"/>
    <w:rsid w:val="5141571D"/>
    <w:rsid w:val="5155338F"/>
    <w:rsid w:val="51650159"/>
    <w:rsid w:val="516C70A1"/>
    <w:rsid w:val="519C25A2"/>
    <w:rsid w:val="51B318A1"/>
    <w:rsid w:val="51BA49DE"/>
    <w:rsid w:val="51F81FB4"/>
    <w:rsid w:val="52002EB5"/>
    <w:rsid w:val="5201260D"/>
    <w:rsid w:val="525C4143"/>
    <w:rsid w:val="526A6404"/>
    <w:rsid w:val="526E67A3"/>
    <w:rsid w:val="52907286"/>
    <w:rsid w:val="52B85D86"/>
    <w:rsid w:val="52D675F5"/>
    <w:rsid w:val="52FA58E6"/>
    <w:rsid w:val="53084074"/>
    <w:rsid w:val="530C10F9"/>
    <w:rsid w:val="53217231"/>
    <w:rsid w:val="5325507F"/>
    <w:rsid w:val="53296229"/>
    <w:rsid w:val="532A04C8"/>
    <w:rsid w:val="534B0C47"/>
    <w:rsid w:val="5360776D"/>
    <w:rsid w:val="537261AA"/>
    <w:rsid w:val="53E17A8A"/>
    <w:rsid w:val="53E411F3"/>
    <w:rsid w:val="53E7314D"/>
    <w:rsid w:val="54103240"/>
    <w:rsid w:val="54205240"/>
    <w:rsid w:val="542645AC"/>
    <w:rsid w:val="543E0321"/>
    <w:rsid w:val="547313E1"/>
    <w:rsid w:val="5483555B"/>
    <w:rsid w:val="54AA6F8B"/>
    <w:rsid w:val="54D1276A"/>
    <w:rsid w:val="54EA55DA"/>
    <w:rsid w:val="54F2448F"/>
    <w:rsid w:val="551032A1"/>
    <w:rsid w:val="552830AF"/>
    <w:rsid w:val="55326A62"/>
    <w:rsid w:val="553B7BE4"/>
    <w:rsid w:val="553D3E45"/>
    <w:rsid w:val="554A3061"/>
    <w:rsid w:val="558B0EF2"/>
    <w:rsid w:val="55BC2E3C"/>
    <w:rsid w:val="56195DC5"/>
    <w:rsid w:val="561B17C3"/>
    <w:rsid w:val="562D782B"/>
    <w:rsid w:val="564473AD"/>
    <w:rsid w:val="5671771B"/>
    <w:rsid w:val="56816E5B"/>
    <w:rsid w:val="56B26734"/>
    <w:rsid w:val="56CF42A3"/>
    <w:rsid w:val="56D21446"/>
    <w:rsid w:val="56D25E29"/>
    <w:rsid w:val="56D4166D"/>
    <w:rsid w:val="570140CB"/>
    <w:rsid w:val="572A056F"/>
    <w:rsid w:val="572F2122"/>
    <w:rsid w:val="57513E3C"/>
    <w:rsid w:val="575E71D1"/>
    <w:rsid w:val="577379DD"/>
    <w:rsid w:val="57752041"/>
    <w:rsid w:val="57780285"/>
    <w:rsid w:val="579272E0"/>
    <w:rsid w:val="57CB7122"/>
    <w:rsid w:val="57DE0364"/>
    <w:rsid w:val="57EC63B3"/>
    <w:rsid w:val="57EC78BB"/>
    <w:rsid w:val="58705983"/>
    <w:rsid w:val="58B51E2F"/>
    <w:rsid w:val="58C67724"/>
    <w:rsid w:val="58D2007B"/>
    <w:rsid w:val="58EF2AD7"/>
    <w:rsid w:val="58F74373"/>
    <w:rsid w:val="58F76517"/>
    <w:rsid w:val="59254E33"/>
    <w:rsid w:val="592B2BC8"/>
    <w:rsid w:val="5945570A"/>
    <w:rsid w:val="596C2A61"/>
    <w:rsid w:val="597D1757"/>
    <w:rsid w:val="59831B59"/>
    <w:rsid w:val="598413B6"/>
    <w:rsid w:val="59861649"/>
    <w:rsid w:val="598A1022"/>
    <w:rsid w:val="599E2E37"/>
    <w:rsid w:val="5A03634B"/>
    <w:rsid w:val="5A5538A1"/>
    <w:rsid w:val="5A755946"/>
    <w:rsid w:val="5A9B0528"/>
    <w:rsid w:val="5AA20FEB"/>
    <w:rsid w:val="5AA4447D"/>
    <w:rsid w:val="5AE570C3"/>
    <w:rsid w:val="5AFA409D"/>
    <w:rsid w:val="5B500E03"/>
    <w:rsid w:val="5B5267B9"/>
    <w:rsid w:val="5B5F034D"/>
    <w:rsid w:val="5B64318C"/>
    <w:rsid w:val="5B696965"/>
    <w:rsid w:val="5B871DD5"/>
    <w:rsid w:val="5BC05588"/>
    <w:rsid w:val="5BC237E2"/>
    <w:rsid w:val="5BE21F66"/>
    <w:rsid w:val="5BFB37A6"/>
    <w:rsid w:val="5C240C7B"/>
    <w:rsid w:val="5C483AC9"/>
    <w:rsid w:val="5C847826"/>
    <w:rsid w:val="5CA52AF5"/>
    <w:rsid w:val="5CCC1E46"/>
    <w:rsid w:val="5CCE1A7B"/>
    <w:rsid w:val="5CE80A78"/>
    <w:rsid w:val="5CFE68E7"/>
    <w:rsid w:val="5D042FB1"/>
    <w:rsid w:val="5D1E0517"/>
    <w:rsid w:val="5D30024A"/>
    <w:rsid w:val="5D42415C"/>
    <w:rsid w:val="5D50269A"/>
    <w:rsid w:val="5D7245AD"/>
    <w:rsid w:val="5D73146B"/>
    <w:rsid w:val="5D8A5BAC"/>
    <w:rsid w:val="5DA12EF6"/>
    <w:rsid w:val="5DA35F0B"/>
    <w:rsid w:val="5DD44A85"/>
    <w:rsid w:val="5DDE2965"/>
    <w:rsid w:val="5DF23751"/>
    <w:rsid w:val="5DFF13CA"/>
    <w:rsid w:val="5E0B635A"/>
    <w:rsid w:val="5E185E74"/>
    <w:rsid w:val="5EA11D24"/>
    <w:rsid w:val="5ED92AEC"/>
    <w:rsid w:val="5EEA2EAA"/>
    <w:rsid w:val="5EED6987"/>
    <w:rsid w:val="5EF61D7F"/>
    <w:rsid w:val="5EFC3096"/>
    <w:rsid w:val="5F081D11"/>
    <w:rsid w:val="5F182D44"/>
    <w:rsid w:val="5F372A1F"/>
    <w:rsid w:val="5F450AC7"/>
    <w:rsid w:val="5F460C39"/>
    <w:rsid w:val="5F766867"/>
    <w:rsid w:val="5F7B5EA5"/>
    <w:rsid w:val="5F8748DA"/>
    <w:rsid w:val="5F8B191C"/>
    <w:rsid w:val="5F9C5723"/>
    <w:rsid w:val="5F9E0F56"/>
    <w:rsid w:val="5FA647F3"/>
    <w:rsid w:val="5FED30E0"/>
    <w:rsid w:val="601665FB"/>
    <w:rsid w:val="60210B27"/>
    <w:rsid w:val="605B7E8A"/>
    <w:rsid w:val="607B06DD"/>
    <w:rsid w:val="609E675C"/>
    <w:rsid w:val="60B00C54"/>
    <w:rsid w:val="60BC7A45"/>
    <w:rsid w:val="60EC054F"/>
    <w:rsid w:val="610B3038"/>
    <w:rsid w:val="611E62D7"/>
    <w:rsid w:val="613140FD"/>
    <w:rsid w:val="613B6F0D"/>
    <w:rsid w:val="615156EA"/>
    <w:rsid w:val="6157463B"/>
    <w:rsid w:val="6194649D"/>
    <w:rsid w:val="61AE5BE1"/>
    <w:rsid w:val="61BA3C54"/>
    <w:rsid w:val="61D70C94"/>
    <w:rsid w:val="61D95E93"/>
    <w:rsid w:val="61E84DE5"/>
    <w:rsid w:val="61E91867"/>
    <w:rsid w:val="6200172D"/>
    <w:rsid w:val="62012E19"/>
    <w:rsid w:val="620C4DF8"/>
    <w:rsid w:val="62396880"/>
    <w:rsid w:val="625130EC"/>
    <w:rsid w:val="62946B22"/>
    <w:rsid w:val="62B11F77"/>
    <w:rsid w:val="62D2414E"/>
    <w:rsid w:val="62F7417A"/>
    <w:rsid w:val="62FB6C04"/>
    <w:rsid w:val="62FE72D8"/>
    <w:rsid w:val="632A5196"/>
    <w:rsid w:val="633B165F"/>
    <w:rsid w:val="634D2D5C"/>
    <w:rsid w:val="63686109"/>
    <w:rsid w:val="63856413"/>
    <w:rsid w:val="63AB284B"/>
    <w:rsid w:val="63B30F2E"/>
    <w:rsid w:val="63CA2770"/>
    <w:rsid w:val="63D201A3"/>
    <w:rsid w:val="63D83E90"/>
    <w:rsid w:val="63F7453C"/>
    <w:rsid w:val="64003D27"/>
    <w:rsid w:val="640F08FE"/>
    <w:rsid w:val="646E04C5"/>
    <w:rsid w:val="64A13996"/>
    <w:rsid w:val="64AD388C"/>
    <w:rsid w:val="64B60830"/>
    <w:rsid w:val="64EB60D2"/>
    <w:rsid w:val="653122C2"/>
    <w:rsid w:val="65734859"/>
    <w:rsid w:val="657E6542"/>
    <w:rsid w:val="659375C8"/>
    <w:rsid w:val="66291EF4"/>
    <w:rsid w:val="668F231C"/>
    <w:rsid w:val="66C66E69"/>
    <w:rsid w:val="66D962DA"/>
    <w:rsid w:val="67115471"/>
    <w:rsid w:val="67127BD7"/>
    <w:rsid w:val="67486190"/>
    <w:rsid w:val="67660B91"/>
    <w:rsid w:val="67834728"/>
    <w:rsid w:val="67972079"/>
    <w:rsid w:val="67C718A4"/>
    <w:rsid w:val="67E623F7"/>
    <w:rsid w:val="681253D0"/>
    <w:rsid w:val="6829185E"/>
    <w:rsid w:val="68352BB8"/>
    <w:rsid w:val="685A6D95"/>
    <w:rsid w:val="686F60CA"/>
    <w:rsid w:val="68AF10F7"/>
    <w:rsid w:val="68E15E4A"/>
    <w:rsid w:val="68E80759"/>
    <w:rsid w:val="68F2680E"/>
    <w:rsid w:val="6909360A"/>
    <w:rsid w:val="69271690"/>
    <w:rsid w:val="69335A4E"/>
    <w:rsid w:val="6985448A"/>
    <w:rsid w:val="69B3090F"/>
    <w:rsid w:val="69BA03A8"/>
    <w:rsid w:val="69C55233"/>
    <w:rsid w:val="69CD78F2"/>
    <w:rsid w:val="69DE7098"/>
    <w:rsid w:val="69EB0D20"/>
    <w:rsid w:val="69FB5F53"/>
    <w:rsid w:val="6A1C22CC"/>
    <w:rsid w:val="6A436251"/>
    <w:rsid w:val="6A477C6E"/>
    <w:rsid w:val="6A5935AC"/>
    <w:rsid w:val="6ADC50AC"/>
    <w:rsid w:val="6AE37409"/>
    <w:rsid w:val="6AE866A8"/>
    <w:rsid w:val="6AF619D0"/>
    <w:rsid w:val="6B051D29"/>
    <w:rsid w:val="6B106310"/>
    <w:rsid w:val="6B2E1248"/>
    <w:rsid w:val="6B5C045C"/>
    <w:rsid w:val="6B623FEB"/>
    <w:rsid w:val="6B702441"/>
    <w:rsid w:val="6B703D33"/>
    <w:rsid w:val="6B711B7A"/>
    <w:rsid w:val="6B7C07EC"/>
    <w:rsid w:val="6BE8725E"/>
    <w:rsid w:val="6C152647"/>
    <w:rsid w:val="6C231EE1"/>
    <w:rsid w:val="6C2F6077"/>
    <w:rsid w:val="6C47110C"/>
    <w:rsid w:val="6C6608D6"/>
    <w:rsid w:val="6CA64834"/>
    <w:rsid w:val="6CF665AA"/>
    <w:rsid w:val="6D722C89"/>
    <w:rsid w:val="6D7633B3"/>
    <w:rsid w:val="6D8D7A35"/>
    <w:rsid w:val="6DDB69F4"/>
    <w:rsid w:val="6E0E5A3E"/>
    <w:rsid w:val="6E301A15"/>
    <w:rsid w:val="6E445903"/>
    <w:rsid w:val="6E4F523E"/>
    <w:rsid w:val="6E5729A2"/>
    <w:rsid w:val="6E583A1F"/>
    <w:rsid w:val="6E797201"/>
    <w:rsid w:val="6E904C77"/>
    <w:rsid w:val="6EAB742B"/>
    <w:rsid w:val="6EB0558D"/>
    <w:rsid w:val="6EB94E75"/>
    <w:rsid w:val="6EC6113E"/>
    <w:rsid w:val="6ED52985"/>
    <w:rsid w:val="6EF814C0"/>
    <w:rsid w:val="6F170E2C"/>
    <w:rsid w:val="6F203AA0"/>
    <w:rsid w:val="6F2B261F"/>
    <w:rsid w:val="6F525975"/>
    <w:rsid w:val="6F626ACE"/>
    <w:rsid w:val="6F9D66F8"/>
    <w:rsid w:val="6FA16471"/>
    <w:rsid w:val="6FB42615"/>
    <w:rsid w:val="70103DD3"/>
    <w:rsid w:val="70357BF9"/>
    <w:rsid w:val="70384F07"/>
    <w:rsid w:val="70531535"/>
    <w:rsid w:val="70672A43"/>
    <w:rsid w:val="70695E17"/>
    <w:rsid w:val="70715556"/>
    <w:rsid w:val="70A156D8"/>
    <w:rsid w:val="70A34AFE"/>
    <w:rsid w:val="70BF0D6E"/>
    <w:rsid w:val="70E01DD1"/>
    <w:rsid w:val="71027CA7"/>
    <w:rsid w:val="7128150C"/>
    <w:rsid w:val="712D267F"/>
    <w:rsid w:val="71597165"/>
    <w:rsid w:val="71775FF0"/>
    <w:rsid w:val="717D26FC"/>
    <w:rsid w:val="718544F1"/>
    <w:rsid w:val="718D136F"/>
    <w:rsid w:val="71976AED"/>
    <w:rsid w:val="71BB482E"/>
    <w:rsid w:val="71F60334"/>
    <w:rsid w:val="72133F6A"/>
    <w:rsid w:val="721F1D01"/>
    <w:rsid w:val="725D4C71"/>
    <w:rsid w:val="727C3FA9"/>
    <w:rsid w:val="72830348"/>
    <w:rsid w:val="72BB09E0"/>
    <w:rsid w:val="72C2124A"/>
    <w:rsid w:val="72C62EAF"/>
    <w:rsid w:val="72D80D10"/>
    <w:rsid w:val="72E147D0"/>
    <w:rsid w:val="730A3594"/>
    <w:rsid w:val="7341102A"/>
    <w:rsid w:val="73504A03"/>
    <w:rsid w:val="73A17E6A"/>
    <w:rsid w:val="73D46903"/>
    <w:rsid w:val="73D56FFD"/>
    <w:rsid w:val="73E16D57"/>
    <w:rsid w:val="744043D7"/>
    <w:rsid w:val="745C3615"/>
    <w:rsid w:val="746049BA"/>
    <w:rsid w:val="74874E5A"/>
    <w:rsid w:val="74A2568B"/>
    <w:rsid w:val="74AE11D4"/>
    <w:rsid w:val="74BB1708"/>
    <w:rsid w:val="74BB4685"/>
    <w:rsid w:val="74D142ED"/>
    <w:rsid w:val="750162FC"/>
    <w:rsid w:val="75774810"/>
    <w:rsid w:val="75812F99"/>
    <w:rsid w:val="75954C96"/>
    <w:rsid w:val="75996CAB"/>
    <w:rsid w:val="75EA0EF3"/>
    <w:rsid w:val="7601057E"/>
    <w:rsid w:val="76021882"/>
    <w:rsid w:val="761B163F"/>
    <w:rsid w:val="7621652A"/>
    <w:rsid w:val="762B6181"/>
    <w:rsid w:val="76361484"/>
    <w:rsid w:val="766574D1"/>
    <w:rsid w:val="767C3DB4"/>
    <w:rsid w:val="76AF7FAB"/>
    <w:rsid w:val="76BA235D"/>
    <w:rsid w:val="76C92E49"/>
    <w:rsid w:val="76CC46E8"/>
    <w:rsid w:val="76D0390B"/>
    <w:rsid w:val="76DE1045"/>
    <w:rsid w:val="76F760F1"/>
    <w:rsid w:val="770B32FD"/>
    <w:rsid w:val="77AF2483"/>
    <w:rsid w:val="77D40866"/>
    <w:rsid w:val="77D64484"/>
    <w:rsid w:val="77E92124"/>
    <w:rsid w:val="77E922B4"/>
    <w:rsid w:val="77FE11E8"/>
    <w:rsid w:val="78237AE9"/>
    <w:rsid w:val="78283BA0"/>
    <w:rsid w:val="7835333F"/>
    <w:rsid w:val="786258A4"/>
    <w:rsid w:val="788C2381"/>
    <w:rsid w:val="78A2685E"/>
    <w:rsid w:val="78C44A90"/>
    <w:rsid w:val="78CA2EA9"/>
    <w:rsid w:val="78D731DC"/>
    <w:rsid w:val="78E63711"/>
    <w:rsid w:val="78F0082E"/>
    <w:rsid w:val="7928350F"/>
    <w:rsid w:val="792B3A68"/>
    <w:rsid w:val="79330AE4"/>
    <w:rsid w:val="7969405B"/>
    <w:rsid w:val="798B1783"/>
    <w:rsid w:val="79B2108A"/>
    <w:rsid w:val="79F44681"/>
    <w:rsid w:val="7A417E6A"/>
    <w:rsid w:val="7A7F6D5D"/>
    <w:rsid w:val="7A925C1D"/>
    <w:rsid w:val="7A98347A"/>
    <w:rsid w:val="7AA15143"/>
    <w:rsid w:val="7AA222D1"/>
    <w:rsid w:val="7AFA6060"/>
    <w:rsid w:val="7B0E1773"/>
    <w:rsid w:val="7B2C0F71"/>
    <w:rsid w:val="7B3B1E3C"/>
    <w:rsid w:val="7B450F0D"/>
    <w:rsid w:val="7B564EC8"/>
    <w:rsid w:val="7B647A4A"/>
    <w:rsid w:val="7B6C692E"/>
    <w:rsid w:val="7B8B77FD"/>
    <w:rsid w:val="7BC71689"/>
    <w:rsid w:val="7BD46554"/>
    <w:rsid w:val="7BE20360"/>
    <w:rsid w:val="7C042BEA"/>
    <w:rsid w:val="7C0553C2"/>
    <w:rsid w:val="7C274813"/>
    <w:rsid w:val="7C3B112A"/>
    <w:rsid w:val="7C7750F6"/>
    <w:rsid w:val="7C78688F"/>
    <w:rsid w:val="7C982D50"/>
    <w:rsid w:val="7CBB2EA0"/>
    <w:rsid w:val="7CBE0F77"/>
    <w:rsid w:val="7CC12348"/>
    <w:rsid w:val="7CD42548"/>
    <w:rsid w:val="7D21376C"/>
    <w:rsid w:val="7D2A1BDA"/>
    <w:rsid w:val="7D380D29"/>
    <w:rsid w:val="7D3943CC"/>
    <w:rsid w:val="7D7C4A81"/>
    <w:rsid w:val="7D7F0706"/>
    <w:rsid w:val="7D851A94"/>
    <w:rsid w:val="7D8B198E"/>
    <w:rsid w:val="7DA55C93"/>
    <w:rsid w:val="7DFC7E2B"/>
    <w:rsid w:val="7E135A11"/>
    <w:rsid w:val="7E2500A9"/>
    <w:rsid w:val="7E5018B6"/>
    <w:rsid w:val="7E955D77"/>
    <w:rsid w:val="7EB34175"/>
    <w:rsid w:val="7ED72C8B"/>
    <w:rsid w:val="7F0A2186"/>
    <w:rsid w:val="7F183048"/>
    <w:rsid w:val="7F1B7FBA"/>
    <w:rsid w:val="7F591455"/>
    <w:rsid w:val="7F704A61"/>
    <w:rsid w:val="7F8B1A78"/>
    <w:rsid w:val="7FA418D8"/>
    <w:rsid w:val="7FA92784"/>
    <w:rsid w:val="7FA966C6"/>
    <w:rsid w:val="7FB3068B"/>
    <w:rsid w:val="7FDD570F"/>
    <w:rsid w:val="7FE85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9"/>
    <w:pPr>
      <w:keepNext/>
      <w:keepLines/>
      <w:spacing w:before="260" w:after="260" w:line="500" w:lineRule="exact"/>
      <w:outlineLvl w:val="2"/>
    </w:pPr>
    <w:rPr>
      <w:b/>
      <w:bCs/>
      <w:sz w:val="28"/>
      <w:szCs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paragraph" w:styleId="7">
    <w:name w:val="heading 8"/>
    <w:basedOn w:val="1"/>
    <w:next w:val="1"/>
    <w:qFormat/>
    <w:uiPriority w:val="1"/>
    <w:pPr>
      <w:ind w:left="351"/>
      <w:outlineLvl w:val="7"/>
    </w:pPr>
    <w:rPr>
      <w:rFonts w:ascii="宋体" w:hAnsi="宋体" w:cs="宋体"/>
      <w:b/>
      <w:bCs/>
      <w:szCs w:val="21"/>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8">
    <w:name w:val="Document Map"/>
    <w:basedOn w:val="1"/>
    <w:qFormat/>
    <w:uiPriority w:val="0"/>
    <w:rPr>
      <w:rFonts w:ascii="宋体"/>
      <w:sz w:val="18"/>
      <w:szCs w:val="18"/>
    </w:rPr>
  </w:style>
  <w:style w:type="paragraph" w:styleId="9">
    <w:name w:val="annotation text"/>
    <w:basedOn w:val="1"/>
    <w:link w:val="35"/>
    <w:unhideWhenUsed/>
    <w:qFormat/>
    <w:uiPriority w:val="99"/>
    <w:pPr>
      <w:jc w:val="left"/>
    </w:pPr>
  </w:style>
  <w:style w:type="paragraph" w:styleId="10">
    <w:name w:val="Body Text"/>
    <w:basedOn w:val="1"/>
    <w:next w:val="1"/>
    <w:qFormat/>
    <w:uiPriority w:val="0"/>
    <w:pPr>
      <w:spacing w:after="120"/>
    </w:pPr>
  </w:style>
  <w:style w:type="paragraph" w:styleId="11">
    <w:name w:val="Body Text Indent"/>
    <w:basedOn w:val="12"/>
    <w:qFormat/>
    <w:uiPriority w:val="99"/>
    <w:pPr>
      <w:spacing w:after="120"/>
      <w:ind w:left="420" w:leftChars="200"/>
    </w:pPr>
  </w:style>
  <w:style w:type="paragraph" w:customStyle="1" w:styleId="12">
    <w:name w:val="正文_4"/>
    <w:next w:val="13"/>
    <w:qFormat/>
    <w:uiPriority w:val="0"/>
    <w:pPr>
      <w:widowControl w:val="0"/>
      <w:jc w:val="both"/>
    </w:pPr>
    <w:rPr>
      <w:rFonts w:ascii="Times New Roman" w:hAnsi="Times New Roman" w:eastAsia="宋体" w:cs="Times New Roman"/>
      <w:kern w:val="2"/>
      <w:sz w:val="21"/>
      <w:lang w:val="en-US" w:eastAsia="zh-CN" w:bidi="ar-SA"/>
    </w:rPr>
  </w:style>
  <w:style w:type="paragraph" w:styleId="13">
    <w:name w:val="Body Text First Indent 2"/>
    <w:basedOn w:val="11"/>
    <w:qFormat/>
    <w:uiPriority w:val="0"/>
    <w:pPr>
      <w:ind w:firstLine="420"/>
    </w:pPr>
    <w:rPr>
      <w:rFonts w:hAnsi="宋体"/>
    </w:rPr>
  </w:style>
  <w:style w:type="paragraph" w:styleId="14">
    <w:name w:val="toc 5"/>
    <w:basedOn w:val="1"/>
    <w:next w:val="1"/>
    <w:qFormat/>
    <w:uiPriority w:val="39"/>
    <w:pPr>
      <w:ind w:left="1680" w:leftChars="800"/>
    </w:pPr>
  </w:style>
  <w:style w:type="paragraph" w:styleId="15">
    <w:name w:val="toc 3"/>
    <w:basedOn w:val="1"/>
    <w:next w:val="1"/>
    <w:unhideWhenUsed/>
    <w:qFormat/>
    <w:uiPriority w:val="39"/>
    <w:pPr>
      <w:widowControl/>
      <w:spacing w:after="100" w:line="276" w:lineRule="auto"/>
      <w:ind w:left="440"/>
      <w:jc w:val="left"/>
    </w:pPr>
    <w:rPr>
      <w:kern w:val="0"/>
      <w:sz w:val="22"/>
      <w:szCs w:val="22"/>
    </w:rPr>
  </w:style>
  <w:style w:type="paragraph" w:styleId="16">
    <w:name w:val="Plain Text"/>
    <w:basedOn w:val="1"/>
    <w:next w:val="1"/>
    <w:link w:val="36"/>
    <w:qFormat/>
    <w:uiPriority w:val="99"/>
    <w:rPr>
      <w:rFonts w:ascii="宋体" w:hAnsi="Courier New"/>
      <w:szCs w:val="21"/>
    </w:rPr>
  </w:style>
  <w:style w:type="paragraph" w:styleId="17">
    <w:name w:val="Date"/>
    <w:basedOn w:val="1"/>
    <w:next w:val="1"/>
    <w:link w:val="37"/>
    <w:qFormat/>
    <w:uiPriority w:val="0"/>
    <w:pPr>
      <w:ind w:left="100" w:leftChars="2500"/>
    </w:pPr>
  </w:style>
  <w:style w:type="paragraph" w:styleId="18">
    <w:name w:val="Balloon Text"/>
    <w:basedOn w:val="1"/>
    <w:link w:val="38"/>
    <w:qFormat/>
    <w:uiPriority w:val="0"/>
    <w:rPr>
      <w:sz w:val="18"/>
      <w:szCs w:val="18"/>
    </w:rPr>
  </w:style>
  <w:style w:type="paragraph" w:styleId="19">
    <w:name w:val="footer"/>
    <w:basedOn w:val="1"/>
    <w:link w:val="39"/>
    <w:qFormat/>
    <w:uiPriority w:val="99"/>
    <w:pPr>
      <w:tabs>
        <w:tab w:val="center" w:pos="4153"/>
        <w:tab w:val="right" w:pos="8306"/>
      </w:tabs>
      <w:snapToGrid w:val="0"/>
      <w:jc w:val="left"/>
    </w:pPr>
    <w:rPr>
      <w:sz w:val="1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40"/>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99"/>
    <w:rPr>
      <w:rFonts w:cs="Times New Roman"/>
    </w:rPr>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paragraph" w:customStyle="1" w:styleId="32">
    <w:name w:val="样式2"/>
    <w:basedOn w:val="3"/>
    <w:qFormat/>
    <w:uiPriority w:val="0"/>
    <w:pPr>
      <w:keepNext w:val="0"/>
      <w:keepLines w:val="0"/>
      <w:autoSpaceDE w:val="0"/>
      <w:autoSpaceDN w:val="0"/>
      <w:adjustRightInd w:val="0"/>
      <w:spacing w:before="0" w:after="0" w:line="412" w:lineRule="auto"/>
      <w:jc w:val="left"/>
    </w:pPr>
    <w:rPr>
      <w:rFonts w:hint="eastAsia" w:ascii="宋体" w:hAnsi="宋体" w:eastAsia="宋体"/>
      <w:kern w:val="0"/>
      <w:sz w:val="30"/>
      <w:szCs w:val="20"/>
    </w:rPr>
  </w:style>
  <w:style w:type="paragraph" w:customStyle="1" w:styleId="33">
    <w:name w:val="Default"/>
    <w:qFormat/>
    <w:uiPriority w:val="0"/>
    <w:pPr>
      <w:widowControl w:val="0"/>
      <w:autoSpaceDE w:val="0"/>
      <w:autoSpaceDN w:val="0"/>
      <w:adjustRightInd w:val="0"/>
    </w:pPr>
    <w:rPr>
      <w:rFonts w:ascii="FZZhunYuan-M02S" w:hAnsi="Times New Roman" w:eastAsia="FZZhunYuan-M02S" w:cs="FZZhunYuan-M02S"/>
      <w:color w:val="000000"/>
      <w:sz w:val="24"/>
      <w:szCs w:val="24"/>
      <w:lang w:val="en-US" w:eastAsia="zh-CN" w:bidi="ar-SA"/>
    </w:rPr>
  </w:style>
  <w:style w:type="character" w:customStyle="1" w:styleId="34">
    <w:name w:val="标题 2 字符"/>
    <w:link w:val="3"/>
    <w:qFormat/>
    <w:uiPriority w:val="0"/>
    <w:rPr>
      <w:rFonts w:ascii="Arial" w:hAnsi="Arial" w:eastAsia="黑体"/>
      <w:b/>
      <w:kern w:val="2"/>
      <w:sz w:val="32"/>
      <w:szCs w:val="24"/>
    </w:rPr>
  </w:style>
  <w:style w:type="character" w:customStyle="1" w:styleId="35">
    <w:name w:val="批注文字 字符"/>
    <w:link w:val="9"/>
    <w:qFormat/>
    <w:uiPriority w:val="99"/>
    <w:rPr>
      <w:rFonts w:ascii="Calibri" w:hAnsi="Calibri" w:eastAsia="宋体" w:cs="Times New Roman"/>
      <w:kern w:val="2"/>
      <w:sz w:val="21"/>
      <w:szCs w:val="24"/>
    </w:rPr>
  </w:style>
  <w:style w:type="character" w:customStyle="1" w:styleId="36">
    <w:name w:val="纯文本 字符"/>
    <w:link w:val="16"/>
    <w:qFormat/>
    <w:uiPriority w:val="99"/>
    <w:rPr>
      <w:rFonts w:ascii="宋体" w:hAnsi="Courier New" w:eastAsia="宋体" w:cs="Courier New"/>
      <w:kern w:val="2"/>
      <w:sz w:val="21"/>
      <w:szCs w:val="21"/>
    </w:rPr>
  </w:style>
  <w:style w:type="character" w:customStyle="1" w:styleId="37">
    <w:name w:val="日期 字符"/>
    <w:link w:val="17"/>
    <w:qFormat/>
    <w:uiPriority w:val="0"/>
    <w:rPr>
      <w:rFonts w:ascii="Calibri" w:hAnsi="Calibri" w:eastAsia="宋体" w:cs="Times New Roman"/>
      <w:kern w:val="2"/>
      <w:sz w:val="21"/>
      <w:szCs w:val="24"/>
    </w:rPr>
  </w:style>
  <w:style w:type="character" w:customStyle="1" w:styleId="38">
    <w:name w:val="批注框文本 字符"/>
    <w:link w:val="18"/>
    <w:qFormat/>
    <w:uiPriority w:val="0"/>
    <w:rPr>
      <w:rFonts w:ascii="Calibri" w:hAnsi="Calibri" w:eastAsia="宋体" w:cs="Times New Roman"/>
      <w:kern w:val="2"/>
      <w:sz w:val="18"/>
      <w:szCs w:val="18"/>
    </w:rPr>
  </w:style>
  <w:style w:type="character" w:customStyle="1" w:styleId="39">
    <w:name w:val="页脚 字符"/>
    <w:link w:val="19"/>
    <w:qFormat/>
    <w:uiPriority w:val="99"/>
    <w:rPr>
      <w:kern w:val="2"/>
      <w:sz w:val="18"/>
      <w:szCs w:val="24"/>
    </w:rPr>
  </w:style>
  <w:style w:type="character" w:customStyle="1" w:styleId="40">
    <w:name w:val="批注主题 字符"/>
    <w:link w:val="24"/>
    <w:qFormat/>
    <w:uiPriority w:val="0"/>
    <w:rPr>
      <w:rFonts w:ascii="Calibri" w:hAnsi="Calibri" w:eastAsia="宋体" w:cs="Times New Roman"/>
      <w:b/>
      <w:bCs/>
      <w:kern w:val="2"/>
      <w:sz w:val="21"/>
      <w:szCs w:val="24"/>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2">
    <w:name w:val="List Paragraph"/>
    <w:basedOn w:val="1"/>
    <w:qFormat/>
    <w:uiPriority w:val="34"/>
    <w:pPr>
      <w:ind w:firstLine="420" w:firstLineChars="200"/>
    </w:pPr>
  </w:style>
  <w:style w:type="paragraph" w:customStyle="1" w:styleId="43">
    <w:name w:val="_Style 33"/>
    <w:unhideWhenUsed/>
    <w:qFormat/>
    <w:uiPriority w:val="99"/>
    <w:rPr>
      <w:rFonts w:ascii="Calibri" w:hAnsi="Calibri" w:eastAsia="宋体" w:cs="Times New Roman"/>
      <w:kern w:val="2"/>
      <w:sz w:val="21"/>
      <w:szCs w:val="24"/>
      <w:lang w:val="en-US" w:eastAsia="zh-CN" w:bidi="ar-SA"/>
    </w:rPr>
  </w:style>
  <w:style w:type="paragraph" w:customStyle="1" w:styleId="44">
    <w:name w:val="_Style 34"/>
    <w:basedOn w:val="2"/>
    <w:next w:val="1"/>
    <w:qFormat/>
    <w:uiPriority w:val="39"/>
    <w:pPr>
      <w:widowControl/>
      <w:spacing w:before="480" w:after="0" w:line="276" w:lineRule="auto"/>
      <w:jc w:val="left"/>
      <w:outlineLvl w:val="9"/>
    </w:pPr>
    <w:rPr>
      <w:rFonts w:ascii="Calibri Light" w:hAnsi="Calibri Light"/>
      <w:bCs/>
      <w:color w:val="2E74B5"/>
      <w:kern w:val="0"/>
      <w:sz w:val="28"/>
      <w:szCs w:val="28"/>
    </w:rPr>
  </w:style>
  <w:style w:type="paragraph" w:customStyle="1" w:styleId="45">
    <w:name w:val="WPSOffice手动目录 1"/>
    <w:qFormat/>
    <w:uiPriority w:val="0"/>
    <w:rPr>
      <w:rFonts w:ascii="Calibri" w:hAnsi="Calibri" w:eastAsia="宋体" w:cs="Times New Roman"/>
      <w:lang w:val="en-US" w:eastAsia="zh-CN" w:bidi="ar-SA"/>
    </w:rPr>
  </w:style>
  <w:style w:type="paragraph" w:customStyle="1" w:styleId="46">
    <w:name w:val="列出段落11"/>
    <w:basedOn w:val="1"/>
    <w:qFormat/>
    <w:uiPriority w:val="34"/>
    <w:pPr>
      <w:ind w:firstLine="420" w:firstLineChars="200"/>
    </w:pPr>
    <w:rPr>
      <w:szCs w:val="22"/>
      <w:lang w:val="zh-CN"/>
    </w:rPr>
  </w:style>
  <w:style w:type="paragraph" w:customStyle="1" w:styleId="4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8">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49">
    <w:name w:val="xl33"/>
    <w:basedOn w:val="1"/>
    <w:next w:val="1"/>
    <w:qFormat/>
    <w:uiPriority w:val="0"/>
    <w:pPr>
      <w:widowControl/>
      <w:pBdr>
        <w:left w:val="single" w:color="auto" w:sz="4" w:space="0"/>
        <w:bottom w:val="single" w:color="auto" w:sz="4" w:space="0"/>
        <w:right w:val="single" w:color="auto" w:sz="4" w:space="0"/>
      </w:pBdr>
      <w:spacing w:beforeAutospacing="1" w:afterAutospacing="1"/>
      <w:jc w:val="center"/>
    </w:pPr>
    <w:rPr>
      <w:rFonts w:ascii="楷体_GB2312" w:hAnsi="宋体" w:eastAsia="楷体_GB2312"/>
      <w:kern w:val="0"/>
      <w:sz w:val="24"/>
    </w:rPr>
  </w:style>
  <w:style w:type="paragraph" w:customStyle="1" w:styleId="50">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51">
    <w:name w:val="Body text|5"/>
    <w:basedOn w:val="1"/>
    <w:qFormat/>
    <w:uiPriority w:val="0"/>
    <w:pPr>
      <w:ind w:hanging="1780"/>
    </w:pPr>
    <w:rPr>
      <w:b/>
      <w:bCs/>
      <w:sz w:val="12"/>
      <w:szCs w:val="12"/>
      <w:u w:val="single"/>
      <w:lang w:val="zh-CN"/>
    </w:rPr>
  </w:style>
  <w:style w:type="paragraph" w:customStyle="1" w:styleId="52">
    <w:name w:val="Body text|2"/>
    <w:basedOn w:val="1"/>
    <w:qFormat/>
    <w:uiPriority w:val="0"/>
    <w:rPr>
      <w:rFonts w:ascii="宋体" w:hAnsi="宋体" w:cs="宋体"/>
      <w:sz w:val="18"/>
      <w:szCs w:val="18"/>
      <w:lang w:val="zh-TW" w:eastAsia="zh-TW" w:bidi="zh-TW"/>
    </w:rPr>
  </w:style>
  <w:style w:type="paragraph" w:customStyle="1" w:styleId="53">
    <w:name w:val="Table Paragraph"/>
    <w:basedOn w:val="1"/>
    <w:qFormat/>
    <w:uiPriority w:val="0"/>
    <w:rPr>
      <w:rFonts w:ascii="宋体" w:hAnsi="宋体" w:cs="宋体"/>
      <w:lang w:val="zh-CN" w:bidi="zh-CN"/>
    </w:rPr>
  </w:style>
  <w:style w:type="paragraph" w:customStyle="1" w:styleId="54">
    <w:name w:val="Header or footer|1"/>
    <w:basedOn w:val="1"/>
    <w:qFormat/>
    <w:uiPriority w:val="0"/>
    <w:rPr>
      <w:b/>
      <w:bCs/>
      <w:sz w:val="18"/>
      <w:szCs w:val="18"/>
      <w:lang w:val="zh-TW" w:eastAsia="zh-TW" w:bidi="zh-TW"/>
    </w:rPr>
  </w:style>
  <w:style w:type="paragraph" w:customStyle="1" w:styleId="55">
    <w:name w:val="正文文本首行缩进 21"/>
    <w:basedOn w:val="11"/>
    <w:qFormat/>
    <w:uiPriority w:val="0"/>
    <w:pPr>
      <w:adjustRightInd w:val="0"/>
      <w:spacing w:after="0" w:line="360" w:lineRule="auto"/>
      <w:ind w:left="0" w:leftChars="0" w:firstLine="420" w:firstLineChars="100"/>
      <w:textAlignment w:val="baseline"/>
    </w:pPr>
    <w:rPr>
      <w:rFonts w:ascii="Calibri" w:hAnsi="Calibri"/>
      <w:sz w:val="24"/>
    </w:rPr>
  </w:style>
  <w:style w:type="paragraph" w:customStyle="1" w:styleId="56">
    <w:name w:val="正文 缩进2字符"/>
    <w:autoRedefine/>
    <w:qFormat/>
    <w:uiPriority w:val="0"/>
    <w:pPr>
      <w:widowControl w:val="0"/>
      <w:spacing w:line="288" w:lineRule="auto"/>
      <w:jc w:val="both"/>
    </w:pPr>
    <w:rPr>
      <w:rFonts w:ascii="宋体" w:hAnsi="宋体" w:eastAsia="宋体" w:cs="Times New Roman"/>
      <w:kern w:val="2"/>
      <w:sz w:val="28"/>
      <w:szCs w:val="28"/>
      <w:lang w:val="en-US" w:eastAsia="zh-CN" w:bidi="ar-SA"/>
    </w:rPr>
  </w:style>
  <w:style w:type="paragraph" w:customStyle="1" w:styleId="57">
    <w:name w:val="正文_1"/>
    <w:autoRedefine/>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www.newtimepc.com</Company>
  <Pages>77</Pages>
  <Words>14605</Words>
  <Characters>16055</Characters>
  <Lines>309</Lines>
  <Paragraphs>87</Paragraphs>
  <TotalTime>145</TotalTime>
  <ScaleCrop>false</ScaleCrop>
  <LinksUpToDate>false</LinksUpToDate>
  <CharactersWithSpaces>16209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2026-04-17T04:00:00Z</dcterms:created>
  <dc:creator>meimei</dc:creator>
  <cp:lastModifiedBy>枵</cp:lastModifiedBy>
  <cp:lastPrinted>2022-04-02T01:20:00Z</cp:lastPrinted>
  <dcterms:modified xsi:type="dcterms:W3CDTF">2026-05-19T08:45:03Z</dcterms:modified>
  <dc:title>附件7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6425DA5C2ED34CAD8E75EDA511D8A73E_13</vt:lpwstr>
  </property>
  <property fmtid="{D5CDD505-2E9C-101B-9397-08002B2CF9AE}" pid="4" name="KSOTemplateDocerSaveRecord">
    <vt:lpwstr>eyJoZGlkIjoiN2YzNjBkOTgyNWQ1YTMxYzM3MzMwNWFiODNmOWIzYWMiLCJ1c2VySWQiOiI1NDMxNDgyNjMifQ==</vt:lpwstr>
  </property>
</Properties>
</file>