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8B402">
      <w:pPr>
        <w:spacing w:line="360" w:lineRule="auto"/>
        <w:jc w:val="center"/>
        <w:rPr>
          <w:rFonts w:hint="eastAsia" w:ascii="宋体"/>
          <w:b/>
          <w:bCs/>
          <w:color w:val="auto"/>
          <w:sz w:val="44"/>
        </w:rPr>
      </w:pPr>
      <w:r>
        <w:rPr>
          <w:rFonts w:hint="eastAsia" w:ascii="宋体"/>
          <w:b/>
          <w:bCs/>
          <w:color w:val="auto"/>
          <w:sz w:val="44"/>
          <w:lang w:eastAsia="zh-CN"/>
        </w:rPr>
        <w:t>塔城职业技术学院升级改造及教学用房建设项目（一期）设备采购项目（</w:t>
      </w:r>
      <w:r>
        <w:rPr>
          <w:rFonts w:hint="eastAsia" w:ascii="宋体"/>
          <w:b/>
          <w:bCs/>
          <w:color w:val="auto"/>
          <w:sz w:val="44"/>
          <w:lang w:val="en-US" w:eastAsia="zh-CN"/>
        </w:rPr>
        <w:t>二包教学设备</w:t>
      </w:r>
      <w:r>
        <w:rPr>
          <w:rFonts w:hint="eastAsia" w:ascii="宋体"/>
          <w:b/>
          <w:bCs/>
          <w:color w:val="auto"/>
          <w:sz w:val="44"/>
          <w:lang w:eastAsia="zh-CN"/>
        </w:rPr>
        <w:t>）（二次）</w:t>
      </w:r>
    </w:p>
    <w:p w14:paraId="6540C5FE">
      <w:pPr>
        <w:spacing w:line="360" w:lineRule="auto"/>
        <w:rPr>
          <w:rFonts w:ascii="宋体"/>
          <w:color w:val="auto"/>
          <w:sz w:val="40"/>
          <w:szCs w:val="22"/>
        </w:rPr>
      </w:pPr>
    </w:p>
    <w:p w14:paraId="555AD5DB">
      <w:pPr>
        <w:spacing w:line="360" w:lineRule="auto"/>
        <w:rPr>
          <w:rFonts w:hint="eastAsia" w:ascii="宋体"/>
          <w:color w:val="auto"/>
          <w:sz w:val="44"/>
        </w:rPr>
      </w:pPr>
    </w:p>
    <w:p w14:paraId="0D4EB036">
      <w:pPr>
        <w:spacing w:line="360" w:lineRule="auto"/>
        <w:rPr>
          <w:rFonts w:hint="eastAsia" w:ascii="宋体"/>
          <w:color w:val="auto"/>
          <w:sz w:val="44"/>
        </w:rPr>
      </w:pPr>
    </w:p>
    <w:p w14:paraId="03CA9174">
      <w:pPr>
        <w:spacing w:line="360" w:lineRule="auto"/>
        <w:jc w:val="center"/>
        <w:rPr>
          <w:rFonts w:hint="eastAsia" w:ascii="宋体"/>
          <w:b/>
          <w:color w:val="auto"/>
          <w:spacing w:val="80"/>
          <w:sz w:val="72"/>
          <w:szCs w:val="72"/>
        </w:rPr>
      </w:pPr>
      <w:r>
        <w:rPr>
          <w:rFonts w:hint="eastAsia" w:ascii="宋体"/>
          <w:b/>
          <w:color w:val="auto"/>
          <w:spacing w:val="80"/>
          <w:sz w:val="72"/>
          <w:szCs w:val="72"/>
        </w:rPr>
        <w:t>招标文件</w:t>
      </w:r>
    </w:p>
    <w:p w14:paraId="08D76517">
      <w:pPr>
        <w:spacing w:line="360" w:lineRule="auto"/>
        <w:jc w:val="center"/>
        <w:rPr>
          <w:rFonts w:hint="eastAsia" w:ascii="宋体"/>
          <w:b/>
          <w:color w:val="auto"/>
          <w:sz w:val="24"/>
        </w:rPr>
      </w:pPr>
    </w:p>
    <w:p w14:paraId="736FBFC7">
      <w:pPr>
        <w:spacing w:line="360" w:lineRule="auto"/>
        <w:rPr>
          <w:rFonts w:hint="eastAsia" w:ascii="宋体"/>
          <w:color w:val="auto"/>
          <w:sz w:val="24"/>
        </w:rPr>
      </w:pPr>
    </w:p>
    <w:p w14:paraId="22741C16">
      <w:pPr>
        <w:spacing w:line="360" w:lineRule="auto"/>
        <w:rPr>
          <w:rFonts w:hint="eastAsia" w:ascii="宋体"/>
          <w:color w:val="auto"/>
          <w:sz w:val="24"/>
        </w:rPr>
      </w:pPr>
    </w:p>
    <w:p w14:paraId="4767C187">
      <w:pPr>
        <w:spacing w:line="360" w:lineRule="auto"/>
        <w:rPr>
          <w:rFonts w:hint="eastAsia" w:ascii="宋体"/>
          <w:color w:val="auto"/>
          <w:sz w:val="24"/>
        </w:rPr>
      </w:pPr>
    </w:p>
    <w:p w14:paraId="09C7C35A">
      <w:pPr>
        <w:spacing w:line="360" w:lineRule="auto"/>
        <w:rPr>
          <w:rFonts w:hint="eastAsia" w:ascii="宋体"/>
          <w:color w:val="auto"/>
          <w:sz w:val="24"/>
        </w:rPr>
      </w:pPr>
    </w:p>
    <w:p w14:paraId="6EF8F152">
      <w:pPr>
        <w:spacing w:line="360" w:lineRule="auto"/>
        <w:rPr>
          <w:rFonts w:hint="eastAsia" w:ascii="宋体"/>
          <w:color w:val="auto"/>
          <w:sz w:val="24"/>
        </w:rPr>
      </w:pPr>
    </w:p>
    <w:p w14:paraId="3B3E7CF7">
      <w:pPr>
        <w:spacing w:line="600" w:lineRule="auto"/>
        <w:rPr>
          <w:rFonts w:hint="eastAsia" w:ascii="宋体" w:hAnsi="宋体" w:eastAsia="宋体" w:cs="仿宋"/>
          <w:b/>
          <w:bCs/>
          <w:color w:val="auto"/>
          <w:sz w:val="30"/>
          <w:szCs w:val="30"/>
          <w:lang w:eastAsia="zh-CN"/>
        </w:rPr>
      </w:pPr>
      <w:r>
        <w:rPr>
          <w:rFonts w:hint="eastAsia" w:ascii="宋体"/>
          <w:b/>
          <w:bCs/>
          <w:color w:val="auto"/>
          <w:sz w:val="30"/>
          <w:szCs w:val="30"/>
        </w:rPr>
        <w:t>采购人：</w:t>
      </w:r>
      <w:r>
        <w:rPr>
          <w:rFonts w:hint="eastAsia" w:ascii="宋体" w:hAnsi="宋体" w:cs="仿宋"/>
          <w:b/>
          <w:bCs/>
          <w:color w:val="auto"/>
          <w:sz w:val="30"/>
          <w:szCs w:val="30"/>
          <w:lang w:eastAsia="zh-CN"/>
        </w:rPr>
        <w:t>塔城职业技术学院</w:t>
      </w:r>
    </w:p>
    <w:p w14:paraId="371C5312">
      <w:pPr>
        <w:pStyle w:val="41"/>
        <w:ind w:left="1060" w:hanging="640"/>
        <w:rPr>
          <w:rFonts w:hint="eastAsia"/>
          <w:color w:val="auto"/>
        </w:rPr>
      </w:pPr>
    </w:p>
    <w:p w14:paraId="0FAA60C5">
      <w:pPr>
        <w:spacing w:line="600" w:lineRule="auto"/>
        <w:rPr>
          <w:rFonts w:hint="eastAsia" w:ascii="宋体" w:hAnsi="宋体" w:eastAsia="宋体"/>
          <w:b/>
          <w:bCs/>
          <w:color w:val="auto"/>
          <w:sz w:val="30"/>
          <w:szCs w:val="30"/>
          <w:lang w:eastAsia="zh-CN"/>
        </w:rPr>
      </w:pPr>
      <w:r>
        <w:rPr>
          <w:rFonts w:hint="eastAsia" w:ascii="宋体" w:hAnsi="宋体" w:cs="仿宋"/>
          <w:b/>
          <w:bCs/>
          <w:color w:val="auto"/>
          <w:sz w:val="30"/>
          <w:szCs w:val="30"/>
        </w:rPr>
        <w:t>采购代理机构：</w:t>
      </w:r>
      <w:r>
        <w:rPr>
          <w:rFonts w:hint="eastAsia" w:ascii="宋体" w:hAnsi="宋体" w:cs="仿宋"/>
          <w:b/>
          <w:bCs/>
          <w:color w:val="auto"/>
          <w:sz w:val="30"/>
          <w:szCs w:val="30"/>
          <w:lang w:val="en-US" w:eastAsia="zh-CN"/>
        </w:rPr>
        <w:t>塔城地区政务服务与公共资源交易中心</w:t>
      </w:r>
    </w:p>
    <w:p w14:paraId="4E0E2AD2">
      <w:pPr>
        <w:pStyle w:val="41"/>
        <w:ind w:left="1060" w:hanging="640"/>
        <w:rPr>
          <w:rFonts w:hint="eastAsia"/>
          <w:color w:val="auto"/>
        </w:rPr>
      </w:pPr>
    </w:p>
    <w:p w14:paraId="21500FEB">
      <w:pPr>
        <w:spacing w:line="600" w:lineRule="auto"/>
        <w:rPr>
          <w:rFonts w:ascii="宋体" w:hAnsi="宋体"/>
          <w:b/>
          <w:bCs/>
          <w:color w:val="auto"/>
          <w:sz w:val="30"/>
          <w:szCs w:val="30"/>
        </w:rPr>
      </w:pPr>
      <w:r>
        <w:rPr>
          <w:rFonts w:hint="eastAsia" w:ascii="宋体" w:hAnsi="宋体"/>
          <w:b/>
          <w:bCs/>
          <w:color w:val="auto"/>
          <w:sz w:val="30"/>
          <w:szCs w:val="30"/>
        </w:rPr>
        <w:t>编制日期：</w:t>
      </w:r>
      <w:r>
        <w:rPr>
          <w:rFonts w:hint="eastAsia" w:ascii="宋体" w:hAnsi="宋体"/>
          <w:b/>
          <w:bCs/>
          <w:color w:val="000000" w:themeColor="text1"/>
          <w:sz w:val="30"/>
          <w:szCs w:val="30"/>
          <w14:textFill>
            <w14:solidFill>
              <w14:schemeClr w14:val="tx1"/>
            </w14:solidFill>
          </w14:textFill>
        </w:rPr>
        <w:t>202</w:t>
      </w:r>
      <w:r>
        <w:rPr>
          <w:rFonts w:hint="eastAsia" w:ascii="宋体" w:hAnsi="宋体"/>
          <w:b/>
          <w:bCs/>
          <w:color w:val="000000" w:themeColor="text1"/>
          <w:sz w:val="30"/>
          <w:szCs w:val="30"/>
          <w:lang w:val="en-US" w:eastAsia="zh-CN"/>
          <w14:textFill>
            <w14:solidFill>
              <w14:schemeClr w14:val="tx1"/>
            </w14:solidFill>
          </w14:textFill>
        </w:rPr>
        <w:t>6</w:t>
      </w:r>
      <w:r>
        <w:rPr>
          <w:rFonts w:hint="eastAsia" w:ascii="宋体" w:hAnsi="宋体"/>
          <w:b/>
          <w:bCs/>
          <w:color w:val="000000" w:themeColor="text1"/>
          <w:sz w:val="30"/>
          <w:szCs w:val="30"/>
          <w14:textFill>
            <w14:solidFill>
              <w14:schemeClr w14:val="tx1"/>
            </w14:solidFill>
          </w14:textFill>
        </w:rPr>
        <w:t>年</w:t>
      </w:r>
      <w:r>
        <w:rPr>
          <w:rFonts w:hint="eastAsia" w:ascii="宋体" w:hAnsi="宋体"/>
          <w:b/>
          <w:bCs/>
          <w:color w:val="000000" w:themeColor="text1"/>
          <w:sz w:val="30"/>
          <w:szCs w:val="30"/>
          <w:lang w:val="en-US" w:eastAsia="zh-CN"/>
          <w14:textFill>
            <w14:solidFill>
              <w14:schemeClr w14:val="tx1"/>
            </w14:solidFill>
          </w14:textFill>
        </w:rPr>
        <w:t>5</w:t>
      </w:r>
      <w:r>
        <w:rPr>
          <w:rFonts w:hint="eastAsia" w:ascii="宋体" w:hAnsi="宋体"/>
          <w:b/>
          <w:bCs/>
          <w:color w:val="000000" w:themeColor="text1"/>
          <w:sz w:val="30"/>
          <w:szCs w:val="30"/>
          <w14:textFill>
            <w14:solidFill>
              <w14:schemeClr w14:val="tx1"/>
            </w14:solidFill>
          </w14:textFill>
        </w:rPr>
        <w:t>月</w:t>
      </w:r>
    </w:p>
    <w:p w14:paraId="6F80355E">
      <w:pPr>
        <w:numPr>
          <w:ilvl w:val="0"/>
          <w:numId w:val="28"/>
        </w:numPr>
        <w:spacing w:line="480" w:lineRule="auto"/>
        <w:jc w:val="center"/>
        <w:rPr>
          <w:rFonts w:hint="eastAsia" w:ascii="宋体" w:hAnsi="宋体" w:cs="宋体"/>
          <w:b/>
          <w:bCs/>
          <w:color w:val="auto"/>
          <w:sz w:val="32"/>
          <w:szCs w:val="32"/>
        </w:rPr>
      </w:pPr>
      <w:bookmarkStart w:id="0" w:name="_Toc501639723"/>
      <w:r>
        <w:rPr>
          <w:rFonts w:hint="eastAsia" w:ascii="宋体" w:hAnsi="宋体" w:cs="宋体"/>
          <w:b/>
          <w:bCs/>
          <w:color w:val="auto"/>
          <w:sz w:val="28"/>
          <w:szCs w:val="28"/>
        </w:rPr>
        <w:br w:type="page"/>
      </w:r>
      <w:r>
        <w:rPr>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-67310</wp:posOffset>
                </wp:positionH>
                <wp:positionV relativeFrom="paragraph">
                  <wp:posOffset>426720</wp:posOffset>
                </wp:positionV>
                <wp:extent cx="5668645" cy="1397635"/>
                <wp:effectExtent l="7620" t="7620" r="10160" b="13970"/>
                <wp:wrapNone/>
                <wp:docPr id="2" name="文本框 16"/>
                <wp:cNvGraphicFramePr/>
                <a:graphic xmlns:a="http://schemas.openxmlformats.org/drawingml/2006/main">
                  <a:graphicData uri="http://schemas.microsoft.com/office/word/2010/wordprocessingShape">
                    <wps:wsp>
                      <wps:cNvSpPr txBox="1"/>
                      <wps:spPr>
                        <a:xfrm>
                          <a:off x="0" y="0"/>
                          <a:ext cx="5668645" cy="139763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465F7C47">
                            <w:pPr>
                              <w:pStyle w:val="84"/>
                              <w:spacing w:beforeAutospacing="1" w:afterAutospacing="1" w:line="300" w:lineRule="atLeast"/>
                              <w:ind w:firstLine="420"/>
                              <w:rPr>
                                <w:rFonts w:hint="eastAsia" w:ascii="仿宋" w:hAnsi="仿宋" w:eastAsia="仿宋" w:cs="仿宋"/>
                                <w:sz w:val="27"/>
                                <w:szCs w:val="27"/>
                              </w:rPr>
                            </w:pPr>
                            <w:r>
                              <w:rPr>
                                <w:rFonts w:hint="eastAsia" w:ascii="仿宋" w:hAnsi="仿宋" w:eastAsia="仿宋" w:cs="仿宋"/>
                                <w:sz w:val="27"/>
                                <w:szCs w:val="27"/>
                              </w:rPr>
                              <w:t>项目概况</w:t>
                            </w:r>
                          </w:p>
                          <w:p w14:paraId="1B151CFA">
                            <w:pPr>
                              <w:pStyle w:val="84"/>
                              <w:spacing w:beforeAutospacing="1" w:afterAutospacing="1" w:line="300" w:lineRule="atLeast"/>
                              <w:ind w:firstLine="420"/>
                              <w:rPr>
                                <w:rFonts w:hint="eastAsia" w:ascii="仿宋" w:hAnsi="仿宋" w:eastAsia="仿宋" w:cs="仿宋"/>
                                <w:color w:val="auto"/>
                                <w:sz w:val="27"/>
                                <w:szCs w:val="27"/>
                              </w:rPr>
                            </w:pPr>
                            <w:r>
                              <w:rPr>
                                <w:rFonts w:hint="eastAsia" w:ascii="仿宋" w:hAnsi="仿宋" w:eastAsia="仿宋" w:cs="仿宋"/>
                                <w:color w:val="auto"/>
                                <w:sz w:val="27"/>
                                <w:szCs w:val="27"/>
                                <w:lang w:eastAsia="zh-CN"/>
                              </w:rPr>
                              <w:t>塔城职业技术学院升级改造及教学用房建设项目（一期）设备采购项目（</w:t>
                            </w:r>
                            <w:r>
                              <w:rPr>
                                <w:rFonts w:hint="eastAsia" w:ascii="仿宋" w:hAnsi="仿宋" w:eastAsia="仿宋" w:cs="仿宋"/>
                                <w:color w:val="auto"/>
                                <w:sz w:val="27"/>
                                <w:szCs w:val="27"/>
                                <w:lang w:val="en-US" w:eastAsia="zh-CN"/>
                              </w:rPr>
                              <w:t>二包教学设备</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（二次）</w:t>
                            </w:r>
                            <w:r>
                              <w:rPr>
                                <w:rFonts w:hint="eastAsia" w:ascii="仿宋" w:hAnsi="仿宋" w:eastAsia="仿宋" w:cs="仿宋"/>
                                <w:sz w:val="27"/>
                                <w:szCs w:val="27"/>
                              </w:rPr>
                              <w:t>的潜在投标人应在政采云平台https://www.zcygov.cn/获取招标文件，</w:t>
                            </w:r>
                            <w:r>
                              <w:rPr>
                                <w:rFonts w:hint="eastAsia" w:ascii="仿宋" w:hAnsi="仿宋" w:eastAsia="仿宋" w:cs="仿宋"/>
                                <w:color w:val="auto"/>
                                <w:sz w:val="27"/>
                                <w:szCs w:val="27"/>
                              </w:rPr>
                              <w:t>并于</w:t>
                            </w:r>
                            <w:r>
                              <w:rPr>
                                <w:rFonts w:hint="eastAsia" w:ascii="仿宋" w:hAnsi="仿宋" w:eastAsia="仿宋" w:cs="仿宋"/>
                                <w:color w:val="000000" w:themeColor="text1"/>
                                <w:sz w:val="27"/>
                                <w:szCs w:val="27"/>
                                <w:highlight w:val="none"/>
                                <w:lang w:eastAsia="zh-CN"/>
                                <w14:textFill>
                                  <w14:solidFill>
                                    <w14:schemeClr w14:val="tx1"/>
                                  </w14:solidFill>
                                </w14:textFill>
                              </w:rPr>
                              <w:t>2026年6月22日1</w:t>
                            </w:r>
                            <w:r>
                              <w:rPr>
                                <w:rFonts w:hint="eastAsia" w:ascii="仿宋" w:hAnsi="仿宋" w:eastAsia="仿宋" w:cs="仿宋"/>
                                <w:color w:val="auto"/>
                                <w:sz w:val="27"/>
                                <w:szCs w:val="27"/>
                                <w:lang w:val="en-US" w:eastAsia="zh-CN"/>
                              </w:rPr>
                              <w:t>0</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3</w:t>
                            </w:r>
                            <w:r>
                              <w:rPr>
                                <w:rFonts w:hint="eastAsia" w:ascii="仿宋" w:hAnsi="仿宋" w:eastAsia="仿宋" w:cs="仿宋"/>
                                <w:color w:val="auto"/>
                                <w:sz w:val="27"/>
                                <w:szCs w:val="27"/>
                                <w:lang w:eastAsia="zh-CN"/>
                              </w:rPr>
                              <w:t>0</w:t>
                            </w:r>
                            <w:r>
                              <w:rPr>
                                <w:rFonts w:hint="eastAsia" w:ascii="仿宋" w:hAnsi="仿宋" w:eastAsia="仿宋" w:cs="仿宋"/>
                                <w:color w:val="auto"/>
                                <w:sz w:val="27"/>
                                <w:szCs w:val="27"/>
                              </w:rPr>
                              <w:t>（北京时间）前递交投标文件。</w:t>
                            </w:r>
                          </w:p>
                          <w:p w14:paraId="69430075">
                            <w:pPr>
                              <w:rPr>
                                <w:rFonts w:hint="eastAsia" w:ascii="宋体" w:hAnsi="宋体" w:cs="宋体"/>
                              </w:rPr>
                            </w:pPr>
                          </w:p>
                        </w:txbxContent>
                      </wps:txbx>
                      <wps:bodyPr wrap="square" upright="1"/>
                    </wps:wsp>
                  </a:graphicData>
                </a:graphic>
              </wp:anchor>
            </w:drawing>
          </mc:Choice>
          <mc:Fallback>
            <w:pict>
              <v:shape id="文本框 16" o:spid="_x0000_s1026" o:spt="202" type="#_x0000_t202" style="position:absolute;left:0pt;margin-left:-5.3pt;margin-top:33.6pt;height:110.05pt;width:446.35pt;z-index:251660288;mso-width-relative:page;mso-height-relative:page;" fillcolor="#FFFFFF" filled="t" stroked="t" coordsize="21600,21600" o:gfxdata="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UxqodgAAAAKAQAADwAAAAAAAAABACAAAAAiAAAAZHJzL2Rvd25y&#10;ZXYueG1sUEsBAhQAFAAAAAgAh07iQIoYMjU3AgAAgAQAAA4AAAAAAAAAAQAgAAAAJwEAAGRycy9l&#10;Mm9Eb2MueG1sUEsFBgAAAAAGAAYAWQEAANAFAAAAAAAA&#10;">
                <v:fill type="gradient" on="t" color2="#FFFFFF" angle="90" focus="100%" focussize="0f,0f" focusposition="0f,0f">
                  <o:fill type="gradientUnscaled" v:ext="backwardCompatible"/>
                </v:fill>
                <v:stroke weight="1.25pt" color="#739CC3" joinstyle="miter"/>
                <v:imagedata o:title=""/>
                <o:lock v:ext="edit" aspectratio="f"/>
                <v:textbox>
                  <w:txbxContent>
                    <w:p w14:paraId="465F7C47">
                      <w:pPr>
                        <w:pStyle w:val="84"/>
                        <w:spacing w:beforeAutospacing="1" w:afterAutospacing="1" w:line="300" w:lineRule="atLeast"/>
                        <w:ind w:firstLine="420"/>
                        <w:rPr>
                          <w:rFonts w:hint="eastAsia" w:ascii="仿宋" w:hAnsi="仿宋" w:eastAsia="仿宋" w:cs="仿宋"/>
                          <w:sz w:val="27"/>
                          <w:szCs w:val="27"/>
                        </w:rPr>
                      </w:pPr>
                      <w:r>
                        <w:rPr>
                          <w:rFonts w:hint="eastAsia" w:ascii="仿宋" w:hAnsi="仿宋" w:eastAsia="仿宋" w:cs="仿宋"/>
                          <w:sz w:val="27"/>
                          <w:szCs w:val="27"/>
                        </w:rPr>
                        <w:t>项目概况</w:t>
                      </w:r>
                    </w:p>
                    <w:p w14:paraId="1B151CFA">
                      <w:pPr>
                        <w:pStyle w:val="84"/>
                        <w:spacing w:beforeAutospacing="1" w:afterAutospacing="1" w:line="300" w:lineRule="atLeast"/>
                        <w:ind w:firstLine="420"/>
                        <w:rPr>
                          <w:rFonts w:hint="eastAsia" w:ascii="仿宋" w:hAnsi="仿宋" w:eastAsia="仿宋" w:cs="仿宋"/>
                          <w:color w:val="auto"/>
                          <w:sz w:val="27"/>
                          <w:szCs w:val="27"/>
                        </w:rPr>
                      </w:pPr>
                      <w:r>
                        <w:rPr>
                          <w:rFonts w:hint="eastAsia" w:ascii="仿宋" w:hAnsi="仿宋" w:eastAsia="仿宋" w:cs="仿宋"/>
                          <w:color w:val="auto"/>
                          <w:sz w:val="27"/>
                          <w:szCs w:val="27"/>
                          <w:lang w:eastAsia="zh-CN"/>
                        </w:rPr>
                        <w:t>塔城职业技术学院升级改造及教学用房建设项目（一期）设备采购项目（</w:t>
                      </w:r>
                      <w:r>
                        <w:rPr>
                          <w:rFonts w:hint="eastAsia" w:ascii="仿宋" w:hAnsi="仿宋" w:eastAsia="仿宋" w:cs="仿宋"/>
                          <w:color w:val="auto"/>
                          <w:sz w:val="27"/>
                          <w:szCs w:val="27"/>
                          <w:lang w:val="en-US" w:eastAsia="zh-CN"/>
                        </w:rPr>
                        <w:t>二包教学设备</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（二次）</w:t>
                      </w:r>
                      <w:r>
                        <w:rPr>
                          <w:rFonts w:hint="eastAsia" w:ascii="仿宋" w:hAnsi="仿宋" w:eastAsia="仿宋" w:cs="仿宋"/>
                          <w:sz w:val="27"/>
                          <w:szCs w:val="27"/>
                        </w:rPr>
                        <w:t>的潜在投标人应在政采云平台https://www.zcygov.cn/获取招标文件，</w:t>
                      </w:r>
                      <w:r>
                        <w:rPr>
                          <w:rFonts w:hint="eastAsia" w:ascii="仿宋" w:hAnsi="仿宋" w:eastAsia="仿宋" w:cs="仿宋"/>
                          <w:color w:val="auto"/>
                          <w:sz w:val="27"/>
                          <w:szCs w:val="27"/>
                        </w:rPr>
                        <w:t>并于</w:t>
                      </w:r>
                      <w:r>
                        <w:rPr>
                          <w:rFonts w:hint="eastAsia" w:ascii="仿宋" w:hAnsi="仿宋" w:eastAsia="仿宋" w:cs="仿宋"/>
                          <w:color w:val="000000" w:themeColor="text1"/>
                          <w:sz w:val="27"/>
                          <w:szCs w:val="27"/>
                          <w:highlight w:val="none"/>
                          <w:lang w:eastAsia="zh-CN"/>
                          <w14:textFill>
                            <w14:solidFill>
                              <w14:schemeClr w14:val="tx1"/>
                            </w14:solidFill>
                          </w14:textFill>
                        </w:rPr>
                        <w:t>2026年6月22日1</w:t>
                      </w:r>
                      <w:r>
                        <w:rPr>
                          <w:rFonts w:hint="eastAsia" w:ascii="仿宋" w:hAnsi="仿宋" w:eastAsia="仿宋" w:cs="仿宋"/>
                          <w:color w:val="auto"/>
                          <w:sz w:val="27"/>
                          <w:szCs w:val="27"/>
                          <w:lang w:val="en-US" w:eastAsia="zh-CN"/>
                        </w:rPr>
                        <w:t>0</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3</w:t>
                      </w:r>
                      <w:r>
                        <w:rPr>
                          <w:rFonts w:hint="eastAsia" w:ascii="仿宋" w:hAnsi="仿宋" w:eastAsia="仿宋" w:cs="仿宋"/>
                          <w:color w:val="auto"/>
                          <w:sz w:val="27"/>
                          <w:szCs w:val="27"/>
                          <w:lang w:eastAsia="zh-CN"/>
                        </w:rPr>
                        <w:t>0</w:t>
                      </w:r>
                      <w:r>
                        <w:rPr>
                          <w:rFonts w:hint="eastAsia" w:ascii="仿宋" w:hAnsi="仿宋" w:eastAsia="仿宋" w:cs="仿宋"/>
                          <w:color w:val="auto"/>
                          <w:sz w:val="27"/>
                          <w:szCs w:val="27"/>
                        </w:rPr>
                        <w:t>（北京时间）前递交投标文件。</w:t>
                      </w:r>
                    </w:p>
                    <w:p w14:paraId="69430075">
                      <w:pPr>
                        <w:rPr>
                          <w:rFonts w:hint="eastAsia" w:ascii="宋体" w:hAnsi="宋体" w:cs="宋体"/>
                        </w:rPr>
                      </w:pPr>
                    </w:p>
                  </w:txbxContent>
                </v:textbox>
              </v:shape>
            </w:pict>
          </mc:Fallback>
        </mc:AlternateContent>
      </w:r>
      <w:r>
        <w:rPr>
          <w:rFonts w:hint="eastAsia" w:ascii="宋体" w:hAnsi="宋体" w:cs="宋体"/>
          <w:b/>
          <w:bCs/>
          <w:color w:val="auto"/>
          <w:sz w:val="32"/>
          <w:szCs w:val="32"/>
        </w:rPr>
        <w:t>投标邀请(或招标公告)</w:t>
      </w:r>
    </w:p>
    <w:p w14:paraId="62CEA9D5">
      <w:pPr>
        <w:pStyle w:val="41"/>
        <w:ind w:left="0" w:leftChars="0" w:firstLine="0" w:firstLineChars="0"/>
        <w:rPr>
          <w:rFonts w:hint="eastAsia"/>
          <w:color w:val="auto"/>
        </w:rPr>
      </w:pPr>
    </w:p>
    <w:p w14:paraId="564E2B17">
      <w:pPr>
        <w:pStyle w:val="84"/>
        <w:spacing w:before="256" w:after="256" w:line="300" w:lineRule="atLeast"/>
        <w:jc w:val="both"/>
        <w:rPr>
          <w:rStyle w:val="89"/>
          <w:rFonts w:ascii="黑体" w:hAnsi="宋体" w:eastAsia="黑体" w:cs="黑体"/>
          <w:color w:val="auto"/>
          <w:sz w:val="27"/>
          <w:szCs w:val="27"/>
          <w:shd w:val="clear" w:color="auto" w:fill="FFFFFF"/>
        </w:rPr>
      </w:pPr>
    </w:p>
    <w:p w14:paraId="60B7FECD">
      <w:pPr>
        <w:pStyle w:val="84"/>
        <w:spacing w:before="75" w:after="75"/>
        <w:rPr>
          <w:rFonts w:hint="eastAsia"/>
          <w:color w:val="auto"/>
        </w:rPr>
      </w:pPr>
    </w:p>
    <w:p w14:paraId="15378C44">
      <w:pPr>
        <w:pStyle w:val="84"/>
        <w:spacing w:before="255" w:after="255" w:line="300" w:lineRule="atLeast"/>
        <w:jc w:val="both"/>
        <w:rPr>
          <w:rStyle w:val="89"/>
          <w:rFonts w:ascii="黑体" w:hAnsi="宋体" w:eastAsia="黑体" w:cs="黑体"/>
          <w:color w:val="auto"/>
          <w:sz w:val="27"/>
          <w:szCs w:val="27"/>
        </w:rPr>
      </w:pPr>
    </w:p>
    <w:p w14:paraId="5D536083">
      <w:pPr>
        <w:pStyle w:val="84"/>
        <w:spacing w:before="255" w:after="255" w:line="300" w:lineRule="atLeast"/>
        <w:jc w:val="both"/>
        <w:rPr>
          <w:rFonts w:ascii="黑体" w:hAnsi="宋体" w:eastAsia="黑体" w:cs="黑体"/>
          <w:color w:val="auto"/>
          <w:sz w:val="27"/>
          <w:szCs w:val="27"/>
        </w:rPr>
      </w:pPr>
      <w:r>
        <w:rPr>
          <w:rStyle w:val="89"/>
          <w:rFonts w:ascii="黑体" w:hAnsi="宋体" w:eastAsia="黑体" w:cs="黑体"/>
          <w:color w:val="auto"/>
          <w:sz w:val="27"/>
          <w:szCs w:val="27"/>
        </w:rPr>
        <w:t>一、项目基本情况</w:t>
      </w:r>
    </w:p>
    <w:p w14:paraId="236E1B40">
      <w:pPr>
        <w:pStyle w:val="84"/>
        <w:spacing w:beforeAutospacing="1" w:afterAutospacing="1" w:line="300" w:lineRule="atLeast"/>
        <w:ind w:firstLine="420"/>
        <w:rPr>
          <w:rFonts w:hint="default" w:eastAsia="仿宋"/>
          <w:color w:val="auto"/>
          <w:lang w:val="en-US" w:eastAsia="zh-CN"/>
        </w:rPr>
      </w:pPr>
      <w:r>
        <w:rPr>
          <w:rFonts w:ascii="仿宋" w:hAnsi="仿宋" w:eastAsia="仿宋" w:cs="仿宋"/>
          <w:color w:val="auto"/>
          <w:sz w:val="27"/>
          <w:szCs w:val="27"/>
        </w:rPr>
        <w:t>项目编号：</w:t>
      </w:r>
      <w:r>
        <w:rPr>
          <w:rFonts w:hint="eastAsia" w:ascii="仿宋" w:hAnsi="仿宋" w:eastAsia="仿宋" w:cs="仿宋"/>
          <w:color w:val="auto"/>
          <w:sz w:val="27"/>
          <w:szCs w:val="27"/>
          <w:lang w:val="en-US" w:eastAsia="zh-CN"/>
        </w:rPr>
        <w:t>TCZFCG-2026034</w:t>
      </w:r>
    </w:p>
    <w:p w14:paraId="7A6157FF">
      <w:pPr>
        <w:pStyle w:val="84"/>
        <w:spacing w:beforeAutospacing="1" w:afterAutospacing="1" w:line="300" w:lineRule="atLeast"/>
        <w:ind w:firstLine="420"/>
        <w:rPr>
          <w:rFonts w:hint="eastAsia" w:ascii="仿宋" w:hAnsi="仿宋" w:eastAsia="仿宋" w:cs="仿宋"/>
          <w:color w:val="auto"/>
          <w:sz w:val="27"/>
          <w:szCs w:val="27"/>
          <w:lang w:eastAsia="zh-CN"/>
        </w:rPr>
      </w:pPr>
      <w:r>
        <w:rPr>
          <w:rFonts w:hint="eastAsia" w:ascii="仿宋" w:hAnsi="仿宋" w:eastAsia="仿宋" w:cs="仿宋"/>
          <w:color w:val="auto"/>
          <w:sz w:val="27"/>
          <w:szCs w:val="27"/>
        </w:rPr>
        <w:t>项目名称：</w:t>
      </w:r>
      <w:r>
        <w:rPr>
          <w:rFonts w:hint="eastAsia" w:ascii="仿宋" w:hAnsi="仿宋" w:eastAsia="仿宋" w:cs="仿宋"/>
          <w:color w:val="auto"/>
          <w:sz w:val="27"/>
          <w:szCs w:val="27"/>
          <w:lang w:eastAsia="zh-CN"/>
        </w:rPr>
        <w:t>塔城职业技术学院升级改造及教学用房建设项目（一期）设备采购项目（</w:t>
      </w:r>
      <w:r>
        <w:rPr>
          <w:rFonts w:hint="eastAsia" w:ascii="仿宋" w:hAnsi="仿宋" w:eastAsia="仿宋" w:cs="仿宋"/>
          <w:color w:val="auto"/>
          <w:sz w:val="27"/>
          <w:szCs w:val="27"/>
          <w:lang w:val="en-US" w:eastAsia="zh-CN"/>
        </w:rPr>
        <w:t>二包教学设备</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二次）</w:t>
      </w:r>
    </w:p>
    <w:p w14:paraId="37804D51">
      <w:pPr>
        <w:pStyle w:val="84"/>
        <w:spacing w:beforeAutospacing="1" w:afterAutospacing="1" w:line="300" w:lineRule="atLeast"/>
        <w:ind w:firstLine="420"/>
        <w:rPr>
          <w:color w:val="auto"/>
        </w:rPr>
      </w:pPr>
      <w:r>
        <w:rPr>
          <w:rFonts w:hint="eastAsia" w:ascii="仿宋" w:hAnsi="仿宋" w:eastAsia="仿宋" w:cs="仿宋"/>
          <w:color w:val="auto"/>
          <w:sz w:val="27"/>
          <w:szCs w:val="27"/>
        </w:rPr>
        <w:t>采购方式：公开招标</w:t>
      </w:r>
    </w:p>
    <w:p w14:paraId="4D42D731">
      <w:pPr>
        <w:pStyle w:val="84"/>
        <w:spacing w:beforeAutospacing="1" w:afterAutospacing="1" w:line="300" w:lineRule="atLeast"/>
        <w:ind w:firstLine="42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val="en-US" w:eastAsia="zh-CN"/>
        </w:rPr>
        <w:t>7336160.10</w:t>
      </w:r>
    </w:p>
    <w:p w14:paraId="5E5FCD09">
      <w:pPr>
        <w:pStyle w:val="84"/>
        <w:spacing w:beforeAutospacing="1" w:afterAutospacing="1" w:line="300" w:lineRule="atLeast"/>
        <w:ind w:firstLine="420"/>
        <w:rPr>
          <w:rFonts w:hint="default" w:eastAsia="仿宋"/>
          <w:color w:val="FF0000"/>
          <w:lang w:val="en-US" w:eastAsia="zh-CN"/>
        </w:rPr>
      </w:pPr>
      <w:r>
        <w:rPr>
          <w:rFonts w:hint="eastAsia" w:ascii="仿宋" w:hAnsi="仿宋" w:eastAsia="仿宋" w:cs="仿宋"/>
          <w:color w:val="auto"/>
          <w:sz w:val="27"/>
          <w:szCs w:val="27"/>
        </w:rPr>
        <w:t>最高限价（元）：</w:t>
      </w:r>
      <w:r>
        <w:rPr>
          <w:rFonts w:hint="eastAsia" w:ascii="仿宋" w:hAnsi="仿宋" w:eastAsia="仿宋" w:cs="仿宋"/>
          <w:color w:val="auto"/>
          <w:sz w:val="27"/>
          <w:szCs w:val="27"/>
          <w:lang w:val="en-US" w:eastAsia="zh-CN"/>
        </w:rPr>
        <w:t>7313760.10</w:t>
      </w:r>
    </w:p>
    <w:p w14:paraId="33168DA1">
      <w:pPr>
        <w:pStyle w:val="84"/>
        <w:spacing w:beforeAutospacing="1" w:afterAutospacing="1" w:line="300" w:lineRule="atLeast"/>
        <w:ind w:firstLine="270" w:firstLineChars="100"/>
        <w:rPr>
          <w:rFonts w:hint="eastAsia" w:ascii="仿宋" w:hAnsi="仿宋" w:eastAsia="仿宋" w:cs="仿宋"/>
          <w:color w:val="auto"/>
          <w:sz w:val="27"/>
          <w:szCs w:val="27"/>
        </w:rPr>
      </w:pPr>
      <w:r>
        <w:rPr>
          <w:rFonts w:hint="eastAsia" w:ascii="仿宋" w:hAnsi="仿宋" w:eastAsia="仿宋" w:cs="仿宋"/>
          <w:color w:val="auto"/>
          <w:sz w:val="27"/>
          <w:szCs w:val="27"/>
        </w:rPr>
        <w:t>采购需求：</w:t>
      </w:r>
    </w:p>
    <w:p w14:paraId="6EE7C25F">
      <w:pPr>
        <w:pStyle w:val="84"/>
        <w:spacing w:beforeAutospacing="1" w:afterAutospacing="1" w:line="300" w:lineRule="atLeast"/>
        <w:ind w:firstLine="42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预算金额（元）:</w:t>
      </w:r>
      <w:r>
        <w:rPr>
          <w:rFonts w:hint="eastAsia" w:ascii="仿宋" w:hAnsi="仿宋" w:eastAsia="仿宋" w:cs="仿宋"/>
          <w:color w:val="auto"/>
          <w:sz w:val="27"/>
          <w:szCs w:val="27"/>
          <w:lang w:val="en-US" w:eastAsia="zh-CN"/>
        </w:rPr>
        <w:t>7336160.10</w:t>
      </w:r>
    </w:p>
    <w:p w14:paraId="05079B9A">
      <w:pPr>
        <w:pStyle w:val="84"/>
        <w:spacing w:beforeAutospacing="1" w:afterAutospacing="1" w:line="300" w:lineRule="atLeast"/>
        <w:ind w:firstLine="540" w:firstLineChars="200"/>
        <w:rPr>
          <w:rFonts w:hint="eastAsia" w:ascii="仿宋" w:hAnsi="仿宋" w:eastAsia="仿宋" w:cs="仿宋"/>
          <w:color w:val="auto"/>
          <w:sz w:val="27"/>
          <w:szCs w:val="27"/>
          <w:lang w:val="en-US" w:eastAsia="zh-CN"/>
        </w:rPr>
      </w:pPr>
      <w:r>
        <w:rPr>
          <w:rFonts w:hint="eastAsia" w:ascii="仿宋" w:hAnsi="仿宋" w:eastAsia="仿宋" w:cs="仿宋"/>
          <w:color w:val="auto"/>
          <w:sz w:val="27"/>
          <w:szCs w:val="27"/>
          <w:lang w:val="en-US" w:eastAsia="zh-CN"/>
        </w:rPr>
        <w:t>数量:1</w:t>
      </w:r>
    </w:p>
    <w:p w14:paraId="0363B266">
      <w:pPr>
        <w:pStyle w:val="84"/>
        <w:spacing w:beforeAutospacing="1" w:afterAutospacing="1" w:line="300" w:lineRule="atLeast"/>
        <w:ind w:firstLine="270" w:firstLineChars="100"/>
        <w:rPr>
          <w:rFonts w:hint="eastAsia" w:ascii="仿宋" w:hAnsi="仿宋" w:eastAsia="仿宋" w:cs="仿宋"/>
          <w:color w:val="auto"/>
          <w:sz w:val="27"/>
          <w:szCs w:val="27"/>
          <w:lang w:eastAsia="zh-CN"/>
        </w:rPr>
      </w:pPr>
      <w:r>
        <w:rPr>
          <w:rFonts w:hint="eastAsia" w:ascii="仿宋" w:hAnsi="仿宋" w:eastAsia="仿宋" w:cs="仿宋"/>
          <w:color w:val="auto"/>
          <w:sz w:val="27"/>
          <w:szCs w:val="27"/>
        </w:rPr>
        <w:t>简要规格描述或项目基本概况介绍、用途：</w:t>
      </w:r>
      <w:r>
        <w:rPr>
          <w:rFonts w:hint="eastAsia" w:ascii="仿宋" w:hAnsi="仿宋" w:eastAsia="仿宋" w:cs="仿宋"/>
          <w:color w:val="auto"/>
          <w:sz w:val="27"/>
          <w:szCs w:val="27"/>
          <w:lang w:eastAsia="zh-CN"/>
        </w:rPr>
        <w:t>教学中心机房、办公信息化设备、智慧教室、同步课堂亚心校区教室改造2间、多媒体教室、塔职院教学机房、塔职院四六级听力设备</w:t>
      </w:r>
      <w:r>
        <w:rPr>
          <w:rFonts w:hint="eastAsia" w:ascii="仿宋" w:hAnsi="仿宋" w:eastAsia="仿宋" w:cs="仿宋"/>
          <w:color w:val="auto"/>
          <w:sz w:val="27"/>
          <w:szCs w:val="27"/>
          <w:lang w:val="en-US" w:eastAsia="zh-CN"/>
        </w:rPr>
        <w:t>等</w:t>
      </w:r>
      <w:r>
        <w:rPr>
          <w:rFonts w:hint="eastAsia" w:ascii="仿宋" w:hAnsi="仿宋" w:eastAsia="仿宋" w:cs="仿宋"/>
          <w:color w:val="auto"/>
          <w:sz w:val="27"/>
          <w:szCs w:val="27"/>
          <w:lang w:eastAsia="zh-CN"/>
        </w:rPr>
        <w:t>。（具体采购需求详见招标文件）</w:t>
      </w:r>
    </w:p>
    <w:p w14:paraId="7939ABBE">
      <w:pPr>
        <w:pStyle w:val="84"/>
        <w:spacing w:beforeAutospacing="1" w:afterAutospacing="1" w:line="300" w:lineRule="atLeast"/>
        <w:ind w:firstLine="270" w:firstLineChars="100"/>
        <w:rPr>
          <w:rFonts w:hint="eastAsia" w:ascii="仿宋" w:hAnsi="仿宋" w:eastAsia="仿宋" w:cs="仿宋"/>
          <w:color w:val="auto"/>
          <w:sz w:val="27"/>
          <w:szCs w:val="27"/>
        </w:rPr>
      </w:pPr>
      <w:r>
        <w:rPr>
          <w:rFonts w:hint="eastAsia" w:ascii="仿宋" w:hAnsi="仿宋" w:eastAsia="仿宋" w:cs="仿宋"/>
          <w:color w:val="auto"/>
          <w:sz w:val="27"/>
          <w:szCs w:val="27"/>
        </w:rPr>
        <w:t>备注：</w:t>
      </w:r>
    </w:p>
    <w:p w14:paraId="5740E2BE">
      <w:pPr>
        <w:pStyle w:val="84"/>
        <w:spacing w:beforeAutospacing="1" w:afterAutospacing="1" w:line="300" w:lineRule="atLeast"/>
        <w:ind w:firstLine="420"/>
        <w:rPr>
          <w:rFonts w:hint="eastAsia" w:eastAsia="仿宋"/>
          <w:color w:val="auto"/>
          <w:lang w:eastAsia="zh-CN"/>
        </w:rPr>
      </w:pPr>
      <w:r>
        <w:rPr>
          <w:rFonts w:hint="eastAsia" w:ascii="仿宋" w:hAnsi="仿宋" w:eastAsia="仿宋" w:cs="仿宋"/>
          <w:color w:val="auto"/>
          <w:sz w:val="27"/>
          <w:szCs w:val="27"/>
        </w:rPr>
        <w:t>合同履约期限：</w:t>
      </w:r>
      <w:r>
        <w:rPr>
          <w:rFonts w:hint="eastAsia" w:ascii="仿宋" w:hAnsi="仿宋" w:eastAsia="仿宋" w:cs="仿宋"/>
          <w:color w:val="auto"/>
          <w:sz w:val="27"/>
          <w:szCs w:val="27"/>
          <w:highlight w:val="none"/>
          <w:lang w:val="en-US" w:eastAsia="zh-CN"/>
        </w:rPr>
        <w:t>详见招标文件</w:t>
      </w:r>
    </w:p>
    <w:p w14:paraId="711BC930">
      <w:pPr>
        <w:pStyle w:val="84"/>
        <w:spacing w:beforeAutospacing="1" w:afterAutospacing="1" w:line="300" w:lineRule="atLeast"/>
        <w:ind w:firstLine="420"/>
        <w:rPr>
          <w:color w:val="auto"/>
        </w:rPr>
      </w:pPr>
      <w:r>
        <w:rPr>
          <w:rFonts w:hint="eastAsia" w:ascii="仿宋" w:hAnsi="仿宋" w:eastAsia="仿宋" w:cs="仿宋"/>
          <w:color w:val="auto"/>
          <w:sz w:val="27"/>
          <w:szCs w:val="27"/>
        </w:rPr>
        <w:t>本项目（否）接受联合体投标。</w:t>
      </w:r>
    </w:p>
    <w:p w14:paraId="29E3F33D">
      <w:pPr>
        <w:pStyle w:val="84"/>
        <w:spacing w:beforeAutospacing="1" w:afterAutospacing="1" w:line="300" w:lineRule="atLeast"/>
        <w:rPr>
          <w:color w:val="auto"/>
        </w:rPr>
      </w:pPr>
      <w:r>
        <w:rPr>
          <w:rStyle w:val="89"/>
          <w:rFonts w:ascii="黑体" w:hAnsi="宋体" w:eastAsia="黑体" w:cs="黑体"/>
          <w:color w:val="auto"/>
          <w:sz w:val="27"/>
          <w:szCs w:val="27"/>
        </w:rPr>
        <w:t>二、申请人的资格要求：</w:t>
      </w:r>
    </w:p>
    <w:p w14:paraId="0B31E8A1">
      <w:pPr>
        <w:pStyle w:val="84"/>
        <w:spacing w:beforeAutospacing="1" w:afterAutospacing="1" w:line="300" w:lineRule="atLeast"/>
        <w:ind w:firstLine="420"/>
        <w:rPr>
          <w:rFonts w:hint="eastAsia" w:ascii="仿宋" w:hAnsi="仿宋" w:eastAsia="仿宋" w:cs="仿宋"/>
          <w:color w:val="auto"/>
          <w:sz w:val="27"/>
          <w:szCs w:val="27"/>
        </w:rPr>
      </w:pPr>
      <w:r>
        <w:rPr>
          <w:rFonts w:hint="eastAsia" w:ascii="仿宋" w:hAnsi="仿宋" w:eastAsia="仿宋" w:cs="仿宋"/>
          <w:color w:val="auto"/>
          <w:sz w:val="27"/>
          <w:szCs w:val="27"/>
        </w:rPr>
        <w:t>1.满足《中华人民共和国政府采购法》第二十二条规定；</w:t>
      </w:r>
    </w:p>
    <w:p w14:paraId="247677D6">
      <w:pPr>
        <w:pStyle w:val="84"/>
        <w:spacing w:beforeAutospacing="1" w:afterAutospacing="1" w:line="300" w:lineRule="atLeast"/>
        <w:ind w:firstLine="270" w:firstLineChars="10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2.落实政府采购政策需满足的资格要求：本项目</w:t>
      </w:r>
      <w:r>
        <w:rPr>
          <w:rFonts w:hint="eastAsia" w:ascii="仿宋" w:hAnsi="仿宋" w:eastAsia="仿宋" w:cs="仿宋"/>
          <w:color w:val="auto"/>
          <w:sz w:val="27"/>
          <w:szCs w:val="27"/>
          <w:lang w:val="en-US" w:eastAsia="zh-CN"/>
        </w:rPr>
        <w:t>非</w:t>
      </w:r>
      <w:r>
        <w:rPr>
          <w:rFonts w:hint="eastAsia" w:ascii="仿宋" w:hAnsi="仿宋" w:eastAsia="仿宋" w:cs="仿宋"/>
          <w:color w:val="auto"/>
          <w:sz w:val="27"/>
          <w:szCs w:val="27"/>
        </w:rPr>
        <w:t>专门面向中小企业进行采购；</w:t>
      </w:r>
    </w:p>
    <w:p w14:paraId="07879E53">
      <w:pPr>
        <w:pStyle w:val="84"/>
        <w:spacing w:beforeAutospacing="1" w:afterAutospacing="1" w:line="300" w:lineRule="atLeast"/>
        <w:ind w:firstLine="420"/>
        <w:rPr>
          <w:color w:val="auto"/>
        </w:rPr>
      </w:pPr>
      <w:r>
        <w:rPr>
          <w:rFonts w:hint="eastAsia" w:ascii="仿宋" w:hAnsi="仿宋" w:eastAsia="仿宋" w:cs="仿宋"/>
          <w:color w:val="auto"/>
          <w:sz w:val="27"/>
          <w:szCs w:val="27"/>
        </w:rPr>
        <w:t>3.本项目的特定资格要求：</w:t>
      </w:r>
      <w:r>
        <w:rPr>
          <w:rFonts w:hint="eastAsia" w:ascii="仿宋" w:hAnsi="仿宋" w:eastAsia="仿宋" w:cs="仿宋"/>
          <w:sz w:val="27"/>
          <w:szCs w:val="27"/>
          <w:highlight w:val="none"/>
          <w:lang w:val="en-US" w:eastAsia="zh-CN"/>
        </w:rPr>
        <w:t>无</w:t>
      </w:r>
    </w:p>
    <w:p w14:paraId="6A87DE7C">
      <w:pPr>
        <w:pStyle w:val="84"/>
        <w:spacing w:before="255" w:after="255" w:line="300" w:lineRule="atLeast"/>
        <w:jc w:val="both"/>
        <w:rPr>
          <w:rFonts w:ascii="黑体" w:hAnsi="宋体" w:eastAsia="黑体" w:cs="黑体"/>
          <w:color w:val="auto"/>
          <w:sz w:val="27"/>
          <w:szCs w:val="27"/>
        </w:rPr>
      </w:pPr>
      <w:r>
        <w:rPr>
          <w:rStyle w:val="89"/>
          <w:rFonts w:ascii="黑体" w:hAnsi="宋体" w:eastAsia="黑体" w:cs="黑体"/>
          <w:color w:val="auto"/>
          <w:sz w:val="27"/>
          <w:szCs w:val="27"/>
        </w:rPr>
        <w:t>三、获取招标文件</w:t>
      </w:r>
    </w:p>
    <w:p w14:paraId="5375B2F5">
      <w:pPr>
        <w:pStyle w:val="84"/>
        <w:spacing w:beforeAutospacing="1" w:afterAutospacing="1" w:line="300" w:lineRule="atLeast"/>
        <w:ind w:firstLine="420"/>
        <w:rPr>
          <w:color w:val="auto"/>
        </w:rPr>
      </w:pPr>
      <w:r>
        <w:rPr>
          <w:rFonts w:hint="eastAsia" w:ascii="仿宋" w:hAnsi="仿宋" w:eastAsia="仿宋" w:cs="仿宋"/>
          <w:color w:val="auto"/>
          <w:sz w:val="27"/>
          <w:szCs w:val="27"/>
        </w:rPr>
        <w:t>时间：202</w:t>
      </w:r>
      <w:r>
        <w:rPr>
          <w:rFonts w:hint="eastAsia" w:ascii="仿宋" w:hAnsi="仿宋" w:eastAsia="仿宋" w:cs="仿宋"/>
          <w:color w:val="auto"/>
          <w:sz w:val="27"/>
          <w:szCs w:val="27"/>
          <w:lang w:val="en-US" w:eastAsia="zh-CN"/>
        </w:rPr>
        <w:t>6</w:t>
      </w:r>
      <w:r>
        <w:rPr>
          <w:rFonts w:hint="eastAsia" w:ascii="仿宋" w:hAnsi="仿宋" w:eastAsia="仿宋" w:cs="仿宋"/>
          <w:color w:val="auto"/>
          <w:sz w:val="27"/>
          <w:szCs w:val="27"/>
        </w:rPr>
        <w:t>年</w:t>
      </w:r>
      <w:r>
        <w:rPr>
          <w:rFonts w:hint="eastAsia" w:ascii="仿宋" w:hAnsi="仿宋" w:eastAsia="仿宋" w:cs="仿宋"/>
          <w:color w:val="auto"/>
          <w:sz w:val="27"/>
          <w:szCs w:val="27"/>
          <w:lang w:eastAsia="zh-CN"/>
        </w:rPr>
        <w:t>6</w:t>
      </w:r>
      <w:r>
        <w:rPr>
          <w:rFonts w:hint="eastAsia" w:ascii="仿宋" w:hAnsi="仿宋" w:eastAsia="仿宋" w:cs="仿宋"/>
          <w:color w:val="000000" w:themeColor="text1"/>
          <w:sz w:val="27"/>
          <w:szCs w:val="27"/>
          <w:highlight w:val="none"/>
          <w14:textFill>
            <w14:solidFill>
              <w14:schemeClr w14:val="tx1"/>
            </w14:solidFill>
          </w14:textFill>
        </w:rPr>
        <w:t>月</w:t>
      </w:r>
      <w:r>
        <w:rPr>
          <w:rFonts w:hint="eastAsia" w:ascii="仿宋" w:hAnsi="仿宋" w:eastAsia="仿宋" w:cs="仿宋"/>
          <w:color w:val="000000" w:themeColor="text1"/>
          <w:sz w:val="27"/>
          <w:szCs w:val="27"/>
          <w:highlight w:val="none"/>
          <w:lang w:eastAsia="zh-CN"/>
          <w14:textFill>
            <w14:solidFill>
              <w14:schemeClr w14:val="tx1"/>
            </w14:solidFill>
          </w14:textFill>
        </w:rPr>
        <w:t>1</w:t>
      </w:r>
      <w:r>
        <w:rPr>
          <w:rFonts w:hint="eastAsia" w:ascii="仿宋" w:hAnsi="仿宋" w:eastAsia="仿宋" w:cs="仿宋"/>
          <w:color w:val="000000" w:themeColor="text1"/>
          <w:sz w:val="27"/>
          <w:szCs w:val="27"/>
          <w:highlight w:val="none"/>
          <w14:textFill>
            <w14:solidFill>
              <w14:schemeClr w14:val="tx1"/>
            </w14:solidFill>
          </w14:textFill>
        </w:rPr>
        <w:t>日至202</w:t>
      </w:r>
      <w:r>
        <w:rPr>
          <w:rFonts w:hint="eastAsia" w:ascii="仿宋" w:hAnsi="仿宋" w:eastAsia="仿宋" w:cs="仿宋"/>
          <w:color w:val="000000" w:themeColor="text1"/>
          <w:sz w:val="27"/>
          <w:szCs w:val="27"/>
          <w:highlight w:val="none"/>
          <w:lang w:val="en-US" w:eastAsia="zh-CN"/>
          <w14:textFill>
            <w14:solidFill>
              <w14:schemeClr w14:val="tx1"/>
            </w14:solidFill>
          </w14:textFill>
        </w:rPr>
        <w:t>6</w:t>
      </w:r>
      <w:r>
        <w:rPr>
          <w:rFonts w:hint="eastAsia" w:ascii="仿宋" w:hAnsi="仿宋" w:eastAsia="仿宋" w:cs="仿宋"/>
          <w:color w:val="000000" w:themeColor="text1"/>
          <w:sz w:val="27"/>
          <w:szCs w:val="27"/>
          <w:highlight w:val="none"/>
          <w14:textFill>
            <w14:solidFill>
              <w14:schemeClr w14:val="tx1"/>
            </w14:solidFill>
          </w14:textFill>
        </w:rPr>
        <w:t>年</w:t>
      </w:r>
      <w:r>
        <w:rPr>
          <w:rFonts w:hint="eastAsia" w:ascii="仿宋" w:hAnsi="仿宋" w:eastAsia="仿宋" w:cs="仿宋"/>
          <w:color w:val="000000" w:themeColor="text1"/>
          <w:sz w:val="27"/>
          <w:szCs w:val="27"/>
          <w:highlight w:val="none"/>
          <w:lang w:eastAsia="zh-CN"/>
          <w14:textFill>
            <w14:solidFill>
              <w14:schemeClr w14:val="tx1"/>
            </w14:solidFill>
          </w14:textFill>
        </w:rPr>
        <w:t>6</w:t>
      </w:r>
      <w:r>
        <w:rPr>
          <w:rFonts w:hint="eastAsia" w:ascii="仿宋" w:hAnsi="仿宋" w:eastAsia="仿宋" w:cs="仿宋"/>
          <w:color w:val="000000" w:themeColor="text1"/>
          <w:sz w:val="27"/>
          <w:szCs w:val="27"/>
          <w:highlight w:val="none"/>
          <w14:textFill>
            <w14:solidFill>
              <w14:schemeClr w14:val="tx1"/>
            </w14:solidFill>
          </w14:textFill>
        </w:rPr>
        <w:t>月</w:t>
      </w:r>
      <w:r>
        <w:rPr>
          <w:rFonts w:hint="eastAsia" w:ascii="仿宋" w:hAnsi="仿宋" w:eastAsia="仿宋" w:cs="仿宋"/>
          <w:color w:val="000000" w:themeColor="text1"/>
          <w:sz w:val="27"/>
          <w:szCs w:val="27"/>
          <w:highlight w:val="none"/>
          <w:lang w:eastAsia="zh-CN"/>
          <w14:textFill>
            <w14:solidFill>
              <w14:schemeClr w14:val="tx1"/>
            </w14:solidFill>
          </w14:textFill>
        </w:rPr>
        <w:t>8</w:t>
      </w:r>
      <w:r>
        <w:rPr>
          <w:rFonts w:hint="eastAsia" w:ascii="仿宋" w:hAnsi="仿宋" w:eastAsia="仿宋" w:cs="仿宋"/>
          <w:color w:val="000000" w:themeColor="text1"/>
          <w:sz w:val="27"/>
          <w:szCs w:val="27"/>
          <w:highlight w:val="none"/>
          <w14:textFill>
            <w14:solidFill>
              <w14:schemeClr w14:val="tx1"/>
            </w14:solidFill>
          </w14:textFill>
        </w:rPr>
        <w:t>日，</w:t>
      </w:r>
      <w:r>
        <w:rPr>
          <w:rFonts w:hint="eastAsia" w:ascii="仿宋" w:hAnsi="仿宋" w:eastAsia="仿宋" w:cs="仿宋"/>
          <w:color w:val="auto"/>
          <w:sz w:val="27"/>
          <w:szCs w:val="27"/>
        </w:rPr>
        <w:t>每天上午00:00至1</w:t>
      </w:r>
      <w:r>
        <w:rPr>
          <w:rFonts w:hint="eastAsia" w:ascii="仿宋" w:hAnsi="仿宋" w:eastAsia="仿宋" w:cs="仿宋"/>
          <w:color w:val="auto"/>
          <w:sz w:val="27"/>
          <w:szCs w:val="27"/>
          <w:lang w:val="en-US" w:eastAsia="zh-CN"/>
        </w:rPr>
        <w:t>4</w:t>
      </w:r>
      <w:r>
        <w:rPr>
          <w:rFonts w:hint="eastAsia" w:ascii="仿宋" w:hAnsi="仿宋" w:eastAsia="仿宋" w:cs="仿宋"/>
          <w:color w:val="auto"/>
          <w:sz w:val="27"/>
          <w:szCs w:val="27"/>
        </w:rPr>
        <w:t>:00，下午1</w:t>
      </w:r>
      <w:r>
        <w:rPr>
          <w:rFonts w:hint="eastAsia" w:ascii="仿宋" w:hAnsi="仿宋" w:eastAsia="仿宋" w:cs="仿宋"/>
          <w:color w:val="auto"/>
          <w:sz w:val="27"/>
          <w:szCs w:val="27"/>
          <w:lang w:val="en-US" w:eastAsia="zh-CN"/>
        </w:rPr>
        <w:t>4</w:t>
      </w:r>
      <w:r>
        <w:rPr>
          <w:rFonts w:hint="eastAsia" w:ascii="仿宋" w:hAnsi="仿宋" w:eastAsia="仿宋" w:cs="仿宋"/>
          <w:color w:val="auto"/>
          <w:sz w:val="27"/>
          <w:szCs w:val="27"/>
        </w:rPr>
        <w:t>:00至23:59（北京时间，法定节假日除外）</w:t>
      </w:r>
    </w:p>
    <w:p w14:paraId="21D110CA">
      <w:pPr>
        <w:pStyle w:val="84"/>
        <w:spacing w:beforeAutospacing="1" w:afterAutospacing="1" w:line="300" w:lineRule="atLeast"/>
        <w:ind w:firstLine="420"/>
        <w:rPr>
          <w:rFonts w:hint="eastAsia" w:eastAsia="仿宋"/>
          <w:color w:val="auto"/>
          <w:lang w:eastAsia="zh-CN"/>
        </w:rPr>
      </w:pPr>
      <w:r>
        <w:rPr>
          <w:rFonts w:hint="eastAsia" w:ascii="仿宋" w:hAnsi="仿宋" w:eastAsia="仿宋" w:cs="仿宋"/>
          <w:color w:val="auto"/>
          <w:sz w:val="27"/>
          <w:szCs w:val="27"/>
        </w:rPr>
        <w:t>地点：政采云平台https://www.zcygov.cn/</w:t>
      </w:r>
    </w:p>
    <w:p w14:paraId="0B7C878C">
      <w:pPr>
        <w:pStyle w:val="84"/>
        <w:spacing w:beforeAutospacing="1" w:afterAutospacing="1" w:line="300" w:lineRule="atLeast"/>
        <w:ind w:firstLine="420"/>
        <w:rPr>
          <w:color w:val="auto"/>
        </w:rPr>
      </w:pPr>
      <w:r>
        <w:rPr>
          <w:rFonts w:hint="eastAsia" w:ascii="仿宋" w:hAnsi="仿宋" w:eastAsia="仿宋" w:cs="仿宋"/>
          <w:color w:val="auto"/>
          <w:sz w:val="27"/>
          <w:szCs w:val="27"/>
        </w:rPr>
        <w:t>方式：供应商登录政采云平台https://www.zcygov.cn/在线申请获取采购文件（进入“项目采购”应用，在获取采购文件菜单中选择项目，申请获取采购文件）</w:t>
      </w:r>
    </w:p>
    <w:p w14:paraId="01CACA4F">
      <w:pPr>
        <w:pStyle w:val="84"/>
        <w:spacing w:beforeAutospacing="1" w:afterAutospacing="1" w:line="300" w:lineRule="atLeast"/>
        <w:ind w:firstLine="420"/>
        <w:rPr>
          <w:color w:val="auto"/>
        </w:rPr>
      </w:pPr>
      <w:r>
        <w:rPr>
          <w:rFonts w:hint="eastAsia" w:ascii="仿宋" w:hAnsi="仿宋" w:eastAsia="仿宋" w:cs="仿宋"/>
          <w:color w:val="auto"/>
          <w:sz w:val="27"/>
          <w:szCs w:val="27"/>
        </w:rPr>
        <w:t>售价（元）：0</w:t>
      </w:r>
    </w:p>
    <w:p w14:paraId="0D377DCA">
      <w:pPr>
        <w:pStyle w:val="84"/>
        <w:spacing w:before="255" w:after="255" w:line="300" w:lineRule="atLeast"/>
        <w:jc w:val="both"/>
        <w:rPr>
          <w:rFonts w:ascii="黑体" w:hAnsi="宋体" w:eastAsia="黑体" w:cs="黑体"/>
          <w:color w:val="auto"/>
          <w:sz w:val="27"/>
          <w:szCs w:val="27"/>
        </w:rPr>
      </w:pPr>
      <w:r>
        <w:rPr>
          <w:rStyle w:val="89"/>
          <w:rFonts w:ascii="黑体" w:hAnsi="宋体" w:eastAsia="黑体" w:cs="黑体"/>
          <w:color w:val="auto"/>
          <w:sz w:val="27"/>
          <w:szCs w:val="27"/>
        </w:rPr>
        <w:t>四、提交投标文件截止时间、开标时间和地点</w:t>
      </w:r>
    </w:p>
    <w:p w14:paraId="0BDD7D5C">
      <w:pPr>
        <w:pStyle w:val="84"/>
        <w:spacing w:beforeAutospacing="1" w:afterAutospacing="1" w:line="300" w:lineRule="atLeast"/>
        <w:ind w:firstLine="420"/>
        <w:rPr>
          <w:color w:val="000000" w:themeColor="text1"/>
          <w:highlight w:val="none"/>
          <w14:textFill>
            <w14:solidFill>
              <w14:schemeClr w14:val="tx1"/>
            </w14:solidFill>
          </w14:textFill>
        </w:rPr>
      </w:pPr>
      <w:r>
        <w:rPr>
          <w:rFonts w:hint="eastAsia" w:ascii="仿宋" w:hAnsi="仿宋" w:eastAsia="仿宋" w:cs="仿宋"/>
          <w:color w:val="auto"/>
          <w:sz w:val="27"/>
          <w:szCs w:val="27"/>
        </w:rPr>
        <w:t>提交投标文件截止时间：</w:t>
      </w:r>
      <w:r>
        <w:rPr>
          <w:rFonts w:hint="eastAsia" w:ascii="仿宋" w:hAnsi="仿宋" w:eastAsia="仿宋" w:cs="仿宋"/>
          <w:color w:val="000000" w:themeColor="text1"/>
          <w:sz w:val="27"/>
          <w:szCs w:val="27"/>
          <w:highlight w:val="none"/>
          <w:lang w:eastAsia="zh-CN"/>
          <w14:textFill>
            <w14:solidFill>
              <w14:schemeClr w14:val="tx1"/>
            </w14:solidFill>
          </w14:textFill>
        </w:rPr>
        <w:t>2026年6月22日1</w:t>
      </w:r>
      <w:r>
        <w:rPr>
          <w:rFonts w:hint="eastAsia" w:ascii="仿宋" w:hAnsi="仿宋" w:eastAsia="仿宋" w:cs="仿宋"/>
          <w:color w:val="000000" w:themeColor="text1"/>
          <w:sz w:val="27"/>
          <w:szCs w:val="27"/>
          <w:highlight w:val="none"/>
          <w:lang w:val="en-US" w:eastAsia="zh-CN"/>
          <w14:textFill>
            <w14:solidFill>
              <w14:schemeClr w14:val="tx1"/>
            </w14:solidFill>
          </w14:textFill>
        </w:rPr>
        <w:t>0</w:t>
      </w:r>
      <w:r>
        <w:rPr>
          <w:rFonts w:hint="eastAsia" w:ascii="仿宋" w:hAnsi="仿宋" w:eastAsia="仿宋" w:cs="仿宋"/>
          <w:color w:val="000000" w:themeColor="text1"/>
          <w:sz w:val="27"/>
          <w:szCs w:val="27"/>
          <w:highlight w:val="none"/>
          <w:lang w:eastAsia="zh-CN"/>
          <w14:textFill>
            <w14:solidFill>
              <w14:schemeClr w14:val="tx1"/>
            </w14:solidFill>
          </w14:textFill>
        </w:rPr>
        <w:t>:</w:t>
      </w:r>
      <w:r>
        <w:rPr>
          <w:rFonts w:hint="eastAsia" w:ascii="仿宋" w:hAnsi="仿宋" w:eastAsia="仿宋" w:cs="仿宋"/>
          <w:color w:val="000000" w:themeColor="text1"/>
          <w:sz w:val="27"/>
          <w:szCs w:val="27"/>
          <w:highlight w:val="none"/>
          <w:lang w:val="en-US" w:eastAsia="zh-CN"/>
          <w14:textFill>
            <w14:solidFill>
              <w14:schemeClr w14:val="tx1"/>
            </w14:solidFill>
          </w14:textFill>
        </w:rPr>
        <w:t>3</w:t>
      </w:r>
      <w:r>
        <w:rPr>
          <w:rFonts w:hint="eastAsia" w:ascii="仿宋" w:hAnsi="仿宋" w:eastAsia="仿宋" w:cs="仿宋"/>
          <w:color w:val="000000" w:themeColor="text1"/>
          <w:sz w:val="27"/>
          <w:szCs w:val="27"/>
          <w:highlight w:val="none"/>
          <w:lang w:eastAsia="zh-CN"/>
          <w14:textFill>
            <w14:solidFill>
              <w14:schemeClr w14:val="tx1"/>
            </w14:solidFill>
          </w14:textFill>
        </w:rPr>
        <w:t>0</w:t>
      </w:r>
      <w:r>
        <w:rPr>
          <w:rFonts w:hint="eastAsia" w:ascii="仿宋" w:hAnsi="仿宋" w:eastAsia="仿宋" w:cs="仿宋"/>
          <w:color w:val="000000" w:themeColor="text1"/>
          <w:sz w:val="27"/>
          <w:szCs w:val="27"/>
          <w:highlight w:val="none"/>
          <w14:textFill>
            <w14:solidFill>
              <w14:schemeClr w14:val="tx1"/>
            </w14:solidFill>
          </w14:textFill>
        </w:rPr>
        <w:t>（北京时间）</w:t>
      </w:r>
    </w:p>
    <w:p w14:paraId="418EADD9">
      <w:pPr>
        <w:pStyle w:val="84"/>
        <w:spacing w:beforeAutospacing="1" w:afterAutospacing="1" w:line="300" w:lineRule="atLeast"/>
        <w:ind w:firstLine="420"/>
        <w:rPr>
          <w:rFonts w:hint="eastAsia" w:eastAsia="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sz w:val="27"/>
          <w:szCs w:val="27"/>
          <w:highlight w:val="none"/>
          <w14:textFill>
            <w14:solidFill>
              <w14:schemeClr w14:val="tx1"/>
            </w14:solidFill>
          </w14:textFill>
        </w:rPr>
        <w:t>投标地点：政采云平台https://www.zcygov.cn/</w:t>
      </w:r>
    </w:p>
    <w:p w14:paraId="4FB2FC39">
      <w:pPr>
        <w:pStyle w:val="84"/>
        <w:spacing w:beforeAutospacing="1" w:afterAutospacing="1" w:line="300" w:lineRule="atLeast"/>
        <w:ind w:firstLine="420"/>
        <w:rPr>
          <w:color w:val="auto"/>
        </w:rPr>
      </w:pPr>
      <w:r>
        <w:rPr>
          <w:rFonts w:hint="eastAsia" w:ascii="仿宋" w:hAnsi="仿宋" w:eastAsia="仿宋" w:cs="仿宋"/>
          <w:color w:val="000000" w:themeColor="text1"/>
          <w:sz w:val="27"/>
          <w:szCs w:val="27"/>
          <w:highlight w:val="none"/>
          <w14:textFill>
            <w14:solidFill>
              <w14:schemeClr w14:val="tx1"/>
            </w14:solidFill>
          </w14:textFill>
        </w:rPr>
        <w:t>开标时间：</w:t>
      </w:r>
      <w:r>
        <w:rPr>
          <w:rFonts w:hint="eastAsia" w:ascii="仿宋" w:hAnsi="仿宋" w:eastAsia="仿宋" w:cs="仿宋"/>
          <w:color w:val="000000" w:themeColor="text1"/>
          <w:sz w:val="27"/>
          <w:szCs w:val="27"/>
          <w:highlight w:val="none"/>
          <w:lang w:eastAsia="zh-CN"/>
          <w14:textFill>
            <w14:solidFill>
              <w14:schemeClr w14:val="tx1"/>
            </w14:solidFill>
          </w14:textFill>
        </w:rPr>
        <w:t>2026年6月22日1</w:t>
      </w:r>
      <w:r>
        <w:rPr>
          <w:rFonts w:hint="eastAsia" w:ascii="仿宋" w:hAnsi="仿宋" w:eastAsia="仿宋" w:cs="仿宋"/>
          <w:color w:val="000000" w:themeColor="text1"/>
          <w:sz w:val="27"/>
          <w:szCs w:val="27"/>
          <w:highlight w:val="none"/>
          <w:lang w:val="en-US" w:eastAsia="zh-CN"/>
          <w14:textFill>
            <w14:solidFill>
              <w14:schemeClr w14:val="tx1"/>
            </w14:solidFill>
          </w14:textFill>
        </w:rPr>
        <w:t>0</w:t>
      </w:r>
      <w:r>
        <w:rPr>
          <w:rFonts w:hint="eastAsia" w:ascii="仿宋" w:hAnsi="仿宋" w:eastAsia="仿宋" w:cs="仿宋"/>
          <w:color w:val="auto"/>
          <w:sz w:val="27"/>
          <w:szCs w:val="27"/>
          <w:lang w:eastAsia="zh-CN"/>
        </w:rPr>
        <w:t>:</w:t>
      </w:r>
      <w:r>
        <w:rPr>
          <w:rFonts w:hint="eastAsia" w:ascii="仿宋" w:hAnsi="仿宋" w:eastAsia="仿宋" w:cs="仿宋"/>
          <w:color w:val="auto"/>
          <w:sz w:val="27"/>
          <w:szCs w:val="27"/>
          <w:lang w:val="en-US" w:eastAsia="zh-CN"/>
        </w:rPr>
        <w:t>3</w:t>
      </w:r>
      <w:r>
        <w:rPr>
          <w:rFonts w:hint="eastAsia" w:ascii="仿宋" w:hAnsi="仿宋" w:eastAsia="仿宋" w:cs="仿宋"/>
          <w:color w:val="auto"/>
          <w:sz w:val="27"/>
          <w:szCs w:val="27"/>
          <w:lang w:eastAsia="zh-CN"/>
        </w:rPr>
        <w:t>0</w:t>
      </w:r>
      <w:r>
        <w:rPr>
          <w:rFonts w:hint="eastAsia" w:ascii="仿宋" w:hAnsi="仿宋" w:eastAsia="仿宋" w:cs="仿宋"/>
          <w:color w:val="auto"/>
          <w:sz w:val="27"/>
          <w:szCs w:val="27"/>
        </w:rPr>
        <w:t>（北京时间）</w:t>
      </w:r>
    </w:p>
    <w:p w14:paraId="174E7A2B">
      <w:pPr>
        <w:pStyle w:val="84"/>
        <w:spacing w:beforeAutospacing="1" w:afterAutospacing="1" w:line="300" w:lineRule="atLeast"/>
        <w:ind w:firstLine="420"/>
        <w:rPr>
          <w:color w:val="auto"/>
        </w:rPr>
      </w:pPr>
      <w:r>
        <w:rPr>
          <w:rFonts w:hint="eastAsia" w:ascii="仿宋" w:hAnsi="仿宋" w:eastAsia="仿宋" w:cs="仿宋"/>
          <w:color w:val="auto"/>
          <w:sz w:val="27"/>
          <w:szCs w:val="27"/>
        </w:rPr>
        <w:t>开标地点：政采云平台https://www.zcygov.cn</w:t>
      </w:r>
    </w:p>
    <w:p w14:paraId="435AFAAA">
      <w:pPr>
        <w:pStyle w:val="84"/>
        <w:spacing w:before="255" w:after="255" w:line="300" w:lineRule="atLeast"/>
        <w:jc w:val="both"/>
        <w:rPr>
          <w:rFonts w:ascii="黑体" w:hAnsi="宋体" w:eastAsia="黑体" w:cs="黑体"/>
          <w:color w:val="auto"/>
          <w:sz w:val="31"/>
          <w:szCs w:val="31"/>
        </w:rPr>
      </w:pPr>
      <w:r>
        <w:rPr>
          <w:rStyle w:val="89"/>
          <w:rFonts w:ascii="黑体" w:hAnsi="宋体" w:eastAsia="黑体" w:cs="黑体"/>
          <w:color w:val="auto"/>
          <w:sz w:val="27"/>
          <w:szCs w:val="27"/>
        </w:rPr>
        <w:t>五、公告期限</w:t>
      </w:r>
    </w:p>
    <w:p w14:paraId="731C73F7">
      <w:pPr>
        <w:pStyle w:val="84"/>
        <w:spacing w:beforeAutospacing="1" w:afterAutospacing="1"/>
        <w:ind w:firstLine="420"/>
        <w:rPr>
          <w:color w:val="auto"/>
        </w:rPr>
      </w:pPr>
      <w:r>
        <w:rPr>
          <w:rFonts w:hint="eastAsia" w:ascii="仿宋" w:hAnsi="仿宋" w:eastAsia="仿宋" w:cs="仿宋"/>
          <w:color w:val="auto"/>
          <w:sz w:val="27"/>
          <w:szCs w:val="27"/>
        </w:rPr>
        <w:t>自本公告发布之日起5个工作日。</w:t>
      </w:r>
    </w:p>
    <w:p w14:paraId="6132D4C5">
      <w:pPr>
        <w:pStyle w:val="84"/>
        <w:spacing w:before="255" w:after="255" w:line="300" w:lineRule="atLeast"/>
        <w:jc w:val="both"/>
        <w:rPr>
          <w:rFonts w:ascii="黑体" w:hAnsi="宋体" w:eastAsia="黑体" w:cs="黑体"/>
          <w:color w:val="auto"/>
          <w:sz w:val="27"/>
          <w:szCs w:val="27"/>
        </w:rPr>
      </w:pPr>
      <w:r>
        <w:rPr>
          <w:rStyle w:val="89"/>
          <w:rFonts w:ascii="黑体" w:hAnsi="宋体" w:eastAsia="黑体" w:cs="黑体"/>
          <w:color w:val="auto"/>
          <w:sz w:val="27"/>
          <w:szCs w:val="27"/>
        </w:rPr>
        <w:t>六、其他补充事宜</w:t>
      </w:r>
    </w:p>
    <w:p w14:paraId="1E5C1672">
      <w:pPr>
        <w:pStyle w:val="448"/>
        <w:spacing w:line="360" w:lineRule="auto"/>
        <w:ind w:firstLine="540" w:firstLineChars="200"/>
        <w:outlineLvl w:val="0"/>
        <w:rPr>
          <w:rFonts w:hint="eastAsia" w:ascii="仿宋" w:hAnsi="仿宋" w:eastAsia="仿宋" w:cs="仿宋"/>
          <w:color w:val="auto"/>
          <w:kern w:val="0"/>
          <w:sz w:val="27"/>
          <w:szCs w:val="27"/>
          <w:lang w:eastAsia="zh-CN"/>
        </w:rPr>
      </w:pPr>
      <w:r>
        <w:rPr>
          <w:rFonts w:hint="eastAsia" w:ascii="仿宋" w:hAnsi="仿宋" w:eastAsia="仿宋" w:cs="仿宋"/>
          <w:color w:val="auto"/>
          <w:kern w:val="0"/>
          <w:sz w:val="27"/>
          <w:szCs w:val="27"/>
          <w:lang w:val="en-US" w:eastAsia="zh-CN"/>
        </w:rPr>
        <w:t>1</w:t>
      </w:r>
      <w:r>
        <w:rPr>
          <w:rFonts w:hint="eastAsia" w:ascii="仿宋" w:hAnsi="仿宋" w:eastAsia="仿宋" w:cs="仿宋"/>
          <w:color w:val="auto"/>
          <w:kern w:val="0"/>
          <w:sz w:val="27"/>
          <w:szCs w:val="27"/>
        </w:rPr>
        <w:t>.本项目实行网上投标，采用电子投标文件；</w:t>
      </w:r>
    </w:p>
    <w:p w14:paraId="3ABCD47E">
      <w:pPr>
        <w:pStyle w:val="448"/>
        <w:spacing w:line="360" w:lineRule="auto"/>
        <w:ind w:firstLine="540" w:firstLineChars="200"/>
        <w:outlineLvl w:val="0"/>
        <w:rPr>
          <w:rFonts w:hint="eastAsia" w:ascii="仿宋" w:hAnsi="仿宋" w:eastAsia="仿宋" w:cs="仿宋"/>
          <w:color w:val="auto"/>
          <w:kern w:val="0"/>
          <w:sz w:val="27"/>
          <w:szCs w:val="27"/>
        </w:rPr>
      </w:pPr>
      <w:r>
        <w:rPr>
          <w:rFonts w:hint="eastAsia" w:ascii="仿宋" w:hAnsi="仿宋" w:eastAsia="仿宋" w:cs="仿宋"/>
          <w:color w:val="auto"/>
          <w:kern w:val="0"/>
          <w:sz w:val="27"/>
          <w:szCs w:val="27"/>
          <w:lang w:val="en-US" w:eastAsia="zh-CN"/>
        </w:rPr>
        <w:t>2</w:t>
      </w:r>
      <w:r>
        <w:rPr>
          <w:rFonts w:hint="eastAsia" w:ascii="仿宋" w:hAnsi="仿宋" w:eastAsia="仿宋" w:cs="仿宋"/>
          <w:color w:val="auto"/>
          <w:kern w:val="0"/>
          <w:sz w:val="27"/>
          <w:szCs w:val="27"/>
        </w:rPr>
        <w:t>.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5.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6.供应商应当在投标截止时间前,将生成的“电子加密投标文件”上传递交至“政府采购云平台”,投标截止时间以后上传递交的投标文件将被“政府采购云平台”拒收；7.供应商在开标前须提前配置好电脑浏览器（建议使用360浏览器或谷歌浏览器）,开标时登录政采云平台，在“项目采购-开标评标”功能中，使用制作加密电子投标文件的CA锁进行解密及报价确认。本项目投标文件的解密时间定为30分钟内,若供应商在规定时间内因自身原因导致无法正常解密,后果由供应商自行承担。8.供应商登录政采云平台，在开标时间后30分钟内用“项目采购-开标评标”功能进行解密投标文件。若供应商在规定时间内未按时解密的，视为无效投标。解密与加密投标文件须使用同一个CA。</w:t>
      </w:r>
    </w:p>
    <w:p w14:paraId="6E1A6071">
      <w:pPr>
        <w:pStyle w:val="84"/>
        <w:spacing w:before="255" w:after="255" w:line="480" w:lineRule="atLeast"/>
        <w:jc w:val="both"/>
        <w:rPr>
          <w:rFonts w:ascii="黑体" w:hAnsi="宋体" w:eastAsia="黑体" w:cs="黑体"/>
          <w:color w:val="auto"/>
          <w:sz w:val="31"/>
          <w:szCs w:val="31"/>
        </w:rPr>
      </w:pPr>
      <w:r>
        <w:rPr>
          <w:rStyle w:val="89"/>
          <w:rFonts w:ascii="黑体" w:hAnsi="宋体" w:eastAsia="黑体" w:cs="黑体"/>
          <w:color w:val="auto"/>
          <w:sz w:val="27"/>
          <w:szCs w:val="27"/>
        </w:rPr>
        <w:t>七、对本次采购提出询问，请按以下方式联系</w:t>
      </w:r>
    </w:p>
    <w:p w14:paraId="4A3BE038">
      <w:pPr>
        <w:pStyle w:val="84"/>
        <w:spacing w:beforeAutospacing="1" w:afterAutospacing="1"/>
        <w:ind w:firstLine="420"/>
        <w:rPr>
          <w:rFonts w:hint="eastAsia" w:ascii="仿宋" w:hAnsi="仿宋" w:eastAsia="仿宋" w:cs="仿宋"/>
          <w:color w:val="auto"/>
        </w:rPr>
      </w:pPr>
      <w:r>
        <w:rPr>
          <w:rFonts w:hint="eastAsia" w:ascii="仿宋" w:hAnsi="仿宋" w:eastAsia="仿宋" w:cs="仿宋"/>
          <w:color w:val="auto"/>
          <w:sz w:val="27"/>
          <w:szCs w:val="27"/>
        </w:rPr>
        <w:t>1.采购人信息</w:t>
      </w:r>
    </w:p>
    <w:p w14:paraId="79D02F02">
      <w:pPr>
        <w:pStyle w:val="84"/>
        <w:spacing w:beforeAutospacing="1" w:afterAutospacing="1"/>
        <w:ind w:firstLine="420"/>
        <w:rPr>
          <w:rFonts w:hint="eastAsia" w:ascii="仿宋" w:hAnsi="仿宋" w:eastAsia="仿宋" w:cs="仿宋"/>
          <w:color w:val="auto"/>
          <w:lang w:eastAsia="zh-CN"/>
        </w:rPr>
      </w:pPr>
      <w:r>
        <w:rPr>
          <w:rFonts w:hint="eastAsia" w:ascii="仿宋" w:hAnsi="仿宋" w:eastAsia="仿宋" w:cs="仿宋"/>
          <w:color w:val="auto"/>
          <w:sz w:val="27"/>
          <w:szCs w:val="27"/>
        </w:rPr>
        <w:t>名称：</w:t>
      </w:r>
      <w:r>
        <w:rPr>
          <w:rStyle w:val="96"/>
          <w:rFonts w:hint="eastAsia" w:ascii="仿宋" w:hAnsi="仿宋" w:eastAsia="仿宋" w:cs="仿宋"/>
          <w:color w:val="auto"/>
          <w:sz w:val="27"/>
          <w:szCs w:val="27"/>
          <w:lang w:eastAsia="zh-CN"/>
        </w:rPr>
        <w:t>塔城职业技术学院</w:t>
      </w:r>
    </w:p>
    <w:p w14:paraId="47249FAA">
      <w:pPr>
        <w:pStyle w:val="84"/>
        <w:spacing w:beforeAutospacing="1" w:afterAutospacing="1"/>
        <w:ind w:firstLine="420"/>
        <w:rPr>
          <w:rFonts w:hint="eastAsia" w:ascii="仿宋" w:hAnsi="仿宋" w:eastAsia="仿宋" w:cs="仿宋"/>
          <w:color w:val="auto"/>
          <w:sz w:val="27"/>
          <w:szCs w:val="27"/>
          <w:lang w:eastAsia="zh-CN"/>
        </w:rPr>
      </w:pPr>
      <w:r>
        <w:rPr>
          <w:rFonts w:hint="eastAsia" w:ascii="仿宋" w:hAnsi="仿宋" w:eastAsia="仿宋" w:cs="仿宋"/>
          <w:color w:val="auto"/>
          <w:sz w:val="27"/>
          <w:szCs w:val="27"/>
        </w:rPr>
        <w:t>地址：</w:t>
      </w:r>
      <w:r>
        <w:rPr>
          <w:rFonts w:hint="eastAsia" w:ascii="仿宋" w:hAnsi="仿宋" w:eastAsia="仿宋" w:cs="仿宋"/>
          <w:color w:val="auto"/>
          <w:sz w:val="27"/>
          <w:szCs w:val="27"/>
          <w:lang w:val="en-US" w:eastAsia="zh-CN"/>
        </w:rPr>
        <w:t>塔城市</w:t>
      </w:r>
    </w:p>
    <w:p w14:paraId="05E9D3B6">
      <w:pPr>
        <w:pStyle w:val="84"/>
        <w:spacing w:beforeAutospacing="1" w:afterAutospacing="1"/>
        <w:ind w:firstLine="420"/>
        <w:rPr>
          <w:rFonts w:hint="default" w:ascii="仿宋" w:hAnsi="仿宋" w:eastAsia="仿宋" w:cs="仿宋"/>
          <w:color w:val="auto"/>
          <w:sz w:val="27"/>
          <w:szCs w:val="27"/>
          <w:lang w:val="en-US" w:eastAsia="zh-CN"/>
        </w:rPr>
      </w:pPr>
      <w:r>
        <w:rPr>
          <w:rFonts w:hint="eastAsia" w:ascii="仿宋" w:hAnsi="仿宋" w:eastAsia="仿宋" w:cs="仿宋"/>
          <w:color w:val="auto"/>
          <w:sz w:val="27"/>
          <w:szCs w:val="27"/>
        </w:rPr>
        <w:t>联系方式：</w:t>
      </w:r>
      <w:r>
        <w:rPr>
          <w:rFonts w:hint="eastAsia" w:ascii="仿宋" w:hAnsi="仿宋" w:eastAsia="仿宋" w:cs="仿宋"/>
          <w:color w:val="auto"/>
          <w:sz w:val="27"/>
          <w:szCs w:val="27"/>
          <w:lang w:val="en-US" w:eastAsia="zh-CN"/>
        </w:rPr>
        <w:t>王岗，18999498039</w:t>
      </w:r>
    </w:p>
    <w:p w14:paraId="2175BE55">
      <w:pPr>
        <w:pStyle w:val="84"/>
        <w:spacing w:beforeAutospacing="1" w:afterAutospacing="1"/>
        <w:ind w:firstLine="420"/>
        <w:rPr>
          <w:rFonts w:hint="eastAsia" w:ascii="仿宋" w:hAnsi="仿宋" w:eastAsia="仿宋" w:cs="仿宋"/>
          <w:color w:val="auto"/>
        </w:rPr>
      </w:pPr>
      <w:r>
        <w:rPr>
          <w:rFonts w:hint="eastAsia" w:ascii="仿宋" w:hAnsi="仿宋" w:eastAsia="仿宋" w:cs="仿宋"/>
          <w:color w:val="auto"/>
          <w:sz w:val="27"/>
          <w:szCs w:val="27"/>
        </w:rPr>
        <w:t>2.采购代理机构信息</w:t>
      </w:r>
    </w:p>
    <w:p w14:paraId="408D6730">
      <w:pPr>
        <w:pStyle w:val="84"/>
        <w:spacing w:beforeAutospacing="1" w:afterAutospacing="1"/>
        <w:ind w:firstLine="420"/>
        <w:rPr>
          <w:rFonts w:hint="eastAsia" w:ascii="仿宋" w:hAnsi="仿宋" w:eastAsia="仿宋" w:cs="仿宋"/>
          <w:color w:val="auto"/>
          <w:lang w:eastAsia="zh-CN"/>
        </w:rPr>
      </w:pPr>
      <w:r>
        <w:rPr>
          <w:rFonts w:hint="eastAsia" w:ascii="仿宋" w:hAnsi="仿宋" w:eastAsia="仿宋" w:cs="仿宋"/>
          <w:color w:val="auto"/>
          <w:sz w:val="27"/>
          <w:szCs w:val="27"/>
        </w:rPr>
        <w:t>名称：塔城地区政务服务与公共资源交易中心</w:t>
      </w:r>
    </w:p>
    <w:p w14:paraId="69F49D93">
      <w:pPr>
        <w:pStyle w:val="84"/>
        <w:spacing w:beforeAutospacing="1" w:afterAutospacing="1"/>
        <w:ind w:firstLine="420"/>
        <w:rPr>
          <w:rFonts w:hint="default" w:ascii="仿宋" w:hAnsi="仿宋" w:eastAsia="仿宋" w:cs="仿宋"/>
          <w:color w:val="auto"/>
          <w:lang w:val="en-US" w:eastAsia="zh-CN"/>
        </w:rPr>
      </w:pPr>
      <w:r>
        <w:rPr>
          <w:rFonts w:hint="eastAsia" w:ascii="仿宋" w:hAnsi="仿宋" w:eastAsia="仿宋" w:cs="仿宋"/>
          <w:color w:val="auto"/>
          <w:sz w:val="27"/>
          <w:szCs w:val="27"/>
        </w:rPr>
        <w:t>地址：</w:t>
      </w:r>
      <w:r>
        <w:rPr>
          <w:rFonts w:hint="eastAsia" w:ascii="仿宋" w:hAnsi="仿宋" w:eastAsia="仿宋" w:cs="仿宋"/>
          <w:color w:val="auto"/>
          <w:sz w:val="27"/>
          <w:szCs w:val="27"/>
          <w:lang w:val="en-US" w:eastAsia="zh-CN"/>
        </w:rPr>
        <w:t>塔城地区政务服务与公共资源交易中心</w:t>
      </w:r>
    </w:p>
    <w:p w14:paraId="7014E7FC">
      <w:pPr>
        <w:pStyle w:val="84"/>
        <w:spacing w:beforeAutospacing="1" w:afterAutospacing="1"/>
        <w:ind w:firstLine="420"/>
        <w:rPr>
          <w:rFonts w:hint="eastAsia" w:ascii="仿宋" w:hAnsi="仿宋" w:eastAsia="仿宋" w:cs="仿宋"/>
          <w:color w:val="auto"/>
          <w:lang w:val="en-US" w:eastAsia="zh-CN"/>
        </w:rPr>
      </w:pPr>
      <w:r>
        <w:rPr>
          <w:rFonts w:hint="eastAsia" w:ascii="仿宋" w:hAnsi="仿宋" w:eastAsia="仿宋" w:cs="仿宋"/>
          <w:color w:val="auto"/>
          <w:sz w:val="27"/>
          <w:szCs w:val="27"/>
        </w:rPr>
        <w:t>项目联系人：</w:t>
      </w:r>
      <w:r>
        <w:rPr>
          <w:rFonts w:hint="eastAsia" w:ascii="仿宋" w:hAnsi="仿宋" w:eastAsia="仿宋" w:cs="仿宋"/>
          <w:color w:val="auto"/>
          <w:sz w:val="27"/>
          <w:szCs w:val="27"/>
          <w:lang w:val="en-US" w:eastAsia="zh-CN"/>
        </w:rPr>
        <w:t>侯志雄</w:t>
      </w:r>
    </w:p>
    <w:p w14:paraId="3D7BD1F5">
      <w:pPr>
        <w:pStyle w:val="84"/>
        <w:spacing w:beforeAutospacing="1" w:afterAutospacing="1"/>
        <w:ind w:firstLine="420"/>
        <w:rPr>
          <w:rFonts w:hint="eastAsia" w:ascii="仿宋" w:hAnsi="仿宋" w:eastAsia="仿宋" w:cs="仿宋"/>
          <w:color w:val="auto"/>
          <w:lang w:eastAsia="zh-CN"/>
        </w:rPr>
      </w:pPr>
      <w:r>
        <w:rPr>
          <w:rFonts w:hint="eastAsia" w:ascii="仿宋" w:hAnsi="仿宋" w:eastAsia="仿宋" w:cs="仿宋"/>
          <w:color w:val="auto"/>
          <w:sz w:val="27"/>
          <w:szCs w:val="27"/>
        </w:rPr>
        <w:t>电话：0901—6689017</w:t>
      </w:r>
    </w:p>
    <w:p w14:paraId="223A5B1F">
      <w:pPr>
        <w:jc w:val="center"/>
        <w:rPr>
          <w:rFonts w:hint="eastAsia" w:ascii="宋体"/>
          <w:b/>
          <w:color w:val="auto"/>
          <w:sz w:val="32"/>
          <w:szCs w:val="32"/>
        </w:rPr>
      </w:pPr>
      <w:r>
        <w:rPr>
          <w:rFonts w:hint="eastAsia" w:ascii="宋体"/>
          <w:b/>
          <w:color w:val="auto"/>
          <w:sz w:val="32"/>
          <w:szCs w:val="32"/>
        </w:rPr>
        <w:br w:type="page"/>
      </w:r>
      <w:r>
        <w:rPr>
          <w:rFonts w:hint="eastAsia" w:ascii="宋体"/>
          <w:b/>
          <w:color w:val="auto"/>
          <w:sz w:val="32"/>
          <w:szCs w:val="32"/>
        </w:rPr>
        <w:t>第二章</w:t>
      </w:r>
      <w:r>
        <w:rPr>
          <w:rFonts w:hint="eastAsia" w:ascii="宋体"/>
          <w:b/>
          <w:color w:val="auto"/>
          <w:sz w:val="32"/>
          <w:szCs w:val="32"/>
          <w:lang w:val="en-US" w:eastAsia="zh-CN"/>
        </w:rPr>
        <w:t xml:space="preserve"> </w:t>
      </w:r>
      <w:r>
        <w:rPr>
          <w:rFonts w:hint="eastAsia" w:ascii="宋体"/>
          <w:b/>
          <w:color w:val="auto"/>
          <w:sz w:val="32"/>
          <w:szCs w:val="32"/>
        </w:rPr>
        <w:t>投标人须知前附表</w:t>
      </w:r>
    </w:p>
    <w:p w14:paraId="39E69DB4">
      <w:pPr>
        <w:jc w:val="center"/>
        <w:rPr>
          <w:rFonts w:hint="eastAsia" w:ascii="宋体"/>
          <w:b/>
          <w:color w:val="auto"/>
          <w:sz w:val="32"/>
          <w:szCs w:val="32"/>
        </w:rPr>
      </w:pPr>
    </w:p>
    <w:p w14:paraId="13BD6E7F">
      <w:pPr>
        <w:spacing w:line="360" w:lineRule="auto"/>
        <w:rPr>
          <w:rFonts w:hint="eastAsia" w:ascii="宋体"/>
          <w:color w:val="auto"/>
          <w:sz w:val="24"/>
        </w:rPr>
      </w:pPr>
      <w:r>
        <w:rPr>
          <w:rFonts w:hint="eastAsia" w:ascii="宋体"/>
          <w:color w:val="auto"/>
          <w:sz w:val="24"/>
        </w:rPr>
        <w:t>本表是关于要采购货物的具体资料，是对第三章投标人须知的具体补充和修改，如有矛盾，应以本前附表为准。</w:t>
      </w:r>
    </w:p>
    <w:bookmarkEnd w:id="0"/>
    <w:tbl>
      <w:tblPr>
        <w:tblStyle w:val="97"/>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798"/>
        <w:gridCol w:w="7382"/>
      </w:tblGrid>
      <w:tr w14:paraId="5508C620">
        <w:tblPrEx>
          <w:tblLayout w:type="fixed"/>
        </w:tblPrEx>
        <w:trPr>
          <w:trHeight w:val="773" w:hRule="atLeast"/>
          <w:tblHeader/>
        </w:trPr>
        <w:tc>
          <w:tcPr>
            <w:tcW w:w="578" w:type="dxa"/>
            <w:tcBorders>
              <w:top w:val="single" w:color="auto" w:sz="4" w:space="0"/>
              <w:left w:val="single" w:color="auto" w:sz="4" w:space="0"/>
              <w:bottom w:val="single" w:color="auto" w:sz="4" w:space="0"/>
              <w:right w:val="single" w:color="auto" w:sz="4" w:space="0"/>
            </w:tcBorders>
            <w:vAlign w:val="center"/>
          </w:tcPr>
          <w:p w14:paraId="1CEAD8B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项号</w:t>
            </w:r>
          </w:p>
        </w:tc>
        <w:tc>
          <w:tcPr>
            <w:tcW w:w="1798" w:type="dxa"/>
            <w:tcBorders>
              <w:top w:val="single" w:color="auto" w:sz="4" w:space="0"/>
              <w:left w:val="single" w:color="auto" w:sz="4" w:space="0"/>
              <w:bottom w:val="single" w:color="auto" w:sz="4" w:space="0"/>
              <w:right w:val="single" w:color="auto" w:sz="4" w:space="0"/>
            </w:tcBorders>
            <w:vAlign w:val="center"/>
          </w:tcPr>
          <w:p w14:paraId="743A103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w:t>
            </w:r>
          </w:p>
        </w:tc>
        <w:tc>
          <w:tcPr>
            <w:tcW w:w="7382" w:type="dxa"/>
            <w:tcBorders>
              <w:top w:val="single" w:color="auto" w:sz="4" w:space="0"/>
              <w:left w:val="single" w:color="auto" w:sz="4" w:space="0"/>
              <w:bottom w:val="single" w:color="auto" w:sz="4" w:space="0"/>
              <w:right w:val="single" w:color="auto" w:sz="4" w:space="0"/>
            </w:tcBorders>
            <w:vAlign w:val="center"/>
          </w:tcPr>
          <w:p w14:paraId="61EC12E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内容</w:t>
            </w:r>
          </w:p>
        </w:tc>
      </w:tr>
      <w:tr w14:paraId="555575B0">
        <w:tblPrEx>
          <w:tblLayout w:type="fixed"/>
        </w:tblPrEx>
        <w:trPr>
          <w:trHeight w:val="1096" w:hRule="atLeast"/>
        </w:trPr>
        <w:tc>
          <w:tcPr>
            <w:tcW w:w="578" w:type="dxa"/>
            <w:tcBorders>
              <w:top w:val="single" w:color="auto" w:sz="4" w:space="0"/>
              <w:left w:val="single" w:color="auto" w:sz="4" w:space="0"/>
              <w:bottom w:val="single" w:color="auto" w:sz="4" w:space="0"/>
              <w:right w:val="single" w:color="auto" w:sz="4" w:space="0"/>
            </w:tcBorders>
            <w:vAlign w:val="center"/>
          </w:tcPr>
          <w:p w14:paraId="62B9FDA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SEQ 前附表 \* MERGEFORMAT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w:t>
            </w:r>
            <w:r>
              <w:rPr>
                <w:rFonts w:hint="eastAsia" w:ascii="宋体" w:hAnsi="宋体" w:cs="宋体"/>
                <w:color w:val="auto"/>
                <w:sz w:val="24"/>
                <w:highlight w:val="none"/>
              </w:rPr>
              <w:fldChar w:fldCharType="end"/>
            </w:r>
          </w:p>
        </w:tc>
        <w:tc>
          <w:tcPr>
            <w:tcW w:w="1798" w:type="dxa"/>
            <w:tcBorders>
              <w:top w:val="single" w:color="auto" w:sz="4" w:space="0"/>
              <w:left w:val="single" w:color="auto" w:sz="4" w:space="0"/>
              <w:bottom w:val="single" w:color="auto" w:sz="4" w:space="0"/>
              <w:right w:val="single" w:color="auto" w:sz="4" w:space="0"/>
            </w:tcBorders>
            <w:vAlign w:val="center"/>
          </w:tcPr>
          <w:p w14:paraId="719F473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项目名称、标项名称及编号</w:t>
            </w:r>
          </w:p>
        </w:tc>
        <w:tc>
          <w:tcPr>
            <w:tcW w:w="7382" w:type="dxa"/>
            <w:tcBorders>
              <w:top w:val="single" w:color="auto" w:sz="4" w:space="0"/>
              <w:left w:val="single" w:color="auto" w:sz="4" w:space="0"/>
              <w:bottom w:val="single" w:color="auto" w:sz="4" w:space="0"/>
              <w:right w:val="single" w:color="auto" w:sz="4" w:space="0"/>
            </w:tcBorders>
            <w:vAlign w:val="center"/>
          </w:tcPr>
          <w:p w14:paraId="15F75FFA">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塔城职业技术学院升级改造及教学用房建设项目（一期）设备采购项目（</w:t>
            </w:r>
            <w:r>
              <w:rPr>
                <w:rFonts w:hint="eastAsia" w:ascii="宋体" w:hAnsi="宋体" w:eastAsia="宋体" w:cs="宋体"/>
                <w:color w:val="auto"/>
                <w:sz w:val="24"/>
                <w:highlight w:val="none"/>
                <w:lang w:val="en-US" w:eastAsia="zh-CN"/>
              </w:rPr>
              <w:t>二包教学设备</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（二次）</w:t>
            </w:r>
          </w:p>
          <w:p w14:paraId="305EC729">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cs="宋体"/>
                <w:color w:val="auto"/>
                <w:sz w:val="24"/>
                <w:highlight w:val="none"/>
                <w:lang w:val="en-US" w:eastAsia="zh-CN"/>
              </w:rPr>
              <w:t>TCZFCG-2026034</w:t>
            </w:r>
          </w:p>
        </w:tc>
      </w:tr>
      <w:tr w14:paraId="1FF52626">
        <w:tblPrEx>
          <w:tblLayout w:type="fixed"/>
        </w:tblPrEx>
        <w:trPr>
          <w:trHeight w:val="565" w:hRule="atLeast"/>
        </w:trPr>
        <w:tc>
          <w:tcPr>
            <w:tcW w:w="578" w:type="dxa"/>
            <w:tcBorders>
              <w:top w:val="single" w:color="auto" w:sz="4" w:space="0"/>
              <w:left w:val="single" w:color="auto" w:sz="4" w:space="0"/>
              <w:bottom w:val="single" w:color="auto" w:sz="4" w:space="0"/>
              <w:right w:val="single" w:color="auto" w:sz="4" w:space="0"/>
            </w:tcBorders>
            <w:vAlign w:val="center"/>
          </w:tcPr>
          <w:p w14:paraId="0044C2B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798" w:type="dxa"/>
            <w:tcBorders>
              <w:top w:val="single" w:color="auto" w:sz="4" w:space="0"/>
              <w:left w:val="single" w:color="auto" w:sz="4" w:space="0"/>
              <w:bottom w:val="single" w:color="auto" w:sz="4" w:space="0"/>
              <w:right w:val="single" w:color="auto" w:sz="4" w:space="0"/>
            </w:tcBorders>
            <w:vAlign w:val="center"/>
          </w:tcPr>
          <w:p w14:paraId="1C8CEC1F">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招标人</w:t>
            </w:r>
          </w:p>
        </w:tc>
        <w:tc>
          <w:tcPr>
            <w:tcW w:w="7382" w:type="dxa"/>
            <w:tcBorders>
              <w:top w:val="single" w:color="auto" w:sz="4" w:space="0"/>
              <w:left w:val="single" w:color="auto" w:sz="4" w:space="0"/>
              <w:bottom w:val="single" w:color="auto" w:sz="4" w:space="0"/>
              <w:right w:val="single" w:color="auto" w:sz="4" w:space="0"/>
            </w:tcBorders>
            <w:vAlign w:val="center"/>
          </w:tcPr>
          <w:p w14:paraId="21E00EC8">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塔城职业技术学院</w:t>
            </w:r>
          </w:p>
        </w:tc>
      </w:tr>
      <w:tr w14:paraId="5DF55DF8">
        <w:tblPrEx>
          <w:tblLayout w:type="fixed"/>
        </w:tblPrEx>
        <w:trPr>
          <w:trHeight w:val="392" w:hRule="atLeast"/>
        </w:trPr>
        <w:tc>
          <w:tcPr>
            <w:tcW w:w="578" w:type="dxa"/>
            <w:tcBorders>
              <w:top w:val="single" w:color="auto" w:sz="4" w:space="0"/>
              <w:left w:val="single" w:color="auto" w:sz="4" w:space="0"/>
              <w:bottom w:val="single" w:color="auto" w:sz="4" w:space="0"/>
              <w:right w:val="single" w:color="auto" w:sz="4" w:space="0"/>
            </w:tcBorders>
            <w:vAlign w:val="center"/>
          </w:tcPr>
          <w:p w14:paraId="68BD0EE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798" w:type="dxa"/>
            <w:tcBorders>
              <w:top w:val="single" w:color="auto" w:sz="4" w:space="0"/>
              <w:left w:val="single" w:color="auto" w:sz="4" w:space="0"/>
              <w:bottom w:val="single" w:color="auto" w:sz="4" w:space="0"/>
              <w:right w:val="single" w:color="auto" w:sz="4" w:space="0"/>
            </w:tcBorders>
            <w:vAlign w:val="center"/>
          </w:tcPr>
          <w:p w14:paraId="32FE1D90">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资金来源</w:t>
            </w:r>
          </w:p>
        </w:tc>
        <w:tc>
          <w:tcPr>
            <w:tcW w:w="7382" w:type="dxa"/>
            <w:tcBorders>
              <w:top w:val="single" w:color="auto" w:sz="4" w:space="0"/>
              <w:left w:val="single" w:color="auto" w:sz="4" w:space="0"/>
              <w:bottom w:val="single" w:color="auto" w:sz="4" w:space="0"/>
              <w:right w:val="single" w:color="auto" w:sz="4" w:space="0"/>
            </w:tcBorders>
            <w:vAlign w:val="center"/>
          </w:tcPr>
          <w:p w14:paraId="5168302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地方政府专项债券</w:t>
            </w:r>
            <w:r>
              <w:rPr>
                <w:rFonts w:hint="eastAsia" w:ascii="宋体" w:hAnsi="宋体" w:eastAsia="宋体" w:cs="宋体"/>
                <w:color w:val="auto"/>
                <w:sz w:val="24"/>
                <w:highlight w:val="none"/>
              </w:rPr>
              <w:t>资金</w:t>
            </w:r>
          </w:p>
        </w:tc>
      </w:tr>
      <w:tr w14:paraId="588A8E56">
        <w:tblPrEx>
          <w:tblLayout w:type="fixed"/>
        </w:tblPrEx>
        <w:trPr>
          <w:trHeight w:val="483" w:hRule="atLeast"/>
        </w:trPr>
        <w:tc>
          <w:tcPr>
            <w:tcW w:w="578" w:type="dxa"/>
            <w:tcBorders>
              <w:top w:val="single" w:color="auto" w:sz="4" w:space="0"/>
              <w:left w:val="single" w:color="auto" w:sz="4" w:space="0"/>
              <w:bottom w:val="single" w:color="auto" w:sz="4" w:space="0"/>
              <w:right w:val="single" w:color="auto" w:sz="4" w:space="0"/>
            </w:tcBorders>
            <w:vAlign w:val="center"/>
          </w:tcPr>
          <w:p w14:paraId="71D8B3D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798" w:type="dxa"/>
            <w:tcBorders>
              <w:top w:val="single" w:color="auto" w:sz="4" w:space="0"/>
              <w:left w:val="single" w:color="auto" w:sz="4" w:space="0"/>
              <w:bottom w:val="single" w:color="auto" w:sz="4" w:space="0"/>
              <w:right w:val="single" w:color="auto" w:sz="4" w:space="0"/>
            </w:tcBorders>
            <w:vAlign w:val="center"/>
          </w:tcPr>
          <w:p w14:paraId="2F596CB6">
            <w:pPr>
              <w:keepNext w:val="0"/>
              <w:keepLines w:val="0"/>
              <w:suppressLineNumbers w:val="0"/>
              <w:spacing w:before="0" w:beforeAutospacing="0" w:after="0" w:afterAutospacing="0" w:line="360" w:lineRule="auto"/>
              <w:ind w:left="0" w:right="0" w:firstLine="240" w:firstLineChars="100"/>
              <w:jc w:val="center"/>
              <w:rPr>
                <w:rFonts w:hint="eastAsia" w:ascii="宋体" w:hAnsi="宋体" w:cs="宋体"/>
                <w:color w:val="auto"/>
                <w:sz w:val="24"/>
                <w:highlight w:val="none"/>
              </w:rPr>
            </w:pPr>
            <w:r>
              <w:rPr>
                <w:rFonts w:hint="eastAsia" w:ascii="宋体" w:hAnsi="宋体" w:cs="宋体"/>
                <w:color w:val="auto"/>
                <w:sz w:val="24"/>
                <w:highlight w:val="none"/>
              </w:rPr>
              <w:t>预算金额</w:t>
            </w:r>
          </w:p>
        </w:tc>
        <w:tc>
          <w:tcPr>
            <w:tcW w:w="7382" w:type="dxa"/>
            <w:tcBorders>
              <w:top w:val="single" w:color="auto" w:sz="4" w:space="0"/>
              <w:left w:val="single" w:color="auto" w:sz="4" w:space="0"/>
              <w:bottom w:val="single" w:color="auto" w:sz="4" w:space="0"/>
              <w:right w:val="single" w:color="auto" w:sz="4" w:space="0"/>
            </w:tcBorders>
            <w:vAlign w:val="center"/>
          </w:tcPr>
          <w:p w14:paraId="5322A7E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7336160</w:t>
            </w:r>
            <w:r>
              <w:rPr>
                <w:rFonts w:hint="eastAsia" w:ascii="宋体" w:hAnsi="宋体" w:eastAsia="宋体" w:cs="宋体"/>
                <w:color w:val="auto"/>
                <w:sz w:val="24"/>
                <w:highlight w:val="none"/>
                <w:lang w:eastAsia="zh-CN"/>
              </w:rPr>
              <w:t>.10</w:t>
            </w:r>
          </w:p>
        </w:tc>
      </w:tr>
      <w:tr w14:paraId="660FF8F9">
        <w:tblPrEx>
          <w:tblLayout w:type="fixed"/>
        </w:tblPrEx>
        <w:trPr>
          <w:trHeight w:val="90" w:hRule="atLeast"/>
        </w:trPr>
        <w:tc>
          <w:tcPr>
            <w:tcW w:w="578" w:type="dxa"/>
            <w:tcBorders>
              <w:top w:val="single" w:color="auto" w:sz="4" w:space="0"/>
              <w:left w:val="single" w:color="auto" w:sz="4" w:space="0"/>
              <w:bottom w:val="single" w:color="auto" w:sz="4" w:space="0"/>
              <w:right w:val="single" w:color="auto" w:sz="4" w:space="0"/>
            </w:tcBorders>
            <w:vAlign w:val="center"/>
          </w:tcPr>
          <w:p w14:paraId="551C9269">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1798" w:type="dxa"/>
            <w:tcBorders>
              <w:top w:val="single" w:color="auto" w:sz="4" w:space="0"/>
              <w:left w:val="single" w:color="auto" w:sz="4" w:space="0"/>
              <w:bottom w:val="single" w:color="auto" w:sz="4" w:space="0"/>
              <w:right w:val="single" w:color="auto" w:sz="4" w:space="0"/>
            </w:tcBorders>
            <w:vAlign w:val="center"/>
          </w:tcPr>
          <w:p w14:paraId="5131F6C5">
            <w:pPr>
              <w:keepNext w:val="0"/>
              <w:keepLines w:val="0"/>
              <w:suppressLineNumbers w:val="0"/>
              <w:spacing w:before="0" w:beforeAutospacing="0" w:after="0" w:afterAutospacing="0" w:line="360" w:lineRule="auto"/>
              <w:ind w:left="0" w:right="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招标范围</w:t>
            </w:r>
          </w:p>
        </w:tc>
        <w:tc>
          <w:tcPr>
            <w:tcW w:w="7382" w:type="dxa"/>
            <w:tcBorders>
              <w:top w:val="single" w:color="auto" w:sz="4" w:space="0"/>
              <w:left w:val="single" w:color="auto" w:sz="4" w:space="0"/>
              <w:bottom w:val="single" w:color="auto" w:sz="4" w:space="0"/>
              <w:right w:val="single" w:color="auto" w:sz="4" w:space="0"/>
            </w:tcBorders>
            <w:vAlign w:val="center"/>
          </w:tcPr>
          <w:p w14:paraId="58662D90">
            <w:pPr>
              <w:keepNext w:val="0"/>
              <w:keepLines w:val="0"/>
              <w:suppressLineNumbers w:val="0"/>
              <w:spacing w:before="0" w:beforeAutospacing="0" w:after="0" w:afterAutospacing="0" w:line="360" w:lineRule="auto"/>
              <w:ind w:left="0" w:right="0"/>
              <w:jc w:val="left"/>
              <w:rPr>
                <w:rFonts w:hint="default" w:ascii="仿宋" w:hAnsi="仿宋" w:eastAsia="仿宋" w:cs="仿宋"/>
                <w:color w:val="auto"/>
                <w:sz w:val="27"/>
                <w:szCs w:val="27"/>
                <w:lang w:val="en-US" w:eastAsia="zh-CN"/>
              </w:rPr>
            </w:pPr>
            <w:r>
              <w:rPr>
                <w:rFonts w:hint="eastAsia" w:ascii="宋体" w:hAnsi="宋体" w:eastAsia="宋体" w:cs="宋体"/>
                <w:color w:val="auto"/>
                <w:sz w:val="24"/>
                <w:highlight w:val="none"/>
                <w:lang w:val="en-US" w:eastAsia="zh-CN"/>
              </w:rPr>
              <w:t>教学中心机房、办公信息化设备、智慧教室、同步课堂亚心校区教室改造2间、多媒体教室、塔职院教学机房、塔职院四六级听力设备等。</w:t>
            </w:r>
          </w:p>
        </w:tc>
      </w:tr>
      <w:tr w14:paraId="06EBE66F">
        <w:tblPrEx>
          <w:tblLayout w:type="fixed"/>
        </w:tblPrEx>
        <w:trPr>
          <w:trHeight w:val="613" w:hRule="atLeast"/>
        </w:trPr>
        <w:tc>
          <w:tcPr>
            <w:tcW w:w="578" w:type="dxa"/>
            <w:tcBorders>
              <w:top w:val="single" w:color="auto" w:sz="4" w:space="0"/>
              <w:left w:val="single" w:color="auto" w:sz="4" w:space="0"/>
              <w:bottom w:val="single" w:color="auto" w:sz="4" w:space="0"/>
              <w:right w:val="single" w:color="auto" w:sz="4" w:space="0"/>
            </w:tcBorders>
            <w:vAlign w:val="center"/>
          </w:tcPr>
          <w:p w14:paraId="15943D04">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6</w:t>
            </w:r>
          </w:p>
        </w:tc>
        <w:tc>
          <w:tcPr>
            <w:tcW w:w="1798" w:type="dxa"/>
            <w:tcBorders>
              <w:top w:val="single" w:color="auto" w:sz="4" w:space="0"/>
              <w:left w:val="single" w:color="auto" w:sz="4" w:space="0"/>
              <w:bottom w:val="single" w:color="auto" w:sz="4" w:space="0"/>
              <w:right w:val="single" w:color="auto" w:sz="4" w:space="0"/>
            </w:tcBorders>
            <w:vAlign w:val="center"/>
          </w:tcPr>
          <w:p w14:paraId="28789AFB">
            <w:pPr>
              <w:keepNext w:val="0"/>
              <w:keepLines w:val="0"/>
              <w:suppressLineNumbers w:val="0"/>
              <w:spacing w:before="0" w:beforeAutospacing="0" w:after="0" w:afterAutospacing="0" w:line="360" w:lineRule="auto"/>
              <w:ind w:left="0" w:right="0"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采购方式</w:t>
            </w:r>
          </w:p>
        </w:tc>
        <w:tc>
          <w:tcPr>
            <w:tcW w:w="7382" w:type="dxa"/>
            <w:tcBorders>
              <w:top w:val="single" w:color="auto" w:sz="4" w:space="0"/>
              <w:left w:val="single" w:color="auto" w:sz="4" w:space="0"/>
              <w:bottom w:val="single" w:color="auto" w:sz="4" w:space="0"/>
              <w:right w:val="single" w:color="auto" w:sz="4" w:space="0"/>
            </w:tcBorders>
            <w:vAlign w:val="center"/>
          </w:tcPr>
          <w:p w14:paraId="009EB85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公开招标</w:t>
            </w:r>
          </w:p>
        </w:tc>
      </w:tr>
      <w:tr w14:paraId="76828626">
        <w:tblPrEx>
          <w:tblLayout w:type="fixed"/>
        </w:tblPrEx>
        <w:trPr>
          <w:trHeight w:val="1151" w:hRule="atLeast"/>
        </w:trPr>
        <w:tc>
          <w:tcPr>
            <w:tcW w:w="578" w:type="dxa"/>
            <w:tcBorders>
              <w:top w:val="single" w:color="auto" w:sz="4" w:space="0"/>
              <w:left w:val="single" w:color="auto" w:sz="4" w:space="0"/>
              <w:bottom w:val="single" w:color="auto" w:sz="4" w:space="0"/>
              <w:right w:val="single" w:color="auto" w:sz="4" w:space="0"/>
            </w:tcBorders>
            <w:vAlign w:val="center"/>
          </w:tcPr>
          <w:p w14:paraId="084D956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7</w:t>
            </w:r>
          </w:p>
        </w:tc>
        <w:tc>
          <w:tcPr>
            <w:tcW w:w="1798" w:type="dxa"/>
            <w:tcBorders>
              <w:top w:val="single" w:color="auto" w:sz="4" w:space="0"/>
              <w:left w:val="single" w:color="auto" w:sz="4" w:space="0"/>
              <w:bottom w:val="single" w:color="auto" w:sz="4" w:space="0"/>
              <w:right w:val="single" w:color="auto" w:sz="4" w:space="0"/>
            </w:tcBorders>
            <w:vAlign w:val="center"/>
          </w:tcPr>
          <w:p w14:paraId="07F0D39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付款方式</w:t>
            </w:r>
          </w:p>
        </w:tc>
        <w:tc>
          <w:tcPr>
            <w:tcW w:w="7382" w:type="dxa"/>
            <w:tcBorders>
              <w:top w:val="single" w:color="auto" w:sz="4" w:space="0"/>
              <w:left w:val="single" w:color="auto" w:sz="4" w:space="0"/>
              <w:bottom w:val="single" w:color="auto" w:sz="4" w:space="0"/>
              <w:right w:val="single" w:color="auto" w:sz="4" w:space="0"/>
            </w:tcBorders>
            <w:vAlign w:val="center"/>
          </w:tcPr>
          <w:p w14:paraId="510C0C8F">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合同签订后支付合同价款的30%，货到安装现场支付至合同价款的80%</w:t>
            </w:r>
            <w:r>
              <w:rPr>
                <w:rFonts w:hint="eastAsia" w:ascii="宋体" w:hAnsi="宋体" w:cs="宋体"/>
                <w:color w:val="auto"/>
                <w:sz w:val="24"/>
                <w:highlight w:val="none"/>
                <w:lang w:val="en-US" w:eastAsia="zh-CN"/>
              </w:rPr>
              <w:t>，</w:t>
            </w:r>
            <w:r>
              <w:rPr>
                <w:rFonts w:hint="default" w:ascii="宋体" w:hAnsi="宋体" w:eastAsia="宋体" w:cs="宋体"/>
                <w:color w:val="auto"/>
                <w:sz w:val="24"/>
                <w:highlight w:val="none"/>
                <w:lang w:val="en-US" w:eastAsia="zh-CN"/>
              </w:rPr>
              <w:t>全部安装验收完毕</w:t>
            </w:r>
            <w:r>
              <w:rPr>
                <w:rFonts w:hint="eastAsia" w:ascii="宋体" w:hAnsi="宋体" w:cs="宋体"/>
                <w:color w:val="auto"/>
                <w:sz w:val="24"/>
                <w:highlight w:val="none"/>
                <w:lang w:val="en-US" w:eastAsia="zh-CN"/>
              </w:rPr>
              <w:t>合格后</w:t>
            </w:r>
            <w:r>
              <w:rPr>
                <w:rFonts w:hint="default" w:ascii="宋体" w:hAnsi="宋体" w:eastAsia="宋体" w:cs="宋体"/>
                <w:color w:val="auto"/>
                <w:sz w:val="24"/>
                <w:highlight w:val="none"/>
                <w:lang w:val="en-US" w:eastAsia="zh-CN"/>
              </w:rPr>
              <w:t>支付至合同价款的</w:t>
            </w:r>
            <w:r>
              <w:rPr>
                <w:rFonts w:hint="eastAsia" w:ascii="宋体" w:hAnsi="宋体" w:cs="宋体"/>
                <w:color w:val="auto"/>
                <w:sz w:val="24"/>
                <w:highlight w:val="none"/>
                <w:lang w:val="en-US" w:eastAsia="zh-CN"/>
              </w:rPr>
              <w:t>100</w:t>
            </w:r>
            <w:r>
              <w:rPr>
                <w:rFonts w:hint="default"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w:t>
            </w:r>
          </w:p>
        </w:tc>
      </w:tr>
      <w:tr w14:paraId="420119D4">
        <w:tblPrEx>
          <w:tblLayout w:type="fixed"/>
        </w:tblPrEx>
        <w:trPr>
          <w:trHeight w:val="467" w:hRule="atLeast"/>
        </w:trPr>
        <w:tc>
          <w:tcPr>
            <w:tcW w:w="578" w:type="dxa"/>
            <w:tcBorders>
              <w:top w:val="single" w:color="auto" w:sz="4" w:space="0"/>
              <w:left w:val="single" w:color="auto" w:sz="4" w:space="0"/>
              <w:bottom w:val="single" w:color="auto" w:sz="4" w:space="0"/>
              <w:right w:val="single" w:color="auto" w:sz="4" w:space="0"/>
            </w:tcBorders>
            <w:vAlign w:val="center"/>
          </w:tcPr>
          <w:p w14:paraId="1E50712A">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8</w:t>
            </w:r>
          </w:p>
        </w:tc>
        <w:tc>
          <w:tcPr>
            <w:tcW w:w="1798" w:type="dxa"/>
            <w:tcBorders>
              <w:top w:val="single" w:color="auto" w:sz="4" w:space="0"/>
              <w:left w:val="single" w:color="auto" w:sz="4" w:space="0"/>
              <w:bottom w:val="single" w:color="auto" w:sz="4" w:space="0"/>
              <w:right w:val="single" w:color="auto" w:sz="4" w:space="0"/>
            </w:tcBorders>
            <w:vAlign w:val="center"/>
          </w:tcPr>
          <w:p w14:paraId="355CD7B4">
            <w:pPr>
              <w:keepNext w:val="0"/>
              <w:keepLines w:val="0"/>
              <w:suppressLineNumbers w:val="0"/>
              <w:spacing w:before="0" w:beforeAutospacing="0" w:after="0" w:afterAutospacing="0" w:line="360" w:lineRule="auto"/>
              <w:ind w:left="0" w:right="0"/>
              <w:jc w:val="center"/>
              <w:rPr>
                <w:rFonts w:hint="eastAsia" w:ascii="宋体" w:hAnsi="Times New Roman" w:cs="宋体"/>
                <w:color w:val="auto"/>
                <w:kern w:val="0"/>
                <w:sz w:val="24"/>
                <w:highlight w:val="none"/>
              </w:rPr>
            </w:pPr>
            <w:r>
              <w:rPr>
                <w:rFonts w:hint="eastAsia" w:ascii="宋体" w:hAnsi="Times New Roman" w:cs="宋体"/>
                <w:color w:val="auto"/>
                <w:kern w:val="0"/>
                <w:sz w:val="24"/>
                <w:highlight w:val="none"/>
              </w:rPr>
              <w:t>交货及完成期</w:t>
            </w:r>
          </w:p>
        </w:tc>
        <w:tc>
          <w:tcPr>
            <w:tcW w:w="7382" w:type="dxa"/>
            <w:tcBorders>
              <w:top w:val="single" w:color="auto" w:sz="4" w:space="0"/>
              <w:left w:val="single" w:color="auto" w:sz="4" w:space="0"/>
              <w:bottom w:val="single" w:color="auto" w:sz="4" w:space="0"/>
              <w:right w:val="single" w:color="auto" w:sz="4" w:space="0"/>
            </w:tcBorders>
            <w:vAlign w:val="center"/>
          </w:tcPr>
          <w:p w14:paraId="075B8413">
            <w:pPr>
              <w:keepNext w:val="0"/>
              <w:keepLines w:val="0"/>
              <w:suppressLineNumbers w:val="0"/>
              <w:spacing w:before="0" w:beforeAutospacing="0" w:after="0" w:afterAutospacing="0" w:line="360" w:lineRule="auto"/>
              <w:ind w:left="0" w:right="0"/>
              <w:jc w:val="left"/>
              <w:rPr>
                <w:rFonts w:hint="default" w:ascii="宋体" w:hAnsi="Times New Roman" w:eastAsia="宋体" w:cs="宋体"/>
                <w:color w:val="auto"/>
                <w:kern w:val="0"/>
                <w:sz w:val="24"/>
                <w:highlight w:val="none"/>
                <w:lang w:val="en-US" w:eastAsia="zh-CN"/>
              </w:rPr>
            </w:pPr>
            <w:r>
              <w:rPr>
                <w:rFonts w:hint="eastAsia" w:ascii="宋体" w:eastAsia="宋体" w:cs="宋体"/>
                <w:color w:val="000000" w:themeColor="text1"/>
                <w:kern w:val="0"/>
                <w:sz w:val="24"/>
                <w:highlight w:val="none"/>
                <w:lang w:val="en-US" w:eastAsia="zh-CN"/>
                <w14:textFill>
                  <w14:solidFill>
                    <w14:schemeClr w14:val="tx1"/>
                  </w14:solidFill>
                </w14:textFill>
              </w:rPr>
              <w:t>2026年</w:t>
            </w:r>
            <w:r>
              <w:rPr>
                <w:rFonts w:hint="eastAsia" w:ascii="宋体" w:cs="宋体"/>
                <w:color w:val="000000" w:themeColor="text1"/>
                <w:kern w:val="0"/>
                <w:sz w:val="24"/>
                <w:highlight w:val="none"/>
                <w:lang w:val="en-US" w:eastAsia="zh-CN"/>
                <w14:textFill>
                  <w14:solidFill>
                    <w14:schemeClr w14:val="tx1"/>
                  </w14:solidFill>
                </w14:textFill>
              </w:rPr>
              <w:t>7</w:t>
            </w:r>
            <w:r>
              <w:rPr>
                <w:rFonts w:hint="eastAsia" w:ascii="宋体" w:eastAsia="宋体" w:cs="宋体"/>
                <w:color w:val="000000" w:themeColor="text1"/>
                <w:kern w:val="0"/>
                <w:sz w:val="24"/>
                <w:highlight w:val="none"/>
                <w:lang w:val="en-US" w:eastAsia="zh-CN"/>
                <w14:textFill>
                  <w14:solidFill>
                    <w14:schemeClr w14:val="tx1"/>
                  </w14:solidFill>
                </w14:textFill>
              </w:rPr>
              <w:t>月</w:t>
            </w:r>
            <w:r>
              <w:rPr>
                <w:rFonts w:hint="eastAsia" w:ascii="宋体" w:cs="宋体"/>
                <w:color w:val="000000" w:themeColor="text1"/>
                <w:kern w:val="0"/>
                <w:sz w:val="24"/>
                <w:highlight w:val="none"/>
                <w:lang w:val="en-US" w:eastAsia="zh-CN"/>
                <w14:textFill>
                  <w14:solidFill>
                    <w14:schemeClr w14:val="tx1"/>
                  </w14:solidFill>
                </w14:textFill>
              </w:rPr>
              <w:t>15</w:t>
            </w:r>
            <w:r>
              <w:rPr>
                <w:rFonts w:hint="eastAsia" w:ascii="宋体" w:eastAsia="宋体" w:cs="宋体"/>
                <w:color w:val="000000" w:themeColor="text1"/>
                <w:kern w:val="0"/>
                <w:sz w:val="24"/>
                <w:highlight w:val="none"/>
                <w:lang w:val="en-US" w:eastAsia="zh-CN"/>
                <w14:textFill>
                  <w14:solidFill>
                    <w14:schemeClr w14:val="tx1"/>
                  </w14:solidFill>
                </w14:textFill>
              </w:rPr>
              <w:t>日</w:t>
            </w:r>
            <w:r>
              <w:rPr>
                <w:rFonts w:hint="eastAsia" w:ascii="宋体" w:eastAsia="宋体" w:cs="宋体"/>
                <w:color w:val="000000" w:themeColor="text1"/>
                <w:kern w:val="0"/>
                <w:sz w:val="24"/>
                <w:highlight w:val="none"/>
                <w:lang w:val="en-US" w:eastAsia="zh-CN"/>
                <w14:textFill>
                  <w14:solidFill>
                    <w14:schemeClr w14:val="tx1"/>
                  </w14:solidFill>
                </w14:textFill>
              </w:rPr>
              <w:t>前。</w:t>
            </w:r>
          </w:p>
        </w:tc>
      </w:tr>
      <w:tr w14:paraId="39F54D7A">
        <w:tblPrEx>
          <w:tblLayout w:type="fixed"/>
        </w:tblPrEx>
        <w:trPr>
          <w:trHeight w:val="467" w:hRule="atLeast"/>
        </w:trPr>
        <w:tc>
          <w:tcPr>
            <w:tcW w:w="578" w:type="dxa"/>
            <w:tcBorders>
              <w:top w:val="single" w:color="auto" w:sz="4" w:space="0"/>
              <w:left w:val="single" w:color="auto" w:sz="4" w:space="0"/>
              <w:bottom w:val="single" w:color="auto" w:sz="4" w:space="0"/>
              <w:right w:val="single" w:color="auto" w:sz="4" w:space="0"/>
            </w:tcBorders>
            <w:vAlign w:val="center"/>
          </w:tcPr>
          <w:p w14:paraId="1E02B5C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9</w:t>
            </w:r>
          </w:p>
        </w:tc>
        <w:tc>
          <w:tcPr>
            <w:tcW w:w="1798" w:type="dxa"/>
            <w:tcBorders>
              <w:top w:val="single" w:color="auto" w:sz="4" w:space="0"/>
              <w:left w:val="single" w:color="auto" w:sz="4" w:space="0"/>
              <w:bottom w:val="single" w:color="auto" w:sz="4" w:space="0"/>
              <w:right w:val="single" w:color="auto" w:sz="4" w:space="0"/>
            </w:tcBorders>
            <w:vAlign w:val="center"/>
          </w:tcPr>
          <w:p w14:paraId="02B39B2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供货地点</w:t>
            </w:r>
          </w:p>
        </w:tc>
        <w:tc>
          <w:tcPr>
            <w:tcW w:w="7382" w:type="dxa"/>
            <w:tcBorders>
              <w:top w:val="single" w:color="auto" w:sz="4" w:space="0"/>
              <w:left w:val="single" w:color="auto" w:sz="4" w:space="0"/>
              <w:bottom w:val="single" w:color="auto" w:sz="4" w:space="0"/>
              <w:right w:val="single" w:color="auto" w:sz="4" w:space="0"/>
            </w:tcBorders>
            <w:vAlign w:val="center"/>
          </w:tcPr>
          <w:p w14:paraId="2E038AB6">
            <w:pPr>
              <w:keepNext w:val="0"/>
              <w:keepLines w:val="0"/>
              <w:suppressLineNumbers w:val="0"/>
              <w:spacing w:before="0" w:beforeAutospacing="0" w:after="0" w:afterAutospacing="0" w:line="360" w:lineRule="auto"/>
              <w:ind w:left="0" w:right="0"/>
              <w:rPr>
                <w:rFonts w:hint="eastAsia" w:ascii="宋体" w:hAnsi="宋体" w:cs="宋体"/>
                <w:color w:val="auto"/>
                <w:sz w:val="24"/>
                <w:highlight w:val="none"/>
              </w:rPr>
            </w:pPr>
            <w:r>
              <w:rPr>
                <w:rFonts w:hint="eastAsia" w:ascii="宋体" w:hAnsi="宋体" w:cs="宋体"/>
                <w:color w:val="auto"/>
                <w:sz w:val="24"/>
                <w:highlight w:val="none"/>
              </w:rPr>
              <w:t>招标人指定地点。</w:t>
            </w:r>
          </w:p>
        </w:tc>
      </w:tr>
      <w:tr w14:paraId="3D1213BE">
        <w:tblPrEx>
          <w:tblLayout w:type="fixed"/>
        </w:tblPrEx>
        <w:trPr>
          <w:trHeight w:val="473" w:hRule="atLeast"/>
        </w:trPr>
        <w:tc>
          <w:tcPr>
            <w:tcW w:w="578" w:type="dxa"/>
            <w:tcBorders>
              <w:top w:val="single" w:color="auto" w:sz="4" w:space="0"/>
              <w:left w:val="single" w:color="auto" w:sz="4" w:space="0"/>
              <w:bottom w:val="single" w:color="auto" w:sz="4" w:space="0"/>
              <w:right w:val="single" w:color="auto" w:sz="4" w:space="0"/>
            </w:tcBorders>
            <w:vAlign w:val="center"/>
          </w:tcPr>
          <w:p w14:paraId="6E43EF68">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10</w:t>
            </w:r>
          </w:p>
        </w:tc>
        <w:tc>
          <w:tcPr>
            <w:tcW w:w="1798" w:type="dxa"/>
            <w:tcBorders>
              <w:top w:val="single" w:color="auto" w:sz="4" w:space="0"/>
              <w:left w:val="single" w:color="auto" w:sz="4" w:space="0"/>
              <w:bottom w:val="single" w:color="auto" w:sz="4" w:space="0"/>
              <w:right w:val="single" w:color="auto" w:sz="4" w:space="0"/>
            </w:tcBorders>
            <w:vAlign w:val="center"/>
          </w:tcPr>
          <w:p w14:paraId="211E0E76">
            <w:pPr>
              <w:keepNext w:val="0"/>
              <w:keepLines w:val="0"/>
              <w:suppressLineNumbers w:val="0"/>
              <w:spacing w:before="0" w:beforeAutospacing="0" w:after="0" w:afterAutospacing="0" w:line="360" w:lineRule="auto"/>
              <w:ind w:left="0" w:right="0" w:firstLine="240" w:firstLineChars="100"/>
              <w:rPr>
                <w:rFonts w:hint="eastAsia" w:ascii="宋体" w:hAnsi="宋体" w:cs="宋体"/>
                <w:color w:val="auto"/>
                <w:sz w:val="24"/>
                <w:highlight w:val="none"/>
              </w:rPr>
            </w:pPr>
            <w:r>
              <w:rPr>
                <w:rFonts w:hint="eastAsia" w:ascii="宋体" w:hAnsi="宋体" w:cs="宋体"/>
                <w:color w:val="auto"/>
                <w:sz w:val="24"/>
                <w:highlight w:val="none"/>
              </w:rPr>
              <w:t>质保期</w:t>
            </w:r>
          </w:p>
        </w:tc>
        <w:tc>
          <w:tcPr>
            <w:tcW w:w="7382" w:type="dxa"/>
            <w:tcBorders>
              <w:top w:val="single" w:color="auto" w:sz="4" w:space="0"/>
              <w:left w:val="single" w:color="auto" w:sz="4" w:space="0"/>
              <w:bottom w:val="single" w:color="auto" w:sz="4" w:space="0"/>
              <w:right w:val="single" w:color="auto" w:sz="4" w:space="0"/>
            </w:tcBorders>
            <w:vAlign w:val="center"/>
          </w:tcPr>
          <w:p w14:paraId="4FEE4DD5">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三年。</w:t>
            </w:r>
          </w:p>
        </w:tc>
      </w:tr>
      <w:tr w14:paraId="773DA9EB">
        <w:tblPrEx>
          <w:tblLayout w:type="fixed"/>
        </w:tblPrEx>
        <w:trPr>
          <w:trHeight w:val="226" w:hRule="atLeast"/>
        </w:trPr>
        <w:tc>
          <w:tcPr>
            <w:tcW w:w="578" w:type="dxa"/>
            <w:tcBorders>
              <w:top w:val="single" w:color="auto" w:sz="4" w:space="0"/>
              <w:left w:val="single" w:color="auto" w:sz="4" w:space="0"/>
              <w:bottom w:val="single" w:color="auto" w:sz="4" w:space="0"/>
              <w:right w:val="single" w:color="auto" w:sz="4" w:space="0"/>
            </w:tcBorders>
            <w:vAlign w:val="center"/>
          </w:tcPr>
          <w:p w14:paraId="5DFF474D">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11</w:t>
            </w:r>
          </w:p>
        </w:tc>
        <w:tc>
          <w:tcPr>
            <w:tcW w:w="1798" w:type="dxa"/>
            <w:tcBorders>
              <w:top w:val="single" w:color="auto" w:sz="4" w:space="0"/>
              <w:left w:val="single" w:color="auto" w:sz="4" w:space="0"/>
              <w:bottom w:val="single" w:color="auto" w:sz="4" w:space="0"/>
              <w:right w:val="single" w:color="auto" w:sz="4" w:space="0"/>
            </w:tcBorders>
            <w:vAlign w:val="center"/>
          </w:tcPr>
          <w:p w14:paraId="461044E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投标人资格</w:t>
            </w:r>
          </w:p>
          <w:p w14:paraId="07594DA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证明文件</w:t>
            </w:r>
          </w:p>
          <w:p w14:paraId="2918DFB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p>
        </w:tc>
        <w:tc>
          <w:tcPr>
            <w:tcW w:w="7382" w:type="dxa"/>
            <w:tcBorders>
              <w:top w:val="single" w:color="auto" w:sz="4" w:space="0"/>
              <w:left w:val="single" w:color="auto" w:sz="4" w:space="0"/>
              <w:bottom w:val="single" w:color="auto" w:sz="4" w:space="0"/>
              <w:right w:val="single" w:color="auto" w:sz="4" w:space="0"/>
            </w:tcBorders>
            <w:vAlign w:val="center"/>
          </w:tcPr>
          <w:p w14:paraId="763493F0">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1、须符合《中华人民共和国政府采购法》第22条规定：</w:t>
            </w:r>
          </w:p>
          <w:p w14:paraId="0648A75F">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（1）具有独立承担民事责任的能力的投标人；</w:t>
            </w:r>
          </w:p>
          <w:p w14:paraId="63BFABB3">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096C4543">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22828F4">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74843ADA">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（5）参加本次采购活动前三年内，在经营活动中没有重大违法记录；</w:t>
            </w:r>
          </w:p>
          <w:p w14:paraId="2738F636">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6ED30A54">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2、在中华人民共和国境内注册，有能力提供本项目全部货物及服务能力的投标人,未在“信用中国”网站（www.creditchina.gov.cn）、中国政府采购网（www.ccgp.gov.cn）等渠道列入失信被执行人、重大税收违法失信主体、政府采购严重违法失信行为记录名单；</w:t>
            </w:r>
          </w:p>
          <w:p w14:paraId="2F89CE00">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3、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14:paraId="1C596B50">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、本项目不接受联合体投标。</w:t>
            </w:r>
          </w:p>
          <w:p w14:paraId="2E57E1F9">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备注：本项目无需提供原件,若投标文件中扫描件无法辨识，投标文件将被拒绝。</w:t>
            </w:r>
          </w:p>
        </w:tc>
      </w:tr>
      <w:tr w14:paraId="7A48ED6A">
        <w:tblPrEx>
          <w:tblLayout w:type="fixed"/>
        </w:tblPrEx>
        <w:trPr>
          <w:trHeight w:val="90" w:hRule="atLeast"/>
        </w:trPr>
        <w:tc>
          <w:tcPr>
            <w:tcW w:w="578" w:type="dxa"/>
            <w:tcBorders>
              <w:top w:val="single" w:color="auto" w:sz="4" w:space="0"/>
              <w:left w:val="single" w:color="auto" w:sz="4" w:space="0"/>
              <w:bottom w:val="single" w:color="auto" w:sz="4" w:space="0"/>
              <w:right w:val="single" w:color="auto" w:sz="4" w:space="0"/>
            </w:tcBorders>
            <w:vAlign w:val="center"/>
          </w:tcPr>
          <w:p w14:paraId="5E4D647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12</w:t>
            </w:r>
          </w:p>
        </w:tc>
        <w:tc>
          <w:tcPr>
            <w:tcW w:w="1798" w:type="dxa"/>
            <w:tcBorders>
              <w:top w:val="single" w:color="auto" w:sz="4" w:space="0"/>
              <w:left w:val="single" w:color="auto" w:sz="4" w:space="0"/>
              <w:bottom w:val="single" w:color="auto" w:sz="4" w:space="0"/>
              <w:right w:val="single" w:color="auto" w:sz="4" w:space="0"/>
            </w:tcBorders>
            <w:vAlign w:val="center"/>
          </w:tcPr>
          <w:p w14:paraId="2136AB4C">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投标有效期</w:t>
            </w:r>
          </w:p>
        </w:tc>
        <w:tc>
          <w:tcPr>
            <w:tcW w:w="7382" w:type="dxa"/>
            <w:tcBorders>
              <w:top w:val="single" w:color="auto" w:sz="4" w:space="0"/>
              <w:left w:val="single" w:color="auto" w:sz="4" w:space="0"/>
              <w:bottom w:val="single" w:color="auto" w:sz="4" w:space="0"/>
              <w:right w:val="single" w:color="auto" w:sz="4" w:space="0"/>
            </w:tcBorders>
            <w:vAlign w:val="center"/>
          </w:tcPr>
          <w:p w14:paraId="6B541652">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rPr>
              <w:t>自投标截止之日起90个日历日</w:t>
            </w:r>
          </w:p>
        </w:tc>
      </w:tr>
      <w:tr w14:paraId="5CA00912">
        <w:tblPrEx>
          <w:tblLayout w:type="fixed"/>
        </w:tblPrEx>
        <w:trPr>
          <w:trHeight w:val="535" w:hRule="atLeast"/>
        </w:trPr>
        <w:tc>
          <w:tcPr>
            <w:tcW w:w="578" w:type="dxa"/>
            <w:tcBorders>
              <w:top w:val="single" w:color="auto" w:sz="4" w:space="0"/>
              <w:left w:val="single" w:color="auto" w:sz="4" w:space="0"/>
              <w:bottom w:val="single" w:color="auto" w:sz="4" w:space="0"/>
              <w:right w:val="single" w:color="auto" w:sz="4" w:space="0"/>
            </w:tcBorders>
            <w:vAlign w:val="center"/>
          </w:tcPr>
          <w:p w14:paraId="68C3B584">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13</w:t>
            </w:r>
          </w:p>
        </w:tc>
        <w:tc>
          <w:tcPr>
            <w:tcW w:w="1798" w:type="dxa"/>
            <w:tcBorders>
              <w:top w:val="single" w:color="auto" w:sz="4" w:space="0"/>
              <w:left w:val="single" w:color="auto" w:sz="4" w:space="0"/>
              <w:bottom w:val="single" w:color="auto" w:sz="4" w:space="0"/>
              <w:right w:val="single" w:color="auto" w:sz="4" w:space="0"/>
            </w:tcBorders>
            <w:vAlign w:val="center"/>
          </w:tcPr>
          <w:p w14:paraId="6DE3B132">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评标方法</w:t>
            </w:r>
          </w:p>
        </w:tc>
        <w:tc>
          <w:tcPr>
            <w:tcW w:w="7382" w:type="dxa"/>
            <w:tcBorders>
              <w:top w:val="single" w:color="auto" w:sz="4" w:space="0"/>
              <w:left w:val="single" w:color="auto" w:sz="4" w:space="0"/>
              <w:bottom w:val="single" w:color="auto" w:sz="4" w:space="0"/>
              <w:right w:val="single" w:color="auto" w:sz="4" w:space="0"/>
            </w:tcBorders>
            <w:vAlign w:val="center"/>
          </w:tcPr>
          <w:p w14:paraId="74029577">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rPr>
              <w:t>综合评分法</w:t>
            </w:r>
          </w:p>
        </w:tc>
      </w:tr>
      <w:tr w14:paraId="6C7D56F2">
        <w:tblPrEx>
          <w:tblLayout w:type="fixed"/>
        </w:tblPrEx>
        <w:trPr>
          <w:trHeight w:val="665" w:hRule="atLeast"/>
        </w:trPr>
        <w:tc>
          <w:tcPr>
            <w:tcW w:w="578" w:type="dxa"/>
            <w:tcBorders>
              <w:top w:val="single" w:color="auto" w:sz="4" w:space="0"/>
              <w:left w:val="single" w:color="auto" w:sz="4" w:space="0"/>
              <w:bottom w:val="single" w:color="auto" w:sz="4" w:space="0"/>
              <w:right w:val="single" w:color="auto" w:sz="4" w:space="0"/>
            </w:tcBorders>
            <w:vAlign w:val="center"/>
          </w:tcPr>
          <w:p w14:paraId="6E8A0807">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14</w:t>
            </w:r>
          </w:p>
        </w:tc>
        <w:tc>
          <w:tcPr>
            <w:tcW w:w="1798" w:type="dxa"/>
            <w:tcBorders>
              <w:top w:val="single" w:color="auto" w:sz="4" w:space="0"/>
              <w:left w:val="single" w:color="auto" w:sz="4" w:space="0"/>
              <w:bottom w:val="single" w:color="auto" w:sz="4" w:space="0"/>
              <w:right w:val="single" w:color="auto" w:sz="4" w:space="0"/>
            </w:tcBorders>
            <w:vAlign w:val="center"/>
          </w:tcPr>
          <w:p w14:paraId="5089D248">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资格审查</w:t>
            </w:r>
          </w:p>
        </w:tc>
        <w:tc>
          <w:tcPr>
            <w:tcW w:w="7382" w:type="dxa"/>
            <w:tcBorders>
              <w:top w:val="single" w:color="auto" w:sz="4" w:space="0"/>
              <w:left w:val="single" w:color="auto" w:sz="4" w:space="0"/>
              <w:bottom w:val="single" w:color="auto" w:sz="4" w:space="0"/>
              <w:right w:val="single" w:color="auto" w:sz="4" w:space="0"/>
            </w:tcBorders>
            <w:vAlign w:val="center"/>
          </w:tcPr>
          <w:p w14:paraId="44EE9D1B">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auto"/>
                <w:sz w:val="24"/>
                <w:highlight w:val="none"/>
              </w:rPr>
              <w:t>资格后审</w:t>
            </w:r>
          </w:p>
        </w:tc>
      </w:tr>
      <w:tr w14:paraId="7F11C5FA">
        <w:tblPrEx>
          <w:tblLayout w:type="fixed"/>
        </w:tblPrEx>
        <w:trPr>
          <w:trHeight w:val="565" w:hRule="atLeast"/>
        </w:trPr>
        <w:tc>
          <w:tcPr>
            <w:tcW w:w="578" w:type="dxa"/>
            <w:tcBorders>
              <w:top w:val="single" w:color="auto" w:sz="4" w:space="0"/>
              <w:left w:val="single" w:color="auto" w:sz="4" w:space="0"/>
              <w:bottom w:val="single" w:color="auto" w:sz="4" w:space="0"/>
              <w:right w:val="single" w:color="auto" w:sz="4" w:space="0"/>
            </w:tcBorders>
            <w:vAlign w:val="center"/>
          </w:tcPr>
          <w:p w14:paraId="26F1929F">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15</w:t>
            </w:r>
          </w:p>
        </w:tc>
        <w:tc>
          <w:tcPr>
            <w:tcW w:w="1798" w:type="dxa"/>
            <w:tcBorders>
              <w:top w:val="single" w:color="auto" w:sz="4" w:space="0"/>
              <w:left w:val="single" w:color="auto" w:sz="4" w:space="0"/>
              <w:bottom w:val="single" w:color="auto" w:sz="4" w:space="0"/>
              <w:right w:val="single" w:color="auto" w:sz="4" w:space="0"/>
            </w:tcBorders>
            <w:vAlign w:val="center"/>
          </w:tcPr>
          <w:p w14:paraId="0D7046C2">
            <w:pPr>
              <w:keepNext w:val="0"/>
              <w:keepLines w:val="0"/>
              <w:suppressLineNumbers w:val="0"/>
              <w:spacing w:before="0" w:beforeAutospacing="0" w:after="0" w:afterAutospacing="0" w:line="500" w:lineRule="exact"/>
              <w:ind w:left="0" w:right="0"/>
              <w:jc w:val="center"/>
              <w:rPr>
                <w:rFonts w:hint="eastAsia" w:ascii="宋体" w:hAnsi="宋体" w:cs="宋体"/>
                <w:color w:val="auto"/>
                <w:sz w:val="24"/>
                <w:highlight w:val="none"/>
              </w:rPr>
            </w:pPr>
            <w:r>
              <w:rPr>
                <w:rFonts w:hint="eastAsia" w:ascii="宋体" w:hAnsi="宋体" w:cs="宋体"/>
                <w:color w:val="auto"/>
                <w:sz w:val="24"/>
                <w:highlight w:val="none"/>
              </w:rPr>
              <w:t>评标委员会</w:t>
            </w:r>
          </w:p>
        </w:tc>
        <w:tc>
          <w:tcPr>
            <w:tcW w:w="7382" w:type="dxa"/>
            <w:tcBorders>
              <w:top w:val="single" w:color="auto" w:sz="4" w:space="0"/>
              <w:left w:val="single" w:color="auto" w:sz="4" w:space="0"/>
              <w:bottom w:val="single" w:color="auto" w:sz="4" w:space="0"/>
              <w:right w:val="single" w:color="auto" w:sz="4" w:space="0"/>
            </w:tcBorders>
            <w:vAlign w:val="center"/>
          </w:tcPr>
          <w:p w14:paraId="50421836">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评标委员会构成：评标委员会构成：</w:t>
            </w:r>
            <w:r>
              <w:rPr>
                <w:rFonts w:hint="eastAsia" w:ascii="宋体" w:hAnsi="宋体" w:cs="宋体"/>
                <w:color w:val="auto"/>
                <w:sz w:val="24"/>
                <w:highlight w:val="none"/>
                <w:lang w:val="en-US" w:eastAsia="zh-CN"/>
              </w:rPr>
              <w:t>评标</w:t>
            </w:r>
            <w:r>
              <w:rPr>
                <w:rFonts w:hint="eastAsia" w:ascii="宋体" w:hAnsi="宋体" w:cs="宋体"/>
                <w:color w:val="auto"/>
                <w:sz w:val="24"/>
                <w:highlight w:val="none"/>
                <w:lang w:val="zh-CN"/>
              </w:rPr>
              <w:t>小组由采购人代表和评审专家共</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zh-CN"/>
              </w:rPr>
              <w:t>人组成</w:t>
            </w:r>
            <w:r>
              <w:rPr>
                <w:rFonts w:hint="eastAsia" w:ascii="宋体" w:hAnsi="宋体" w:cs="宋体"/>
                <w:color w:val="auto"/>
                <w:sz w:val="24"/>
                <w:highlight w:val="none"/>
                <w:lang w:val="en-US" w:eastAsia="zh-CN"/>
              </w:rPr>
              <w:t>(招标人代表0人，评审专家5人</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w:t>
            </w:r>
          </w:p>
        </w:tc>
      </w:tr>
      <w:tr w14:paraId="4E151F81">
        <w:tblPrEx>
          <w:tblLayout w:type="fixed"/>
        </w:tblPrEx>
        <w:trPr>
          <w:trHeight w:val="90" w:hRule="atLeast"/>
        </w:trPr>
        <w:tc>
          <w:tcPr>
            <w:tcW w:w="578" w:type="dxa"/>
            <w:tcBorders>
              <w:top w:val="single" w:color="auto" w:sz="4" w:space="0"/>
              <w:left w:val="single" w:color="auto" w:sz="4" w:space="0"/>
              <w:bottom w:val="single" w:color="auto" w:sz="4" w:space="0"/>
              <w:right w:val="single" w:color="auto" w:sz="4" w:space="0"/>
            </w:tcBorders>
            <w:vAlign w:val="center"/>
          </w:tcPr>
          <w:p w14:paraId="784488A0">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bookmarkStart w:id="11" w:name="_GoBack" w:colFirst="2" w:colLast="2"/>
            <w:r>
              <w:rPr>
                <w:rFonts w:hint="eastAsia" w:ascii="宋体" w:hAnsi="宋体" w:cs="宋体"/>
                <w:color w:val="auto"/>
                <w:sz w:val="24"/>
                <w:highlight w:val="none"/>
              </w:rPr>
              <w:t>16</w:t>
            </w:r>
          </w:p>
        </w:tc>
        <w:tc>
          <w:tcPr>
            <w:tcW w:w="1798" w:type="dxa"/>
            <w:tcBorders>
              <w:top w:val="single" w:color="auto" w:sz="4" w:space="0"/>
              <w:left w:val="single" w:color="auto" w:sz="4" w:space="0"/>
              <w:bottom w:val="single" w:color="auto" w:sz="4" w:space="0"/>
              <w:right w:val="single" w:color="auto" w:sz="4" w:space="0"/>
            </w:tcBorders>
            <w:vAlign w:val="center"/>
          </w:tcPr>
          <w:p w14:paraId="11FCAF5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开标时间及投标文件递交截止时间</w:t>
            </w:r>
          </w:p>
        </w:tc>
        <w:tc>
          <w:tcPr>
            <w:tcW w:w="7382" w:type="dxa"/>
            <w:tcBorders>
              <w:top w:val="single" w:color="auto" w:sz="4" w:space="0"/>
              <w:left w:val="single" w:color="auto" w:sz="4" w:space="0"/>
              <w:bottom w:val="single" w:color="auto" w:sz="4" w:space="0"/>
              <w:right w:val="single" w:color="auto" w:sz="4" w:space="0"/>
            </w:tcBorders>
            <w:vAlign w:val="center"/>
          </w:tcPr>
          <w:p w14:paraId="69FF44EF">
            <w:pPr>
              <w:keepNext w:val="0"/>
              <w:keepLines w:val="0"/>
              <w:suppressLineNumbers w:val="0"/>
              <w:spacing w:before="0" w:beforeAutospacing="0" w:after="0" w:afterAutospacing="0" w:line="500" w:lineRule="exact"/>
              <w:ind w:left="0" w:right="0"/>
              <w:rPr>
                <w:rFonts w:hint="eastAsia" w:ascii="宋体" w:hAnsi="宋体" w:cs="宋体"/>
                <w:color w:val="auto"/>
                <w:sz w:val="24"/>
                <w:highlight w:val="none"/>
              </w:rPr>
            </w:pPr>
            <w:r>
              <w:rPr>
                <w:rFonts w:hint="eastAsia" w:ascii="宋体" w:hAnsi="宋体" w:cs="宋体"/>
                <w:color w:val="000000" w:themeColor="text1"/>
                <w:sz w:val="24"/>
                <w:highlight w:val="none"/>
                <w:lang w:eastAsia="zh-CN"/>
                <w14:textFill>
                  <w14:solidFill>
                    <w14:schemeClr w14:val="tx1"/>
                  </w14:solidFill>
                </w14:textFill>
              </w:rPr>
              <w:t>2026年6月22日</w:t>
            </w:r>
            <w:r>
              <w:rPr>
                <w:rFonts w:hint="eastAsia" w:ascii="宋体" w:hAnsi="宋体" w:cs="宋体"/>
                <w:color w:val="000000" w:themeColor="text1"/>
                <w:sz w:val="24"/>
                <w:highlight w:val="none"/>
                <w:lang w:val="en-US" w:eastAsia="zh-CN"/>
                <w14:textFill>
                  <w14:solidFill>
                    <w14:schemeClr w14:val="tx1"/>
                  </w14:solidFill>
                </w14:textFill>
              </w:rPr>
              <w:t>10：30</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北京时间）</w:t>
            </w:r>
          </w:p>
        </w:tc>
      </w:tr>
      <w:bookmarkEnd w:id="11"/>
      <w:tr w14:paraId="479457BA">
        <w:tblPrEx>
          <w:tblLayout w:type="fixed"/>
        </w:tblPrEx>
        <w:trPr>
          <w:trHeight w:val="938" w:hRule="atLeast"/>
        </w:trPr>
        <w:tc>
          <w:tcPr>
            <w:tcW w:w="578" w:type="dxa"/>
            <w:tcBorders>
              <w:top w:val="single" w:color="auto" w:sz="4" w:space="0"/>
              <w:left w:val="single" w:color="auto" w:sz="4" w:space="0"/>
              <w:bottom w:val="single" w:color="auto" w:sz="4" w:space="0"/>
              <w:right w:val="single" w:color="auto" w:sz="4" w:space="0"/>
            </w:tcBorders>
            <w:vAlign w:val="center"/>
          </w:tcPr>
          <w:p w14:paraId="1FD2849D">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17</w:t>
            </w:r>
          </w:p>
        </w:tc>
        <w:tc>
          <w:tcPr>
            <w:tcW w:w="1798" w:type="dxa"/>
            <w:tcBorders>
              <w:top w:val="single" w:color="auto" w:sz="4" w:space="0"/>
              <w:left w:val="single" w:color="auto" w:sz="4" w:space="0"/>
              <w:bottom w:val="single" w:color="auto" w:sz="4" w:space="0"/>
              <w:right w:val="single" w:color="auto" w:sz="4" w:space="0"/>
            </w:tcBorders>
            <w:vAlign w:val="center"/>
          </w:tcPr>
          <w:p w14:paraId="76356B02">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投标文件递交</w:t>
            </w:r>
          </w:p>
          <w:p w14:paraId="6B3666B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及开标地点</w:t>
            </w:r>
          </w:p>
        </w:tc>
        <w:tc>
          <w:tcPr>
            <w:tcW w:w="7382" w:type="dxa"/>
            <w:tcBorders>
              <w:top w:val="single" w:color="auto" w:sz="4" w:space="0"/>
              <w:left w:val="single" w:color="auto" w:sz="4" w:space="0"/>
              <w:bottom w:val="single" w:color="auto" w:sz="4" w:space="0"/>
              <w:right w:val="single" w:color="auto" w:sz="4" w:space="0"/>
            </w:tcBorders>
            <w:vAlign w:val="center"/>
          </w:tcPr>
          <w:p w14:paraId="21CB529E">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采用不见面开标：</w:t>
            </w:r>
          </w:p>
          <w:p w14:paraId="3E97F6AB">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响应文件提交时间：同投标截止时间</w:t>
            </w:r>
          </w:p>
          <w:p w14:paraId="7AD73E49">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开标地点：政采云远程不见面开标大厅</w:t>
            </w:r>
          </w:p>
          <w:p w14:paraId="3E34D1CE">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不见面开标默认解密时长：30分钟</w:t>
            </w:r>
          </w:p>
          <w:p w14:paraId="18EDAE69">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关于能否延长解密时间的约定：开标现场若发现默认解密时长不足，由采购人决定是否延长解密时长。</w:t>
            </w:r>
          </w:p>
          <w:p w14:paraId="0ABECA86">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注：供应商可通过账号密码或CA登录政采云客户端进行投标文件的制作，本项目采用电子版投标文件。</w:t>
            </w:r>
          </w:p>
          <w:p w14:paraId="0C2D240D">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采用不见面开标：</w:t>
            </w:r>
          </w:p>
          <w:p w14:paraId="4C935E75">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1．本项目采用不见面开标、投标人需要递交电子响应文件，加密的电子响应文件，在投标截止时间前通过政采云平台（https://www.zcygov.cn/）上传到指定位置。无需递交纸质文件。</w:t>
            </w:r>
          </w:p>
          <w:p w14:paraId="5FADCAB3">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56318966">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3.远程开标前，投标人务必在政采云平台（https://www.zcygov.cn/）响应文件上传模块中使用“模拟解密”功能，验证本机远程自助解密环境</w:t>
            </w:r>
          </w:p>
          <w:p w14:paraId="64EE462F">
            <w:pPr>
              <w:keepNext w:val="0"/>
              <w:keepLines w:val="0"/>
              <w:suppressLineNumbers w:val="0"/>
              <w:spacing w:before="0" w:beforeAutospacing="0" w:after="0" w:afterAutospacing="0" w:line="360" w:lineRule="auto"/>
              <w:ind w:left="0" w:right="0"/>
              <w:jc w:val="left"/>
              <w:rPr>
                <w:rFonts w:hint="eastAsia" w:ascii="宋体" w:hAnsi="宋体" w:cs="宋体"/>
                <w:color w:val="auto"/>
                <w:sz w:val="24"/>
                <w:highlight w:val="none"/>
              </w:rPr>
            </w:pPr>
            <w:r>
              <w:rPr>
                <w:rFonts w:hint="eastAsia" w:ascii="宋体" w:hAnsi="宋体" w:cs="宋体"/>
                <w:color w:val="auto"/>
                <w:sz w:val="24"/>
                <w:highlight w:val="none"/>
              </w:rPr>
              <w:t>响应文件格式文件要求盖单位章和（或）签字的地方，供应商均应使用CA数字证书加盖供应商的单位电子签章和（或）法定代表人的个人电子签名。</w:t>
            </w:r>
          </w:p>
        </w:tc>
      </w:tr>
      <w:tr w14:paraId="68C6E35A">
        <w:tblPrEx>
          <w:tblLayout w:type="fixed"/>
        </w:tblPrEx>
        <w:trPr>
          <w:trHeight w:val="565" w:hRule="atLeast"/>
        </w:trPr>
        <w:tc>
          <w:tcPr>
            <w:tcW w:w="578" w:type="dxa"/>
            <w:tcBorders>
              <w:top w:val="single" w:color="auto" w:sz="4" w:space="0"/>
              <w:left w:val="single" w:color="auto" w:sz="4" w:space="0"/>
              <w:bottom w:val="single" w:color="auto" w:sz="4" w:space="0"/>
              <w:right w:val="single" w:color="auto" w:sz="4" w:space="0"/>
            </w:tcBorders>
            <w:vAlign w:val="center"/>
          </w:tcPr>
          <w:p w14:paraId="25714899">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18</w:t>
            </w:r>
          </w:p>
        </w:tc>
        <w:tc>
          <w:tcPr>
            <w:tcW w:w="1798" w:type="dxa"/>
            <w:tcBorders>
              <w:top w:val="single" w:color="auto" w:sz="4" w:space="0"/>
              <w:left w:val="single" w:color="auto" w:sz="4" w:space="0"/>
              <w:bottom w:val="single" w:color="auto" w:sz="4" w:space="0"/>
              <w:right w:val="single" w:color="auto" w:sz="4" w:space="0"/>
            </w:tcBorders>
            <w:vAlign w:val="center"/>
          </w:tcPr>
          <w:p w14:paraId="5614B14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投标保证金</w:t>
            </w:r>
          </w:p>
        </w:tc>
        <w:tc>
          <w:tcPr>
            <w:tcW w:w="7382" w:type="dxa"/>
            <w:tcBorders>
              <w:top w:val="single" w:color="auto" w:sz="4" w:space="0"/>
              <w:left w:val="single" w:color="auto" w:sz="4" w:space="0"/>
              <w:bottom w:val="single" w:color="auto" w:sz="4" w:space="0"/>
              <w:right w:val="single" w:color="auto" w:sz="4" w:space="0"/>
            </w:tcBorders>
            <w:vAlign w:val="center"/>
          </w:tcPr>
          <w:p w14:paraId="0FCC24FF">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pacing w:val="-14"/>
                <w:sz w:val="24"/>
                <w:highlight w:val="none"/>
                <w:lang w:val="en-US" w:eastAsia="zh-CN"/>
              </w:rPr>
            </w:pPr>
            <w:r>
              <w:rPr>
                <w:rFonts w:hint="eastAsia" w:ascii="宋体" w:hAnsi="宋体" w:eastAsia="宋体" w:cs="宋体"/>
                <w:color w:val="auto"/>
                <w:spacing w:val="-14"/>
                <w:sz w:val="24"/>
                <w:highlight w:val="none"/>
                <w:lang w:val="en-US" w:eastAsia="zh-CN"/>
              </w:rPr>
              <w:t>无</w:t>
            </w:r>
          </w:p>
        </w:tc>
      </w:tr>
      <w:tr w14:paraId="7CB57E4C">
        <w:tblPrEx>
          <w:tblLayout w:type="fixed"/>
        </w:tblPrEx>
        <w:trPr>
          <w:trHeight w:val="643" w:hRule="atLeast"/>
        </w:trPr>
        <w:tc>
          <w:tcPr>
            <w:tcW w:w="578" w:type="dxa"/>
            <w:tcBorders>
              <w:top w:val="single" w:color="auto" w:sz="4" w:space="0"/>
              <w:left w:val="single" w:color="auto" w:sz="4" w:space="0"/>
              <w:bottom w:val="single" w:color="auto" w:sz="4" w:space="0"/>
              <w:right w:val="single" w:color="auto" w:sz="4" w:space="0"/>
            </w:tcBorders>
            <w:vAlign w:val="center"/>
          </w:tcPr>
          <w:p w14:paraId="073FA1A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19</w:t>
            </w:r>
          </w:p>
        </w:tc>
        <w:tc>
          <w:tcPr>
            <w:tcW w:w="1798" w:type="dxa"/>
            <w:tcBorders>
              <w:top w:val="single" w:color="auto" w:sz="4" w:space="0"/>
              <w:left w:val="single" w:color="auto" w:sz="4" w:space="0"/>
              <w:bottom w:val="single" w:color="auto" w:sz="4" w:space="0"/>
              <w:right w:val="single" w:color="auto" w:sz="4" w:space="0"/>
            </w:tcBorders>
            <w:vAlign w:val="center"/>
          </w:tcPr>
          <w:p w14:paraId="6876B8E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pacing w:val="-14"/>
                <w:sz w:val="24"/>
                <w:highlight w:val="none"/>
              </w:rPr>
              <w:t>投标文件</w:t>
            </w:r>
            <w:r>
              <w:rPr>
                <w:rFonts w:hint="eastAsia" w:ascii="宋体" w:hAnsi="宋体" w:cs="宋体"/>
                <w:color w:val="auto"/>
                <w:sz w:val="24"/>
                <w:highlight w:val="none"/>
              </w:rPr>
              <w:t>份数</w:t>
            </w:r>
          </w:p>
        </w:tc>
        <w:tc>
          <w:tcPr>
            <w:tcW w:w="7382" w:type="dxa"/>
            <w:tcBorders>
              <w:top w:val="single" w:color="auto" w:sz="4" w:space="0"/>
              <w:left w:val="single" w:color="auto" w:sz="4" w:space="0"/>
              <w:bottom w:val="single" w:color="auto" w:sz="4" w:space="0"/>
              <w:right w:val="single" w:color="auto" w:sz="4" w:space="0"/>
            </w:tcBorders>
            <w:vAlign w:val="center"/>
          </w:tcPr>
          <w:p w14:paraId="0BB4FEB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投标文件由以下部分组成：</w:t>
            </w:r>
          </w:p>
          <w:p w14:paraId="51306A7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（1）投标证明文件（报价一览表、资格证明文件、商务及技术文件）正本1份、副本2份。</w:t>
            </w:r>
          </w:p>
        </w:tc>
      </w:tr>
      <w:tr w14:paraId="50FB3502">
        <w:tblPrEx>
          <w:tblLayout w:type="fixed"/>
        </w:tblPrEx>
        <w:trPr>
          <w:trHeight w:val="90" w:hRule="atLeast"/>
        </w:trPr>
        <w:tc>
          <w:tcPr>
            <w:tcW w:w="578" w:type="dxa"/>
            <w:tcBorders>
              <w:top w:val="single" w:color="auto" w:sz="4" w:space="0"/>
              <w:left w:val="single" w:color="auto" w:sz="4" w:space="0"/>
              <w:bottom w:val="single" w:color="auto" w:sz="4" w:space="0"/>
              <w:right w:val="single" w:color="auto" w:sz="4" w:space="0"/>
            </w:tcBorders>
            <w:vAlign w:val="center"/>
          </w:tcPr>
          <w:p w14:paraId="1735CD79">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20</w:t>
            </w:r>
          </w:p>
        </w:tc>
        <w:tc>
          <w:tcPr>
            <w:tcW w:w="1798" w:type="dxa"/>
            <w:tcBorders>
              <w:top w:val="single" w:color="auto" w:sz="4" w:space="0"/>
              <w:left w:val="single" w:color="auto" w:sz="4" w:space="0"/>
              <w:bottom w:val="single" w:color="auto" w:sz="4" w:space="0"/>
              <w:right w:val="single" w:color="auto" w:sz="4" w:space="0"/>
            </w:tcBorders>
            <w:vAlign w:val="center"/>
          </w:tcPr>
          <w:p w14:paraId="7A8C42A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投标文件签章</w:t>
            </w:r>
          </w:p>
        </w:tc>
        <w:tc>
          <w:tcPr>
            <w:tcW w:w="7382" w:type="dxa"/>
            <w:tcBorders>
              <w:top w:val="single" w:color="auto" w:sz="4" w:space="0"/>
              <w:left w:val="single" w:color="auto" w:sz="4" w:space="0"/>
              <w:bottom w:val="single" w:color="auto" w:sz="4" w:space="0"/>
              <w:right w:val="single" w:color="auto" w:sz="4" w:space="0"/>
            </w:tcBorders>
            <w:vAlign w:val="center"/>
          </w:tcPr>
          <w:p w14:paraId="57C5871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pacing w:val="-14"/>
                <w:sz w:val="24"/>
                <w:highlight w:val="none"/>
                <w:lang w:eastAsia="zh-CN"/>
              </w:rPr>
            </w:pPr>
            <w:r>
              <w:rPr>
                <w:rFonts w:hint="eastAsia" w:ascii="宋体" w:hAnsi="宋体" w:eastAsia="宋体" w:cs="宋体"/>
                <w:color w:val="auto"/>
                <w:spacing w:val="-14"/>
                <w:sz w:val="24"/>
                <w:highlight w:val="none"/>
                <w:lang w:eastAsia="zh-CN"/>
              </w:rPr>
              <w:t>响应文件格式文件要求盖单位章和（或）签字的地方，供应商均应使用CA数字证书加盖供应商的单位电子签章和（或）法定代表人的个人电子签名。</w:t>
            </w:r>
          </w:p>
        </w:tc>
      </w:tr>
      <w:tr w14:paraId="27FA3D80">
        <w:tblPrEx>
          <w:tblLayout w:type="fixed"/>
        </w:tblPrEx>
        <w:trPr>
          <w:trHeight w:val="1033" w:hRule="atLeast"/>
        </w:trPr>
        <w:tc>
          <w:tcPr>
            <w:tcW w:w="578" w:type="dxa"/>
            <w:tcBorders>
              <w:top w:val="single" w:color="auto" w:sz="4" w:space="0"/>
              <w:left w:val="single" w:color="auto" w:sz="4" w:space="0"/>
              <w:bottom w:val="single" w:color="auto" w:sz="4" w:space="0"/>
              <w:right w:val="single" w:color="auto" w:sz="4" w:space="0"/>
            </w:tcBorders>
            <w:vAlign w:val="center"/>
          </w:tcPr>
          <w:p w14:paraId="3D2618DB">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21</w:t>
            </w:r>
          </w:p>
        </w:tc>
        <w:tc>
          <w:tcPr>
            <w:tcW w:w="1798" w:type="dxa"/>
            <w:tcBorders>
              <w:top w:val="single" w:color="auto" w:sz="4" w:space="0"/>
              <w:left w:val="single" w:color="auto" w:sz="4" w:space="0"/>
              <w:bottom w:val="single" w:color="auto" w:sz="4" w:space="0"/>
              <w:right w:val="single" w:color="auto" w:sz="4" w:space="0"/>
            </w:tcBorders>
            <w:vAlign w:val="center"/>
          </w:tcPr>
          <w:p w14:paraId="4B1B7A0D">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最高限价</w:t>
            </w:r>
          </w:p>
        </w:tc>
        <w:tc>
          <w:tcPr>
            <w:tcW w:w="7382" w:type="dxa"/>
            <w:tcBorders>
              <w:top w:val="single" w:color="auto" w:sz="4" w:space="0"/>
              <w:left w:val="single" w:color="auto" w:sz="4" w:space="0"/>
              <w:bottom w:val="single" w:color="auto" w:sz="4" w:space="0"/>
              <w:right w:val="single" w:color="auto" w:sz="4" w:space="0"/>
            </w:tcBorders>
            <w:vAlign w:val="center"/>
          </w:tcPr>
          <w:p w14:paraId="5B0EA82C">
            <w:pPr>
              <w:keepNext w:val="0"/>
              <w:keepLines w:val="0"/>
              <w:suppressLineNumbers w:val="0"/>
              <w:spacing w:before="0" w:beforeAutospacing="0" w:after="0" w:afterAutospacing="0" w:line="360" w:lineRule="auto"/>
              <w:ind w:left="0" w:right="0"/>
              <w:rPr>
                <w:rFonts w:hint="eastAsia" w:ascii="宋体" w:hAnsi="宋体" w:cs="宋体"/>
                <w:color w:val="auto"/>
                <w:sz w:val="24"/>
                <w:highlight w:val="none"/>
              </w:rPr>
            </w:pPr>
            <w:r>
              <w:rPr>
                <w:rFonts w:hint="eastAsia" w:ascii="宋体" w:hAnsi="宋体" w:cs="宋体"/>
                <w:b/>
                <w:bCs/>
                <w:color w:val="auto"/>
                <w:sz w:val="24"/>
                <w:highlight w:val="none"/>
              </w:rPr>
              <w:t>本次采购设置最高限价：</w:t>
            </w:r>
            <w:r>
              <w:rPr>
                <w:rFonts w:hint="eastAsia" w:ascii="宋体" w:hAnsi="宋体" w:cs="宋体"/>
                <w:b/>
                <w:bCs/>
                <w:color w:val="auto"/>
                <w:sz w:val="24"/>
                <w:highlight w:val="none"/>
                <w:lang w:val="en-US" w:eastAsia="zh-CN"/>
              </w:rPr>
              <w:t>7313760.10元</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各投标人的投标报价超出此范围将作废标处理。</w:t>
            </w:r>
          </w:p>
        </w:tc>
      </w:tr>
      <w:tr w14:paraId="62322462">
        <w:tblPrEx>
          <w:tblLayout w:type="fixed"/>
        </w:tblPrEx>
        <w:trPr>
          <w:trHeight w:val="608" w:hRule="atLeast"/>
        </w:trPr>
        <w:tc>
          <w:tcPr>
            <w:tcW w:w="578" w:type="dxa"/>
            <w:tcBorders>
              <w:top w:val="single" w:color="auto" w:sz="4" w:space="0"/>
              <w:left w:val="single" w:color="auto" w:sz="4" w:space="0"/>
              <w:bottom w:val="single" w:color="auto" w:sz="4" w:space="0"/>
              <w:right w:val="single" w:color="auto" w:sz="4" w:space="0"/>
            </w:tcBorders>
            <w:vAlign w:val="center"/>
          </w:tcPr>
          <w:p w14:paraId="464A7E4A">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22</w:t>
            </w:r>
          </w:p>
        </w:tc>
        <w:tc>
          <w:tcPr>
            <w:tcW w:w="1798" w:type="dxa"/>
            <w:tcBorders>
              <w:top w:val="single" w:color="auto" w:sz="4" w:space="0"/>
              <w:left w:val="single" w:color="auto" w:sz="4" w:space="0"/>
              <w:bottom w:val="single" w:color="auto" w:sz="4" w:space="0"/>
              <w:right w:val="single" w:color="auto" w:sz="4" w:space="0"/>
            </w:tcBorders>
            <w:vAlign w:val="center"/>
          </w:tcPr>
          <w:p w14:paraId="184A5C9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代理机构</w:t>
            </w:r>
          </w:p>
        </w:tc>
        <w:tc>
          <w:tcPr>
            <w:tcW w:w="7382" w:type="dxa"/>
            <w:tcBorders>
              <w:top w:val="single" w:color="auto" w:sz="4" w:space="0"/>
              <w:left w:val="single" w:color="auto" w:sz="4" w:space="0"/>
              <w:bottom w:val="single" w:color="auto" w:sz="4" w:space="0"/>
              <w:right w:val="single" w:color="auto" w:sz="4" w:space="0"/>
            </w:tcBorders>
            <w:vAlign w:val="center"/>
          </w:tcPr>
          <w:p w14:paraId="6AC68815">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塔城地区政务服务与公共资源交易中心</w:t>
            </w:r>
          </w:p>
          <w:p w14:paraId="58051BF9">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联系人：</w:t>
            </w:r>
            <w:r>
              <w:rPr>
                <w:rFonts w:hint="eastAsia" w:ascii="宋体" w:hAnsi="宋体" w:cs="宋体"/>
                <w:color w:val="auto"/>
                <w:sz w:val="24"/>
                <w:highlight w:val="none"/>
                <w:lang w:val="en-US" w:eastAsia="zh-CN"/>
              </w:rPr>
              <w:t>侯志雄</w:t>
            </w:r>
          </w:p>
          <w:p w14:paraId="4E5DB16C">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联系电话：0901-</w:t>
            </w:r>
            <w:r>
              <w:rPr>
                <w:rFonts w:hint="eastAsia" w:ascii="宋体" w:hAnsi="宋体" w:cs="宋体"/>
                <w:color w:val="auto"/>
                <w:sz w:val="24"/>
                <w:highlight w:val="none"/>
                <w:lang w:val="en-US" w:eastAsia="zh-CN"/>
              </w:rPr>
              <w:t>6689017</w:t>
            </w:r>
          </w:p>
          <w:p w14:paraId="3132ACAB">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邮箱：</w:t>
            </w:r>
            <w:r>
              <w:rPr>
                <w:rFonts w:hint="eastAsia" w:ascii="宋体" w:hAnsi="宋体" w:cs="宋体"/>
                <w:color w:val="auto"/>
                <w:sz w:val="24"/>
                <w:highlight w:val="none"/>
                <w:lang w:val="en-US" w:eastAsia="zh-CN"/>
              </w:rPr>
              <w:t>2322190</w:t>
            </w:r>
            <w:r>
              <w:rPr>
                <w:rFonts w:hint="eastAsia" w:ascii="宋体" w:hAnsi="宋体" w:cs="宋体"/>
                <w:color w:val="auto"/>
                <w:sz w:val="24"/>
                <w:highlight w:val="none"/>
                <w:lang w:val="en-US" w:eastAsia="zh-CN"/>
              </w:rPr>
              <w:t>163@</w:t>
            </w:r>
            <w:r>
              <w:rPr>
                <w:rFonts w:hint="eastAsia" w:ascii="宋体" w:hAnsi="宋体" w:eastAsia="宋体" w:cs="宋体"/>
                <w:color w:val="auto"/>
                <w:sz w:val="24"/>
                <w:highlight w:val="none"/>
                <w:lang w:eastAsia="zh-CN"/>
              </w:rPr>
              <w:t>qq.com</w:t>
            </w:r>
          </w:p>
          <w:p w14:paraId="630E20B0">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地址：塔城地区政务服务与公共资源交易中心</w:t>
            </w:r>
          </w:p>
        </w:tc>
      </w:tr>
      <w:tr w14:paraId="56619825">
        <w:tblPrEx>
          <w:tblLayout w:type="fixed"/>
        </w:tblPrEx>
        <w:trPr>
          <w:trHeight w:val="349" w:hRule="atLeast"/>
        </w:trPr>
        <w:tc>
          <w:tcPr>
            <w:tcW w:w="578" w:type="dxa"/>
            <w:tcBorders>
              <w:left w:val="single" w:color="auto" w:sz="4" w:space="0"/>
              <w:right w:val="single" w:color="auto" w:sz="4" w:space="0"/>
            </w:tcBorders>
            <w:vAlign w:val="center"/>
          </w:tcPr>
          <w:p w14:paraId="2FABAC7E">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23</w:t>
            </w:r>
          </w:p>
        </w:tc>
        <w:tc>
          <w:tcPr>
            <w:tcW w:w="1798" w:type="dxa"/>
            <w:tcBorders>
              <w:left w:val="single" w:color="auto" w:sz="4" w:space="0"/>
              <w:right w:val="single" w:color="auto" w:sz="4" w:space="0"/>
            </w:tcBorders>
            <w:vAlign w:val="center"/>
          </w:tcPr>
          <w:p w14:paraId="7492103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政府采购</w:t>
            </w:r>
          </w:p>
          <w:p w14:paraId="0852FFC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政策功能</w:t>
            </w:r>
          </w:p>
        </w:tc>
        <w:tc>
          <w:tcPr>
            <w:tcW w:w="7382" w:type="dxa"/>
            <w:tcBorders>
              <w:top w:val="single" w:color="auto" w:sz="4" w:space="0"/>
              <w:left w:val="single" w:color="auto" w:sz="4" w:space="0"/>
              <w:bottom w:val="single" w:color="auto" w:sz="4" w:space="0"/>
              <w:right w:val="single" w:color="auto" w:sz="4" w:space="0"/>
            </w:tcBorders>
            <w:vAlign w:val="center"/>
          </w:tcPr>
          <w:p w14:paraId="77AB78A1">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1）促进中小企业发展政策：根据《政府采购促进中小企业发展管理办法》规定，本项目投标人所投货物全部由小型或微型企业生产的，将评审报价给予10%的扣除。投标人应出具招标文件中要求的《中小企业声明函》，否则评审时不予认可。投标人应对提交的中小企业声明函的真实性负责，提交的中小企业声明函不真实的，应承担相应的法律责任。</w:t>
            </w:r>
          </w:p>
          <w:p w14:paraId="31D09462">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注意：货物全部由中小企业制造，即货物由中小企业生产且使用该中小企业商号或者注册商标；供应商提供的货物既有中小企业制造货物，也有大型企业制造货物的，不享受本办法规定的中小企业扶持政策</w:t>
            </w:r>
          </w:p>
          <w:p w14:paraId="0369E443">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2）监狱企业扶持政策：投标人如为监狱企业将视同小型或微型企业，将对评审报价给予10%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14:paraId="0D58D3A8">
            <w:pPr>
              <w:keepNext w:val="0"/>
              <w:keepLines w:val="0"/>
              <w:suppressLineNumbers w:val="0"/>
              <w:spacing w:before="0" w:beforeAutospacing="0" w:after="0" w:afterAutospacing="0" w:line="360" w:lineRule="auto"/>
              <w:ind w:left="0" w:right="0"/>
              <w:jc w:val="left"/>
              <w:rPr>
                <w:rFonts w:hint="eastAsia" w:ascii="宋体" w:hAnsi="宋体" w:cs="宋体"/>
                <w:color w:val="auto"/>
                <w:spacing w:val="-14"/>
                <w:sz w:val="24"/>
                <w:highlight w:val="none"/>
              </w:rPr>
            </w:pPr>
            <w:r>
              <w:rPr>
                <w:rFonts w:hint="eastAsia" w:ascii="宋体" w:hAnsi="宋体" w:cs="宋体"/>
                <w:color w:val="auto"/>
                <w:spacing w:val="-14"/>
                <w:sz w:val="24"/>
                <w:highlight w:val="none"/>
              </w:rPr>
              <w:t>（3）残疾人福利性单位视同小型、微型企业。不重复享受政策。</w:t>
            </w:r>
          </w:p>
          <w:p w14:paraId="00C70265">
            <w:pPr>
              <w:keepNext w:val="0"/>
              <w:keepLines w:val="0"/>
              <w:suppressLineNumbers w:val="0"/>
              <w:spacing w:before="0" w:beforeAutospacing="0" w:after="0" w:afterAutospacing="0" w:line="360" w:lineRule="auto"/>
              <w:ind w:left="0" w:right="0"/>
              <w:jc w:val="left"/>
              <w:rPr>
                <w:rFonts w:hint="eastAsia" w:ascii="宋体" w:hAnsi="宋体" w:eastAsia="宋体" w:cs="宋体"/>
                <w:spacing w:val="-14"/>
                <w:sz w:val="24"/>
                <w:highlight w:val="none"/>
                <w:lang w:val="en-US" w:eastAsia="zh-CN"/>
              </w:rPr>
            </w:pPr>
            <w:r>
              <w:rPr>
                <w:rFonts w:hint="eastAsia" w:ascii="宋体" w:hAnsi="宋体" w:eastAsia="宋体" w:cs="宋体"/>
                <w:spacing w:val="-14"/>
                <w:sz w:val="24"/>
                <w:highlight w:val="none"/>
                <w:lang w:val="en-US" w:eastAsia="zh-CN"/>
              </w:rPr>
              <w:t>（4）根据《国务院办公厅关于在政府采购中实施本国产品标准及相关政策的通知》（国办发〔2025〕34号)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DE477AE">
            <w:pPr>
              <w:keepNext w:val="0"/>
              <w:keepLines w:val="0"/>
              <w:suppressLineNumbers w:val="0"/>
              <w:spacing w:before="0" w:beforeAutospacing="0" w:after="0" w:afterAutospacing="0" w:line="360" w:lineRule="auto"/>
              <w:ind w:left="0" w:right="0"/>
              <w:jc w:val="left"/>
              <w:rPr>
                <w:rFonts w:hint="default"/>
                <w:lang w:val="en-US" w:eastAsia="zh-CN"/>
              </w:rPr>
            </w:pPr>
            <w:r>
              <w:rPr>
                <w:rFonts w:hint="eastAsia" w:ascii="宋体" w:hAnsi="宋体" w:eastAsia="宋体" w:cs="宋体"/>
                <w:b w:val="0"/>
                <w:bCs w:val="0"/>
                <w:spacing w:val="-14"/>
                <w:kern w:val="2"/>
                <w:sz w:val="24"/>
                <w:szCs w:val="24"/>
                <w:highlight w:val="none"/>
                <w:lang w:val="en-US" w:eastAsia="zh-CN" w:bidi="ar-SA"/>
              </w:rPr>
              <w:t>（5）本项目为非专门面向中小企业；投标人所投货物全部由小型或微型企业生产的，将评审报价给予10%的扣除。</w:t>
            </w:r>
          </w:p>
        </w:tc>
      </w:tr>
      <w:tr w14:paraId="6D784496">
        <w:tblPrEx>
          <w:tblLayout w:type="fixed"/>
        </w:tblPrEx>
        <w:trPr>
          <w:trHeight w:val="645" w:hRule="atLeast"/>
        </w:trPr>
        <w:tc>
          <w:tcPr>
            <w:tcW w:w="578" w:type="dxa"/>
            <w:tcBorders>
              <w:left w:val="single" w:color="auto" w:sz="4" w:space="0"/>
              <w:right w:val="single" w:color="auto" w:sz="4" w:space="0"/>
            </w:tcBorders>
            <w:vAlign w:val="center"/>
          </w:tcPr>
          <w:p w14:paraId="17211839">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24</w:t>
            </w:r>
          </w:p>
        </w:tc>
        <w:tc>
          <w:tcPr>
            <w:tcW w:w="1798" w:type="dxa"/>
            <w:tcBorders>
              <w:left w:val="single" w:color="auto" w:sz="4" w:space="0"/>
              <w:right w:val="single" w:color="auto" w:sz="4" w:space="0"/>
            </w:tcBorders>
            <w:vAlign w:val="center"/>
          </w:tcPr>
          <w:p w14:paraId="18B3B37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同品牌规定</w:t>
            </w:r>
          </w:p>
        </w:tc>
        <w:tc>
          <w:tcPr>
            <w:tcW w:w="7382" w:type="dxa"/>
            <w:tcBorders>
              <w:top w:val="single" w:color="auto" w:sz="4" w:space="0"/>
              <w:left w:val="single" w:color="auto" w:sz="4" w:space="0"/>
              <w:bottom w:val="single" w:color="auto" w:sz="4" w:space="0"/>
              <w:right w:val="single" w:color="auto" w:sz="4" w:space="0"/>
            </w:tcBorders>
            <w:vAlign w:val="center"/>
          </w:tcPr>
          <w:p w14:paraId="04B78776">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投标人提供相同品牌产品且通过资格审查、符合性审查的不同投标人参加同一合同项下投标的，按一家投标人计算，评标后得分最高的同品牌投标人获得中标人推荐资格；</w:t>
            </w:r>
          </w:p>
          <w:p w14:paraId="4C8EC85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核心产品：</w:t>
            </w:r>
            <w:r>
              <w:rPr>
                <w:rFonts w:hint="eastAsia"/>
                <w:b/>
                <w:bCs/>
                <w:color w:val="FF0000"/>
                <w:sz w:val="24"/>
                <w:highlight w:val="none"/>
                <w:lang w:val="en-US" w:eastAsia="zh-CN"/>
              </w:rPr>
              <w:t>智慧教室终端、云桌面服务器</w:t>
            </w:r>
          </w:p>
        </w:tc>
      </w:tr>
      <w:tr w14:paraId="72653A5A">
        <w:tblPrEx>
          <w:tblLayout w:type="fixed"/>
        </w:tblPrEx>
        <w:trPr>
          <w:trHeight w:val="986" w:hRule="atLeast"/>
        </w:trPr>
        <w:tc>
          <w:tcPr>
            <w:tcW w:w="578" w:type="dxa"/>
            <w:tcBorders>
              <w:left w:val="single" w:color="auto" w:sz="4" w:space="0"/>
              <w:right w:val="single" w:color="auto" w:sz="4" w:space="0"/>
            </w:tcBorders>
            <w:vAlign w:val="center"/>
          </w:tcPr>
          <w:p w14:paraId="2C10D18E">
            <w:pPr>
              <w:keepNext w:val="0"/>
              <w:keepLines w:val="0"/>
              <w:suppressLineNumbers w:val="0"/>
              <w:spacing w:before="0" w:beforeAutospacing="0" w:after="0" w:afterAutospacing="0" w:line="360" w:lineRule="auto"/>
              <w:ind w:left="0" w:right="0"/>
              <w:jc w:val="center"/>
              <w:rPr>
                <w:rFonts w:hint="default" w:ascii="宋体" w:hAnsi="宋体" w:cs="宋体"/>
                <w:color w:val="0000FF"/>
                <w:sz w:val="24"/>
                <w:highlight w:val="none"/>
              </w:rPr>
            </w:pPr>
            <w:r>
              <w:rPr>
                <w:rFonts w:hint="eastAsia" w:ascii="宋体" w:hAnsi="宋体" w:cs="宋体"/>
                <w:color w:val="000000" w:themeColor="text1"/>
                <w:sz w:val="24"/>
                <w:highlight w:val="none"/>
                <w14:textFill>
                  <w14:solidFill>
                    <w14:schemeClr w14:val="tx1"/>
                  </w14:solidFill>
                </w14:textFill>
              </w:rPr>
              <w:t>25</w:t>
            </w:r>
          </w:p>
        </w:tc>
        <w:tc>
          <w:tcPr>
            <w:tcW w:w="1798" w:type="dxa"/>
            <w:tcBorders>
              <w:left w:val="single" w:color="auto" w:sz="4" w:space="0"/>
              <w:right w:val="single" w:color="auto" w:sz="4" w:space="0"/>
            </w:tcBorders>
            <w:vAlign w:val="center"/>
          </w:tcPr>
          <w:p w14:paraId="182618EB">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0000FF"/>
                <w:spacing w:val="-14"/>
                <w:sz w:val="24"/>
                <w:highlight w:val="none"/>
              </w:rPr>
            </w:pPr>
            <w:r>
              <w:rPr>
                <w:rFonts w:hint="default" w:ascii="宋体" w:hAnsi="宋体" w:cs="宋体"/>
                <w:color w:val="000000" w:themeColor="text1"/>
                <w:sz w:val="24"/>
                <w:highlight w:val="none"/>
                <w14:textFill>
                  <w14:solidFill>
                    <w14:schemeClr w14:val="tx1"/>
                  </w14:solidFill>
                </w14:textFill>
              </w:rPr>
              <w:t>所属行业</w:t>
            </w:r>
          </w:p>
        </w:tc>
        <w:tc>
          <w:tcPr>
            <w:tcW w:w="7382" w:type="dxa"/>
            <w:tcBorders>
              <w:top w:val="single" w:color="auto" w:sz="4" w:space="0"/>
              <w:left w:val="single" w:color="auto" w:sz="4" w:space="0"/>
              <w:bottom w:val="single" w:color="auto" w:sz="4" w:space="0"/>
              <w:right w:val="single" w:color="auto" w:sz="4" w:space="0"/>
            </w:tcBorders>
            <w:shd w:val="clear" w:color="auto" w:fill="auto"/>
            <w:vAlign w:val="center"/>
          </w:tcPr>
          <w:p w14:paraId="7BAC92F9">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一、工业（制造业）</w:t>
            </w:r>
          </w:p>
          <w:p w14:paraId="3B0FF2A5">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彩色激光多功能一体机</w:t>
            </w:r>
          </w:p>
          <w:p w14:paraId="3157A072">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办公电脑、专用计算机</w:t>
            </w:r>
          </w:p>
          <w:p w14:paraId="47EAF8BB">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笔记本电脑</w:t>
            </w:r>
          </w:p>
          <w:p w14:paraId="28BD9220">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碎纸机</w:t>
            </w:r>
          </w:p>
          <w:p w14:paraId="081F9919">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大型彩色激光复印机、大型黑白复印机</w:t>
            </w:r>
          </w:p>
          <w:p w14:paraId="4BAF7C66">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圆形会议桌、职工座椅、办公桌椅</w:t>
            </w:r>
          </w:p>
          <w:p w14:paraId="614E8268">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音响设备</w:t>
            </w:r>
          </w:p>
          <w:p w14:paraId="5B789174">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移动投影（含 120 寸玻珠幕布）</w:t>
            </w:r>
          </w:p>
          <w:p w14:paraId="56EDDF56">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移动智慧屏</w:t>
            </w:r>
          </w:p>
          <w:p w14:paraId="366A56BD">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档案柜</w:t>
            </w:r>
          </w:p>
          <w:p w14:paraId="4F298711">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饮水机</w:t>
            </w:r>
          </w:p>
          <w:p w14:paraId="10ECCBA3">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沙发、接待沙发</w:t>
            </w:r>
          </w:p>
          <w:p w14:paraId="0027D5FC">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心理投射画板</w:t>
            </w:r>
          </w:p>
          <w:p w14:paraId="33AB6B32">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录音笔</w:t>
            </w:r>
          </w:p>
          <w:p w14:paraId="68A3B3D9">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挂钟</w:t>
            </w:r>
          </w:p>
          <w:p w14:paraId="1512A03A">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咨询沙发茶几</w:t>
            </w:r>
          </w:p>
          <w:p w14:paraId="2194E861">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体感音乐放松椅</w:t>
            </w:r>
          </w:p>
          <w:p w14:paraId="6808C8E1">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心理健康多维训练系统硬件</w:t>
            </w:r>
          </w:p>
          <w:p w14:paraId="1E182F38">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多模态训练系统硬件</w:t>
            </w:r>
          </w:p>
          <w:p w14:paraId="60827A9B">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智能拥抱放松系统</w:t>
            </w:r>
          </w:p>
          <w:p w14:paraId="5EDD5332">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数字沙盘系统硬件</w:t>
            </w:r>
          </w:p>
          <w:p w14:paraId="468DE403">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沙盘游戏活动套装</w:t>
            </w:r>
          </w:p>
          <w:p w14:paraId="1297B595">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鞋套盒</w:t>
            </w:r>
          </w:p>
          <w:p w14:paraId="71BB9E3D">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多维按摩脉搏反馈调适设备</w:t>
            </w:r>
          </w:p>
          <w:p w14:paraId="5E9FB3DE">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智能身心减压调养舱</w:t>
            </w:r>
          </w:p>
          <w:p w14:paraId="37D1E01D">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休息坐凳</w:t>
            </w:r>
          </w:p>
          <w:p w14:paraId="1A53ECA2">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宣泄地板、宣泄墙、基础宣泄套装</w:t>
            </w:r>
          </w:p>
          <w:p w14:paraId="6E01647D">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运动宣泄放松训练设备</w:t>
            </w:r>
          </w:p>
          <w:p w14:paraId="72A4A740">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多维身心训练系统硬件</w:t>
            </w:r>
          </w:p>
          <w:p w14:paraId="20472C97">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体感互动宣泄系统</w:t>
            </w:r>
          </w:p>
          <w:p w14:paraId="3AF70045">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心理挂图</w:t>
            </w:r>
          </w:p>
          <w:p w14:paraId="1B927019">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入口热风幕</w:t>
            </w:r>
          </w:p>
          <w:p w14:paraId="49AE0736">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手机屏蔽柜</w:t>
            </w:r>
          </w:p>
          <w:p w14:paraId="1FB21644">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智慧教室终端硬件</w:t>
            </w:r>
          </w:p>
          <w:p w14:paraId="51BAE9AA">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教师 3D 跟踪探测器、学生 3D 跟踪探测器</w:t>
            </w:r>
          </w:p>
          <w:p w14:paraId="5A010287">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全自动跟踪系统硬件</w:t>
            </w:r>
          </w:p>
          <w:p w14:paraId="183A187C">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云台摄像机</w:t>
            </w:r>
          </w:p>
          <w:p w14:paraId="59232298">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拾音吊麦</w:t>
            </w:r>
          </w:p>
          <w:p w14:paraId="28C88751">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无线麦克风</w:t>
            </w:r>
          </w:p>
          <w:p w14:paraId="31873F8D">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音响</w:t>
            </w:r>
          </w:p>
          <w:p w14:paraId="2B7054EA">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双屏智慧黑板</w:t>
            </w:r>
          </w:p>
          <w:p w14:paraId="0D3BAEA1">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触控一体机</w:t>
            </w:r>
          </w:p>
          <w:p w14:paraId="0705700B">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智慧讲台</w:t>
            </w:r>
          </w:p>
          <w:p w14:paraId="2B98911F">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键鼠</w:t>
            </w:r>
          </w:p>
          <w:p w14:paraId="28288E49">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无线 AP</w:t>
            </w:r>
          </w:p>
          <w:p w14:paraId="6B2241DC">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企业级 VPN 路由器</w:t>
            </w:r>
          </w:p>
          <w:p w14:paraId="56B391A1">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交换机</w:t>
            </w:r>
          </w:p>
          <w:p w14:paraId="4A1E67EC">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桥架</w:t>
            </w:r>
          </w:p>
          <w:p w14:paraId="7C1FBB57">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防静电地板</w:t>
            </w:r>
          </w:p>
          <w:p w14:paraId="07A3DB31">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吊顶天棚</w:t>
            </w:r>
          </w:p>
          <w:p w14:paraId="16ED06D2">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LED 灯板</w:t>
            </w:r>
          </w:p>
          <w:p w14:paraId="40AEA62A">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各类电缆、接地铜带、接地母线、等电位</w:t>
            </w:r>
          </w:p>
          <w:p w14:paraId="11B62499">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金属踢脚线</w:t>
            </w:r>
          </w:p>
          <w:p w14:paraId="28BB07F2">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柜式空调</w:t>
            </w:r>
          </w:p>
          <w:p w14:paraId="2701AD67">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LED 屏配电柜、UPS 电池箱、UPS 电池、UPS 主机、UPS 配电柜、配电箱</w:t>
            </w:r>
          </w:p>
          <w:p w14:paraId="54C5D957">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水平弱电桥架、垂直弱电桥架</w:t>
            </w:r>
          </w:p>
          <w:p w14:paraId="08D65B2D">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电源线</w:t>
            </w:r>
          </w:p>
          <w:p w14:paraId="68E494E7">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机柜、PDU 插排、ODF 子框</w:t>
            </w:r>
          </w:p>
          <w:p w14:paraId="3AEBC859">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高清网络中控、控制屏</w:t>
            </w:r>
          </w:p>
          <w:p w14:paraId="59CD49CA">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台式机</w:t>
            </w:r>
          </w:p>
          <w:p w14:paraId="0AF21C63">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激光投影、幕布</w:t>
            </w:r>
          </w:p>
          <w:p w14:paraId="70090CAB">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讲台</w:t>
            </w:r>
          </w:p>
          <w:p w14:paraId="294094C5">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云桌面硬件终端</w:t>
            </w:r>
          </w:p>
          <w:p w14:paraId="58E2969B">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服务器</w:t>
            </w:r>
          </w:p>
          <w:p w14:paraId="0C3AE1AB">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附件线材及配套硬件</w:t>
            </w:r>
          </w:p>
          <w:p w14:paraId="6BCA3811">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LED 大屏、阶梯教室显示屏</w:t>
            </w:r>
          </w:p>
          <w:p w14:paraId="24F3AF05">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阶梯教室音响设备</w:t>
            </w:r>
          </w:p>
          <w:p w14:paraId="1C473ED5">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云桌面服务器、学生云终端、教师云终端</w:t>
            </w:r>
          </w:p>
          <w:p w14:paraId="7561594A">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48 口 / 24 口 / 服务器交换机</w:t>
            </w:r>
          </w:p>
          <w:p w14:paraId="7880DF7D">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教师桌椅、学生桌椅</w:t>
            </w:r>
          </w:p>
          <w:p w14:paraId="778466C8">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室内发射主机、中继放大器、专用漏泄电缆</w:t>
            </w:r>
          </w:p>
          <w:p w14:paraId="0836E099">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四六级配套计算机</w:t>
            </w:r>
          </w:p>
          <w:p w14:paraId="5C4F06B0">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无线远程控制开关</w:t>
            </w:r>
          </w:p>
          <w:p w14:paraId="21A128BE">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播音桌椅</w:t>
            </w:r>
          </w:p>
          <w:p w14:paraId="7B5108C3">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UPS 不间断电源</w:t>
            </w:r>
          </w:p>
          <w:p w14:paraId="190629B8">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val="en-US" w:eastAsia="zh-CN"/>
                <w14:textFill>
                  <w14:solidFill>
                    <w14:schemeClr w14:val="tx1"/>
                  </w14:solidFill>
                </w14:textFill>
              </w:rPr>
              <w:t>二</w:t>
            </w:r>
            <w:r>
              <w:rPr>
                <w:rFonts w:hint="eastAsia" w:ascii="宋体" w:hAnsi="宋体" w:cs="Times New Roman"/>
                <w:color w:val="000000" w:themeColor="text1"/>
                <w:sz w:val="24"/>
                <w:highlight w:val="none"/>
                <w14:textFill>
                  <w14:solidFill>
                    <w14:schemeClr w14:val="tx1"/>
                  </w14:solidFill>
                </w14:textFill>
              </w:rPr>
              <w:t>、服务业（软件和信息技术服务业）</w:t>
            </w:r>
          </w:p>
          <w:p w14:paraId="362F17C2">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心理生态云平台</w:t>
            </w:r>
          </w:p>
          <w:p w14:paraId="051271C8">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服务站系统</w:t>
            </w:r>
          </w:p>
          <w:p w14:paraId="0D81BA8A">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智慧终端管理系统</w:t>
            </w:r>
          </w:p>
          <w:p w14:paraId="4A6FE8E2">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精品录播系统、常态录播系统</w:t>
            </w:r>
          </w:p>
          <w:p w14:paraId="20754096">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云直播系统</w:t>
            </w:r>
          </w:p>
          <w:p w14:paraId="33537E1D">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智慧课堂系统</w:t>
            </w:r>
          </w:p>
          <w:p w14:paraId="7D33577E">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云桌面平台软件</w:t>
            </w:r>
          </w:p>
          <w:p w14:paraId="19FDC73B">
            <w:pPr>
              <w:keepNext w:val="0"/>
              <w:keepLines w:val="0"/>
              <w:suppressLineNumbers w:val="0"/>
              <w:spacing w:before="0" w:beforeAutospacing="0" w:after="0" w:afterAutospacing="0" w:line="360" w:lineRule="auto"/>
              <w:ind w:left="0" w:right="0"/>
              <w:rPr>
                <w:rFonts w:hint="eastAsia" w:ascii="宋体" w:hAnsi="宋体" w:cs="Times New Roman"/>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14:textFill>
                  <w14:solidFill>
                    <w14:schemeClr w14:val="tx1"/>
                  </w14:solidFill>
                </w14:textFill>
              </w:rPr>
              <w:t>云桌面管理计算平台</w:t>
            </w:r>
          </w:p>
          <w:p w14:paraId="78CF5205">
            <w:pPr>
              <w:keepNext w:val="0"/>
              <w:keepLines w:val="0"/>
              <w:suppressLineNumbers w:val="0"/>
              <w:spacing w:before="0" w:beforeAutospacing="0" w:after="0" w:afterAutospacing="0" w:line="360" w:lineRule="auto"/>
              <w:ind w:left="0" w:right="0"/>
              <w:rPr>
                <w:rFonts w:hint="eastAsia" w:ascii="宋体" w:hAnsi="宋体" w:cs="Times New Roman"/>
                <w:color w:val="0000FF"/>
                <w:sz w:val="24"/>
                <w:highlight w:val="none"/>
              </w:rPr>
            </w:pPr>
            <w:r>
              <w:rPr>
                <w:rFonts w:hint="eastAsia" w:ascii="宋体" w:hAnsi="宋体" w:cs="Times New Roman"/>
                <w:color w:val="000000" w:themeColor="text1"/>
                <w:sz w:val="24"/>
                <w:highlight w:val="none"/>
                <w14:textFill>
                  <w14:solidFill>
                    <w14:schemeClr w14:val="tx1"/>
                  </w14:solidFill>
                </w14:textFill>
              </w:rPr>
              <w:t>教学管理软件</w:t>
            </w:r>
          </w:p>
        </w:tc>
      </w:tr>
      <w:tr w14:paraId="66060539">
        <w:tblPrEx>
          <w:tblLayout w:type="fixed"/>
        </w:tblPrEx>
        <w:trPr>
          <w:trHeight w:val="986" w:hRule="atLeast"/>
        </w:trPr>
        <w:tc>
          <w:tcPr>
            <w:tcW w:w="578" w:type="dxa"/>
            <w:tcBorders>
              <w:left w:val="single" w:color="auto" w:sz="4" w:space="0"/>
              <w:right w:val="single" w:color="auto" w:sz="4" w:space="0"/>
            </w:tcBorders>
            <w:vAlign w:val="center"/>
          </w:tcPr>
          <w:p w14:paraId="42AE754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26</w:t>
            </w:r>
          </w:p>
        </w:tc>
        <w:tc>
          <w:tcPr>
            <w:tcW w:w="1798" w:type="dxa"/>
            <w:tcBorders>
              <w:left w:val="single" w:color="auto" w:sz="4" w:space="0"/>
              <w:right w:val="single" w:color="auto" w:sz="4" w:space="0"/>
            </w:tcBorders>
            <w:vAlign w:val="center"/>
          </w:tcPr>
          <w:p w14:paraId="231B4C15">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rPr>
            </w:pPr>
            <w:r>
              <w:rPr>
                <w:rFonts w:hint="eastAsia" w:ascii="宋体" w:hAnsi="宋体" w:cs="宋体"/>
                <w:color w:val="000000"/>
                <w:sz w:val="24"/>
              </w:rPr>
              <w:t>是否允许进口产品</w:t>
            </w:r>
          </w:p>
        </w:tc>
        <w:tc>
          <w:tcPr>
            <w:tcW w:w="7382" w:type="dxa"/>
            <w:tcBorders>
              <w:top w:val="single" w:color="auto" w:sz="4" w:space="0"/>
              <w:left w:val="single" w:color="auto" w:sz="4" w:space="0"/>
              <w:bottom w:val="single" w:color="auto" w:sz="4" w:space="0"/>
              <w:right w:val="single" w:color="auto" w:sz="4" w:space="0"/>
            </w:tcBorders>
            <w:vAlign w:val="center"/>
          </w:tcPr>
          <w:p w14:paraId="4E96CCDA">
            <w:pPr>
              <w:keepNext w:val="0"/>
              <w:keepLines w:val="0"/>
              <w:suppressLineNumbers w:val="0"/>
              <w:spacing w:before="0" w:beforeAutospacing="0" w:after="0" w:afterAutospacing="0" w:line="360" w:lineRule="auto"/>
              <w:ind w:left="0" w:right="0"/>
              <w:rPr>
                <w:rFonts w:hint="eastAsia" w:ascii="宋体" w:hAnsi="宋体" w:cs="Times New Roman"/>
                <w:color w:val="auto"/>
                <w:sz w:val="24"/>
                <w:highlight w:val="none"/>
              </w:rPr>
            </w:pPr>
            <w:r>
              <w:rPr>
                <w:rFonts w:hint="eastAsia" w:ascii="宋体" w:hAnsi="宋体" w:cs="Times New Roman"/>
                <w:color w:val="000000"/>
                <w:sz w:val="24"/>
              </w:rPr>
              <w:t>□是       ☑否</w:t>
            </w:r>
          </w:p>
        </w:tc>
      </w:tr>
      <w:tr w14:paraId="3FEBB7B2">
        <w:tblPrEx>
          <w:tblLayout w:type="fixed"/>
        </w:tblPrEx>
        <w:trPr>
          <w:trHeight w:val="986" w:hRule="atLeast"/>
        </w:trPr>
        <w:tc>
          <w:tcPr>
            <w:tcW w:w="578" w:type="dxa"/>
            <w:tcBorders>
              <w:left w:val="single" w:color="auto" w:sz="4" w:space="0"/>
              <w:right w:val="single" w:color="auto" w:sz="4" w:space="0"/>
            </w:tcBorders>
            <w:vAlign w:val="center"/>
          </w:tcPr>
          <w:p w14:paraId="5FD32451">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27</w:t>
            </w:r>
          </w:p>
        </w:tc>
        <w:tc>
          <w:tcPr>
            <w:tcW w:w="1798" w:type="dxa"/>
            <w:tcBorders>
              <w:left w:val="single" w:color="auto" w:sz="4" w:space="0"/>
              <w:right w:val="single" w:color="auto" w:sz="4" w:space="0"/>
            </w:tcBorders>
            <w:vAlign w:val="center"/>
          </w:tcPr>
          <w:p w14:paraId="2077B4E2">
            <w:pPr>
              <w:keepNext w:val="0"/>
              <w:keepLines w:val="0"/>
              <w:suppressLineNumbers w:val="0"/>
              <w:spacing w:before="0" w:beforeAutospacing="0" w:after="0" w:afterAutospacing="0" w:line="360" w:lineRule="auto"/>
              <w:ind w:left="0" w:right="0"/>
              <w:jc w:val="center"/>
              <w:rPr>
                <w:rFonts w:hint="eastAsia" w:ascii="宋体" w:hAnsi="宋体" w:cs="宋体"/>
                <w:color w:val="000000"/>
                <w:sz w:val="24"/>
              </w:rPr>
            </w:pPr>
            <w:r>
              <w:rPr>
                <w:rFonts w:hint="eastAsia" w:ascii="宋体" w:hAnsi="宋体" w:cs="宋体"/>
                <w:color w:val="000000"/>
                <w:sz w:val="24"/>
              </w:rPr>
              <w:t>是否允许投标人将项目非主体、非关键性工作交由他人完成</w:t>
            </w:r>
          </w:p>
        </w:tc>
        <w:tc>
          <w:tcPr>
            <w:tcW w:w="7382" w:type="dxa"/>
            <w:tcBorders>
              <w:top w:val="single" w:color="auto" w:sz="4" w:space="0"/>
              <w:left w:val="single" w:color="auto" w:sz="4" w:space="0"/>
              <w:bottom w:val="single" w:color="auto" w:sz="4" w:space="0"/>
              <w:right w:val="single" w:color="auto" w:sz="4" w:space="0"/>
            </w:tcBorders>
            <w:vAlign w:val="center"/>
          </w:tcPr>
          <w:p w14:paraId="5092C234">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☑不允许</w:t>
            </w:r>
          </w:p>
          <w:p w14:paraId="4ADA005E">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□允许，具体要求：</w:t>
            </w:r>
          </w:p>
          <w:p w14:paraId="6BFFFB4F">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（1）可以分包履行的具体内容：/</w:t>
            </w:r>
          </w:p>
          <w:p w14:paraId="4289DD4F">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（2）允许分包的金额或者比例：/</w:t>
            </w:r>
          </w:p>
          <w:p w14:paraId="767A7BC3">
            <w:pPr>
              <w:keepNext w:val="0"/>
              <w:keepLines w:val="0"/>
              <w:suppressLineNumbers w:val="0"/>
              <w:spacing w:before="0" w:beforeAutospacing="0" w:after="0" w:afterAutospacing="0" w:line="360" w:lineRule="auto"/>
              <w:ind w:left="0" w:right="0"/>
              <w:rPr>
                <w:rFonts w:hint="eastAsia" w:ascii="宋体" w:hAnsi="宋体" w:cs="Times New Roman"/>
                <w:color w:val="000000"/>
                <w:sz w:val="24"/>
              </w:rPr>
            </w:pPr>
            <w:r>
              <w:rPr>
                <w:rFonts w:hint="eastAsia" w:ascii="宋体" w:hAnsi="宋体" w:cs="Times New Roman"/>
                <w:color w:val="000000"/>
                <w:sz w:val="24"/>
              </w:rPr>
              <w:t>（3）其他要求：/</w:t>
            </w:r>
          </w:p>
        </w:tc>
      </w:tr>
      <w:tr w14:paraId="1BD2E902">
        <w:tblPrEx>
          <w:tblLayout w:type="fixed"/>
        </w:tblPrEx>
        <w:trPr>
          <w:trHeight w:val="1033" w:hRule="atLeast"/>
        </w:trPr>
        <w:tc>
          <w:tcPr>
            <w:tcW w:w="578" w:type="dxa"/>
            <w:tcBorders>
              <w:left w:val="single" w:color="auto" w:sz="4" w:space="0"/>
              <w:right w:val="single" w:color="auto" w:sz="4" w:space="0"/>
            </w:tcBorders>
            <w:vAlign w:val="center"/>
          </w:tcPr>
          <w:p w14:paraId="5CF5B92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8</w:t>
            </w:r>
          </w:p>
        </w:tc>
        <w:tc>
          <w:tcPr>
            <w:tcW w:w="1798" w:type="dxa"/>
            <w:tcBorders>
              <w:left w:val="single" w:color="auto" w:sz="4" w:space="0"/>
              <w:right w:val="single" w:color="auto" w:sz="4" w:space="0"/>
            </w:tcBorders>
            <w:vAlign w:val="center"/>
          </w:tcPr>
          <w:p w14:paraId="4A28842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rPr>
              <w:t>招标代理</w:t>
            </w:r>
          </w:p>
          <w:p w14:paraId="15F37AF3">
            <w:pPr>
              <w:keepNext w:val="0"/>
              <w:keepLines w:val="0"/>
              <w:suppressLineNumbers w:val="0"/>
              <w:spacing w:before="0" w:beforeAutospacing="0" w:after="0" w:afterAutospacing="0" w:line="360" w:lineRule="auto"/>
              <w:ind w:left="0" w:right="0"/>
              <w:jc w:val="center"/>
              <w:rPr>
                <w:rFonts w:hint="eastAsia" w:ascii="宋体" w:hAnsi="宋体" w:cs="宋体"/>
                <w:color w:val="auto"/>
                <w:spacing w:val="-14"/>
                <w:sz w:val="24"/>
                <w:highlight w:val="none"/>
              </w:rPr>
            </w:pPr>
            <w:r>
              <w:rPr>
                <w:rFonts w:hint="eastAsia" w:ascii="宋体" w:hAnsi="宋体" w:cs="宋体"/>
                <w:color w:val="auto"/>
                <w:sz w:val="24"/>
                <w:highlight w:val="none"/>
              </w:rPr>
              <w:t>服务费</w:t>
            </w:r>
          </w:p>
        </w:tc>
        <w:tc>
          <w:tcPr>
            <w:tcW w:w="7382" w:type="dxa"/>
            <w:tcBorders>
              <w:top w:val="single" w:color="auto" w:sz="4" w:space="0"/>
              <w:left w:val="single" w:color="auto" w:sz="4" w:space="0"/>
              <w:bottom w:val="single" w:color="auto" w:sz="4" w:space="0"/>
              <w:right w:val="single" w:color="auto" w:sz="4" w:space="0"/>
            </w:tcBorders>
            <w:vAlign w:val="center"/>
          </w:tcPr>
          <w:p w14:paraId="18D5C3DD">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无</w:t>
            </w:r>
          </w:p>
        </w:tc>
      </w:tr>
      <w:tr w14:paraId="786BE0AB">
        <w:tblPrEx>
          <w:tblLayout w:type="fixed"/>
        </w:tblPrEx>
        <w:trPr>
          <w:trHeight w:val="567" w:hRule="atLeast"/>
        </w:trPr>
        <w:tc>
          <w:tcPr>
            <w:tcW w:w="578" w:type="dxa"/>
            <w:tcBorders>
              <w:left w:val="single" w:color="auto" w:sz="4" w:space="0"/>
              <w:right w:val="single" w:color="auto" w:sz="4" w:space="0"/>
            </w:tcBorders>
            <w:vAlign w:val="center"/>
          </w:tcPr>
          <w:p w14:paraId="172F4E08">
            <w:pPr>
              <w:keepNext w:val="0"/>
              <w:keepLines w:val="0"/>
              <w:suppressLineNumbers w:val="0"/>
              <w:spacing w:before="0" w:beforeAutospacing="0" w:after="0" w:afterAutospacing="0" w:line="360" w:lineRule="auto"/>
              <w:ind w:left="0" w:right="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29</w:t>
            </w:r>
          </w:p>
        </w:tc>
        <w:tc>
          <w:tcPr>
            <w:tcW w:w="1798" w:type="dxa"/>
            <w:tcBorders>
              <w:left w:val="single" w:color="auto" w:sz="4" w:space="0"/>
              <w:right w:val="single" w:color="auto" w:sz="4" w:space="0"/>
            </w:tcBorders>
            <w:vAlign w:val="center"/>
          </w:tcPr>
          <w:p w14:paraId="7D554C7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是否适用本国产品标准价格评审优惠</w:t>
            </w:r>
          </w:p>
        </w:tc>
        <w:tc>
          <w:tcPr>
            <w:tcW w:w="7382" w:type="dxa"/>
            <w:tcBorders>
              <w:top w:val="single" w:color="auto" w:sz="4" w:space="0"/>
              <w:left w:val="single" w:color="auto" w:sz="4" w:space="0"/>
              <w:bottom w:val="single" w:color="auto" w:sz="4" w:space="0"/>
              <w:right w:val="single" w:color="auto" w:sz="4" w:space="0"/>
            </w:tcBorders>
            <w:vAlign w:val="center"/>
          </w:tcPr>
          <w:p w14:paraId="7456E7CD">
            <w:pPr>
              <w:keepNext w:val="0"/>
              <w:keepLines w:val="0"/>
              <w:suppressLineNumbers w:val="0"/>
              <w:spacing w:before="0" w:beforeAutospacing="0" w:after="0" w:afterAutospacing="0" w:line="360" w:lineRule="auto"/>
              <w:ind w:left="0" w:right="0"/>
              <w:rPr>
                <w:rFonts w:hint="default" w:ascii="宋体" w:hAnsi="Times New Roman" w:eastAsia="宋体" w:cs="Times New Roman"/>
                <w:color w:val="auto"/>
                <w:sz w:val="24"/>
                <w:highlight w:val="none"/>
                <w:lang w:val="en-US" w:eastAsia="zh-CN"/>
              </w:rPr>
            </w:pPr>
            <w:r>
              <w:rPr>
                <w:rFonts w:hint="eastAsia" w:ascii="宋体" w:hAnsi="Times New Roman" w:cs="Times New Roman"/>
                <w:color w:val="auto"/>
                <w:sz w:val="24"/>
                <w:highlight w:val="none"/>
                <w:lang w:val="en-US" w:eastAsia="zh-CN"/>
              </w:rPr>
              <w:t>对本国产品的报价给于20%的价格扣除（本项目不适用）</w:t>
            </w:r>
          </w:p>
        </w:tc>
      </w:tr>
      <w:tr w14:paraId="5F56CFF4">
        <w:tblPrEx>
          <w:tblLayout w:type="fixed"/>
        </w:tblPrEx>
        <w:trPr>
          <w:trHeight w:val="1279" w:hRule="atLeast"/>
        </w:trPr>
        <w:tc>
          <w:tcPr>
            <w:tcW w:w="578" w:type="dxa"/>
            <w:tcBorders>
              <w:left w:val="single" w:color="auto" w:sz="4" w:space="0"/>
              <w:right w:val="single" w:color="auto" w:sz="4" w:space="0"/>
            </w:tcBorders>
            <w:vAlign w:val="center"/>
          </w:tcPr>
          <w:p w14:paraId="1FBA938A">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1798" w:type="dxa"/>
            <w:tcBorders>
              <w:left w:val="single" w:color="auto" w:sz="4" w:space="0"/>
              <w:right w:val="single" w:color="auto" w:sz="4" w:space="0"/>
            </w:tcBorders>
            <w:vAlign w:val="center"/>
          </w:tcPr>
          <w:p w14:paraId="1632912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yellow"/>
                <w:lang w:val="en-US" w:eastAsia="zh-CN"/>
              </w:rPr>
            </w:pPr>
            <w:r>
              <w:rPr>
                <w:rFonts w:hint="eastAsia" w:ascii="宋体" w:hAnsi="宋体" w:cs="宋体"/>
                <w:color w:val="auto"/>
                <w:spacing w:val="-14"/>
                <w:sz w:val="24"/>
                <w:highlight w:val="none"/>
              </w:rPr>
              <w:t>中小企业</w:t>
            </w:r>
            <w:r>
              <w:rPr>
                <w:rFonts w:hint="eastAsia" w:ascii="宋体" w:hAnsi="宋体" w:cs="宋体"/>
                <w:color w:val="auto"/>
                <w:spacing w:val="-14"/>
                <w:sz w:val="24"/>
                <w:highlight w:val="none"/>
                <w:lang w:val="en-US" w:eastAsia="zh-CN"/>
              </w:rPr>
              <w:t>份额政策</w:t>
            </w:r>
          </w:p>
        </w:tc>
        <w:tc>
          <w:tcPr>
            <w:tcW w:w="7382" w:type="dxa"/>
            <w:tcBorders>
              <w:top w:val="single" w:color="auto" w:sz="4" w:space="0"/>
              <w:left w:val="single" w:color="auto" w:sz="4" w:space="0"/>
              <w:bottom w:val="single" w:color="auto" w:sz="4" w:space="0"/>
              <w:right w:val="single" w:color="auto" w:sz="4" w:space="0"/>
            </w:tcBorders>
            <w:vAlign w:val="center"/>
          </w:tcPr>
          <w:p w14:paraId="7540278A">
            <w:pPr>
              <w:keepNext w:val="0"/>
              <w:keepLines w:val="0"/>
              <w:suppressLineNumbers w:val="0"/>
              <w:spacing w:before="0" w:beforeAutospacing="0" w:after="0" w:afterAutospacing="0" w:line="360" w:lineRule="auto"/>
              <w:ind w:left="0" w:right="0"/>
              <w:rPr>
                <w:rFonts w:hint="eastAsia" w:ascii="宋体" w:hAnsi="宋体" w:cs="宋体"/>
                <w:b/>
                <w:bCs/>
                <w:color w:val="auto"/>
                <w:sz w:val="24"/>
                <w:highlight w:val="none"/>
              </w:rPr>
            </w:pPr>
            <w:r>
              <w:rPr>
                <w:rFonts w:hint="eastAsia" w:ascii="宋体" w:hAnsi="宋体" w:cs="宋体"/>
                <w:b/>
                <w:bCs/>
                <w:color w:val="auto"/>
                <w:sz w:val="24"/>
                <w:highlight w:val="none"/>
                <w:lang w:eastAsia="zh-CN"/>
              </w:rPr>
              <w:t>本项目非专门面向中小企业进行采购</w:t>
            </w:r>
            <w:r>
              <w:rPr>
                <w:rFonts w:hint="eastAsia" w:ascii="宋体" w:hAnsi="宋体" w:cs="宋体"/>
                <w:b/>
                <w:bCs/>
                <w:color w:val="auto"/>
                <w:sz w:val="24"/>
                <w:highlight w:val="none"/>
              </w:rPr>
              <w:t>。</w:t>
            </w:r>
          </w:p>
          <w:p w14:paraId="3F97018A">
            <w:pPr>
              <w:keepNext w:val="0"/>
              <w:keepLines w:val="0"/>
              <w:suppressLineNumbers w:val="0"/>
              <w:spacing w:before="0" w:beforeAutospacing="0" w:after="0" w:afterAutospacing="0" w:line="360" w:lineRule="auto"/>
              <w:ind w:left="0" w:right="0"/>
              <w:rPr>
                <w:rFonts w:hint="eastAsia" w:ascii="宋体" w:hAnsi="宋体" w:cs="宋体"/>
                <w:b/>
                <w:bCs/>
                <w:color w:val="auto"/>
                <w:sz w:val="24"/>
                <w:highlight w:val="none"/>
              </w:rPr>
            </w:pPr>
            <w:r>
              <w:rPr>
                <w:rFonts w:hint="eastAsia" w:ascii="宋体" w:hAnsi="宋体" w:cs="宋体"/>
                <w:b/>
                <w:bCs/>
                <w:color w:val="auto"/>
                <w:sz w:val="24"/>
                <w:highlight w:val="none"/>
                <w:lang w:val="zh-CN"/>
              </w:rPr>
              <w:t>专门面向中小企业的，只接受</w:t>
            </w:r>
            <w:r>
              <w:rPr>
                <w:rFonts w:hint="eastAsia" w:ascii="宋体" w:hAnsi="宋体" w:cs="宋体"/>
                <w:b/>
                <w:bCs/>
                <w:color w:val="auto"/>
                <w:sz w:val="24"/>
                <w:highlight w:val="none"/>
              </w:rPr>
              <w:t>全部</w:t>
            </w:r>
            <w:r>
              <w:rPr>
                <w:rFonts w:hint="eastAsia" w:ascii="宋体" w:hAnsi="宋体" w:cs="宋体"/>
                <w:b/>
                <w:bCs/>
                <w:color w:val="auto"/>
                <w:sz w:val="24"/>
                <w:highlight w:val="none"/>
                <w:lang w:val="zh-CN"/>
              </w:rPr>
              <w:t>货物由中型、小型、微型企业制造。专门面向小微企业的，只接受</w:t>
            </w:r>
            <w:r>
              <w:rPr>
                <w:rFonts w:hint="eastAsia" w:ascii="宋体" w:hAnsi="宋体" w:cs="宋体"/>
                <w:b/>
                <w:bCs/>
                <w:color w:val="auto"/>
                <w:sz w:val="24"/>
                <w:highlight w:val="none"/>
              </w:rPr>
              <w:t>全部</w:t>
            </w:r>
            <w:r>
              <w:rPr>
                <w:rFonts w:hint="eastAsia" w:ascii="宋体" w:hAnsi="宋体" w:cs="宋体"/>
                <w:b/>
                <w:bCs/>
                <w:color w:val="auto"/>
                <w:sz w:val="24"/>
                <w:highlight w:val="none"/>
                <w:lang w:val="zh-CN"/>
              </w:rPr>
              <w:t>货物由小型、微型企业制造，</w:t>
            </w:r>
            <w:r>
              <w:rPr>
                <w:rFonts w:hint="eastAsia" w:ascii="宋体" w:hAnsi="宋体" w:cs="宋体"/>
                <w:b/>
                <w:bCs/>
                <w:color w:val="auto"/>
                <w:sz w:val="24"/>
                <w:highlight w:val="none"/>
              </w:rPr>
              <w:t>在中小企业声明函中须写明标的物、所提供的货物的制造商名称，所属行业、从业人员、营业收入、资产总额。</w:t>
            </w:r>
          </w:p>
          <w:p w14:paraId="01F82D3A">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highlight w:val="none"/>
                <w:lang w:val="en-US" w:eastAsia="zh-CN"/>
              </w:rPr>
            </w:pPr>
            <w:r>
              <w:rPr>
                <w:rFonts w:hint="eastAsia" w:ascii="宋体" w:hAnsi="宋体" w:cs="宋体"/>
                <w:b/>
                <w:bCs/>
                <w:color w:val="auto"/>
                <w:sz w:val="24"/>
                <w:highlight w:val="none"/>
              </w:rPr>
              <w:t>注：如未按规定提供将会导致废标</w:t>
            </w:r>
          </w:p>
        </w:tc>
      </w:tr>
      <w:tr w14:paraId="61612DEF">
        <w:tblPrEx>
          <w:tblLayout w:type="fixed"/>
        </w:tblPrEx>
        <w:trPr>
          <w:trHeight w:val="533" w:hRule="atLeast"/>
        </w:trPr>
        <w:tc>
          <w:tcPr>
            <w:tcW w:w="578" w:type="dxa"/>
            <w:tcBorders>
              <w:left w:val="single" w:color="auto" w:sz="4" w:space="0"/>
              <w:right w:val="single" w:color="auto" w:sz="4" w:space="0"/>
            </w:tcBorders>
            <w:vAlign w:val="center"/>
          </w:tcPr>
          <w:p w14:paraId="0E5E4103">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31</w:t>
            </w:r>
          </w:p>
        </w:tc>
        <w:tc>
          <w:tcPr>
            <w:tcW w:w="1798" w:type="dxa"/>
            <w:tcBorders>
              <w:left w:val="single" w:color="auto" w:sz="4" w:space="0"/>
              <w:right w:val="single" w:color="auto" w:sz="4" w:space="0"/>
            </w:tcBorders>
            <w:vAlign w:val="center"/>
          </w:tcPr>
          <w:p w14:paraId="406785EC">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yellow"/>
                <w:lang w:val="en-US" w:eastAsia="zh-CN"/>
              </w:rPr>
            </w:pPr>
            <w:r>
              <w:rPr>
                <w:rFonts w:hint="eastAsia" w:ascii="宋体" w:hAnsi="宋体" w:cs="宋体"/>
                <w:color w:val="auto"/>
                <w:spacing w:val="-14"/>
                <w:sz w:val="24"/>
                <w:highlight w:val="none"/>
                <w:lang w:val="en-US" w:eastAsia="zh-CN"/>
              </w:rPr>
              <w:t>异常低价审查</w:t>
            </w:r>
          </w:p>
        </w:tc>
        <w:tc>
          <w:tcPr>
            <w:tcW w:w="7382" w:type="dxa"/>
            <w:tcBorders>
              <w:top w:val="single" w:color="auto" w:sz="4" w:space="0"/>
              <w:left w:val="single" w:color="auto" w:sz="4" w:space="0"/>
              <w:bottom w:val="single" w:color="auto" w:sz="4" w:space="0"/>
              <w:right w:val="single" w:color="auto" w:sz="4" w:space="0"/>
            </w:tcBorders>
            <w:shd w:val="clear" w:color="auto" w:fill="auto"/>
            <w:vAlign w:val="center"/>
          </w:tcPr>
          <w:p w14:paraId="321A4E50">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lang w:val="en-US" w:eastAsia="zh-CN"/>
              </w:rPr>
              <w:t>1.政府采购评审中出现下列情形之一的，评标委员会应当启动异常低价投标（响应）审查程序：</w:t>
            </w:r>
          </w:p>
          <w:p w14:paraId="260E445B">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lang w:val="en-US" w:eastAsia="zh-CN"/>
              </w:rPr>
              <w:t>（1）投标报价低于全部通过符合性审查投标人投标报价平均值65%的，即投标报价&lt;全部通过符合性审查投标人投标报价平均值×65%；</w:t>
            </w:r>
          </w:p>
          <w:p w14:paraId="2CFD9DF2">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lang w:val="en-US" w:eastAsia="zh-CN"/>
              </w:rPr>
              <w:t>（2）投标报价低于通过符合性审查的次低报价投标人投标报价65%的，即投标报价&lt;通过符合性审查的次低报价投标人投标报价×65%；</w:t>
            </w:r>
          </w:p>
          <w:p w14:paraId="26C1C294">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lang w:val="en-US" w:eastAsia="zh-CN"/>
              </w:rPr>
              <w:t>（3）投标报价低于采购项目最高限价65%的，即投标报价&lt;采购项目最高限价×65%；</w:t>
            </w:r>
          </w:p>
          <w:p w14:paraId="0BD47B1E">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lang w:val="en-US" w:eastAsia="zh-CN"/>
              </w:rPr>
              <w:t>（4）评标委员会基于专业判断，认为投标人报价过低，有可能影响产品质量或者不能诚信履约的其他情形。</w:t>
            </w:r>
          </w:p>
          <w:p w14:paraId="04E96764">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lang w:val="en-US" w:eastAsia="zh-CN"/>
              </w:rPr>
              <w:t>2.评标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14:paraId="0B5B6CD8">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lang w:val="en-US" w:eastAsia="zh-CN"/>
              </w:rPr>
              <w:t>3.评标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标委员会应当将其作为无效投标（响应）处理。</w:t>
            </w:r>
          </w:p>
        </w:tc>
      </w:tr>
      <w:tr w14:paraId="6D890F8C">
        <w:tblPrEx>
          <w:tblLayout w:type="fixed"/>
        </w:tblPrEx>
        <w:trPr>
          <w:trHeight w:val="90" w:hRule="atLeast"/>
        </w:trPr>
        <w:tc>
          <w:tcPr>
            <w:tcW w:w="578" w:type="dxa"/>
            <w:tcBorders>
              <w:left w:val="single" w:color="auto" w:sz="4" w:space="0"/>
              <w:right w:val="single" w:color="auto" w:sz="4" w:space="0"/>
            </w:tcBorders>
            <w:vAlign w:val="center"/>
          </w:tcPr>
          <w:p w14:paraId="119666B3">
            <w:pPr>
              <w:keepNext w:val="0"/>
              <w:keepLines w:val="0"/>
              <w:suppressLineNumbers w:val="0"/>
              <w:spacing w:before="0" w:beforeAutospacing="0" w:after="0" w:afterAutospacing="0" w:line="360" w:lineRule="auto"/>
              <w:ind w:left="0" w:right="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1798" w:type="dxa"/>
            <w:tcBorders>
              <w:left w:val="single" w:color="auto" w:sz="4" w:space="0"/>
              <w:right w:val="single" w:color="auto" w:sz="4" w:space="0"/>
            </w:tcBorders>
            <w:vAlign w:val="center"/>
          </w:tcPr>
          <w:p w14:paraId="7239367C">
            <w:pPr>
              <w:keepNext w:val="0"/>
              <w:keepLines w:val="0"/>
              <w:suppressLineNumbers w:val="0"/>
              <w:spacing w:before="0" w:beforeAutospacing="0" w:after="0" w:afterAutospacing="0" w:line="360" w:lineRule="auto"/>
              <w:ind w:left="0" w:right="0"/>
              <w:jc w:val="center"/>
              <w:rPr>
                <w:rFonts w:hint="default" w:ascii="宋体" w:hAnsi="宋体" w:cs="宋体"/>
                <w:color w:val="auto"/>
                <w:spacing w:val="-14"/>
                <w:sz w:val="24"/>
                <w:highlight w:val="none"/>
                <w:lang w:val="en-US" w:eastAsia="zh-CN"/>
              </w:rPr>
            </w:pPr>
            <w:r>
              <w:rPr>
                <w:rFonts w:hint="eastAsia" w:ascii="宋体" w:hAnsi="宋体" w:cs="宋体"/>
                <w:color w:val="auto"/>
                <w:spacing w:val="-14"/>
                <w:sz w:val="24"/>
                <w:highlight w:val="none"/>
                <w:lang w:val="en-US" w:eastAsia="zh-CN"/>
              </w:rPr>
              <w:t>验收要求</w:t>
            </w:r>
          </w:p>
        </w:tc>
        <w:tc>
          <w:tcPr>
            <w:tcW w:w="7382" w:type="dxa"/>
            <w:tcBorders>
              <w:top w:val="single" w:color="auto" w:sz="4" w:space="0"/>
              <w:left w:val="single" w:color="auto" w:sz="4" w:space="0"/>
              <w:bottom w:val="single" w:color="auto" w:sz="4" w:space="0"/>
              <w:right w:val="single" w:color="auto" w:sz="4" w:space="0"/>
            </w:tcBorders>
            <w:vAlign w:val="center"/>
          </w:tcPr>
          <w:p w14:paraId="56913851">
            <w:pPr>
              <w:keepNext w:val="0"/>
              <w:keepLines w:val="0"/>
              <w:suppressLineNumbers w:val="0"/>
              <w:spacing w:before="0" w:beforeAutospacing="0" w:after="0" w:afterAutospacing="0" w:line="360" w:lineRule="auto"/>
              <w:ind w:left="0" w:right="0"/>
              <w:rPr>
                <w:rFonts w:hint="eastAsia"/>
                <w:b/>
                <w:bCs/>
                <w:color w:val="FF0000"/>
                <w:sz w:val="24"/>
                <w:highlight w:val="none"/>
                <w:lang w:val="en-US" w:eastAsia="zh-CN"/>
              </w:rPr>
            </w:pPr>
            <w:r>
              <w:rPr>
                <w:rFonts w:hint="eastAsia"/>
                <w:b/>
                <w:bCs/>
                <w:color w:val="000000" w:themeColor="text1"/>
                <w:sz w:val="24"/>
                <w:highlight w:val="none"/>
                <w:lang w:val="en-US" w:eastAsia="zh-CN"/>
                <w14:textFill>
                  <w14:solidFill>
                    <w14:schemeClr w14:val="tx1"/>
                  </w14:solidFill>
                </w14:textFill>
              </w:rPr>
              <w:t>“验收将依据合同、招标文件、中标人投标文件及承诺、现行国家相关标准及行业规范进行。具体包括：</w:t>
            </w:r>
          </w:p>
          <w:p w14:paraId="1EEFDC9C">
            <w:pPr>
              <w:keepNext w:val="0"/>
              <w:keepLines w:val="0"/>
              <w:suppressLineNumbers w:val="0"/>
              <w:spacing w:before="0" w:beforeAutospacing="0" w:after="0" w:afterAutospacing="0" w:line="360" w:lineRule="auto"/>
              <w:ind w:left="0" w:right="0"/>
              <w:rPr>
                <w:rFonts w:hint="eastAsia"/>
                <w:b/>
                <w:bCs/>
                <w:color w:val="auto"/>
                <w:sz w:val="24"/>
                <w:highlight w:val="none"/>
              </w:rPr>
            </w:pPr>
            <w:r>
              <w:rPr>
                <w:rFonts w:hint="eastAsia"/>
                <w:b/>
                <w:bCs/>
                <w:color w:val="auto"/>
                <w:sz w:val="24"/>
                <w:highlight w:val="none"/>
              </w:rPr>
              <w:t>1、‌设备完整性‌：设备的外观应完整无损，无明显的划痕、变形或损坏。设备的所有部件和附件应齐全，并符合购买合同中的规定。‌</w:t>
            </w:r>
          </w:p>
          <w:p w14:paraId="60C9F499">
            <w:pPr>
              <w:keepNext w:val="0"/>
              <w:keepLines w:val="0"/>
              <w:suppressLineNumbers w:val="0"/>
              <w:spacing w:before="0" w:beforeAutospacing="0" w:after="0" w:afterAutospacing="0" w:line="360" w:lineRule="auto"/>
              <w:ind w:left="0" w:right="0"/>
              <w:rPr>
                <w:rFonts w:hint="eastAsia"/>
                <w:b/>
                <w:bCs/>
                <w:color w:val="auto"/>
                <w:sz w:val="24"/>
                <w:highlight w:val="none"/>
              </w:rPr>
            </w:pPr>
            <w:r>
              <w:rPr>
                <w:rFonts w:hint="eastAsia"/>
                <w:b/>
                <w:bCs/>
                <w:color w:val="auto"/>
                <w:sz w:val="24"/>
                <w:highlight w:val="none"/>
              </w:rPr>
              <w:t>2、‌设备性能‌：设备应能够正常启动、运行和关闭，各项功能应符合购买合同中的规定。设备运行时应无异常响声或异味。‌</w:t>
            </w:r>
          </w:p>
          <w:p w14:paraId="595A3D8C">
            <w:pPr>
              <w:keepNext w:val="0"/>
              <w:keepLines w:val="0"/>
              <w:suppressLineNumbers w:val="0"/>
              <w:spacing w:before="0" w:beforeAutospacing="0" w:after="0" w:afterAutospacing="0" w:line="360" w:lineRule="auto"/>
              <w:ind w:left="0" w:right="0"/>
              <w:rPr>
                <w:rFonts w:hint="eastAsia"/>
                <w:b/>
                <w:bCs/>
                <w:color w:val="auto"/>
                <w:sz w:val="24"/>
                <w:highlight w:val="none"/>
              </w:rPr>
            </w:pPr>
            <w:r>
              <w:rPr>
                <w:rFonts w:hint="eastAsia"/>
                <w:b/>
                <w:bCs/>
                <w:color w:val="auto"/>
                <w:sz w:val="24"/>
                <w:highlight w:val="none"/>
              </w:rPr>
              <w:t>3、‌设备安全性‌：设备的安全保护装置应完好并正常工作，设备应符合相关的安全标准和法规要求，使用和维护应符合安全操作规程。‌</w:t>
            </w:r>
          </w:p>
          <w:p w14:paraId="226B6ADF">
            <w:pPr>
              <w:keepNext w:val="0"/>
              <w:keepLines w:val="0"/>
              <w:suppressLineNumbers w:val="0"/>
              <w:spacing w:before="0" w:beforeAutospacing="0" w:after="0" w:afterAutospacing="0" w:line="360" w:lineRule="auto"/>
              <w:ind w:left="0" w:right="0"/>
              <w:rPr>
                <w:rFonts w:hint="eastAsia"/>
                <w:b/>
                <w:bCs/>
                <w:color w:val="FF0000"/>
                <w:sz w:val="24"/>
                <w:highlight w:val="none"/>
                <w:lang w:val="en-US" w:eastAsia="zh-CN"/>
              </w:rPr>
            </w:pPr>
            <w:r>
              <w:rPr>
                <w:rFonts w:hint="eastAsia"/>
                <w:b/>
                <w:bCs/>
                <w:color w:val="auto"/>
                <w:sz w:val="24"/>
                <w:highlight w:val="none"/>
              </w:rPr>
              <w:t>4、‌设备质量‌：设备的制造工艺应符合相关标准和要求，材料和零部件应符合质量标准，设备的质量合格证明文件应完备。</w:t>
            </w:r>
          </w:p>
          <w:p w14:paraId="26E9FECD">
            <w:pPr>
              <w:keepNext w:val="0"/>
              <w:keepLines w:val="0"/>
              <w:suppressLineNumbers w:val="0"/>
              <w:spacing w:before="0" w:beforeAutospacing="0" w:after="0" w:afterAutospacing="0" w:line="360" w:lineRule="auto"/>
              <w:ind w:left="0" w:right="0"/>
              <w:rPr>
                <w:rFonts w:hint="eastAsia"/>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5、到货验收：双方共同开箱，检查设备型号、数量、外观与合同、发货清单一致，备品备件齐全。</w:t>
            </w:r>
          </w:p>
          <w:p w14:paraId="65531350">
            <w:pPr>
              <w:keepNext w:val="0"/>
              <w:keepLines w:val="0"/>
              <w:suppressLineNumbers w:val="0"/>
              <w:spacing w:before="0" w:beforeAutospacing="0" w:after="0" w:afterAutospacing="0" w:line="360" w:lineRule="auto"/>
              <w:ind w:left="0" w:right="0"/>
              <w:rPr>
                <w:rFonts w:hint="eastAsia"/>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6、安装调试与试运行验收：设备安装调试完成后，进行为期15个工作日的试运行。试运行期间，所有设备功能、性能指标需满足招标文件要求。由采购人、中标人、监理（如有）三方共同测试并记录。</w:t>
            </w:r>
          </w:p>
          <w:p w14:paraId="41ECFAD5">
            <w:pPr>
              <w:keepNext w:val="0"/>
              <w:keepLines w:val="0"/>
              <w:suppressLineNumbers w:val="0"/>
              <w:spacing w:before="0" w:beforeAutospacing="0" w:after="0" w:afterAutospacing="0" w:line="360" w:lineRule="auto"/>
              <w:ind w:left="0" w:right="0"/>
              <w:rPr>
                <w:rFonts w:hint="eastAsia"/>
                <w:b/>
                <w:bCs/>
                <w:color w:val="auto"/>
                <w:sz w:val="24"/>
                <w:highlight w:val="none"/>
                <w:lang w:val="en-US" w:eastAsia="zh-CN"/>
              </w:rPr>
            </w:pPr>
            <w:r>
              <w:rPr>
                <w:rFonts w:hint="eastAsia"/>
                <w:b/>
                <w:bCs/>
                <w:color w:val="000000" w:themeColor="text1"/>
                <w:sz w:val="24"/>
                <w:highlight w:val="none"/>
                <w:lang w:val="en-US" w:eastAsia="zh-CN"/>
                <w14:textFill>
                  <w14:solidFill>
                    <w14:schemeClr w14:val="tx1"/>
                  </w14:solidFill>
                </w14:textFill>
              </w:rPr>
              <w:t>7、最终验收：试运行无重大故障，且所有技术文档、培训服务完成后，由采购人组织最终验收，并出具验收报告。”</w:t>
            </w:r>
          </w:p>
        </w:tc>
      </w:tr>
      <w:tr w14:paraId="7F9590C8">
        <w:tblPrEx>
          <w:tblLayout w:type="fixed"/>
        </w:tblPrEx>
        <w:trPr>
          <w:trHeight w:val="6811" w:hRule="atLeast"/>
        </w:trPr>
        <w:tc>
          <w:tcPr>
            <w:tcW w:w="578" w:type="dxa"/>
            <w:vMerge w:val="restart"/>
            <w:tcBorders>
              <w:left w:val="single" w:color="auto" w:sz="4" w:space="0"/>
              <w:right w:val="single" w:color="auto" w:sz="4" w:space="0"/>
            </w:tcBorders>
            <w:vAlign w:val="center"/>
          </w:tcPr>
          <w:p w14:paraId="33CB113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33</w:t>
            </w:r>
          </w:p>
        </w:tc>
        <w:tc>
          <w:tcPr>
            <w:tcW w:w="9180" w:type="dxa"/>
            <w:gridSpan w:val="2"/>
            <w:tcBorders>
              <w:left w:val="single" w:color="auto" w:sz="4" w:space="0"/>
              <w:right w:val="single" w:color="auto" w:sz="4" w:space="0"/>
            </w:tcBorders>
            <w:vAlign w:val="center"/>
          </w:tcPr>
          <w:p w14:paraId="2F3093AF">
            <w:pPr>
              <w:keepNext w:val="0"/>
              <w:keepLines w:val="0"/>
              <w:suppressLineNumbers w:val="0"/>
              <w:spacing w:before="0" w:beforeAutospacing="0" w:after="0" w:afterAutospacing="0" w:line="360" w:lineRule="auto"/>
              <w:ind w:left="0" w:right="0"/>
              <w:rPr>
                <w:rFonts w:hint="eastAsia" w:ascii="宋体" w:hAnsi="宋体" w:cs="宋体"/>
                <w:b/>
                <w:bCs/>
                <w:color w:val="auto"/>
                <w:sz w:val="24"/>
                <w:highlight w:val="none"/>
              </w:rPr>
            </w:pPr>
            <w:r>
              <w:rPr>
                <w:rFonts w:hint="eastAsia" w:ascii="宋体" w:hAnsi="宋体" w:cs="宋体"/>
                <w:b/>
                <w:bCs/>
                <w:color w:val="auto"/>
                <w:sz w:val="24"/>
                <w:highlight w:val="none"/>
              </w:rPr>
              <w:t>（1）为保证本项目产品质量，良好的售后服务；最低报价不作为中标的唯一依据。</w:t>
            </w:r>
          </w:p>
          <w:p w14:paraId="07ECA340">
            <w:pPr>
              <w:keepNext w:val="0"/>
              <w:keepLines w:val="0"/>
              <w:suppressLineNumbers w:val="0"/>
              <w:spacing w:before="0" w:beforeAutospacing="0" w:after="0" w:afterAutospacing="0" w:line="360" w:lineRule="auto"/>
              <w:ind w:left="0" w:right="0"/>
              <w:rPr>
                <w:rFonts w:hint="eastAsia" w:ascii="宋体" w:hAnsi="宋体" w:cs="宋体"/>
                <w:b/>
                <w:color w:val="auto"/>
                <w:sz w:val="24"/>
                <w:highlight w:val="none"/>
              </w:rPr>
            </w:pPr>
            <w:r>
              <w:rPr>
                <w:rFonts w:hint="eastAsia" w:ascii="宋体" w:hAnsi="宋体" w:cs="宋体"/>
                <w:b/>
                <w:color w:val="auto"/>
                <w:sz w:val="24"/>
                <w:highlight w:val="none"/>
              </w:rPr>
              <w:t>（2）招标文件中部分加“星号”、加下划线等特殊符号的内容，着重提醒各投标人注意，并认真查看招标文件中的每一个条款及要求，因误读招标文件而造成的后果，招标人概不负责。</w:t>
            </w:r>
          </w:p>
          <w:p w14:paraId="2D43B7DA">
            <w:pPr>
              <w:pStyle w:val="26"/>
              <w:keepNext w:val="0"/>
              <w:keepLines w:val="0"/>
              <w:suppressLineNumbers w:val="0"/>
              <w:spacing w:before="0" w:beforeAutospacing="0" w:after="0" w:afterAutospacing="0"/>
              <w:ind w:left="0" w:right="0" w:firstLine="0" w:firstLineChars="0"/>
              <w:rPr>
                <w:rFonts w:hint="eastAsia" w:ascii="宋体" w:hAnsi="宋体" w:cs="宋体"/>
                <w:b/>
                <w:color w:val="auto"/>
                <w:sz w:val="24"/>
                <w:highlight w:val="none"/>
              </w:rPr>
            </w:pPr>
            <w:r>
              <w:rPr>
                <w:rFonts w:hint="eastAsia" w:ascii="宋体" w:hAnsi="宋体" w:cs="宋体"/>
                <w:b/>
                <w:color w:val="auto"/>
                <w:sz w:val="24"/>
                <w:highlight w:val="none"/>
              </w:rPr>
              <w:t>（3）投标单位所投产品，虽满足负偏离要求，但综合由于负偏离参数使得所供产品或服务无法满足甲方正常使用要求，可属于甲方不能接受的条件情形，投标单位作无效标处理。</w:t>
            </w:r>
          </w:p>
          <w:p w14:paraId="54CE2DD4">
            <w:pPr>
              <w:pStyle w:val="26"/>
              <w:keepNext w:val="0"/>
              <w:keepLines w:val="0"/>
              <w:suppressLineNumbers w:val="0"/>
              <w:spacing w:before="0" w:beforeAutospacing="0" w:after="0" w:afterAutospacing="0"/>
              <w:ind w:left="0" w:right="0" w:firstLine="0" w:firstLineChars="0"/>
              <w:rPr>
                <w:rFonts w:hint="eastAsia" w:ascii="宋体" w:hAnsi="宋体" w:cs="宋体"/>
                <w:b/>
                <w:color w:val="auto"/>
                <w:sz w:val="24"/>
                <w:highlight w:val="none"/>
              </w:rPr>
            </w:pPr>
            <w:r>
              <w:rPr>
                <w:rFonts w:hint="eastAsia" w:ascii="宋体" w:hAnsi="宋体" w:cs="宋体"/>
                <w:b/>
                <w:color w:val="auto"/>
                <w:sz w:val="24"/>
                <w:highlight w:val="none"/>
              </w:rPr>
              <w:t>★（4）投标人应保证在本项目使用的任何产品和服务(包括部分使用)时，不会产生因第三方提出侵犯其专利权、商标权或其他知识产权而引起的法律和经济纠纷，如因专利权、商标权或其他知识产权而引起的法律和经济纠纷，由投标人承担所有相关责任的同时不得耽误本项目实施。</w:t>
            </w:r>
          </w:p>
          <w:p w14:paraId="61E25A99">
            <w:pPr>
              <w:pStyle w:val="26"/>
              <w:keepNext w:val="0"/>
              <w:keepLines w:val="0"/>
              <w:suppressLineNumbers w:val="0"/>
              <w:spacing w:before="0" w:beforeAutospacing="0" w:after="0" w:afterAutospacing="0"/>
              <w:ind w:left="0" w:right="0" w:firstLine="0" w:firstLineChars="0"/>
              <w:rPr>
                <w:rFonts w:hint="eastAsia" w:ascii="宋体" w:hAnsi="宋体" w:eastAsia="宋体" w:cs="宋体"/>
                <w:b/>
                <w:color w:val="auto"/>
                <w:sz w:val="24"/>
                <w:highlight w:val="none"/>
                <w:lang w:eastAsia="zh-CN"/>
              </w:rPr>
            </w:pPr>
            <w:r>
              <w:rPr>
                <w:rFonts w:hint="eastAsia" w:ascii="宋体" w:hAnsi="宋体" w:cs="宋体"/>
                <w:b/>
                <w:color w:val="auto"/>
                <w:sz w:val="24"/>
                <w:highlight w:val="none"/>
              </w:rPr>
              <w:t>★（5）投标单位所填分项报价表中的单价时请合理分配产品利润，产品单价不得出现严重偏离市场单价金额情况(如出现视为价格歧视情形);后续确实出现上述情形，采购人可针对该产品进行三方询价，以询价后均价作为单价修订偏离实际单价，签订合同。修订单价后产生的优惠，视为投标单位自行让利行为。投标单位须提供承诺函响应本条要求，否则作无效标处理。</w:t>
            </w:r>
          </w:p>
        </w:tc>
      </w:tr>
      <w:tr w14:paraId="0398464B">
        <w:tblPrEx>
          <w:tblLayout w:type="fixed"/>
        </w:tblPrEx>
        <w:trPr>
          <w:trHeight w:val="565" w:hRule="atLeast"/>
        </w:trPr>
        <w:tc>
          <w:tcPr>
            <w:tcW w:w="578" w:type="dxa"/>
            <w:vMerge w:val="continue"/>
            <w:tcBorders>
              <w:left w:val="single" w:color="auto" w:sz="4" w:space="0"/>
              <w:right w:val="single" w:color="auto" w:sz="4" w:space="0"/>
            </w:tcBorders>
            <w:vAlign w:val="center"/>
          </w:tcPr>
          <w:p w14:paraId="773A9A5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highlight w:val="none"/>
                <w:lang w:val="en-US" w:eastAsia="zh-CN"/>
              </w:rPr>
            </w:pPr>
            <w:bookmarkStart w:id="1" w:name="_Toc501639724"/>
          </w:p>
        </w:tc>
        <w:tc>
          <w:tcPr>
            <w:tcW w:w="9180" w:type="dxa"/>
            <w:gridSpan w:val="2"/>
            <w:tcBorders>
              <w:left w:val="single" w:color="auto" w:sz="4" w:space="0"/>
              <w:right w:val="single" w:color="auto" w:sz="4" w:space="0"/>
            </w:tcBorders>
            <w:vAlign w:val="center"/>
          </w:tcPr>
          <w:p w14:paraId="08050C54">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本项目采用电子招投标流程，投标人使用相同IP地址的，一经发现，上报至财政监管部门将进一步核实，查实后按串通投标处理。</w:t>
            </w:r>
          </w:p>
        </w:tc>
      </w:tr>
    </w:tbl>
    <w:p w14:paraId="34AA59F2">
      <w:pPr>
        <w:jc w:val="center"/>
        <w:rPr>
          <w:rFonts w:hint="eastAsia" w:ascii="宋体"/>
          <w:b/>
          <w:color w:val="auto"/>
          <w:sz w:val="32"/>
          <w:szCs w:val="32"/>
        </w:rPr>
      </w:pPr>
    </w:p>
    <w:p w14:paraId="49543BE7">
      <w:pPr>
        <w:jc w:val="center"/>
        <w:rPr>
          <w:rFonts w:hint="eastAsia" w:ascii="宋体"/>
          <w:b/>
          <w:color w:val="auto"/>
          <w:sz w:val="32"/>
          <w:szCs w:val="32"/>
        </w:rPr>
      </w:pPr>
      <w:r>
        <w:rPr>
          <w:rFonts w:hint="eastAsia" w:ascii="宋体"/>
          <w:b/>
          <w:color w:val="auto"/>
          <w:sz w:val="32"/>
          <w:szCs w:val="32"/>
        </w:rPr>
        <w:br w:type="page"/>
      </w:r>
      <w:r>
        <w:rPr>
          <w:rFonts w:hint="eastAsia" w:ascii="宋体"/>
          <w:b/>
          <w:color w:val="auto"/>
          <w:sz w:val="32"/>
          <w:szCs w:val="32"/>
        </w:rPr>
        <w:t>第三章</w:t>
      </w:r>
      <w:r>
        <w:rPr>
          <w:rFonts w:hint="eastAsia" w:ascii="宋体"/>
          <w:b/>
          <w:color w:val="auto"/>
          <w:sz w:val="32"/>
          <w:szCs w:val="32"/>
          <w:lang w:val="en-US" w:eastAsia="zh-CN"/>
        </w:rPr>
        <w:t xml:space="preserve"> </w:t>
      </w:r>
      <w:r>
        <w:rPr>
          <w:rFonts w:hint="eastAsia" w:ascii="宋体"/>
          <w:b/>
          <w:color w:val="auto"/>
          <w:sz w:val="32"/>
          <w:szCs w:val="32"/>
        </w:rPr>
        <w:t>投标人须知</w:t>
      </w:r>
      <w:bookmarkEnd w:id="1"/>
    </w:p>
    <w:p w14:paraId="5F5D3E49">
      <w:pPr>
        <w:jc w:val="center"/>
        <w:rPr>
          <w:rFonts w:hint="eastAsia" w:ascii="宋体"/>
          <w:b/>
          <w:color w:val="auto"/>
          <w:sz w:val="32"/>
          <w:szCs w:val="32"/>
        </w:rPr>
      </w:pPr>
    </w:p>
    <w:p w14:paraId="4218E7ED">
      <w:pPr>
        <w:jc w:val="center"/>
        <w:rPr>
          <w:rFonts w:hint="eastAsia" w:ascii="宋体"/>
          <w:b/>
          <w:color w:val="auto"/>
          <w:sz w:val="32"/>
          <w:szCs w:val="32"/>
        </w:rPr>
      </w:pPr>
      <w:r>
        <w:rPr>
          <w:rFonts w:hint="eastAsia" w:ascii="宋体"/>
          <w:b/>
          <w:color w:val="auto"/>
          <w:sz w:val="32"/>
          <w:szCs w:val="32"/>
        </w:rPr>
        <w:t>一</w:t>
      </w:r>
      <w:r>
        <w:rPr>
          <w:rFonts w:hint="eastAsia" w:ascii="宋体"/>
          <w:b/>
          <w:color w:val="auto"/>
          <w:sz w:val="32"/>
          <w:szCs w:val="32"/>
          <w:lang w:eastAsia="zh-CN"/>
        </w:rPr>
        <w:t>、</w:t>
      </w:r>
      <w:r>
        <w:rPr>
          <w:rFonts w:hint="eastAsia" w:ascii="宋体"/>
          <w:b/>
          <w:color w:val="auto"/>
          <w:sz w:val="32"/>
          <w:szCs w:val="32"/>
        </w:rPr>
        <w:t>说明</w:t>
      </w:r>
    </w:p>
    <w:p w14:paraId="5C62996F">
      <w:pPr>
        <w:pStyle w:val="419"/>
        <w:spacing w:line="360" w:lineRule="auto"/>
        <w:rPr>
          <w:rFonts w:hint="eastAsia" w:ascii="宋体" w:hAnsi="宋体"/>
          <w:b/>
          <w:color w:val="auto"/>
          <w:sz w:val="24"/>
        </w:rPr>
      </w:pPr>
      <w:r>
        <w:rPr>
          <w:rFonts w:hint="eastAsia" w:ascii="宋体" w:hAnsi="宋体"/>
          <w:b/>
          <w:color w:val="auto"/>
          <w:sz w:val="24"/>
        </w:rPr>
        <w:t>1.采购人、采购代理机构及投标人</w:t>
      </w:r>
    </w:p>
    <w:p w14:paraId="3934D19A">
      <w:pPr>
        <w:pStyle w:val="419"/>
        <w:spacing w:line="360" w:lineRule="auto"/>
        <w:rPr>
          <w:rFonts w:hint="eastAsia" w:ascii="宋体" w:hAnsi="宋体"/>
          <w:color w:val="auto"/>
          <w:sz w:val="24"/>
        </w:rPr>
      </w:pPr>
      <w:r>
        <w:rPr>
          <w:rFonts w:hint="eastAsia" w:ascii="宋体" w:hAnsi="宋体"/>
          <w:color w:val="auto"/>
          <w:sz w:val="24"/>
        </w:rPr>
        <w:t>1.1采购人：是指依法进行政府采购的国家机关、事业单位、团体组织。本项目采购人为</w:t>
      </w:r>
      <w:r>
        <w:rPr>
          <w:rFonts w:hint="eastAsia" w:ascii="宋体" w:hAnsi="宋体"/>
          <w:color w:val="auto"/>
          <w:sz w:val="24"/>
          <w:u w:val="single"/>
          <w:lang w:eastAsia="zh-CN"/>
        </w:rPr>
        <w:t>塔城职业技术学院</w:t>
      </w:r>
      <w:r>
        <w:rPr>
          <w:rFonts w:hint="eastAsia" w:ascii="宋体" w:hAnsi="宋体"/>
          <w:color w:val="auto"/>
          <w:sz w:val="24"/>
          <w:u w:val="single"/>
        </w:rPr>
        <w:t>。</w:t>
      </w:r>
    </w:p>
    <w:p w14:paraId="39E80B26">
      <w:pPr>
        <w:pStyle w:val="419"/>
        <w:spacing w:line="360" w:lineRule="auto"/>
        <w:rPr>
          <w:rFonts w:hint="eastAsia" w:ascii="宋体" w:hAnsi="宋体"/>
          <w:color w:val="auto"/>
          <w:sz w:val="24"/>
          <w:u w:val="single"/>
        </w:rPr>
      </w:pPr>
      <w:r>
        <w:rPr>
          <w:rFonts w:hint="eastAsia" w:ascii="宋体" w:hAnsi="宋体"/>
          <w:color w:val="auto"/>
          <w:sz w:val="24"/>
        </w:rPr>
        <w:t>1.2采购代理机构：是指在中国政府采购网或其省级分网站网上登记的代理机构。本次招标的采购代理机构为</w:t>
      </w:r>
      <w:r>
        <w:rPr>
          <w:rFonts w:hint="eastAsia" w:ascii="宋体" w:hAnsi="宋体"/>
          <w:color w:val="auto"/>
          <w:sz w:val="24"/>
          <w:u w:val="single"/>
        </w:rPr>
        <w:t>塔城地区政务服务与公共资源交易中心。</w:t>
      </w:r>
    </w:p>
    <w:p w14:paraId="2096439F">
      <w:pPr>
        <w:pStyle w:val="419"/>
        <w:spacing w:line="360" w:lineRule="auto"/>
        <w:rPr>
          <w:rFonts w:hint="eastAsia" w:ascii="宋体" w:hAnsi="宋体"/>
          <w:color w:val="auto"/>
          <w:sz w:val="24"/>
        </w:rPr>
      </w:pPr>
      <w:r>
        <w:rPr>
          <w:rFonts w:hint="eastAsia" w:ascii="宋体" w:hAnsi="宋体"/>
          <w:color w:val="auto"/>
          <w:sz w:val="24"/>
        </w:rPr>
        <w:t>1.3投标人，是指响应招标、参加投标竞争的法人、其他组织或者自然人，满足以下条件的投标人是合格的投标人，可以参加本次投标：</w:t>
      </w:r>
    </w:p>
    <w:p w14:paraId="5EA0CC93">
      <w:pPr>
        <w:pStyle w:val="419"/>
        <w:spacing w:line="360" w:lineRule="auto"/>
        <w:rPr>
          <w:rFonts w:ascii="宋体" w:hAnsi="宋体"/>
          <w:color w:val="auto"/>
          <w:sz w:val="24"/>
        </w:rPr>
      </w:pPr>
      <w:r>
        <w:rPr>
          <w:rFonts w:hint="eastAsia" w:ascii="宋体" w:hAnsi="宋体"/>
          <w:color w:val="auto"/>
          <w:sz w:val="24"/>
        </w:rPr>
        <w:t>1.3.1在中华人民共和国境内注册，能够独立承担民事责任，有生产或供应能力的本国投标人，法律法规另有规定的除外。</w:t>
      </w:r>
    </w:p>
    <w:p w14:paraId="3E44A349">
      <w:pPr>
        <w:pStyle w:val="419"/>
        <w:spacing w:line="360" w:lineRule="auto"/>
        <w:rPr>
          <w:rFonts w:ascii="宋体" w:hAnsi="宋体"/>
          <w:color w:val="auto"/>
          <w:sz w:val="24"/>
        </w:rPr>
      </w:pPr>
      <w:r>
        <w:rPr>
          <w:rFonts w:hint="eastAsia" w:ascii="宋体" w:hAnsi="宋体"/>
          <w:color w:val="auto"/>
          <w:sz w:val="24"/>
        </w:rPr>
        <w:t>1.3.2</w:t>
      </w:r>
      <w:r>
        <w:rPr>
          <w:rFonts w:ascii="宋体" w:hAnsi="宋体"/>
          <w:color w:val="auto"/>
          <w:sz w:val="24"/>
        </w:rPr>
        <w:t>符合第一章投标邀请中“投标人资格</w:t>
      </w:r>
      <w:r>
        <w:rPr>
          <w:rFonts w:hint="eastAsia" w:ascii="宋体" w:hAnsi="宋体"/>
          <w:color w:val="auto"/>
          <w:sz w:val="24"/>
        </w:rPr>
        <w:t>要求</w:t>
      </w:r>
      <w:r>
        <w:rPr>
          <w:rFonts w:ascii="宋体" w:hAnsi="宋体"/>
          <w:color w:val="auto"/>
          <w:sz w:val="24"/>
        </w:rPr>
        <w:t>”规定的</w:t>
      </w:r>
      <w:r>
        <w:rPr>
          <w:rFonts w:hint="eastAsia" w:ascii="宋体" w:hAnsi="宋体"/>
          <w:color w:val="auto"/>
          <w:sz w:val="24"/>
        </w:rPr>
        <w:t>内容</w:t>
      </w:r>
      <w:r>
        <w:rPr>
          <w:rFonts w:ascii="宋体" w:hAnsi="宋体"/>
          <w:color w:val="auto"/>
          <w:sz w:val="24"/>
        </w:rPr>
        <w:t>；</w:t>
      </w:r>
    </w:p>
    <w:p w14:paraId="7A3B04D0">
      <w:pPr>
        <w:pStyle w:val="419"/>
        <w:spacing w:line="360" w:lineRule="auto"/>
        <w:rPr>
          <w:rFonts w:ascii="宋体" w:hAnsi="宋体"/>
          <w:color w:val="auto"/>
          <w:sz w:val="24"/>
        </w:rPr>
      </w:pPr>
      <w:r>
        <w:rPr>
          <w:rFonts w:hint="eastAsia" w:ascii="宋体" w:hAnsi="宋体"/>
          <w:color w:val="auto"/>
          <w:sz w:val="24"/>
        </w:rPr>
        <w:t>1.3.3</w:t>
      </w:r>
      <w:r>
        <w:rPr>
          <w:rFonts w:ascii="宋体" w:hAnsi="宋体"/>
          <w:color w:val="auto"/>
          <w:sz w:val="24"/>
        </w:rPr>
        <w:t>投标人必须向采购代理机构购买招标文件并登记备案，未向</w:t>
      </w:r>
      <w:r>
        <w:rPr>
          <w:rFonts w:hint="eastAsia" w:ascii="宋体" w:hAnsi="宋体"/>
          <w:color w:val="auto"/>
          <w:sz w:val="24"/>
        </w:rPr>
        <w:t>采购代理机构</w:t>
      </w:r>
      <w:r>
        <w:rPr>
          <w:rFonts w:ascii="宋体" w:hAnsi="宋体"/>
          <w:color w:val="auto"/>
          <w:sz w:val="24"/>
        </w:rPr>
        <w:t>购买招标文件并登记备案的无资格参加本次投标。</w:t>
      </w:r>
    </w:p>
    <w:p w14:paraId="0C76C472">
      <w:pPr>
        <w:pStyle w:val="419"/>
        <w:spacing w:line="360" w:lineRule="auto"/>
        <w:rPr>
          <w:rFonts w:ascii="宋体" w:hAnsi="宋体"/>
          <w:color w:val="auto"/>
          <w:sz w:val="24"/>
        </w:rPr>
      </w:pPr>
      <w:r>
        <w:rPr>
          <w:rFonts w:hint="eastAsia" w:ascii="宋体" w:hAnsi="宋体"/>
          <w:color w:val="auto"/>
          <w:sz w:val="24"/>
        </w:rPr>
        <w:t>1.3.4如投标人须知前附表中允许联合体投标，对联合体规定如下：</w:t>
      </w:r>
    </w:p>
    <w:p w14:paraId="0782EA40">
      <w:pPr>
        <w:pStyle w:val="419"/>
        <w:spacing w:line="360" w:lineRule="auto"/>
        <w:rPr>
          <w:rFonts w:ascii="宋体" w:hAnsi="宋体"/>
          <w:color w:val="auto"/>
          <w:sz w:val="24"/>
        </w:rPr>
      </w:pPr>
      <w:r>
        <w:rPr>
          <w:rFonts w:hint="eastAsia" w:ascii="宋体" w:hAnsi="宋体"/>
          <w:color w:val="auto"/>
          <w:sz w:val="24"/>
        </w:rPr>
        <w:t>1.3.4</w:t>
      </w:r>
      <w:r>
        <w:rPr>
          <w:rFonts w:ascii="宋体" w:hAnsi="宋体"/>
          <w:color w:val="auto"/>
          <w:sz w:val="24"/>
        </w:rPr>
        <w:t>.</w:t>
      </w:r>
      <w:r>
        <w:rPr>
          <w:rFonts w:hint="eastAsia" w:ascii="宋体" w:hAnsi="宋体"/>
          <w:color w:val="auto"/>
          <w:sz w:val="24"/>
        </w:rPr>
        <w:t>1两个以上的自然人、法人或者其他组织可以组成一个联合体，以一个投标人的身份共同参加政府采购。</w:t>
      </w:r>
    </w:p>
    <w:p w14:paraId="0D466BD6">
      <w:pPr>
        <w:pStyle w:val="419"/>
        <w:spacing w:line="360" w:lineRule="auto"/>
        <w:rPr>
          <w:rFonts w:ascii="宋体" w:hAnsi="宋体"/>
          <w:color w:val="auto"/>
          <w:sz w:val="24"/>
        </w:rPr>
      </w:pPr>
      <w:r>
        <w:rPr>
          <w:rFonts w:hint="eastAsia" w:ascii="宋体" w:hAnsi="宋体"/>
          <w:color w:val="auto"/>
          <w:sz w:val="24"/>
        </w:rPr>
        <w:t>1.3.4</w:t>
      </w:r>
      <w:r>
        <w:rPr>
          <w:rFonts w:ascii="宋体" w:hAnsi="宋体"/>
          <w:color w:val="auto"/>
          <w:sz w:val="24"/>
        </w:rPr>
        <w:t>.</w:t>
      </w:r>
      <w:r>
        <w:rPr>
          <w:rFonts w:hint="eastAsia" w:ascii="宋体" w:hAnsi="宋体"/>
          <w:color w:val="auto"/>
          <w:sz w:val="24"/>
        </w:rPr>
        <w:t>2以联合体形式进行政府采购的，参加联合体的投标人均应当具备《中华人民共和国政府采购法》第二十二条规定的条件。</w:t>
      </w:r>
    </w:p>
    <w:p w14:paraId="16176F98">
      <w:pPr>
        <w:pStyle w:val="419"/>
        <w:spacing w:line="360" w:lineRule="auto"/>
        <w:rPr>
          <w:rFonts w:ascii="宋体" w:hAnsi="宋体"/>
          <w:color w:val="auto"/>
          <w:sz w:val="24"/>
        </w:rPr>
      </w:pPr>
      <w:r>
        <w:rPr>
          <w:rFonts w:hint="eastAsia" w:ascii="宋体" w:hAnsi="宋体"/>
          <w:color w:val="auto"/>
          <w:sz w:val="24"/>
        </w:rPr>
        <w:t>1.3.4</w:t>
      </w:r>
      <w:r>
        <w:rPr>
          <w:rFonts w:ascii="宋体" w:hAnsi="宋体"/>
          <w:color w:val="auto"/>
          <w:sz w:val="24"/>
        </w:rPr>
        <w:t>.</w:t>
      </w:r>
      <w:r>
        <w:rPr>
          <w:rFonts w:hint="eastAsia" w:ascii="宋体" w:hAnsi="宋体"/>
          <w:color w:val="auto"/>
          <w:sz w:val="24"/>
        </w:rPr>
        <w:t>3联合体各方应签订联合体协议，载明联合体各方承担的工作和义务，联合体各方应当共同与采购人签订采购合同，就采购合同约定的事项对采购人承担连带责任。</w:t>
      </w:r>
    </w:p>
    <w:p w14:paraId="40591B28">
      <w:pPr>
        <w:pStyle w:val="419"/>
        <w:spacing w:line="360" w:lineRule="auto"/>
        <w:rPr>
          <w:rFonts w:hint="eastAsia" w:ascii="宋体" w:hAnsi="宋体"/>
          <w:color w:val="auto"/>
          <w:sz w:val="24"/>
        </w:rPr>
      </w:pPr>
      <w:r>
        <w:rPr>
          <w:rFonts w:hint="eastAsia" w:ascii="宋体" w:hAnsi="宋体"/>
          <w:color w:val="auto"/>
          <w:sz w:val="24"/>
        </w:rPr>
        <w:t>1.3.4</w:t>
      </w:r>
      <w:r>
        <w:rPr>
          <w:rFonts w:ascii="宋体" w:hAnsi="宋体"/>
          <w:color w:val="auto"/>
          <w:sz w:val="24"/>
        </w:rPr>
        <w:t>.</w:t>
      </w:r>
      <w:r>
        <w:rPr>
          <w:rFonts w:hint="eastAsia" w:ascii="宋体" w:hAnsi="宋体"/>
          <w:color w:val="auto"/>
          <w:sz w:val="24"/>
        </w:rPr>
        <w:t>4联合体各方签订联合体协议后，不得再以自己名义单独在同一项目中投标，也不得组成新的联合体参加同一项目投标。</w:t>
      </w:r>
    </w:p>
    <w:p w14:paraId="2D6997E6">
      <w:pPr>
        <w:pStyle w:val="419"/>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.3.</w:t>
      </w:r>
      <w:r>
        <w:rPr>
          <w:rFonts w:hint="eastAsia" w:ascii="宋体" w:hAnsi="宋体"/>
          <w:color w:val="auto"/>
          <w:sz w:val="24"/>
        </w:rPr>
        <w:t>5</w:t>
      </w:r>
      <w:r>
        <w:rPr>
          <w:rFonts w:ascii="宋体" w:hAnsi="宋体"/>
          <w:color w:val="auto"/>
          <w:sz w:val="24"/>
        </w:rPr>
        <w:t>信用信息</w:t>
      </w:r>
      <w:r>
        <w:rPr>
          <w:rFonts w:hint="eastAsia" w:ascii="宋体" w:hAnsi="宋体"/>
          <w:color w:val="auto"/>
          <w:sz w:val="24"/>
        </w:rPr>
        <w:t>查询渠道：“信用</w:t>
      </w:r>
      <w:r>
        <w:rPr>
          <w:rFonts w:ascii="宋体" w:hAnsi="宋体"/>
          <w:color w:val="auto"/>
          <w:sz w:val="24"/>
        </w:rPr>
        <w:t>中国”</w:t>
      </w:r>
      <w:r>
        <w:rPr>
          <w:rFonts w:hint="eastAsia" w:ascii="宋体" w:hAnsi="宋体"/>
          <w:color w:val="auto"/>
          <w:sz w:val="24"/>
        </w:rPr>
        <w:t>网站（www.creditchina.gov.cn）、中国政府采购网（</w:t>
      </w:r>
      <w:r>
        <w:rPr>
          <w:color w:val="auto"/>
        </w:rPr>
        <w:fldChar w:fldCharType="begin"/>
      </w:r>
      <w:r>
        <w:rPr>
          <w:color w:val="auto"/>
        </w:rPr>
        <w:instrText xml:space="preserve">HYPERLINK "http://www.ccgp.gov.cn"</w:instrText>
      </w:r>
      <w:r>
        <w:rPr>
          <w:color w:val="auto"/>
        </w:rPr>
        <w:fldChar w:fldCharType="separate"/>
      </w:r>
      <w:r>
        <w:rPr>
          <w:rFonts w:hint="eastAsia" w:ascii="宋体" w:hAnsi="宋体"/>
          <w:color w:val="auto"/>
          <w:sz w:val="24"/>
        </w:rPr>
        <w:t>www.ccgp.gov.cn</w:t>
      </w:r>
      <w:r>
        <w:rPr>
          <w:color w:val="auto"/>
        </w:rPr>
        <w:fldChar w:fldCharType="end"/>
      </w:r>
      <w:r>
        <w:rPr>
          <w:rFonts w:hint="eastAsia" w:ascii="宋体" w:hAnsi="宋体"/>
          <w:color w:val="auto"/>
          <w:sz w:val="24"/>
        </w:rPr>
        <w:t>）；</w:t>
      </w:r>
      <w:r>
        <w:rPr>
          <w:rFonts w:ascii="宋体" w:hAnsi="宋体"/>
          <w:color w:val="auto"/>
          <w:sz w:val="24"/>
        </w:rPr>
        <w:t>信用信息</w:t>
      </w:r>
      <w:r>
        <w:rPr>
          <w:rFonts w:hint="eastAsia" w:ascii="宋体" w:hAnsi="宋体"/>
          <w:color w:val="auto"/>
          <w:sz w:val="24"/>
        </w:rPr>
        <w:t>查询截止时点：投标截止时间当天；两个以上的自然人、法人或者其他组织组成一个联合体，以一个投标人的身份共同参加政府采购活动的，应当对所有联合体成员进行信用记录查询，联合体成员存在不良信用记录的，视同联合体存在不良信用记录。</w:t>
      </w:r>
    </w:p>
    <w:p w14:paraId="0A5B6C05">
      <w:pPr>
        <w:pStyle w:val="419"/>
        <w:spacing w:line="360" w:lineRule="auto"/>
        <w:rPr>
          <w:rFonts w:ascii="宋体" w:hAnsi="宋体"/>
          <w:color w:val="auto"/>
          <w:sz w:val="24"/>
        </w:rPr>
      </w:pPr>
      <w:r>
        <w:rPr>
          <w:rFonts w:hint="eastAsia" w:ascii="宋体" w:hAnsi="宋体"/>
          <w:color w:val="auto"/>
          <w:sz w:val="24"/>
        </w:rPr>
        <w:t>1.3.6本项目是否接受进口货物：否。</w:t>
      </w:r>
    </w:p>
    <w:p w14:paraId="177BF1B1">
      <w:pPr>
        <w:spacing w:line="360" w:lineRule="auto"/>
        <w:jc w:val="left"/>
        <w:rPr>
          <w:rFonts w:hint="eastAsia" w:ascii="宋体"/>
          <w:b/>
          <w:color w:val="auto"/>
          <w:sz w:val="24"/>
        </w:rPr>
      </w:pPr>
      <w:r>
        <w:rPr>
          <w:rFonts w:hint="eastAsia" w:ascii="宋体"/>
          <w:b/>
          <w:color w:val="auto"/>
          <w:sz w:val="24"/>
        </w:rPr>
        <w:t>2.资金来源</w:t>
      </w:r>
    </w:p>
    <w:p w14:paraId="736C2290">
      <w:pPr>
        <w:spacing w:line="360" w:lineRule="auto"/>
        <w:rPr>
          <w:rFonts w:ascii="宋体" w:hAnsi="宋体"/>
          <w:color w:val="auto"/>
          <w:sz w:val="24"/>
        </w:rPr>
      </w:pPr>
      <w:r>
        <w:rPr>
          <w:rFonts w:ascii="宋体" w:hAnsi="宋体"/>
          <w:color w:val="auto"/>
          <w:sz w:val="24"/>
        </w:rPr>
        <w:t>2.1</w:t>
      </w:r>
      <w:r>
        <w:rPr>
          <w:rFonts w:hint="eastAsia" w:ascii="宋体" w:hAnsi="宋体"/>
          <w:color w:val="auto"/>
          <w:sz w:val="24"/>
        </w:rPr>
        <w:t>招标公告或投标邀请中所述的采购人必须获得足以支付本次招标后所签订的合同项下的款项。</w:t>
      </w:r>
    </w:p>
    <w:p w14:paraId="186EC5A6">
      <w:pPr>
        <w:spacing w:line="360" w:lineRule="auto"/>
        <w:jc w:val="left"/>
        <w:rPr>
          <w:rFonts w:hint="eastAsia" w:ascii="宋体" w:hAnsi="宋体"/>
          <w:color w:val="auto"/>
          <w:sz w:val="24"/>
        </w:rPr>
      </w:pPr>
      <w:r>
        <w:rPr>
          <w:rFonts w:ascii="宋体" w:hAnsi="宋体"/>
          <w:color w:val="auto"/>
          <w:sz w:val="24"/>
        </w:rPr>
        <w:t>2.3</w:t>
      </w:r>
      <w:r>
        <w:rPr>
          <w:rFonts w:hint="eastAsia" w:ascii="宋体" w:hAnsi="宋体"/>
          <w:color w:val="auto"/>
          <w:sz w:val="24"/>
        </w:rPr>
        <w:t>投标人报价超过招标文件规定的预算金额或者分项、分包最高限价的或者未按照要求报价的，其投标将作为无效投标被否决。</w:t>
      </w:r>
      <w:bookmarkStart w:id="2" w:name="_Toc34951612"/>
      <w:bookmarkStart w:id="3" w:name="_Toc324255541"/>
      <w:bookmarkStart w:id="4" w:name="_Toc5895170"/>
    </w:p>
    <w:p w14:paraId="3FD3A310">
      <w:pPr>
        <w:spacing w:line="360" w:lineRule="auto"/>
        <w:jc w:val="left"/>
        <w:rPr>
          <w:rFonts w:ascii="宋体"/>
          <w:b/>
          <w:color w:val="auto"/>
          <w:sz w:val="24"/>
        </w:rPr>
      </w:pPr>
      <w:r>
        <w:rPr>
          <w:rFonts w:ascii="宋体"/>
          <w:b/>
          <w:color w:val="auto"/>
          <w:sz w:val="24"/>
        </w:rPr>
        <w:t>3.投标费用</w:t>
      </w:r>
      <w:bookmarkEnd w:id="2"/>
      <w:bookmarkEnd w:id="3"/>
      <w:bookmarkEnd w:id="4"/>
    </w:p>
    <w:p w14:paraId="73EEBCAC">
      <w:pPr>
        <w:pStyle w:val="419"/>
        <w:spacing w:line="360" w:lineRule="auto"/>
        <w:rPr>
          <w:rFonts w:hint="eastAsia" w:ascii="宋体" w:hAnsi="宋体"/>
          <w:color w:val="auto"/>
          <w:sz w:val="24"/>
        </w:rPr>
      </w:pPr>
      <w:r>
        <w:rPr>
          <w:rFonts w:hint="eastAsia" w:ascii="宋体" w:hAnsi="宋体"/>
          <w:color w:val="auto"/>
          <w:sz w:val="24"/>
        </w:rPr>
        <w:t>3.1投标人应承担所有与准备和参加投标有关的费用。不论投标的结果如何，采购人和采购代理机构均无义务和责任承担这些费用。</w:t>
      </w:r>
    </w:p>
    <w:p w14:paraId="65FD2F2D">
      <w:pPr>
        <w:pStyle w:val="419"/>
        <w:spacing w:line="360" w:lineRule="auto"/>
        <w:jc w:val="center"/>
        <w:rPr>
          <w:rFonts w:hint="eastAsia" w:ascii="宋体" w:hAnsi="宋体"/>
          <w:b/>
          <w:color w:val="auto"/>
          <w:sz w:val="32"/>
          <w:szCs w:val="32"/>
        </w:rPr>
      </w:pPr>
      <w:r>
        <w:rPr>
          <w:rFonts w:hint="eastAsia" w:ascii="宋体" w:hAnsi="宋体"/>
          <w:b/>
          <w:color w:val="auto"/>
          <w:sz w:val="32"/>
          <w:szCs w:val="32"/>
        </w:rPr>
        <w:t>二</w:t>
      </w:r>
      <w:r>
        <w:rPr>
          <w:rFonts w:hint="eastAsia" w:ascii="宋体" w:hAnsi="宋体"/>
          <w:b/>
          <w:color w:val="auto"/>
          <w:sz w:val="32"/>
          <w:szCs w:val="32"/>
          <w:lang w:eastAsia="zh-CN"/>
        </w:rPr>
        <w:t>、</w:t>
      </w:r>
      <w:r>
        <w:rPr>
          <w:rFonts w:hint="eastAsia" w:ascii="宋体" w:hAnsi="宋体"/>
          <w:b/>
          <w:color w:val="auto"/>
          <w:sz w:val="32"/>
          <w:szCs w:val="32"/>
        </w:rPr>
        <w:t>招标文件</w:t>
      </w:r>
    </w:p>
    <w:p w14:paraId="1914DB59">
      <w:pPr>
        <w:pStyle w:val="419"/>
        <w:spacing w:line="360" w:lineRule="auto"/>
        <w:jc w:val="left"/>
        <w:rPr>
          <w:rFonts w:hint="eastAsia" w:ascii="宋体" w:hAnsi="宋体"/>
          <w:b/>
          <w:color w:val="auto"/>
          <w:sz w:val="24"/>
        </w:rPr>
      </w:pPr>
      <w:r>
        <w:rPr>
          <w:rFonts w:hint="eastAsia" w:ascii="宋体" w:hAnsi="宋体"/>
          <w:b/>
          <w:color w:val="auto"/>
          <w:sz w:val="24"/>
        </w:rPr>
        <w:t>4.招标文件构成</w:t>
      </w:r>
    </w:p>
    <w:p w14:paraId="18A26E3A">
      <w:pPr>
        <w:pStyle w:val="419"/>
        <w:spacing w:line="360" w:lineRule="auto"/>
        <w:jc w:val="left"/>
        <w:rPr>
          <w:rFonts w:hint="eastAsia" w:ascii="宋体" w:hAnsi="宋体"/>
          <w:color w:val="auto"/>
          <w:sz w:val="24"/>
        </w:rPr>
      </w:pPr>
      <w:r>
        <w:rPr>
          <w:rFonts w:hint="eastAsia" w:ascii="宋体" w:hAnsi="宋体"/>
          <w:color w:val="auto"/>
          <w:sz w:val="24"/>
        </w:rPr>
        <w:t>4.1要求提供的服务的内容及详细技术需求、投标须知和合同条件等在招标文件中均有说明。招标文件共七章，内容如下：</w:t>
      </w:r>
    </w:p>
    <w:p w14:paraId="5F865416">
      <w:pPr>
        <w:pStyle w:val="419"/>
        <w:spacing w:line="360" w:lineRule="auto"/>
        <w:jc w:val="left"/>
        <w:rPr>
          <w:rFonts w:hint="eastAsia" w:ascii="宋体" w:hAnsi="宋体"/>
          <w:color w:val="auto"/>
          <w:sz w:val="24"/>
        </w:rPr>
      </w:pPr>
      <w:r>
        <w:rPr>
          <w:rFonts w:hint="eastAsia" w:ascii="宋体" w:hAnsi="宋体"/>
          <w:color w:val="auto"/>
          <w:sz w:val="24"/>
        </w:rPr>
        <w:t>第一章投标邀请</w:t>
      </w:r>
    </w:p>
    <w:p w14:paraId="6413B9F8">
      <w:pPr>
        <w:pStyle w:val="419"/>
        <w:spacing w:line="360" w:lineRule="auto"/>
        <w:jc w:val="left"/>
        <w:rPr>
          <w:rFonts w:hint="eastAsia" w:ascii="宋体" w:hAnsi="宋体"/>
          <w:color w:val="auto"/>
          <w:sz w:val="24"/>
        </w:rPr>
      </w:pPr>
      <w:r>
        <w:rPr>
          <w:rFonts w:hint="eastAsia" w:ascii="宋体" w:hAnsi="宋体"/>
          <w:color w:val="auto"/>
          <w:sz w:val="24"/>
        </w:rPr>
        <w:t>第二章投标人须知前附表</w:t>
      </w:r>
    </w:p>
    <w:p w14:paraId="28865127">
      <w:pPr>
        <w:pStyle w:val="419"/>
        <w:spacing w:line="360" w:lineRule="auto"/>
        <w:jc w:val="left"/>
        <w:rPr>
          <w:rFonts w:hint="eastAsia" w:ascii="宋体" w:hAnsi="宋体"/>
          <w:color w:val="auto"/>
          <w:sz w:val="24"/>
        </w:rPr>
      </w:pPr>
      <w:r>
        <w:rPr>
          <w:rFonts w:hint="eastAsia" w:ascii="宋体" w:hAnsi="宋体"/>
          <w:color w:val="auto"/>
          <w:sz w:val="24"/>
        </w:rPr>
        <w:t>第三章投标人须知</w:t>
      </w:r>
    </w:p>
    <w:p w14:paraId="0960D28E">
      <w:pPr>
        <w:pStyle w:val="419"/>
        <w:spacing w:line="360" w:lineRule="auto"/>
        <w:jc w:val="left"/>
        <w:rPr>
          <w:rFonts w:hint="eastAsia" w:ascii="宋体" w:hAnsi="宋体"/>
          <w:color w:val="auto"/>
          <w:sz w:val="24"/>
        </w:rPr>
      </w:pPr>
      <w:r>
        <w:rPr>
          <w:rFonts w:hint="eastAsia" w:ascii="宋体" w:hAnsi="宋体"/>
          <w:color w:val="auto"/>
          <w:sz w:val="24"/>
        </w:rPr>
        <w:t>第四章采购需求</w:t>
      </w:r>
    </w:p>
    <w:p w14:paraId="44662F48">
      <w:pPr>
        <w:pStyle w:val="419"/>
        <w:spacing w:line="360" w:lineRule="auto"/>
        <w:jc w:val="left"/>
        <w:rPr>
          <w:rFonts w:hint="eastAsia" w:ascii="宋体" w:hAnsi="宋体"/>
          <w:color w:val="auto"/>
          <w:sz w:val="24"/>
        </w:rPr>
      </w:pPr>
      <w:r>
        <w:rPr>
          <w:rFonts w:hint="eastAsia" w:ascii="宋体" w:hAnsi="宋体"/>
          <w:color w:val="auto"/>
          <w:sz w:val="24"/>
        </w:rPr>
        <w:t>第五章评标方法和标准</w:t>
      </w:r>
    </w:p>
    <w:p w14:paraId="24C33B01">
      <w:pPr>
        <w:pStyle w:val="419"/>
        <w:spacing w:line="360" w:lineRule="auto"/>
        <w:jc w:val="left"/>
        <w:rPr>
          <w:rFonts w:hint="eastAsia" w:ascii="宋体" w:hAnsi="宋体"/>
          <w:color w:val="auto"/>
          <w:sz w:val="24"/>
        </w:rPr>
      </w:pPr>
      <w:r>
        <w:rPr>
          <w:rFonts w:hint="eastAsia" w:ascii="宋体" w:hAnsi="宋体"/>
          <w:color w:val="auto"/>
          <w:sz w:val="24"/>
        </w:rPr>
        <w:t>第六章合同条款</w:t>
      </w:r>
    </w:p>
    <w:p w14:paraId="1A2547D3">
      <w:pPr>
        <w:pStyle w:val="419"/>
        <w:spacing w:line="360" w:lineRule="auto"/>
        <w:jc w:val="left"/>
        <w:rPr>
          <w:rFonts w:hint="eastAsia" w:ascii="宋体" w:hAnsi="宋体"/>
          <w:color w:val="auto"/>
          <w:sz w:val="24"/>
        </w:rPr>
      </w:pPr>
      <w:r>
        <w:rPr>
          <w:rFonts w:hint="eastAsia" w:ascii="宋体" w:hAnsi="宋体"/>
          <w:color w:val="auto"/>
          <w:sz w:val="24"/>
        </w:rPr>
        <w:t>第七章投标文件格式</w:t>
      </w:r>
    </w:p>
    <w:p w14:paraId="402EA222">
      <w:pPr>
        <w:pStyle w:val="419"/>
        <w:spacing w:line="360" w:lineRule="auto"/>
        <w:jc w:val="left"/>
        <w:rPr>
          <w:rFonts w:hint="eastAsia" w:ascii="宋体" w:hAnsi="宋体"/>
          <w:color w:val="auto"/>
          <w:sz w:val="24"/>
        </w:rPr>
      </w:pPr>
      <w:r>
        <w:rPr>
          <w:rFonts w:hint="eastAsia" w:ascii="宋体" w:hAnsi="宋体"/>
          <w:color w:val="auto"/>
          <w:sz w:val="24"/>
        </w:rPr>
        <w:t>4.2投标人应认真阅读招标文件中所有的事项、格式、条款和技术规范等，投标人应当按照招标文件的要求编制投标文件，投标文件应当对招标文件提出的要求和条件作出明确响应。如投标人没有按照招标文件要求提交全部资料，或者投标文件没有对招标文件在各方面都作出实质性响应是投标人的风险，并可能导致其投标被拒绝。</w:t>
      </w:r>
    </w:p>
    <w:p w14:paraId="73B984C0">
      <w:pPr>
        <w:pStyle w:val="419"/>
        <w:spacing w:line="360" w:lineRule="auto"/>
        <w:jc w:val="left"/>
        <w:rPr>
          <w:rFonts w:ascii="宋体" w:hAnsi="宋体"/>
          <w:b/>
          <w:color w:val="auto"/>
          <w:sz w:val="24"/>
        </w:rPr>
      </w:pPr>
      <w:r>
        <w:rPr>
          <w:rFonts w:hint="eastAsia" w:ascii="宋体" w:hAnsi="宋体"/>
          <w:b/>
          <w:color w:val="auto"/>
          <w:sz w:val="24"/>
        </w:rPr>
        <w:t>5.招标文件的澄清或者修改</w:t>
      </w:r>
    </w:p>
    <w:p w14:paraId="2CB59722">
      <w:pPr>
        <w:pStyle w:val="419"/>
        <w:spacing w:line="360" w:lineRule="auto"/>
        <w:jc w:val="left"/>
        <w:rPr>
          <w:rFonts w:hint="eastAsia" w:ascii="宋体" w:hAnsi="宋体"/>
          <w:color w:val="auto"/>
          <w:sz w:val="24"/>
        </w:rPr>
      </w:pPr>
      <w:r>
        <w:rPr>
          <w:rFonts w:hint="eastAsia" w:ascii="宋体" w:hAnsi="宋体"/>
          <w:color w:val="auto"/>
          <w:sz w:val="24"/>
        </w:rPr>
        <w:t>5.1在投标截止时间前，采购人可主动地或者在解答潜在投标人提出的问题时，对招标文件进行必要的澄清或修改。澄清或者修改的内容为招标文件的组成部分。</w:t>
      </w:r>
    </w:p>
    <w:p w14:paraId="409DFE3D">
      <w:pPr>
        <w:pStyle w:val="419"/>
        <w:spacing w:line="360" w:lineRule="auto"/>
        <w:jc w:val="left"/>
        <w:rPr>
          <w:rFonts w:hint="eastAsia" w:ascii="宋体" w:hAnsi="宋体"/>
          <w:color w:val="auto"/>
          <w:sz w:val="24"/>
        </w:rPr>
      </w:pPr>
      <w:r>
        <w:rPr>
          <w:rFonts w:hint="eastAsia" w:ascii="宋体" w:hAnsi="宋体"/>
          <w:color w:val="auto"/>
          <w:sz w:val="24"/>
        </w:rPr>
        <w:t>5.2澄清或者修改的内容可能影响投标文件编制的，将在投标截止时间至少</w:t>
      </w:r>
      <w:r>
        <w:rPr>
          <w:rFonts w:ascii="宋体" w:hAnsi="宋体"/>
          <w:color w:val="auto"/>
          <w:sz w:val="24"/>
        </w:rPr>
        <w:t>15</w:t>
      </w:r>
      <w:r>
        <w:rPr>
          <w:rFonts w:hint="eastAsia" w:ascii="宋体" w:hAnsi="宋体"/>
          <w:color w:val="auto"/>
          <w:sz w:val="24"/>
        </w:rPr>
        <w:t>日前通知所有获取招标文件的潜在投标人；不足</w:t>
      </w:r>
      <w:r>
        <w:rPr>
          <w:rFonts w:ascii="宋体" w:hAnsi="宋体"/>
          <w:color w:val="auto"/>
          <w:sz w:val="24"/>
        </w:rPr>
        <w:t>1</w:t>
      </w:r>
      <w:r>
        <w:rPr>
          <w:rFonts w:hint="eastAsia" w:ascii="宋体" w:hAnsi="宋体"/>
          <w:color w:val="auto"/>
          <w:sz w:val="24"/>
        </w:rPr>
        <w:t>5日的将顺延提交投标文件的截止时间。</w:t>
      </w:r>
    </w:p>
    <w:p w14:paraId="16F27527">
      <w:pPr>
        <w:pStyle w:val="419"/>
        <w:spacing w:line="360" w:lineRule="auto"/>
        <w:jc w:val="left"/>
        <w:rPr>
          <w:rFonts w:hint="eastAsia" w:ascii="宋体" w:hAnsi="宋体"/>
          <w:color w:val="auto"/>
          <w:sz w:val="24"/>
        </w:rPr>
      </w:pPr>
      <w:r>
        <w:rPr>
          <w:rFonts w:hint="eastAsia" w:ascii="宋体" w:hAnsi="宋体"/>
          <w:color w:val="auto"/>
          <w:sz w:val="24"/>
        </w:rPr>
        <w:t>5.3对招标文件必要的澄清或者修改将以书面形式通知所有获取招标文件的潜在投标人，并对其具有约束力。投标人在收到上述通知后，应及时向采购代理机构回函确认。</w:t>
      </w:r>
    </w:p>
    <w:p w14:paraId="3261E129">
      <w:pPr>
        <w:pStyle w:val="419"/>
        <w:spacing w:line="360" w:lineRule="auto"/>
        <w:jc w:val="center"/>
        <w:rPr>
          <w:rFonts w:hint="eastAsia" w:ascii="宋体" w:hAnsi="宋体"/>
          <w:b/>
          <w:color w:val="auto"/>
          <w:sz w:val="32"/>
          <w:szCs w:val="32"/>
        </w:rPr>
      </w:pPr>
      <w:r>
        <w:rPr>
          <w:rFonts w:hint="eastAsia" w:ascii="宋体" w:hAnsi="宋体"/>
          <w:b/>
          <w:color w:val="auto"/>
          <w:sz w:val="32"/>
          <w:szCs w:val="32"/>
        </w:rPr>
        <w:t>三</w:t>
      </w:r>
      <w:r>
        <w:rPr>
          <w:rFonts w:hint="eastAsia" w:ascii="宋体" w:hAnsi="宋体"/>
          <w:b/>
          <w:color w:val="auto"/>
          <w:sz w:val="32"/>
          <w:szCs w:val="32"/>
          <w:lang w:eastAsia="zh-CN"/>
        </w:rPr>
        <w:t>、</w:t>
      </w:r>
      <w:r>
        <w:rPr>
          <w:rFonts w:hint="eastAsia" w:ascii="宋体" w:hAnsi="宋体"/>
          <w:b/>
          <w:color w:val="auto"/>
          <w:sz w:val="32"/>
          <w:szCs w:val="32"/>
        </w:rPr>
        <w:t>投标文件的编制</w:t>
      </w:r>
    </w:p>
    <w:p w14:paraId="33F47D9C">
      <w:pPr>
        <w:pStyle w:val="419"/>
        <w:spacing w:line="360" w:lineRule="auto"/>
        <w:jc w:val="left"/>
        <w:rPr>
          <w:rFonts w:hint="eastAsia" w:ascii="宋体" w:hAnsi="宋体"/>
          <w:b/>
          <w:color w:val="auto"/>
          <w:sz w:val="24"/>
        </w:rPr>
      </w:pPr>
      <w:r>
        <w:rPr>
          <w:rFonts w:hint="eastAsia" w:ascii="宋体" w:hAnsi="宋体"/>
          <w:b/>
          <w:color w:val="auto"/>
          <w:sz w:val="24"/>
        </w:rPr>
        <w:t>6.投标范围及投标文件中语言和计量单位的使用</w:t>
      </w:r>
    </w:p>
    <w:p w14:paraId="603AED01">
      <w:pPr>
        <w:pStyle w:val="419"/>
        <w:spacing w:line="360" w:lineRule="auto"/>
        <w:jc w:val="left"/>
        <w:rPr>
          <w:rFonts w:hint="eastAsia" w:ascii="宋体" w:hAnsi="宋体"/>
          <w:color w:val="auto"/>
          <w:sz w:val="24"/>
        </w:rPr>
      </w:pPr>
      <w:r>
        <w:rPr>
          <w:rFonts w:hint="eastAsia" w:ascii="宋体" w:hAnsi="宋体"/>
          <w:color w:val="auto"/>
          <w:sz w:val="24"/>
        </w:rPr>
        <w:t>6.1投标人可对招标文件其中一包或几包货物及服务进行投标，除非在</w:t>
      </w:r>
      <w:r>
        <w:rPr>
          <w:rFonts w:hint="eastAsia" w:ascii="宋体" w:hAnsi="宋体"/>
          <w:color w:val="auto"/>
          <w:sz w:val="24"/>
          <w:u w:val="single"/>
        </w:rPr>
        <w:t>投标人须知前附表</w:t>
      </w:r>
      <w:r>
        <w:rPr>
          <w:rFonts w:hint="eastAsia" w:ascii="宋体" w:hAnsi="宋体"/>
          <w:color w:val="auto"/>
          <w:sz w:val="24"/>
        </w:rPr>
        <w:t>中另有规定。投标人对所投分包招标文件中</w:t>
      </w:r>
      <w:r>
        <w:rPr>
          <w:rFonts w:ascii="宋体" w:hAnsi="宋体"/>
          <w:color w:val="auto"/>
          <w:sz w:val="24"/>
        </w:rPr>
        <w:t>“</w:t>
      </w:r>
      <w:r>
        <w:rPr>
          <w:rFonts w:hint="eastAsia" w:ascii="宋体" w:hAnsi="宋体"/>
          <w:color w:val="auto"/>
          <w:sz w:val="24"/>
        </w:rPr>
        <w:t>采购需求</w:t>
      </w:r>
      <w:r>
        <w:rPr>
          <w:rFonts w:ascii="宋体" w:hAnsi="宋体"/>
          <w:color w:val="auto"/>
          <w:sz w:val="24"/>
        </w:rPr>
        <w:t>”</w:t>
      </w:r>
      <w:r>
        <w:rPr>
          <w:rFonts w:hint="eastAsia" w:ascii="宋体" w:hAnsi="宋体"/>
          <w:color w:val="auto"/>
          <w:sz w:val="24"/>
        </w:rPr>
        <w:t>所列的所有货物及服务进行投标，如仅响应一包中的部分服务，其投标将作为</w:t>
      </w:r>
      <w:r>
        <w:rPr>
          <w:rFonts w:hint="eastAsia" w:ascii="宋体" w:hAnsi="宋体"/>
          <w:b/>
          <w:bCs/>
          <w:color w:val="auto"/>
          <w:sz w:val="24"/>
        </w:rPr>
        <w:t>无效投标</w:t>
      </w:r>
      <w:r>
        <w:rPr>
          <w:rFonts w:hint="eastAsia" w:ascii="宋体" w:hAnsi="宋体"/>
          <w:color w:val="auto"/>
          <w:sz w:val="24"/>
        </w:rPr>
        <w:t>被否决。</w:t>
      </w:r>
    </w:p>
    <w:p w14:paraId="4D43A4DA">
      <w:pPr>
        <w:pStyle w:val="419"/>
        <w:spacing w:line="360" w:lineRule="auto"/>
        <w:jc w:val="left"/>
        <w:rPr>
          <w:rFonts w:hint="eastAsia" w:ascii="宋体" w:hAnsi="宋体"/>
          <w:color w:val="auto"/>
          <w:sz w:val="24"/>
        </w:rPr>
      </w:pPr>
      <w:r>
        <w:rPr>
          <w:rFonts w:hint="eastAsia" w:ascii="宋体" w:hAnsi="宋体"/>
          <w:color w:val="auto"/>
          <w:sz w:val="24"/>
        </w:rPr>
        <w:t>6.2</w:t>
      </w:r>
      <w:r>
        <w:rPr>
          <w:rFonts w:hint="eastAsia" w:ascii="宋体"/>
          <w:color w:val="auto"/>
          <w:sz w:val="24"/>
        </w:rPr>
        <w:t>开标、评标、定标均以包为单位，投标人根据公司的自身实力可对多个包进行投标，若投标人参与多个包时，应分别编写投标文件。</w:t>
      </w:r>
    </w:p>
    <w:p w14:paraId="2A23BF22">
      <w:pPr>
        <w:pStyle w:val="419"/>
        <w:spacing w:line="360" w:lineRule="auto"/>
        <w:jc w:val="left"/>
        <w:rPr>
          <w:rFonts w:ascii="宋体" w:hAnsi="宋体"/>
          <w:color w:val="auto"/>
          <w:sz w:val="24"/>
        </w:rPr>
      </w:pPr>
      <w:r>
        <w:rPr>
          <w:rFonts w:hint="eastAsia" w:ascii="宋体" w:hAnsi="宋体"/>
          <w:color w:val="auto"/>
          <w:sz w:val="24"/>
        </w:rPr>
        <w:t>6.3无论招标文件第四章采购需求及技术规格中是否要求，投标人所投货物及服务均应符合国家强制性标准。</w:t>
      </w:r>
    </w:p>
    <w:p w14:paraId="79EAA867">
      <w:pPr>
        <w:pStyle w:val="419"/>
        <w:spacing w:line="360" w:lineRule="auto"/>
        <w:jc w:val="left"/>
        <w:rPr>
          <w:rFonts w:hint="eastAsia" w:ascii="宋体" w:hAnsi="宋体"/>
          <w:color w:val="auto"/>
          <w:sz w:val="24"/>
        </w:rPr>
      </w:pPr>
      <w:r>
        <w:rPr>
          <w:rFonts w:hint="eastAsia" w:ascii="宋体" w:hAnsi="宋体"/>
          <w:color w:val="auto"/>
          <w:sz w:val="24"/>
        </w:rPr>
        <w:t>6.4投标人提交的投标文件以及投标人与采购人、采购代理机构有关投标的所有来往文件、函电均应以简体中文书写。投标人可以提交</w:t>
      </w:r>
      <w:r>
        <w:rPr>
          <w:rFonts w:hint="eastAsia" w:ascii="宋体" w:hAnsi="宋体"/>
          <w:color w:val="auto"/>
          <w:sz w:val="24"/>
          <w:lang w:eastAsia="zh-CN"/>
        </w:rPr>
        <w:t>其他语言</w:t>
      </w:r>
      <w:r>
        <w:rPr>
          <w:rFonts w:hint="eastAsia" w:ascii="宋体" w:hAnsi="宋体"/>
          <w:color w:val="auto"/>
          <w:sz w:val="24"/>
        </w:rPr>
        <w:t>的资料，但有关段落必须翻译成简体中文，在有差异时以简体中文为准。</w:t>
      </w:r>
    </w:p>
    <w:p w14:paraId="7658E44D">
      <w:pPr>
        <w:pStyle w:val="419"/>
        <w:spacing w:line="360" w:lineRule="auto"/>
        <w:jc w:val="left"/>
        <w:rPr>
          <w:rFonts w:hint="eastAsia" w:ascii="宋体" w:hAnsi="宋体"/>
          <w:color w:val="auto"/>
          <w:sz w:val="24"/>
        </w:rPr>
      </w:pPr>
      <w:r>
        <w:rPr>
          <w:rFonts w:hint="eastAsia" w:ascii="宋体" w:hAnsi="宋体"/>
          <w:color w:val="auto"/>
          <w:sz w:val="24"/>
        </w:rPr>
        <w:t>6.5投标文件中所使用的计量单位，除招标文件中有特殊要求外，应采用中华人民共和国法定计量单位。</w:t>
      </w:r>
    </w:p>
    <w:p w14:paraId="7355949B">
      <w:pPr>
        <w:pStyle w:val="419"/>
        <w:spacing w:line="360" w:lineRule="auto"/>
        <w:jc w:val="left"/>
        <w:rPr>
          <w:rFonts w:hint="eastAsia" w:ascii="宋体" w:hAnsi="宋体"/>
          <w:b/>
          <w:color w:val="auto"/>
          <w:sz w:val="24"/>
        </w:rPr>
      </w:pPr>
      <w:r>
        <w:rPr>
          <w:rFonts w:hint="eastAsia" w:ascii="宋体" w:hAnsi="宋体"/>
          <w:b/>
          <w:color w:val="auto"/>
          <w:sz w:val="24"/>
        </w:rPr>
        <w:t>7.投标文件构成</w:t>
      </w:r>
    </w:p>
    <w:p w14:paraId="61797F1D">
      <w:pPr>
        <w:pStyle w:val="419"/>
        <w:spacing w:line="360" w:lineRule="auto"/>
        <w:jc w:val="left"/>
        <w:rPr>
          <w:rFonts w:ascii="宋体" w:hAnsi="宋体" w:cs="仿宋"/>
          <w:b/>
          <w:bCs/>
          <w:color w:val="auto"/>
          <w:sz w:val="24"/>
        </w:rPr>
      </w:pPr>
      <w:r>
        <w:rPr>
          <w:rFonts w:hint="eastAsia" w:ascii="宋体" w:hAnsi="宋体"/>
          <w:color w:val="auto"/>
          <w:sz w:val="24"/>
        </w:rPr>
        <w:t>7.1投标人应完整地按招标文件提供的投标文件格式编写投标文件，投标文件应包括以下内容：</w:t>
      </w:r>
    </w:p>
    <w:p w14:paraId="79162BFF">
      <w:pPr>
        <w:pStyle w:val="419"/>
        <w:spacing w:line="360" w:lineRule="auto"/>
        <w:jc w:val="left"/>
        <w:rPr>
          <w:rFonts w:hint="eastAsia" w:ascii="宋体" w:hAnsi="宋体"/>
          <w:color w:val="auto"/>
          <w:sz w:val="24"/>
        </w:rPr>
      </w:pPr>
      <w:r>
        <w:rPr>
          <w:rFonts w:hint="eastAsia" w:ascii="宋体" w:hAnsi="宋体"/>
          <w:color w:val="auto"/>
          <w:sz w:val="24"/>
        </w:rPr>
        <w:t>1、投标函</w:t>
      </w:r>
    </w:p>
    <w:p w14:paraId="7F7723A8">
      <w:pPr>
        <w:pStyle w:val="419"/>
        <w:spacing w:line="360" w:lineRule="auto"/>
        <w:jc w:val="left"/>
        <w:rPr>
          <w:rFonts w:hint="eastAsia" w:ascii="宋体" w:hAnsi="宋体"/>
          <w:color w:val="auto"/>
          <w:sz w:val="24"/>
        </w:rPr>
      </w:pPr>
      <w:r>
        <w:rPr>
          <w:rFonts w:hint="eastAsia" w:ascii="宋体" w:hAnsi="宋体"/>
          <w:color w:val="auto"/>
          <w:sz w:val="24"/>
        </w:rPr>
        <w:t>2、报价一览表</w:t>
      </w:r>
    </w:p>
    <w:p w14:paraId="4883DB0F">
      <w:pPr>
        <w:pStyle w:val="419"/>
        <w:spacing w:line="360" w:lineRule="auto"/>
        <w:jc w:val="left"/>
        <w:rPr>
          <w:rFonts w:hint="eastAsia" w:ascii="宋体" w:hAnsi="宋体"/>
          <w:color w:val="auto"/>
          <w:sz w:val="24"/>
        </w:rPr>
      </w:pPr>
      <w:r>
        <w:rPr>
          <w:rFonts w:hint="eastAsia" w:ascii="宋体" w:hAnsi="宋体"/>
          <w:color w:val="auto"/>
          <w:sz w:val="24"/>
        </w:rPr>
        <w:t>3、投标保证金</w:t>
      </w:r>
    </w:p>
    <w:p w14:paraId="24ABFFF9">
      <w:pPr>
        <w:pStyle w:val="419"/>
        <w:spacing w:line="360" w:lineRule="auto"/>
        <w:jc w:val="left"/>
        <w:rPr>
          <w:rFonts w:hint="eastAsia" w:ascii="宋体" w:hAnsi="宋体"/>
          <w:color w:val="auto"/>
          <w:sz w:val="24"/>
        </w:rPr>
      </w:pPr>
      <w:r>
        <w:rPr>
          <w:rFonts w:hint="eastAsia" w:ascii="宋体" w:hAnsi="宋体"/>
          <w:color w:val="auto"/>
          <w:sz w:val="24"/>
        </w:rPr>
        <w:t>4、投标报价明细表</w:t>
      </w:r>
    </w:p>
    <w:p w14:paraId="6904F0C1">
      <w:pPr>
        <w:pStyle w:val="419"/>
        <w:spacing w:line="360" w:lineRule="auto"/>
        <w:jc w:val="left"/>
        <w:rPr>
          <w:rFonts w:hint="eastAsia" w:ascii="宋体" w:hAnsi="宋体"/>
          <w:color w:val="auto"/>
          <w:sz w:val="24"/>
        </w:rPr>
      </w:pPr>
      <w:r>
        <w:rPr>
          <w:rFonts w:hint="eastAsia" w:ascii="宋体" w:hAnsi="宋体"/>
          <w:color w:val="auto"/>
          <w:sz w:val="24"/>
        </w:rPr>
        <w:t>5、商务条款偏离表</w:t>
      </w:r>
    </w:p>
    <w:p w14:paraId="38062210">
      <w:pPr>
        <w:pStyle w:val="419"/>
        <w:spacing w:line="360" w:lineRule="auto"/>
        <w:jc w:val="left"/>
        <w:rPr>
          <w:rFonts w:hint="eastAsia" w:ascii="宋体" w:hAnsi="宋体"/>
          <w:color w:val="auto"/>
          <w:sz w:val="24"/>
        </w:rPr>
      </w:pPr>
      <w:r>
        <w:rPr>
          <w:rFonts w:hint="eastAsia" w:ascii="宋体" w:hAnsi="宋体"/>
          <w:color w:val="auto"/>
          <w:sz w:val="24"/>
        </w:rPr>
        <w:t>6、采购需求偏离表</w:t>
      </w:r>
    </w:p>
    <w:p w14:paraId="277D13E4">
      <w:pPr>
        <w:pStyle w:val="419"/>
        <w:spacing w:line="360" w:lineRule="auto"/>
        <w:jc w:val="left"/>
        <w:rPr>
          <w:rFonts w:hint="eastAsia" w:ascii="宋体" w:hAnsi="宋体"/>
          <w:color w:val="auto"/>
          <w:sz w:val="24"/>
        </w:rPr>
      </w:pPr>
      <w:r>
        <w:rPr>
          <w:rFonts w:hint="eastAsia" w:ascii="宋体" w:hAnsi="宋体"/>
          <w:color w:val="auto"/>
          <w:sz w:val="24"/>
        </w:rPr>
        <w:t>7、投标人基本情况表</w:t>
      </w:r>
    </w:p>
    <w:p w14:paraId="05C4E161">
      <w:pPr>
        <w:pStyle w:val="419"/>
        <w:spacing w:line="360" w:lineRule="auto"/>
        <w:jc w:val="left"/>
        <w:rPr>
          <w:rFonts w:ascii="宋体" w:hAnsi="宋体"/>
          <w:color w:val="auto"/>
          <w:sz w:val="24"/>
        </w:rPr>
      </w:pPr>
      <w:r>
        <w:rPr>
          <w:rFonts w:hint="eastAsia" w:ascii="宋体" w:hAnsi="宋体"/>
          <w:color w:val="auto"/>
          <w:sz w:val="24"/>
        </w:rPr>
        <w:t>8、资格证明文件</w:t>
      </w:r>
    </w:p>
    <w:p w14:paraId="17E1550F">
      <w:pPr>
        <w:pStyle w:val="419"/>
        <w:spacing w:line="360" w:lineRule="auto"/>
        <w:jc w:val="left"/>
        <w:rPr>
          <w:rFonts w:hint="eastAsia" w:ascii="宋体" w:hAnsi="宋体"/>
          <w:color w:val="auto"/>
          <w:sz w:val="24"/>
        </w:rPr>
      </w:pPr>
      <w:r>
        <w:rPr>
          <w:rFonts w:hint="eastAsia" w:ascii="宋体" w:hAnsi="宋体"/>
          <w:color w:val="auto"/>
          <w:sz w:val="24"/>
        </w:rPr>
        <w:t>9、拟派项目负责人情况表</w:t>
      </w:r>
    </w:p>
    <w:p w14:paraId="331C54A3">
      <w:pPr>
        <w:pStyle w:val="419"/>
        <w:spacing w:line="360" w:lineRule="auto"/>
        <w:jc w:val="left"/>
        <w:rPr>
          <w:rFonts w:hint="eastAsia" w:ascii="宋体" w:hAnsi="宋体"/>
          <w:color w:val="auto"/>
          <w:sz w:val="24"/>
        </w:rPr>
      </w:pPr>
      <w:r>
        <w:rPr>
          <w:rFonts w:hint="eastAsia" w:ascii="宋体" w:hAnsi="宋体"/>
          <w:color w:val="auto"/>
          <w:sz w:val="24"/>
        </w:rPr>
        <w:t>10、本项目主要人员配备表</w:t>
      </w:r>
    </w:p>
    <w:p w14:paraId="4D6A23AA">
      <w:pPr>
        <w:pStyle w:val="419"/>
        <w:spacing w:line="360" w:lineRule="auto"/>
        <w:jc w:val="left"/>
        <w:rPr>
          <w:rFonts w:hint="eastAsia" w:ascii="宋体" w:hAnsi="宋体"/>
          <w:color w:val="auto"/>
          <w:sz w:val="24"/>
        </w:rPr>
      </w:pPr>
      <w:r>
        <w:rPr>
          <w:rFonts w:hint="eastAsia" w:ascii="宋体" w:hAnsi="宋体"/>
          <w:color w:val="auto"/>
          <w:sz w:val="24"/>
        </w:rPr>
        <w:t>11、小微企业、监狱企业、残疾人福利单位的声明函</w:t>
      </w:r>
    </w:p>
    <w:p w14:paraId="7117760B">
      <w:pPr>
        <w:pStyle w:val="419"/>
        <w:spacing w:line="360" w:lineRule="auto"/>
        <w:jc w:val="left"/>
        <w:rPr>
          <w:rFonts w:hint="eastAsia" w:ascii="宋体" w:hAnsi="宋体"/>
          <w:color w:val="auto"/>
          <w:sz w:val="24"/>
        </w:rPr>
      </w:pPr>
      <w:r>
        <w:rPr>
          <w:rFonts w:hint="eastAsia" w:ascii="宋体" w:hAnsi="宋体"/>
          <w:color w:val="auto"/>
          <w:sz w:val="24"/>
        </w:rPr>
        <w:t>12、备品备件清单</w:t>
      </w:r>
    </w:p>
    <w:p w14:paraId="349059B9">
      <w:pPr>
        <w:pStyle w:val="419"/>
        <w:spacing w:line="360" w:lineRule="auto"/>
        <w:jc w:val="left"/>
        <w:rPr>
          <w:rFonts w:hint="eastAsia" w:ascii="宋体" w:hAnsi="宋体"/>
          <w:color w:val="auto"/>
          <w:sz w:val="24"/>
        </w:rPr>
      </w:pPr>
      <w:r>
        <w:rPr>
          <w:rFonts w:hint="eastAsia" w:ascii="宋体" w:hAnsi="宋体"/>
          <w:color w:val="auto"/>
          <w:sz w:val="24"/>
        </w:rPr>
        <w:t>13、投标人服务承诺及方案</w:t>
      </w:r>
    </w:p>
    <w:p w14:paraId="5A087F81">
      <w:pPr>
        <w:pStyle w:val="419"/>
        <w:spacing w:line="360" w:lineRule="auto"/>
        <w:jc w:val="left"/>
        <w:rPr>
          <w:rFonts w:hint="eastAsia" w:ascii="宋体" w:hAnsi="宋体"/>
          <w:color w:val="auto"/>
          <w:sz w:val="24"/>
        </w:rPr>
      </w:pPr>
      <w:r>
        <w:rPr>
          <w:rFonts w:hint="eastAsia" w:ascii="宋体" w:hAnsi="宋体"/>
          <w:color w:val="auto"/>
          <w:sz w:val="24"/>
        </w:rPr>
        <w:t>14、投标人自行提交的其他文件</w:t>
      </w:r>
    </w:p>
    <w:p w14:paraId="7BDD41BC">
      <w:pPr>
        <w:pStyle w:val="419"/>
        <w:spacing w:line="360" w:lineRule="auto"/>
        <w:rPr>
          <w:rFonts w:hint="eastAsia" w:ascii="宋体" w:hAnsi="宋体"/>
          <w:color w:val="auto"/>
          <w:sz w:val="24"/>
        </w:rPr>
      </w:pPr>
      <w:r>
        <w:rPr>
          <w:rFonts w:hint="eastAsia" w:ascii="宋体" w:hAnsi="宋体"/>
          <w:color w:val="auto"/>
          <w:sz w:val="24"/>
        </w:rPr>
        <w:t>7.2所有投标人和投标货物的资格证明文件均应为合法、有效文件，否则将被视为该文件未被递交。</w:t>
      </w:r>
    </w:p>
    <w:p w14:paraId="366539B8">
      <w:pPr>
        <w:pStyle w:val="419"/>
        <w:spacing w:line="360" w:lineRule="auto"/>
        <w:rPr>
          <w:rFonts w:hAnsi="宋体"/>
          <w:color w:val="auto"/>
          <w:sz w:val="24"/>
        </w:rPr>
      </w:pPr>
      <w:r>
        <w:rPr>
          <w:rFonts w:hint="eastAsia" w:ascii="宋体" w:hAnsi="宋体"/>
          <w:color w:val="auto"/>
          <w:sz w:val="24"/>
        </w:rPr>
        <w:t>7.3</w:t>
      </w:r>
      <w:r>
        <w:rPr>
          <w:rFonts w:hint="eastAsia" w:hAnsi="宋体"/>
          <w:color w:val="auto"/>
          <w:sz w:val="24"/>
        </w:rPr>
        <w:t>上述文件应按照招标文件规定的格式填写、签署和盖章。</w:t>
      </w:r>
    </w:p>
    <w:p w14:paraId="078E9DA2">
      <w:pPr>
        <w:pStyle w:val="419"/>
        <w:spacing w:line="360" w:lineRule="auto"/>
        <w:jc w:val="left"/>
        <w:rPr>
          <w:rFonts w:hint="eastAsia" w:ascii="宋体" w:hAnsi="宋体"/>
          <w:b/>
          <w:color w:val="auto"/>
          <w:sz w:val="24"/>
        </w:rPr>
      </w:pPr>
      <w:r>
        <w:rPr>
          <w:rFonts w:hint="eastAsia" w:ascii="宋体" w:hAnsi="宋体"/>
          <w:b/>
          <w:color w:val="auto"/>
          <w:sz w:val="24"/>
        </w:rPr>
        <w:t>8.证明货物服务的合格性和符合招标文件规定的文件</w:t>
      </w:r>
    </w:p>
    <w:p w14:paraId="6DEEBB41">
      <w:pPr>
        <w:pStyle w:val="419"/>
        <w:spacing w:line="360" w:lineRule="auto"/>
        <w:jc w:val="left"/>
        <w:rPr>
          <w:rFonts w:hint="eastAsia" w:ascii="宋体" w:hAnsi="宋体"/>
          <w:color w:val="auto"/>
          <w:sz w:val="24"/>
        </w:rPr>
      </w:pPr>
      <w:r>
        <w:rPr>
          <w:rFonts w:hint="eastAsia" w:ascii="宋体" w:hAnsi="宋体"/>
          <w:color w:val="auto"/>
          <w:sz w:val="24"/>
        </w:rPr>
        <w:t>8.1投标人应提交证明文件，证明其拟供的合同项下的货物和服务的合格性符合招标文件规定。该证明文件是投标文件的一部分。</w:t>
      </w:r>
    </w:p>
    <w:p w14:paraId="6FC4FBEB">
      <w:pPr>
        <w:pStyle w:val="419"/>
        <w:spacing w:line="360" w:lineRule="auto"/>
        <w:jc w:val="left"/>
        <w:rPr>
          <w:rFonts w:hint="eastAsia" w:ascii="宋体" w:hAnsi="宋体"/>
          <w:color w:val="auto"/>
          <w:sz w:val="24"/>
        </w:rPr>
      </w:pPr>
      <w:r>
        <w:rPr>
          <w:rFonts w:hint="eastAsia" w:ascii="宋体" w:hAnsi="宋体"/>
          <w:color w:val="auto"/>
          <w:sz w:val="24"/>
        </w:rPr>
        <w:t>8.2上款所述的证明文件，可以是文字资料、图纸和数据，它包括：</w:t>
      </w:r>
    </w:p>
    <w:p w14:paraId="434D342A">
      <w:pPr>
        <w:pStyle w:val="419"/>
        <w:spacing w:line="360" w:lineRule="auto"/>
        <w:jc w:val="left"/>
        <w:rPr>
          <w:rFonts w:hint="eastAsia" w:ascii="宋体" w:hAnsi="宋体"/>
          <w:color w:val="auto"/>
          <w:sz w:val="24"/>
        </w:rPr>
      </w:pPr>
      <w:r>
        <w:rPr>
          <w:rFonts w:hint="eastAsia" w:ascii="宋体" w:hAnsi="宋体"/>
          <w:color w:val="auto"/>
          <w:sz w:val="24"/>
        </w:rPr>
        <w:t>8.2.1货物和服务主要技术指标、品质、性能和服务内容及承诺的详细说明。</w:t>
      </w:r>
    </w:p>
    <w:p w14:paraId="24A6F831">
      <w:pPr>
        <w:pStyle w:val="419"/>
        <w:spacing w:line="360" w:lineRule="auto"/>
        <w:jc w:val="left"/>
        <w:rPr>
          <w:rFonts w:hint="eastAsia" w:ascii="宋体" w:hAnsi="宋体"/>
          <w:color w:val="auto"/>
          <w:sz w:val="24"/>
        </w:rPr>
      </w:pPr>
      <w:r>
        <w:rPr>
          <w:rFonts w:hint="eastAsia" w:ascii="宋体" w:hAnsi="宋体"/>
          <w:color w:val="auto"/>
          <w:sz w:val="24"/>
        </w:rPr>
        <w:t>8.2.2对照招标文件技术规格和服务要求，逐条说明所提供货物和服务已对招标文件的技术规格做出了响应，或申明与技术规格条文的偏差和例外。</w:t>
      </w:r>
    </w:p>
    <w:p w14:paraId="74E297E8">
      <w:pPr>
        <w:pStyle w:val="419"/>
        <w:spacing w:line="360" w:lineRule="auto"/>
        <w:jc w:val="left"/>
        <w:rPr>
          <w:rFonts w:ascii="宋体" w:hAnsi="宋体"/>
          <w:color w:val="auto"/>
          <w:sz w:val="24"/>
        </w:rPr>
      </w:pPr>
      <w:r>
        <w:rPr>
          <w:rFonts w:hint="eastAsia" w:ascii="宋体" w:hAnsi="宋体"/>
          <w:color w:val="auto"/>
          <w:sz w:val="24"/>
        </w:rPr>
        <w:t>8.3投标人应注意采购人在技术规格中指出的工艺、材料和设备的参照牌号或分类号仅起说明作用，并没有任何限制性。投标人在投标中可以选用替代牌号或分类号，但这些替代要实质上相当于技术规格的要求。采购人、采购代理机构承诺不以上述参考牌号或分类号作为评标时判定其投标是否有效的标准。</w:t>
      </w:r>
    </w:p>
    <w:p w14:paraId="03F31C47">
      <w:pPr>
        <w:pStyle w:val="419"/>
        <w:spacing w:line="360" w:lineRule="auto"/>
        <w:jc w:val="left"/>
        <w:rPr>
          <w:rFonts w:hint="eastAsia" w:ascii="宋体" w:hAnsi="宋体"/>
          <w:color w:val="auto"/>
          <w:sz w:val="24"/>
        </w:rPr>
      </w:pPr>
      <w:r>
        <w:rPr>
          <w:rFonts w:hint="eastAsia" w:ascii="宋体" w:hAnsi="宋体"/>
          <w:color w:val="auto"/>
          <w:sz w:val="24"/>
        </w:rPr>
        <w:t>8.4本条所指证明文件不得为对招标文件相关部分的文字、图标的复制。</w:t>
      </w:r>
    </w:p>
    <w:p w14:paraId="7AB76FAF">
      <w:pPr>
        <w:pStyle w:val="419"/>
        <w:spacing w:line="360" w:lineRule="auto"/>
        <w:jc w:val="left"/>
        <w:rPr>
          <w:rFonts w:hint="eastAsia" w:ascii="宋体" w:hAnsi="宋体"/>
          <w:b/>
          <w:color w:val="auto"/>
          <w:sz w:val="24"/>
        </w:rPr>
      </w:pPr>
      <w:r>
        <w:rPr>
          <w:rFonts w:hint="eastAsia" w:ascii="宋体" w:hAnsi="宋体"/>
          <w:b/>
          <w:color w:val="auto"/>
          <w:sz w:val="24"/>
        </w:rPr>
        <w:t>9.投标报价</w:t>
      </w:r>
    </w:p>
    <w:p w14:paraId="345C7680">
      <w:pPr>
        <w:pStyle w:val="419"/>
        <w:spacing w:line="360" w:lineRule="auto"/>
        <w:jc w:val="left"/>
        <w:rPr>
          <w:rFonts w:hint="eastAsia" w:ascii="宋体" w:hAnsi="宋体"/>
          <w:b/>
          <w:bCs/>
          <w:color w:val="auto"/>
          <w:sz w:val="24"/>
        </w:rPr>
      </w:pPr>
      <w:r>
        <w:rPr>
          <w:rFonts w:hint="eastAsia" w:ascii="宋体" w:hAnsi="宋体"/>
          <w:b/>
          <w:bCs/>
          <w:color w:val="auto"/>
          <w:sz w:val="24"/>
        </w:rPr>
        <w:t>9.1本项目为交钥匙工程（除完成本次采购需求以外，最终报价应包含：招标文件中所需投标价中需</w:t>
      </w:r>
      <w:r>
        <w:rPr>
          <w:rFonts w:hint="eastAsia" w:ascii="宋体" w:hAnsi="宋体"/>
          <w:b/>
          <w:bCs/>
          <w:color w:val="auto"/>
          <w:sz w:val="24"/>
          <w:lang w:eastAsia="zh-CN"/>
        </w:rPr>
        <w:t>考虑</w:t>
      </w:r>
      <w:r>
        <w:rPr>
          <w:rFonts w:hint="eastAsia" w:ascii="宋体" w:hAnsi="宋体"/>
          <w:b/>
          <w:bCs/>
          <w:color w:val="auto"/>
          <w:sz w:val="24"/>
        </w:rPr>
        <w:t>包含、税金、运输、设备及材料搬运、售后服务质保及其他发生的与本项目相关需计入投标成本的等一切相关费用。</w:t>
      </w:r>
    </w:p>
    <w:p w14:paraId="152082B0">
      <w:pPr>
        <w:pStyle w:val="419"/>
        <w:spacing w:line="360" w:lineRule="auto"/>
        <w:jc w:val="left"/>
        <w:rPr>
          <w:rFonts w:hint="eastAsia" w:ascii="宋体" w:hAnsi="宋体"/>
          <w:b/>
          <w:bCs/>
          <w:color w:val="auto"/>
          <w:sz w:val="24"/>
        </w:rPr>
      </w:pPr>
      <w:r>
        <w:rPr>
          <w:rFonts w:hint="eastAsia" w:ascii="宋体" w:hAnsi="宋体"/>
          <w:color w:val="auto"/>
          <w:sz w:val="24"/>
        </w:rPr>
        <w:t>9.2为保证公平竞争，根据相关法律法规规定，投标人应合理报价。</w:t>
      </w:r>
      <w:r>
        <w:rPr>
          <w:rFonts w:hint="eastAsia" w:ascii="宋体" w:hAnsi="宋体"/>
          <w:b/>
          <w:bCs/>
          <w:color w:val="auto"/>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将被作为无效投标处理。</w:t>
      </w:r>
    </w:p>
    <w:p w14:paraId="0FF920C6">
      <w:pPr>
        <w:pStyle w:val="419"/>
        <w:spacing w:line="360" w:lineRule="auto"/>
        <w:jc w:val="left"/>
        <w:rPr>
          <w:rFonts w:hint="default" w:ascii="宋体" w:hAnsi="宋体" w:eastAsia="宋体"/>
          <w:bCs/>
          <w:color w:val="auto"/>
          <w:sz w:val="24"/>
          <w:lang w:val="en-US" w:eastAsia="zh-CN"/>
        </w:rPr>
      </w:pPr>
      <w:r>
        <w:rPr>
          <w:rFonts w:hint="eastAsia" w:ascii="宋体" w:hAnsi="宋体"/>
          <w:bCs/>
          <w:color w:val="auto"/>
          <w:sz w:val="24"/>
        </w:rPr>
        <w:t>10.投标保证金和招标服务费</w:t>
      </w:r>
      <w:r>
        <w:rPr>
          <w:rFonts w:hint="eastAsia" w:ascii="宋体" w:hAnsi="宋体"/>
          <w:bCs/>
          <w:color w:val="auto"/>
          <w:sz w:val="24"/>
          <w:lang w:eastAsia="zh-CN"/>
        </w:rPr>
        <w:t>：</w:t>
      </w:r>
      <w:r>
        <w:rPr>
          <w:rFonts w:hint="eastAsia" w:ascii="宋体" w:hAnsi="宋体"/>
          <w:bCs/>
          <w:color w:val="auto"/>
          <w:sz w:val="24"/>
          <w:lang w:val="en-US" w:eastAsia="zh-CN"/>
        </w:rPr>
        <w:t>无。</w:t>
      </w:r>
    </w:p>
    <w:p w14:paraId="19678CA4">
      <w:pPr>
        <w:pStyle w:val="419"/>
        <w:spacing w:line="360" w:lineRule="auto"/>
        <w:jc w:val="left"/>
        <w:rPr>
          <w:rFonts w:hint="eastAsia" w:ascii="宋体" w:hAnsi="宋体"/>
          <w:b/>
          <w:bCs/>
          <w:color w:val="auto"/>
          <w:sz w:val="24"/>
        </w:rPr>
      </w:pPr>
      <w:r>
        <w:rPr>
          <w:rFonts w:hint="eastAsia" w:ascii="宋体" w:hAnsi="宋体"/>
          <w:b/>
          <w:bCs/>
          <w:color w:val="auto"/>
          <w:sz w:val="24"/>
        </w:rPr>
        <w:t>11.投标有效期</w:t>
      </w:r>
    </w:p>
    <w:p w14:paraId="44EFD397">
      <w:pPr>
        <w:pStyle w:val="419"/>
        <w:spacing w:line="360" w:lineRule="auto"/>
        <w:jc w:val="left"/>
        <w:rPr>
          <w:rFonts w:hint="eastAsia" w:hAnsi="宋体"/>
          <w:b/>
          <w:bCs/>
          <w:color w:val="auto"/>
          <w:sz w:val="24"/>
        </w:rPr>
      </w:pPr>
      <w:r>
        <w:rPr>
          <w:rFonts w:hint="eastAsia" w:ascii="宋体" w:hAnsi="宋体"/>
          <w:bCs/>
          <w:color w:val="auto"/>
          <w:sz w:val="24"/>
        </w:rPr>
        <w:t>11.1</w:t>
      </w:r>
      <w:r>
        <w:rPr>
          <w:rFonts w:hint="eastAsia" w:hAnsi="宋体"/>
          <w:bCs/>
          <w:color w:val="auto"/>
          <w:sz w:val="24"/>
        </w:rPr>
        <w:t>投标有效期从提交投标文件的截止之日起算，投标文件中承诺的投标有效期应当不少于招标文件</w:t>
      </w:r>
      <w:r>
        <w:rPr>
          <w:rFonts w:hAnsi="宋体"/>
          <w:bCs/>
          <w:color w:val="auto"/>
          <w:sz w:val="24"/>
        </w:rPr>
        <w:t>“</w:t>
      </w:r>
      <w:r>
        <w:rPr>
          <w:rFonts w:hint="eastAsia" w:hAnsi="宋体"/>
          <w:bCs/>
          <w:color w:val="auto"/>
          <w:sz w:val="24"/>
        </w:rPr>
        <w:t>投标人须知前附表</w:t>
      </w:r>
      <w:r>
        <w:rPr>
          <w:rFonts w:hAnsi="宋体"/>
          <w:bCs/>
          <w:color w:val="auto"/>
          <w:sz w:val="24"/>
        </w:rPr>
        <w:t>”</w:t>
      </w:r>
      <w:r>
        <w:rPr>
          <w:rFonts w:hint="eastAsia" w:hAnsi="宋体"/>
          <w:bCs/>
          <w:color w:val="auto"/>
          <w:sz w:val="24"/>
        </w:rPr>
        <w:t>中载明的投标有效期，</w:t>
      </w:r>
      <w:r>
        <w:rPr>
          <w:rFonts w:hint="eastAsia" w:hAnsi="宋体"/>
          <w:b/>
          <w:bCs/>
          <w:color w:val="auto"/>
          <w:sz w:val="24"/>
        </w:rPr>
        <w:t>投标有效期不满足要求的投标将被作为无效投标处理。</w:t>
      </w:r>
    </w:p>
    <w:p w14:paraId="112E7FD9">
      <w:pPr>
        <w:pStyle w:val="419"/>
        <w:spacing w:line="360" w:lineRule="auto"/>
        <w:rPr>
          <w:rFonts w:hint="eastAsia" w:hAnsi="宋体"/>
          <w:bCs/>
          <w:color w:val="auto"/>
          <w:sz w:val="24"/>
        </w:rPr>
      </w:pPr>
      <w:r>
        <w:rPr>
          <w:rFonts w:hint="eastAsia" w:ascii="宋体" w:hAnsi="宋体"/>
          <w:bCs/>
          <w:color w:val="auto"/>
          <w:sz w:val="24"/>
        </w:rPr>
        <w:t>11.2</w:t>
      </w:r>
      <w:r>
        <w:rPr>
          <w:rFonts w:hint="eastAsia" w:hAnsi="宋体"/>
          <w:bCs/>
          <w:color w:val="auto"/>
          <w:sz w:val="24"/>
        </w:rPr>
        <w:t>采购人可根据实际情况，在原投标有效期截止之前，要求投标人同意延长投标的有效期。接受该要求的投标人将不会被要求和允许修正其投标，且本须知中有关投标保证金的要求将在延长了的有效期内继续有效。投标人也可以拒绝采购人的这种要求，其投标保证金将不会被没收。上述要求和答复都应以书面形式提交。</w:t>
      </w:r>
    </w:p>
    <w:p w14:paraId="4CE952BE">
      <w:pPr>
        <w:pStyle w:val="419"/>
        <w:spacing w:line="360" w:lineRule="auto"/>
        <w:rPr>
          <w:rFonts w:hint="eastAsia" w:ascii="宋体" w:hAnsi="宋体"/>
          <w:b/>
          <w:bCs/>
          <w:color w:val="auto"/>
          <w:sz w:val="24"/>
        </w:rPr>
      </w:pPr>
      <w:r>
        <w:rPr>
          <w:rFonts w:hint="eastAsia" w:ascii="宋体" w:hAnsi="宋体"/>
          <w:b/>
          <w:bCs/>
          <w:color w:val="auto"/>
          <w:sz w:val="24"/>
        </w:rPr>
        <w:t>12.投标文件的份数及签署、盖章规定</w:t>
      </w:r>
    </w:p>
    <w:p w14:paraId="4E5E63F9">
      <w:pPr>
        <w:pStyle w:val="419"/>
        <w:spacing w:line="360" w:lineRule="auto"/>
        <w:rPr>
          <w:rFonts w:hint="eastAsia" w:ascii="宋体" w:hAnsi="宋体"/>
          <w:bCs/>
          <w:color w:val="auto"/>
          <w:sz w:val="24"/>
        </w:rPr>
      </w:pPr>
      <w:r>
        <w:rPr>
          <w:rFonts w:hint="eastAsia" w:ascii="宋体" w:hAnsi="宋体"/>
          <w:bCs/>
          <w:color w:val="auto"/>
          <w:sz w:val="24"/>
        </w:rPr>
        <w:t>12.1投标人应按照</w:t>
      </w:r>
      <w:r>
        <w:rPr>
          <w:rFonts w:ascii="宋体" w:hAnsi="宋体"/>
          <w:bCs/>
          <w:color w:val="auto"/>
          <w:sz w:val="24"/>
        </w:rPr>
        <w:t>“</w:t>
      </w:r>
      <w:r>
        <w:rPr>
          <w:rFonts w:hint="eastAsia" w:ascii="宋体" w:hAnsi="宋体"/>
          <w:bCs/>
          <w:color w:val="auto"/>
          <w:sz w:val="24"/>
        </w:rPr>
        <w:t>第二章投标人须知前附表</w:t>
      </w:r>
      <w:r>
        <w:rPr>
          <w:rFonts w:ascii="宋体" w:hAnsi="宋体"/>
          <w:bCs/>
          <w:color w:val="auto"/>
          <w:sz w:val="24"/>
        </w:rPr>
        <w:t>”</w:t>
      </w:r>
      <w:r>
        <w:rPr>
          <w:rFonts w:hint="eastAsia" w:ascii="宋体" w:hAnsi="宋体"/>
          <w:bCs/>
          <w:color w:val="auto"/>
          <w:sz w:val="24"/>
        </w:rPr>
        <w:t>规定的份数提交投标文件正本、副本，，每份投标文件须清楚地标明</w:t>
      </w:r>
      <w:r>
        <w:rPr>
          <w:rFonts w:ascii="宋体" w:hAnsi="宋体"/>
          <w:bCs/>
          <w:color w:val="auto"/>
          <w:sz w:val="24"/>
        </w:rPr>
        <w:t>“</w:t>
      </w:r>
      <w:r>
        <w:rPr>
          <w:rFonts w:hint="eastAsia" w:ascii="宋体" w:hAnsi="宋体"/>
          <w:bCs/>
          <w:color w:val="auto"/>
          <w:sz w:val="24"/>
        </w:rPr>
        <w:t>正本</w:t>
      </w:r>
      <w:r>
        <w:rPr>
          <w:rFonts w:ascii="宋体" w:hAnsi="宋体"/>
          <w:bCs/>
          <w:color w:val="auto"/>
          <w:sz w:val="24"/>
        </w:rPr>
        <w:t>”</w:t>
      </w:r>
      <w:r>
        <w:rPr>
          <w:rFonts w:hint="eastAsia" w:ascii="宋体" w:hAnsi="宋体"/>
          <w:bCs/>
          <w:color w:val="auto"/>
          <w:sz w:val="24"/>
        </w:rPr>
        <w:t>或</w:t>
      </w:r>
      <w:r>
        <w:rPr>
          <w:rFonts w:ascii="宋体" w:hAnsi="宋体"/>
          <w:bCs/>
          <w:color w:val="auto"/>
          <w:sz w:val="24"/>
        </w:rPr>
        <w:t>“</w:t>
      </w:r>
      <w:r>
        <w:rPr>
          <w:rFonts w:hint="eastAsia" w:ascii="宋体" w:hAnsi="宋体"/>
          <w:bCs/>
          <w:color w:val="auto"/>
          <w:sz w:val="24"/>
        </w:rPr>
        <w:t>副本</w:t>
      </w:r>
      <w:r>
        <w:rPr>
          <w:rFonts w:ascii="宋体" w:hAnsi="宋体"/>
          <w:bCs/>
          <w:color w:val="auto"/>
          <w:sz w:val="24"/>
        </w:rPr>
        <w:t>”</w:t>
      </w:r>
      <w:r>
        <w:rPr>
          <w:rFonts w:hint="eastAsia" w:ascii="宋体" w:hAnsi="宋体"/>
          <w:bCs/>
          <w:color w:val="auto"/>
          <w:sz w:val="24"/>
        </w:rPr>
        <w:t>。</w:t>
      </w:r>
      <w:r>
        <w:rPr>
          <w:rFonts w:hint="eastAsia" w:ascii="宋体" w:hAnsi="宋体" w:cs="宋体"/>
          <w:color w:val="auto"/>
          <w:sz w:val="24"/>
        </w:rPr>
        <w:t>响应文件格式文件要求盖单位章和（或）签字的地方，供应商均应使用CA数字证书加盖供应商的单位电子签章和（或）法定代表人的个人电子签名。</w:t>
      </w:r>
    </w:p>
    <w:p w14:paraId="2408F450">
      <w:pPr>
        <w:pStyle w:val="419"/>
        <w:spacing w:line="360" w:lineRule="auto"/>
        <w:rPr>
          <w:rFonts w:hint="eastAsia" w:ascii="宋体" w:hAnsi="宋体"/>
          <w:bCs/>
          <w:color w:val="auto"/>
          <w:sz w:val="24"/>
        </w:rPr>
      </w:pPr>
      <w:r>
        <w:rPr>
          <w:rFonts w:hint="eastAsia" w:ascii="宋体" w:hAnsi="宋体"/>
          <w:bCs/>
          <w:color w:val="auto"/>
          <w:sz w:val="24"/>
        </w:rPr>
        <w:t>12.2投标文件的正本需打印或用不</w:t>
      </w:r>
      <w:r>
        <w:rPr>
          <w:rFonts w:hint="eastAsia" w:ascii="宋体" w:hAnsi="宋体"/>
          <w:bCs/>
          <w:color w:val="auto"/>
          <w:sz w:val="24"/>
          <w:lang w:eastAsia="zh-CN"/>
        </w:rPr>
        <w:t>褪色</w:t>
      </w:r>
      <w:r>
        <w:rPr>
          <w:rFonts w:hint="eastAsia" w:ascii="宋体" w:hAnsi="宋体"/>
          <w:bCs/>
          <w:color w:val="auto"/>
          <w:sz w:val="24"/>
        </w:rPr>
        <w:t>墨水书写，并按要求由投标人的法定代表人或经其正式授权的代表在投标文件上签字并加盖投标人公章。授权代表须持有书面的</w:t>
      </w:r>
      <w:r>
        <w:rPr>
          <w:rFonts w:ascii="宋体" w:hAnsi="宋体"/>
          <w:bCs/>
          <w:color w:val="auto"/>
          <w:sz w:val="24"/>
        </w:rPr>
        <w:t>“</w:t>
      </w:r>
      <w:r>
        <w:rPr>
          <w:rFonts w:hint="eastAsia" w:ascii="宋体" w:hAnsi="宋体"/>
          <w:bCs/>
          <w:color w:val="auto"/>
          <w:sz w:val="24"/>
        </w:rPr>
        <w:t>法定代表人授权书</w:t>
      </w:r>
      <w:r>
        <w:rPr>
          <w:rFonts w:ascii="宋体" w:hAnsi="宋体"/>
          <w:bCs/>
          <w:color w:val="auto"/>
          <w:sz w:val="24"/>
        </w:rPr>
        <w:t>”</w:t>
      </w:r>
      <w:r>
        <w:rPr>
          <w:rFonts w:hint="eastAsia" w:ascii="宋体" w:hAnsi="宋体"/>
          <w:bCs/>
          <w:color w:val="auto"/>
          <w:sz w:val="24"/>
        </w:rPr>
        <w:t>（标准格式附后），并将其附在投标文件中。如对投标文件进行了修改，则应由投标人的法定代表人或经其正式授权的代表在修改的内容上签字。投标文件应当装订成册，编制页码。投标文件的副本可采用正本的复印件。</w:t>
      </w:r>
    </w:p>
    <w:p w14:paraId="7BA6DF3D">
      <w:pPr>
        <w:pStyle w:val="419"/>
        <w:spacing w:line="360" w:lineRule="auto"/>
        <w:rPr>
          <w:rFonts w:hint="eastAsia" w:ascii="宋体" w:hAnsi="宋体"/>
          <w:bCs/>
          <w:color w:val="auto"/>
          <w:sz w:val="24"/>
        </w:rPr>
      </w:pPr>
      <w:r>
        <w:rPr>
          <w:rFonts w:hint="eastAsia" w:ascii="宋体" w:hAnsi="宋体"/>
          <w:bCs/>
          <w:color w:val="auto"/>
          <w:sz w:val="24"/>
        </w:rPr>
        <w:t>12.3任何行间插字、涂改和增删，必须由投标人法定代表人或经其正式授权的代表签字后才有效。</w:t>
      </w:r>
    </w:p>
    <w:p w14:paraId="406E02FA">
      <w:pPr>
        <w:pStyle w:val="419"/>
        <w:spacing w:line="360" w:lineRule="auto"/>
        <w:rPr>
          <w:rFonts w:ascii="宋体" w:hAnsi="宋体"/>
          <w:bCs/>
          <w:color w:val="auto"/>
          <w:sz w:val="24"/>
        </w:rPr>
      </w:pPr>
      <w:r>
        <w:rPr>
          <w:rFonts w:hint="eastAsia" w:ascii="宋体" w:hAnsi="宋体"/>
          <w:bCs/>
          <w:color w:val="auto"/>
          <w:sz w:val="24"/>
        </w:rPr>
        <w:t>12.4联合体投标的，对于要求盖章之处，除提供的格式中规定或本招标文件中要求联合体各方加盖公章的以外，其余均加盖联合体牵头单位公章即可。</w:t>
      </w:r>
    </w:p>
    <w:p w14:paraId="01CA8209">
      <w:pPr>
        <w:pStyle w:val="419"/>
        <w:spacing w:line="360" w:lineRule="auto"/>
        <w:rPr>
          <w:rFonts w:ascii="宋体" w:hAnsi="宋体"/>
          <w:bCs/>
          <w:color w:val="auto"/>
          <w:sz w:val="24"/>
        </w:rPr>
      </w:pPr>
      <w:r>
        <w:rPr>
          <w:rFonts w:hint="eastAsia" w:ascii="宋体" w:hAnsi="宋体"/>
          <w:bCs/>
          <w:color w:val="auto"/>
          <w:sz w:val="24"/>
        </w:rPr>
        <w:t>12.5投标文件因字迹潦草或表达不清所引起的后果由投标人负责。</w:t>
      </w:r>
    </w:p>
    <w:p w14:paraId="77BF26FA">
      <w:pPr>
        <w:pStyle w:val="419"/>
        <w:spacing w:line="360" w:lineRule="auto"/>
        <w:jc w:val="left"/>
        <w:rPr>
          <w:rFonts w:hint="eastAsia" w:ascii="宋体" w:hAnsi="宋体"/>
          <w:bCs/>
          <w:color w:val="auto"/>
          <w:sz w:val="24"/>
        </w:rPr>
      </w:pPr>
      <w:r>
        <w:rPr>
          <w:rFonts w:hint="eastAsia" w:ascii="宋体" w:hAnsi="宋体"/>
          <w:bCs/>
          <w:color w:val="auto"/>
          <w:sz w:val="24"/>
        </w:rPr>
        <w:t>12.6本招标文件中所要求加盖的投标人公章是指与投标人名称全称相一致的</w:t>
      </w:r>
      <w:r>
        <w:rPr>
          <w:rFonts w:ascii="宋体" w:hAnsi="宋体"/>
          <w:bCs/>
          <w:color w:val="auto"/>
          <w:sz w:val="24"/>
        </w:rPr>
        <w:t>“</w:t>
      </w:r>
      <w:r>
        <w:rPr>
          <w:rFonts w:hint="eastAsia" w:ascii="宋体" w:hAnsi="宋体"/>
          <w:bCs/>
          <w:color w:val="auto"/>
          <w:sz w:val="24"/>
        </w:rPr>
        <w:t>行政公章</w:t>
      </w:r>
      <w:r>
        <w:rPr>
          <w:rFonts w:ascii="宋体" w:hAnsi="宋体"/>
          <w:bCs/>
          <w:color w:val="auto"/>
          <w:sz w:val="24"/>
        </w:rPr>
        <w:t>”</w:t>
      </w:r>
      <w:r>
        <w:rPr>
          <w:rFonts w:hint="eastAsia" w:ascii="宋体" w:hAnsi="宋体"/>
          <w:bCs/>
          <w:color w:val="auto"/>
          <w:sz w:val="24"/>
        </w:rPr>
        <w:t>，不得加盖其它</w:t>
      </w:r>
      <w:r>
        <w:rPr>
          <w:rFonts w:ascii="宋体" w:hAnsi="宋体"/>
          <w:bCs/>
          <w:color w:val="auto"/>
          <w:sz w:val="24"/>
        </w:rPr>
        <w:t>“</w:t>
      </w:r>
      <w:r>
        <w:rPr>
          <w:rFonts w:hint="eastAsia" w:ascii="宋体" w:hAnsi="宋体"/>
          <w:bCs/>
          <w:color w:val="auto"/>
          <w:sz w:val="24"/>
        </w:rPr>
        <w:t>合同专用章、投标专用章、财务专用章</w:t>
      </w:r>
      <w:r>
        <w:rPr>
          <w:rFonts w:ascii="宋体" w:hAnsi="宋体"/>
          <w:bCs/>
          <w:color w:val="auto"/>
          <w:sz w:val="24"/>
        </w:rPr>
        <w:t>”</w:t>
      </w:r>
      <w:r>
        <w:rPr>
          <w:rFonts w:hint="eastAsia" w:ascii="宋体" w:hAnsi="宋体"/>
          <w:bCs/>
          <w:color w:val="auto"/>
          <w:sz w:val="24"/>
        </w:rPr>
        <w:t>等非行政公章；</w:t>
      </w:r>
      <w:r>
        <w:rPr>
          <w:rFonts w:ascii="宋体" w:hAnsi="宋体"/>
          <w:bCs/>
          <w:color w:val="auto"/>
          <w:sz w:val="24"/>
        </w:rPr>
        <w:t>“</w:t>
      </w:r>
      <w:r>
        <w:rPr>
          <w:rFonts w:hint="eastAsia" w:ascii="宋体" w:hAnsi="宋体"/>
          <w:bCs/>
          <w:color w:val="auto"/>
          <w:sz w:val="24"/>
        </w:rPr>
        <w:t>签字</w:t>
      </w:r>
      <w:r>
        <w:rPr>
          <w:rFonts w:ascii="宋体" w:hAnsi="宋体"/>
          <w:bCs/>
          <w:color w:val="auto"/>
          <w:sz w:val="24"/>
        </w:rPr>
        <w:t>”</w:t>
      </w:r>
      <w:r>
        <w:rPr>
          <w:rFonts w:hint="eastAsia" w:ascii="宋体" w:hAnsi="宋体"/>
          <w:bCs/>
          <w:color w:val="auto"/>
          <w:sz w:val="24"/>
        </w:rPr>
        <w:t>是指投标人法定代表人或授权代表在招标文件规定处亲笔写上本人姓名；</w:t>
      </w:r>
      <w:r>
        <w:rPr>
          <w:rFonts w:ascii="宋体" w:hAnsi="宋体"/>
          <w:bCs/>
          <w:color w:val="auto"/>
          <w:sz w:val="24"/>
        </w:rPr>
        <w:t>“</w:t>
      </w:r>
      <w:r>
        <w:rPr>
          <w:rFonts w:hint="eastAsia" w:ascii="宋体" w:hAnsi="宋体"/>
          <w:bCs/>
          <w:color w:val="auto"/>
          <w:sz w:val="24"/>
        </w:rPr>
        <w:t>法定代表人或授权代表盖章</w:t>
      </w:r>
      <w:r>
        <w:rPr>
          <w:rFonts w:ascii="宋体" w:hAnsi="宋体"/>
          <w:bCs/>
          <w:color w:val="auto"/>
          <w:sz w:val="24"/>
        </w:rPr>
        <w:t>”</w:t>
      </w:r>
      <w:r>
        <w:rPr>
          <w:rFonts w:hint="eastAsia" w:ascii="宋体" w:hAnsi="宋体"/>
          <w:bCs/>
          <w:color w:val="auto"/>
          <w:sz w:val="24"/>
        </w:rPr>
        <w:t>是指投标人法定代表人或授权代表在招标文件规定处加盖个人名章、手签章、印鉴等。</w:t>
      </w:r>
    </w:p>
    <w:p w14:paraId="316051EB">
      <w:pPr>
        <w:pStyle w:val="419"/>
        <w:spacing w:line="360" w:lineRule="auto"/>
        <w:jc w:val="center"/>
        <w:rPr>
          <w:rFonts w:hint="eastAsia" w:ascii="宋体" w:hAnsi="宋体"/>
          <w:b/>
          <w:color w:val="auto"/>
          <w:sz w:val="32"/>
          <w:szCs w:val="32"/>
        </w:rPr>
      </w:pPr>
      <w:r>
        <w:rPr>
          <w:rFonts w:hint="eastAsia" w:ascii="宋体" w:hAnsi="宋体"/>
          <w:b/>
          <w:color w:val="auto"/>
          <w:sz w:val="32"/>
          <w:szCs w:val="32"/>
        </w:rPr>
        <w:t>四</w:t>
      </w:r>
      <w:r>
        <w:rPr>
          <w:rFonts w:hint="eastAsia" w:ascii="宋体" w:hAnsi="宋体"/>
          <w:b/>
          <w:color w:val="auto"/>
          <w:sz w:val="32"/>
          <w:szCs w:val="32"/>
          <w:lang w:eastAsia="zh-CN"/>
        </w:rPr>
        <w:t>、</w:t>
      </w:r>
      <w:r>
        <w:rPr>
          <w:rFonts w:hint="eastAsia" w:ascii="宋体" w:hAnsi="宋体"/>
          <w:b/>
          <w:color w:val="auto"/>
          <w:sz w:val="32"/>
          <w:szCs w:val="32"/>
        </w:rPr>
        <w:t>投标文件的递交</w:t>
      </w:r>
    </w:p>
    <w:p w14:paraId="27781B6B">
      <w:pPr>
        <w:pStyle w:val="419"/>
        <w:numPr>
          <w:ilvl w:val="0"/>
          <w:numId w:val="29"/>
        </w:numPr>
        <w:spacing w:line="360" w:lineRule="auto"/>
        <w:rPr>
          <w:rFonts w:hint="eastAsia" w:ascii="宋体" w:hAnsi="宋体"/>
          <w:b/>
          <w:bCs/>
          <w:color w:val="auto"/>
          <w:sz w:val="24"/>
        </w:rPr>
      </w:pPr>
      <w:r>
        <w:rPr>
          <w:rFonts w:hint="eastAsia" w:ascii="宋体" w:hAnsi="宋体"/>
          <w:b/>
          <w:bCs/>
          <w:color w:val="auto"/>
          <w:sz w:val="24"/>
        </w:rPr>
        <w:t>投标文件的密封和标记和递交</w:t>
      </w:r>
    </w:p>
    <w:p w14:paraId="500DC9CD">
      <w:pPr>
        <w:spacing w:line="440" w:lineRule="exact"/>
        <w:ind w:firstLine="480" w:firstLineChars="200"/>
        <w:rPr>
          <w:rFonts w:hint="eastAsia" w:ascii="宋体" w:hAnsi="宋体"/>
          <w:bCs/>
          <w:color w:val="auto"/>
          <w:sz w:val="24"/>
        </w:rPr>
      </w:pPr>
      <w:r>
        <w:rPr>
          <w:rFonts w:hint="eastAsia" w:ascii="宋体" w:hAnsi="宋体"/>
          <w:bCs/>
          <w:color w:val="auto"/>
          <w:sz w:val="24"/>
        </w:rPr>
        <w:t>13.1电子投标文件使用政采云平台提供的投标文件制作工具以及招标文件要求进行制作编制。投标文件制作时，不同内容按标签提示制作导入，按照招标文件中明确的投标文件目录和格式进行编制，保证目录清晰、内容完整。</w:t>
      </w:r>
    </w:p>
    <w:p w14:paraId="4B64A9CC">
      <w:pPr>
        <w:spacing w:line="440" w:lineRule="exact"/>
        <w:ind w:firstLine="480" w:firstLineChars="200"/>
        <w:rPr>
          <w:rFonts w:hint="eastAsia" w:ascii="宋体" w:hAnsi="宋体"/>
          <w:bCs/>
          <w:color w:val="auto"/>
          <w:sz w:val="24"/>
        </w:rPr>
      </w:pPr>
      <w:r>
        <w:rPr>
          <w:rFonts w:hint="eastAsia" w:ascii="宋体" w:hAnsi="宋体"/>
          <w:bCs/>
          <w:color w:val="auto"/>
          <w:sz w:val="24"/>
        </w:rPr>
        <w:t>13.2电子投标文件须使用投标人公章的电子签章。若无电子签章，则视为无效投标。电子投标文件须使用法定代表人的电子签章或签字。若无电子签章或签字，则视为无效投标。</w:t>
      </w:r>
    </w:p>
    <w:p w14:paraId="30C4AC76">
      <w:pPr>
        <w:spacing w:line="440" w:lineRule="exact"/>
        <w:ind w:firstLine="480" w:firstLineChars="200"/>
        <w:rPr>
          <w:rFonts w:hint="eastAsia" w:ascii="宋体" w:hAnsi="宋体"/>
          <w:bCs/>
          <w:color w:val="auto"/>
          <w:sz w:val="24"/>
        </w:rPr>
      </w:pPr>
      <w:r>
        <w:rPr>
          <w:rFonts w:hint="eastAsia" w:ascii="宋体" w:hAnsi="宋体"/>
          <w:bCs/>
          <w:color w:val="auto"/>
          <w:sz w:val="24"/>
        </w:rPr>
        <w:t>13.3电子投标文件须按招标文件要求制作报价响应文件、资格响应文件、商务技术响应文件(包含报价响应文件)，并制作在政采云平台投标文件相应模块。若投标人文件制作与相应模块不对应的，产生的后果由投标人自行承担。</w:t>
      </w:r>
    </w:p>
    <w:p w14:paraId="06819B72">
      <w:pPr>
        <w:spacing w:line="440" w:lineRule="exact"/>
        <w:ind w:firstLine="480" w:firstLineChars="200"/>
        <w:rPr>
          <w:rFonts w:hint="eastAsia" w:ascii="宋体" w:hAnsi="宋体"/>
          <w:bCs/>
          <w:color w:val="auto"/>
          <w:sz w:val="24"/>
        </w:rPr>
      </w:pPr>
      <w:r>
        <w:rPr>
          <w:rFonts w:hint="eastAsia" w:ascii="宋体" w:hAnsi="宋体"/>
          <w:bCs/>
          <w:color w:val="auto"/>
          <w:sz w:val="24"/>
        </w:rPr>
        <w:t>13.4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171BDC0F">
      <w:pPr>
        <w:spacing w:line="440" w:lineRule="exact"/>
        <w:ind w:firstLine="480" w:firstLineChars="200"/>
        <w:rPr>
          <w:rFonts w:hint="eastAsia" w:ascii="宋体" w:hAnsi="宋体"/>
          <w:b/>
          <w:bCs/>
          <w:color w:val="auto"/>
          <w:sz w:val="24"/>
        </w:rPr>
      </w:pPr>
      <w:r>
        <w:rPr>
          <w:rFonts w:hint="eastAsia" w:ascii="宋体" w:hAnsi="宋体"/>
          <w:bCs/>
          <w:color w:val="auto"/>
          <w:sz w:val="24"/>
        </w:rPr>
        <w:t>13.5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79787ADB">
      <w:pPr>
        <w:spacing w:line="360" w:lineRule="auto"/>
        <w:ind w:firstLine="480" w:firstLineChars="200"/>
        <w:rPr>
          <w:rFonts w:hint="eastAsia" w:ascii="宋体" w:hAnsi="宋体"/>
          <w:bCs/>
          <w:color w:val="auto"/>
          <w:sz w:val="24"/>
        </w:rPr>
      </w:pPr>
      <w:r>
        <w:rPr>
          <w:rFonts w:hint="eastAsia" w:ascii="宋体" w:hAnsi="宋体"/>
          <w:bCs/>
          <w:color w:val="auto"/>
          <w:sz w:val="24"/>
        </w:rPr>
        <w:t>13.6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2C11DE9A">
      <w:pPr>
        <w:spacing w:line="360" w:lineRule="auto"/>
        <w:ind w:firstLine="480" w:firstLineChars="200"/>
        <w:rPr>
          <w:rFonts w:hint="eastAsia" w:ascii="宋体" w:hAnsi="宋体"/>
          <w:bCs/>
          <w:color w:val="auto"/>
          <w:sz w:val="24"/>
        </w:rPr>
      </w:pPr>
      <w:r>
        <w:rPr>
          <w:rFonts w:hint="eastAsia" w:ascii="宋体" w:hAnsi="宋体"/>
          <w:bCs/>
          <w:color w:val="auto"/>
          <w:sz w:val="24"/>
        </w:rPr>
        <w:t>13.7投标截止时间以政采云中心交易平台显示的时间为准，逾期系统将自动关闭，未完成上传的响应文件视为逾期送达，将被拒绝。任何不完整或不满足招标文件要求的投标文件将被拒绝。投标人应通过电子投标文件制作工具严格按招标文件要求制作投标文件，在投标截止时间前完成上传经过数字证书电子签章并加密的投标文件（加密和解密须用同一把数字证书）。</w:t>
      </w:r>
    </w:p>
    <w:p w14:paraId="54791A8B">
      <w:pPr>
        <w:spacing w:line="360" w:lineRule="auto"/>
        <w:rPr>
          <w:rFonts w:ascii="仿宋" w:hAnsi="仿宋" w:eastAsia="仿宋" w:cs="方正仿宋_GB2312"/>
          <w:b/>
          <w:color w:val="auto"/>
          <w:sz w:val="28"/>
          <w:szCs w:val="28"/>
        </w:rPr>
      </w:pPr>
      <w:r>
        <w:rPr>
          <w:rFonts w:hint="eastAsia" w:ascii="仿宋" w:hAnsi="仿宋" w:eastAsia="仿宋" w:cs="方正仿宋_GB2312"/>
          <w:b/>
          <w:color w:val="auto"/>
          <w:sz w:val="28"/>
          <w:szCs w:val="28"/>
        </w:rPr>
        <w:t>14.</w:t>
      </w:r>
      <w:r>
        <w:rPr>
          <w:rFonts w:hint="eastAsia" w:ascii="宋体" w:hAnsi="宋体"/>
          <w:b/>
          <w:color w:val="auto"/>
          <w:sz w:val="24"/>
        </w:rPr>
        <w:t>响应文件送达截止期</w:t>
      </w:r>
    </w:p>
    <w:p w14:paraId="76FAD3E6">
      <w:pPr>
        <w:pStyle w:val="357"/>
        <w:spacing w:line="360" w:lineRule="auto"/>
        <w:ind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14.1投标人应当在招标文件要求提交响应文件的截止时间前网上投标。</w:t>
      </w:r>
    </w:p>
    <w:p w14:paraId="4E5140E2">
      <w:pPr>
        <w:pStyle w:val="357"/>
        <w:spacing w:line="360" w:lineRule="auto"/>
        <w:ind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14.2只需将加密电子响应文件在投标截止时间前通过政采云平台上传完成。上传时必须得到电脑“上传成功”的确认回复后方为上传成功。逾期上传的或者未上传到平台的响应文件，采购人不予受理。</w:t>
      </w:r>
    </w:p>
    <w:p w14:paraId="05141003">
      <w:pPr>
        <w:pStyle w:val="357"/>
        <w:spacing w:line="360" w:lineRule="auto"/>
        <w:ind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14.3任何不完整或不满足招标文件要求的响应文件将被拒绝。</w:t>
      </w:r>
    </w:p>
    <w:p w14:paraId="0419690A">
      <w:pPr>
        <w:pStyle w:val="357"/>
        <w:spacing w:line="360" w:lineRule="auto"/>
        <w:ind w:firstLine="480" w:firstLineChars="200"/>
        <w:rPr>
          <w:rFonts w:hint="eastAsia" w:ascii="宋体" w:hAnsi="宋体" w:eastAsia="宋体"/>
          <w:bCs/>
          <w:color w:val="auto"/>
          <w:kern w:val="2"/>
          <w:sz w:val="24"/>
          <w:szCs w:val="24"/>
        </w:rPr>
      </w:pPr>
      <w:r>
        <w:rPr>
          <w:rFonts w:hint="eastAsia" w:ascii="宋体" w:hAnsi="宋体" w:eastAsia="宋体"/>
          <w:bCs/>
          <w:color w:val="auto"/>
          <w:kern w:val="2"/>
          <w:sz w:val="24"/>
          <w:szCs w:val="24"/>
        </w:rPr>
        <w:t>14.4由于不可抗拒原因或无法控制的事件而导致的丢失或损坏的响应文件时，招标方将不负责任。</w:t>
      </w:r>
    </w:p>
    <w:p w14:paraId="4FB1319C">
      <w:pPr>
        <w:pStyle w:val="357"/>
        <w:spacing w:line="360" w:lineRule="auto"/>
        <w:ind w:firstLine="640" w:firstLineChars="200"/>
        <w:jc w:val="center"/>
        <w:rPr>
          <w:rFonts w:hint="eastAsia" w:ascii="宋体" w:hAnsi="宋体"/>
          <w:b/>
          <w:color w:val="auto"/>
          <w:sz w:val="32"/>
          <w:szCs w:val="32"/>
        </w:rPr>
      </w:pPr>
      <w:r>
        <w:rPr>
          <w:rFonts w:hint="eastAsia" w:ascii="宋体" w:hAnsi="宋体"/>
          <w:b/>
          <w:color w:val="auto"/>
          <w:sz w:val="32"/>
          <w:szCs w:val="32"/>
        </w:rPr>
        <w:t>五</w:t>
      </w:r>
      <w:r>
        <w:rPr>
          <w:rFonts w:hint="eastAsia" w:ascii="宋体" w:hAnsi="宋体" w:eastAsia="宋体"/>
          <w:b/>
          <w:color w:val="auto"/>
          <w:sz w:val="32"/>
          <w:szCs w:val="32"/>
          <w:lang w:eastAsia="zh-CN"/>
        </w:rPr>
        <w:t>、</w:t>
      </w:r>
      <w:r>
        <w:rPr>
          <w:rFonts w:hint="eastAsia" w:ascii="宋体" w:hAnsi="宋体"/>
          <w:b/>
          <w:color w:val="auto"/>
          <w:sz w:val="32"/>
          <w:szCs w:val="32"/>
        </w:rPr>
        <w:t>开标与评标</w:t>
      </w:r>
    </w:p>
    <w:p w14:paraId="12456F5A">
      <w:pPr>
        <w:pStyle w:val="419"/>
        <w:spacing w:line="360" w:lineRule="auto"/>
        <w:jc w:val="left"/>
        <w:rPr>
          <w:rFonts w:hint="eastAsia" w:ascii="宋体" w:hAnsi="宋体"/>
          <w:b/>
          <w:bCs/>
          <w:color w:val="auto"/>
          <w:sz w:val="24"/>
        </w:rPr>
      </w:pPr>
      <w:r>
        <w:rPr>
          <w:rFonts w:hint="eastAsia" w:ascii="宋体" w:hAnsi="宋体"/>
          <w:b/>
          <w:bCs/>
          <w:color w:val="auto"/>
          <w:sz w:val="24"/>
        </w:rPr>
        <w:t>15.开标</w:t>
      </w:r>
    </w:p>
    <w:p w14:paraId="6AF71B8A">
      <w:pPr>
        <w:pStyle w:val="419"/>
        <w:spacing w:line="360" w:lineRule="auto"/>
        <w:rPr>
          <w:rFonts w:hint="eastAsia" w:ascii="宋体" w:hAnsi="宋体"/>
          <w:bCs/>
          <w:color w:val="auto"/>
          <w:sz w:val="24"/>
        </w:rPr>
      </w:pPr>
      <w:r>
        <w:rPr>
          <w:rFonts w:hint="eastAsia" w:ascii="宋体" w:hAnsi="宋体"/>
          <w:bCs/>
          <w:color w:val="auto"/>
          <w:sz w:val="24"/>
        </w:rPr>
        <w:t>15.1采购人在规定的投标截止时间（响应文件提交时间）和供应商须知前附表规定的地点开标。供应商的法定代表人或其委托代理人无需到达开标现场，仅需在任意地点通过政采云不见面开标系统，使用CA密钥完成远程解密、提疑澄清、开标唱标、结果公布等交互环节。</w:t>
      </w:r>
    </w:p>
    <w:p w14:paraId="6C8B869D">
      <w:pPr>
        <w:pStyle w:val="419"/>
        <w:spacing w:line="360" w:lineRule="auto"/>
        <w:rPr>
          <w:rFonts w:hint="eastAsia" w:ascii="宋体" w:hAnsi="宋体"/>
          <w:bCs/>
          <w:color w:val="auto"/>
          <w:sz w:val="24"/>
        </w:rPr>
      </w:pPr>
      <w:r>
        <w:rPr>
          <w:rFonts w:hint="eastAsia" w:ascii="宋体" w:hAnsi="宋体"/>
          <w:bCs/>
          <w:color w:val="auto"/>
          <w:sz w:val="24"/>
        </w:rPr>
        <w:t>15.2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1EB018DB">
      <w:pPr>
        <w:spacing w:line="440" w:lineRule="exact"/>
        <w:rPr>
          <w:rFonts w:hint="eastAsia" w:ascii="宋体" w:hAnsi="宋体"/>
          <w:bCs/>
          <w:color w:val="auto"/>
          <w:sz w:val="24"/>
        </w:rPr>
      </w:pPr>
      <w:r>
        <w:rPr>
          <w:rFonts w:hint="eastAsia" w:ascii="宋体" w:hAnsi="宋体"/>
          <w:bCs/>
          <w:color w:val="auto"/>
          <w:sz w:val="24"/>
        </w:rPr>
        <w:t>15.3电子招投标的应急措施</w:t>
      </w:r>
    </w:p>
    <w:p w14:paraId="4A3EC3EA">
      <w:pPr>
        <w:spacing w:line="440" w:lineRule="exact"/>
        <w:ind w:firstLine="480" w:firstLineChars="200"/>
        <w:rPr>
          <w:rFonts w:hint="eastAsia" w:ascii="宋体" w:hAnsi="宋体"/>
          <w:bCs/>
          <w:color w:val="auto"/>
          <w:sz w:val="24"/>
        </w:rPr>
      </w:pPr>
      <w:r>
        <w:rPr>
          <w:rFonts w:hint="eastAsia" w:ascii="宋体" w:hAnsi="宋体"/>
          <w:bCs/>
          <w:color w:val="auto"/>
          <w:sz w:val="24"/>
        </w:rPr>
        <w:t>电子开标、评标如出现下列原因，导致系统无法正常运行或无法正常评标时，应采取应急措施。</w:t>
      </w:r>
    </w:p>
    <w:p w14:paraId="5973EFDD">
      <w:pPr>
        <w:spacing w:line="440" w:lineRule="exact"/>
        <w:ind w:firstLine="480" w:firstLineChars="200"/>
        <w:rPr>
          <w:rFonts w:hint="eastAsia" w:ascii="宋体" w:hAnsi="宋体"/>
          <w:bCs/>
          <w:color w:val="auto"/>
          <w:sz w:val="24"/>
        </w:rPr>
      </w:pPr>
      <w:r>
        <w:rPr>
          <w:rFonts w:hint="eastAsia" w:ascii="宋体" w:hAnsi="宋体"/>
          <w:bCs/>
          <w:color w:val="auto"/>
          <w:sz w:val="24"/>
        </w:rPr>
        <w:t>（1）系统服务器发生故障，无法访问或无法使用系统；</w:t>
      </w:r>
    </w:p>
    <w:p w14:paraId="341303BB">
      <w:pPr>
        <w:spacing w:line="440" w:lineRule="exact"/>
        <w:ind w:firstLine="480" w:firstLineChars="200"/>
        <w:rPr>
          <w:rFonts w:hint="eastAsia" w:ascii="宋体" w:hAnsi="宋体"/>
          <w:bCs/>
          <w:color w:val="auto"/>
          <w:sz w:val="24"/>
        </w:rPr>
      </w:pPr>
      <w:r>
        <w:rPr>
          <w:rFonts w:hint="eastAsia" w:ascii="宋体" w:hAnsi="宋体"/>
          <w:bCs/>
          <w:color w:val="auto"/>
          <w:sz w:val="24"/>
        </w:rPr>
        <w:t>（2）系统的软件或数据库出现错误，不能进行正常操作；</w:t>
      </w:r>
    </w:p>
    <w:p w14:paraId="078E784E">
      <w:pPr>
        <w:spacing w:line="440" w:lineRule="exact"/>
        <w:ind w:firstLine="480" w:firstLineChars="200"/>
        <w:rPr>
          <w:rFonts w:hint="eastAsia" w:ascii="宋体" w:hAnsi="宋体"/>
          <w:bCs/>
          <w:color w:val="auto"/>
          <w:sz w:val="24"/>
        </w:rPr>
      </w:pPr>
      <w:r>
        <w:rPr>
          <w:rFonts w:hint="eastAsia" w:ascii="宋体" w:hAnsi="宋体"/>
          <w:bCs/>
          <w:color w:val="auto"/>
          <w:sz w:val="24"/>
        </w:rPr>
        <w:t>（3）系统发现有安全漏洞，有潜在的泄密危险；</w:t>
      </w:r>
    </w:p>
    <w:p w14:paraId="70ACF139">
      <w:pPr>
        <w:spacing w:line="440" w:lineRule="exact"/>
        <w:ind w:firstLine="480" w:firstLineChars="200"/>
        <w:rPr>
          <w:rFonts w:hint="eastAsia" w:ascii="宋体" w:hAnsi="宋体"/>
          <w:bCs/>
          <w:color w:val="auto"/>
          <w:sz w:val="24"/>
        </w:rPr>
      </w:pPr>
      <w:r>
        <w:rPr>
          <w:rFonts w:hint="eastAsia" w:ascii="宋体" w:hAnsi="宋体"/>
          <w:bCs/>
          <w:color w:val="auto"/>
          <w:sz w:val="24"/>
        </w:rPr>
        <w:t>（4）病毒发作或受到外来病毒的攻击；</w:t>
      </w:r>
    </w:p>
    <w:p w14:paraId="5E26D28C">
      <w:pPr>
        <w:spacing w:line="440" w:lineRule="exact"/>
        <w:ind w:firstLine="480" w:firstLineChars="200"/>
        <w:rPr>
          <w:rFonts w:hint="eastAsia" w:ascii="宋体" w:hAnsi="宋体"/>
          <w:bCs/>
          <w:color w:val="auto"/>
          <w:sz w:val="24"/>
        </w:rPr>
      </w:pPr>
      <w:r>
        <w:rPr>
          <w:rFonts w:hint="eastAsia" w:ascii="宋体" w:hAnsi="宋体"/>
          <w:bCs/>
          <w:color w:val="auto"/>
          <w:sz w:val="24"/>
        </w:rPr>
        <w:t>（5）出现其他不可抗拒的客观原因造成开评标系统无法正常使用。</w:t>
      </w:r>
    </w:p>
    <w:p w14:paraId="0CD69DC2">
      <w:pPr>
        <w:spacing w:line="440" w:lineRule="exact"/>
        <w:ind w:firstLine="480" w:firstLineChars="200"/>
        <w:rPr>
          <w:rFonts w:hint="eastAsia" w:ascii="宋体" w:hAnsi="宋体"/>
          <w:bCs/>
          <w:color w:val="auto"/>
          <w:sz w:val="24"/>
        </w:rPr>
      </w:pPr>
      <w:r>
        <w:rPr>
          <w:rFonts w:hint="eastAsia" w:ascii="宋体" w:hAnsi="宋体"/>
          <w:bCs/>
          <w:color w:val="auto"/>
          <w:sz w:val="24"/>
        </w:rPr>
        <w:t>出现上述情况时，应对未开标的暂停开标。已在系统内开标、评标的立即停止。采取应急措施时，必须对原有资料及信息作出妥善保密处理。</w:t>
      </w:r>
    </w:p>
    <w:p w14:paraId="1740D242">
      <w:pPr>
        <w:spacing w:line="440" w:lineRule="exact"/>
        <w:ind w:firstLine="480" w:firstLineChars="200"/>
        <w:rPr>
          <w:rFonts w:hint="eastAsia" w:ascii="宋体" w:hAnsi="宋体"/>
          <w:bCs/>
          <w:color w:val="auto"/>
          <w:sz w:val="24"/>
        </w:rPr>
      </w:pPr>
      <w:r>
        <w:rPr>
          <w:rFonts w:hint="eastAsia" w:ascii="宋体" w:hAnsi="宋体"/>
          <w:bCs/>
          <w:color w:val="auto"/>
          <w:sz w:val="24"/>
        </w:rPr>
        <w:t>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14:paraId="1117B17E">
      <w:pPr>
        <w:spacing w:line="440" w:lineRule="exact"/>
        <w:rPr>
          <w:rFonts w:hint="eastAsia" w:ascii="宋体" w:hAnsi="宋体"/>
          <w:bCs/>
          <w:color w:val="auto"/>
          <w:sz w:val="24"/>
        </w:rPr>
      </w:pPr>
      <w:r>
        <w:rPr>
          <w:rFonts w:hint="eastAsia" w:ascii="宋体" w:hAnsi="宋体"/>
          <w:bCs/>
          <w:color w:val="auto"/>
          <w:sz w:val="24"/>
        </w:rPr>
        <w:t>15.4投标人代表及有关人员在开标记录上签字确认。所有投标人电子标书解密完成后开启签字时段，各投标人须在开启签字时段10分钟内完成签字确认，政采云签字时段逾期未签字的，视同认可开标结果。</w:t>
      </w:r>
    </w:p>
    <w:p w14:paraId="6F1C747F">
      <w:pPr>
        <w:spacing w:line="440" w:lineRule="exact"/>
        <w:rPr>
          <w:rFonts w:hint="eastAsia" w:ascii="宋体" w:hAnsi="宋体"/>
          <w:bCs/>
          <w:color w:val="auto"/>
          <w:sz w:val="24"/>
        </w:rPr>
      </w:pPr>
      <w:r>
        <w:rPr>
          <w:rFonts w:hint="eastAsia" w:ascii="宋体" w:hAnsi="宋体"/>
          <w:bCs/>
          <w:color w:val="auto"/>
          <w:sz w:val="24"/>
        </w:rPr>
        <w:t>15.5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C98A9F1">
      <w:pPr>
        <w:pStyle w:val="419"/>
        <w:spacing w:line="360" w:lineRule="auto"/>
        <w:rPr>
          <w:rFonts w:hint="eastAsia" w:ascii="宋体" w:hAnsi="宋体"/>
          <w:bCs/>
          <w:color w:val="auto"/>
          <w:sz w:val="24"/>
        </w:rPr>
      </w:pPr>
      <w:r>
        <w:rPr>
          <w:rFonts w:hint="eastAsia" w:ascii="宋体" w:hAnsi="宋体"/>
          <w:bCs/>
          <w:color w:val="auto"/>
          <w:sz w:val="24"/>
        </w:rPr>
        <w:t>15.6公开招标采购项目开标结束后，采购人应当依法对投标人的资格进行审查。</w:t>
      </w:r>
    </w:p>
    <w:p w14:paraId="2039CFDC">
      <w:pPr>
        <w:pStyle w:val="419"/>
        <w:spacing w:line="360" w:lineRule="auto"/>
        <w:rPr>
          <w:rFonts w:hint="eastAsia" w:ascii="宋体" w:hAnsi="宋体"/>
          <w:b/>
          <w:bCs/>
          <w:color w:val="auto"/>
          <w:sz w:val="24"/>
        </w:rPr>
      </w:pPr>
      <w:r>
        <w:rPr>
          <w:rFonts w:hint="eastAsia" w:ascii="宋体" w:hAnsi="宋体"/>
          <w:b/>
          <w:bCs/>
          <w:color w:val="auto"/>
          <w:sz w:val="24"/>
        </w:rPr>
        <w:t>16.评标委员会</w:t>
      </w:r>
    </w:p>
    <w:p w14:paraId="5F0110C3">
      <w:pPr>
        <w:pStyle w:val="419"/>
        <w:spacing w:line="360" w:lineRule="auto"/>
        <w:rPr>
          <w:rFonts w:hint="eastAsia" w:ascii="宋体" w:hAnsi="宋体"/>
          <w:bCs/>
          <w:color w:val="auto"/>
          <w:sz w:val="24"/>
        </w:rPr>
      </w:pPr>
      <w:r>
        <w:rPr>
          <w:rFonts w:hint="eastAsia" w:ascii="宋体" w:hAnsi="宋体"/>
          <w:bCs/>
          <w:color w:val="auto"/>
          <w:sz w:val="24"/>
        </w:rPr>
        <w:t>16.1按照《中华人民共和国政府采购法》、《中华人民共和国政府采购实施条例》及本项目采购人本级和上级财政部门的有关规定依法组建的评标委员会负责评标工作。</w:t>
      </w:r>
    </w:p>
    <w:p w14:paraId="11B757A8">
      <w:pPr>
        <w:pStyle w:val="419"/>
        <w:spacing w:line="360" w:lineRule="auto"/>
        <w:rPr>
          <w:rFonts w:hint="eastAsia" w:ascii="宋体" w:hAnsi="宋体"/>
          <w:bCs/>
          <w:color w:val="auto"/>
          <w:sz w:val="24"/>
        </w:rPr>
      </w:pPr>
      <w:r>
        <w:rPr>
          <w:rFonts w:hint="eastAsia" w:ascii="宋体" w:hAnsi="宋体"/>
          <w:bCs/>
          <w:color w:val="auto"/>
          <w:sz w:val="24"/>
        </w:rPr>
        <w:t>16.2评标委员会负责具体评标事务，成员人数为</w:t>
      </w:r>
      <w:r>
        <w:rPr>
          <w:rFonts w:hint="eastAsia" w:ascii="宋体" w:hAnsi="宋体"/>
          <w:bCs/>
          <w:color w:val="auto"/>
          <w:sz w:val="24"/>
          <w:lang w:val="en-US" w:eastAsia="zh-CN"/>
        </w:rPr>
        <w:t>5</w:t>
      </w:r>
      <w:r>
        <w:rPr>
          <w:rFonts w:hint="eastAsia" w:ascii="宋体" w:hAnsi="宋体"/>
          <w:bCs/>
          <w:color w:val="auto"/>
          <w:sz w:val="24"/>
        </w:rPr>
        <w:t>人，评审专家不得少于成员总数的三分之二。</w:t>
      </w:r>
    </w:p>
    <w:p w14:paraId="216263A1">
      <w:pPr>
        <w:pStyle w:val="419"/>
        <w:spacing w:line="360" w:lineRule="auto"/>
        <w:rPr>
          <w:rFonts w:hint="eastAsia" w:ascii="宋体" w:hAnsi="宋体"/>
          <w:bCs/>
          <w:color w:val="auto"/>
          <w:sz w:val="24"/>
        </w:rPr>
      </w:pPr>
      <w:r>
        <w:rPr>
          <w:rFonts w:hint="eastAsia" w:ascii="宋体" w:hAnsi="宋体"/>
          <w:bCs/>
          <w:color w:val="auto"/>
          <w:sz w:val="24"/>
        </w:rPr>
        <w:t>16.3评标委员会成员应依照政府采购法及其他各项有关政府采购评审管理办法的规定，履行评审专家的各项职责。</w:t>
      </w:r>
    </w:p>
    <w:p w14:paraId="22761BD4">
      <w:pPr>
        <w:pStyle w:val="419"/>
        <w:spacing w:line="360" w:lineRule="auto"/>
        <w:rPr>
          <w:rFonts w:ascii="宋体" w:hAnsi="宋体"/>
          <w:bCs/>
          <w:color w:val="auto"/>
          <w:sz w:val="24"/>
        </w:rPr>
      </w:pPr>
      <w:r>
        <w:rPr>
          <w:rFonts w:hint="eastAsia" w:ascii="宋体" w:hAnsi="宋体"/>
          <w:bCs/>
          <w:color w:val="auto"/>
          <w:sz w:val="24"/>
        </w:rPr>
        <w:t>16.4评标委员会成员因缺席、回避、擅离职守或者因健康等原因不能继续履行评审专家职责的，采购人或者采购代理机构有权向相关监督管理部门通报。</w:t>
      </w:r>
    </w:p>
    <w:p w14:paraId="532D84AE">
      <w:pPr>
        <w:pStyle w:val="419"/>
        <w:spacing w:line="360" w:lineRule="auto"/>
        <w:rPr>
          <w:rFonts w:ascii="宋体" w:hAnsi="宋体"/>
          <w:b/>
          <w:bCs/>
          <w:color w:val="auto"/>
          <w:sz w:val="24"/>
        </w:rPr>
      </w:pPr>
      <w:r>
        <w:rPr>
          <w:rFonts w:hint="eastAsia" w:ascii="宋体" w:hAnsi="宋体"/>
          <w:b/>
          <w:bCs/>
          <w:color w:val="auto"/>
          <w:sz w:val="24"/>
        </w:rPr>
        <w:t>17.投标人资格审查和投标文件符合性审查</w:t>
      </w:r>
    </w:p>
    <w:p w14:paraId="0FB457B0">
      <w:pPr>
        <w:pStyle w:val="419"/>
        <w:spacing w:line="360" w:lineRule="auto"/>
        <w:rPr>
          <w:rFonts w:hint="eastAsia" w:ascii="宋体" w:hAnsi="宋体"/>
          <w:bCs/>
          <w:color w:val="auto"/>
          <w:sz w:val="24"/>
        </w:rPr>
      </w:pPr>
      <w:r>
        <w:rPr>
          <w:rFonts w:hint="eastAsia" w:ascii="宋体" w:hAnsi="宋体"/>
          <w:bCs/>
          <w:color w:val="auto"/>
          <w:sz w:val="24"/>
        </w:rPr>
        <w:t>17.1投标人资格审查指依据法律、法规和招标文件的规定，对投标文件中的资格、资信证明等进行审查，以确定投标人是否具备投标资格；投标文件符合性审查指依据招标文件的规定，从投标文件的有效性、完整性和对招标文件的响应程度进行审查，以确定是否对招标文件的实质性要求作出响应。</w:t>
      </w:r>
    </w:p>
    <w:p w14:paraId="1CD14572">
      <w:pPr>
        <w:pStyle w:val="419"/>
        <w:spacing w:line="360" w:lineRule="auto"/>
        <w:rPr>
          <w:rFonts w:hint="eastAsia" w:ascii="宋体" w:hAnsi="宋体"/>
          <w:bCs/>
          <w:color w:val="auto"/>
          <w:sz w:val="24"/>
        </w:rPr>
      </w:pPr>
      <w:r>
        <w:rPr>
          <w:rFonts w:hint="eastAsia" w:ascii="宋体" w:hAnsi="宋体"/>
          <w:bCs/>
          <w:color w:val="auto"/>
          <w:sz w:val="24"/>
        </w:rPr>
        <w:t>17.2投标人未通过资格审查的不得进入投标文件符合性审查；投标人未通过符合性审查的，不得进入投标文件的综合比较与评价。</w:t>
      </w:r>
    </w:p>
    <w:p w14:paraId="0025BF61">
      <w:pPr>
        <w:pStyle w:val="419"/>
        <w:spacing w:line="360" w:lineRule="auto"/>
        <w:rPr>
          <w:rFonts w:ascii="宋体" w:hAnsi="宋体"/>
          <w:bCs/>
          <w:color w:val="auto"/>
          <w:sz w:val="24"/>
        </w:rPr>
      </w:pPr>
      <w:r>
        <w:rPr>
          <w:rFonts w:hint="eastAsia" w:ascii="宋体" w:hAnsi="宋体"/>
          <w:bCs/>
          <w:color w:val="auto"/>
          <w:sz w:val="24"/>
        </w:rPr>
        <w:t>17.3品牌及型号必须为清单中有效期内产品并提供证明文件，否则其投标将作为</w:t>
      </w:r>
      <w:r>
        <w:rPr>
          <w:rFonts w:hint="eastAsia" w:ascii="宋体" w:hAnsi="宋体"/>
          <w:b/>
          <w:bCs/>
          <w:color w:val="auto"/>
          <w:sz w:val="24"/>
        </w:rPr>
        <w:t>无效投标</w:t>
      </w:r>
      <w:r>
        <w:rPr>
          <w:rFonts w:hint="eastAsia" w:ascii="宋体" w:hAnsi="宋体"/>
          <w:bCs/>
          <w:color w:val="auto"/>
          <w:sz w:val="24"/>
        </w:rPr>
        <w:t>被拒绝。</w:t>
      </w:r>
    </w:p>
    <w:p w14:paraId="4E17B32C">
      <w:pPr>
        <w:pStyle w:val="419"/>
        <w:spacing w:line="360" w:lineRule="auto"/>
        <w:rPr>
          <w:rFonts w:ascii="宋体" w:hAnsi="宋体"/>
          <w:bCs/>
          <w:color w:val="auto"/>
          <w:sz w:val="24"/>
        </w:rPr>
      </w:pPr>
      <w:r>
        <w:rPr>
          <w:rFonts w:hint="eastAsia" w:ascii="宋体" w:hAnsi="宋体"/>
          <w:bCs/>
          <w:color w:val="auto"/>
          <w:sz w:val="24"/>
        </w:rPr>
        <w:t>17.3.1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w:t>
      </w:r>
      <w:r>
        <w:rPr>
          <w:rFonts w:hint="eastAsia" w:ascii="宋体" w:hAnsi="宋体"/>
          <w:b/>
          <w:bCs/>
          <w:color w:val="auto"/>
          <w:sz w:val="24"/>
        </w:rPr>
        <w:t>其他投标无效</w:t>
      </w:r>
      <w:r>
        <w:rPr>
          <w:rFonts w:hint="eastAsia" w:ascii="宋体" w:hAnsi="宋体"/>
          <w:bCs/>
          <w:color w:val="auto"/>
          <w:sz w:val="24"/>
        </w:rPr>
        <w:t>。</w:t>
      </w:r>
    </w:p>
    <w:p w14:paraId="04B030A0">
      <w:pPr>
        <w:pStyle w:val="419"/>
        <w:spacing w:line="360" w:lineRule="auto"/>
        <w:rPr>
          <w:rFonts w:hint="eastAsia" w:ascii="宋体" w:hAnsi="宋体"/>
          <w:bCs/>
          <w:color w:val="auto"/>
          <w:sz w:val="24"/>
        </w:rPr>
      </w:pPr>
      <w:r>
        <w:rPr>
          <w:rFonts w:hint="eastAsia" w:ascii="宋体" w:hAnsi="宋体"/>
          <w:bCs/>
          <w:color w:val="auto"/>
          <w:sz w:val="24"/>
        </w:rPr>
        <w:t>17.3.2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w:t>
      </w:r>
    </w:p>
    <w:p w14:paraId="369638DA">
      <w:pPr>
        <w:pStyle w:val="419"/>
        <w:spacing w:line="360" w:lineRule="auto"/>
        <w:rPr>
          <w:rFonts w:hint="eastAsia" w:ascii="宋体" w:hAnsi="宋体"/>
          <w:bCs/>
          <w:color w:val="auto"/>
          <w:sz w:val="24"/>
        </w:rPr>
      </w:pPr>
      <w:r>
        <w:rPr>
          <w:rFonts w:hint="eastAsia" w:ascii="宋体" w:hAnsi="宋体"/>
          <w:bCs/>
          <w:color w:val="auto"/>
          <w:sz w:val="24"/>
        </w:rPr>
        <w:t>17.4如一个分包内包含多种产品的，采购人或采购代理机构将在</w:t>
      </w:r>
      <w:r>
        <w:rPr>
          <w:rFonts w:hint="eastAsia" w:ascii="宋体" w:hAnsi="宋体"/>
          <w:bCs/>
          <w:color w:val="auto"/>
          <w:sz w:val="24"/>
          <w:u w:val="single"/>
        </w:rPr>
        <w:t>投标人须知前附表</w:t>
      </w:r>
      <w:r>
        <w:rPr>
          <w:rFonts w:hint="eastAsia" w:ascii="宋体" w:hAnsi="宋体"/>
          <w:bCs/>
          <w:color w:val="auto"/>
          <w:sz w:val="24"/>
        </w:rPr>
        <w:t>中载明核心产品，多家投标人提供的所有核心产品品牌均相同的，按第18.3.2条及相关法律法规处理。</w:t>
      </w:r>
    </w:p>
    <w:p w14:paraId="3D02B413">
      <w:pPr>
        <w:pStyle w:val="419"/>
        <w:spacing w:line="360" w:lineRule="auto"/>
        <w:rPr>
          <w:rFonts w:hint="eastAsia" w:ascii="宋体" w:hAnsi="宋体"/>
          <w:bCs/>
          <w:color w:val="auto"/>
          <w:sz w:val="24"/>
        </w:rPr>
      </w:pPr>
      <w:r>
        <w:rPr>
          <w:rFonts w:hint="eastAsia" w:ascii="宋体" w:hAnsi="宋体"/>
          <w:bCs/>
          <w:color w:val="auto"/>
          <w:sz w:val="24"/>
        </w:rPr>
        <w:t>17.5投标人所投产品如被列入财政部与国家主管部门颁发的节能产品目录或环境标志产品目录，应提供相关证明，在评标时予以优先采购，具体优先采购办法见第五章评标方法和标准。如采购人所采购产品为政府强制采购的节能产品，投标人所投产品的品牌及型号必须为清单中有效期内产品并提供证明文件，否则其投标将作为</w:t>
      </w:r>
      <w:r>
        <w:rPr>
          <w:rFonts w:hint="eastAsia" w:ascii="宋体" w:hAnsi="宋体"/>
          <w:b/>
          <w:bCs/>
          <w:color w:val="auto"/>
          <w:sz w:val="24"/>
        </w:rPr>
        <w:t>无效投标</w:t>
      </w:r>
      <w:r>
        <w:rPr>
          <w:rFonts w:hint="eastAsia" w:ascii="宋体" w:hAnsi="宋体"/>
          <w:bCs/>
          <w:color w:val="auto"/>
          <w:sz w:val="24"/>
        </w:rPr>
        <w:t>被拒绝。</w:t>
      </w:r>
    </w:p>
    <w:p w14:paraId="4DB0E5C8">
      <w:pPr>
        <w:pStyle w:val="419"/>
        <w:spacing w:line="360" w:lineRule="auto"/>
        <w:rPr>
          <w:rFonts w:hint="eastAsia" w:ascii="宋体" w:hAnsi="宋体"/>
          <w:bCs/>
          <w:color w:val="auto"/>
          <w:sz w:val="24"/>
        </w:rPr>
      </w:pPr>
      <w:r>
        <w:rPr>
          <w:rFonts w:hint="eastAsia" w:ascii="宋体" w:hAnsi="宋体"/>
          <w:bCs/>
          <w:color w:val="auto"/>
          <w:sz w:val="24"/>
        </w:rPr>
        <w:t>17.6</w:t>
      </w:r>
      <w:r>
        <w:rPr>
          <w:rFonts w:hint="eastAsia" w:hAnsi="Arial"/>
          <w:color w:val="auto"/>
          <w:sz w:val="24"/>
        </w:rPr>
        <w:t>投标人不良信用记录以采购人或采购代理机构查询结果为准。</w:t>
      </w:r>
    </w:p>
    <w:p w14:paraId="33C8F449">
      <w:pPr>
        <w:pStyle w:val="419"/>
        <w:spacing w:line="360" w:lineRule="auto"/>
        <w:rPr>
          <w:rFonts w:hint="eastAsia" w:ascii="宋体" w:hAnsi="宋体"/>
          <w:b/>
          <w:bCs/>
          <w:color w:val="auto"/>
          <w:sz w:val="24"/>
        </w:rPr>
      </w:pPr>
      <w:r>
        <w:rPr>
          <w:rFonts w:hint="eastAsia" w:ascii="宋体" w:hAnsi="宋体"/>
          <w:bCs/>
          <w:color w:val="auto"/>
          <w:sz w:val="24"/>
        </w:rPr>
        <w:t>17.7资格审查和符合性审查标准详见</w:t>
      </w:r>
      <w:r>
        <w:rPr>
          <w:rFonts w:hint="eastAsia" w:ascii="宋体" w:hAnsi="宋体"/>
          <w:b/>
          <w:bCs/>
          <w:color w:val="auto"/>
          <w:sz w:val="24"/>
        </w:rPr>
        <w:t>第五章评标方法和标准。</w:t>
      </w:r>
    </w:p>
    <w:p w14:paraId="3741D5B4">
      <w:pPr>
        <w:pStyle w:val="419"/>
        <w:spacing w:line="360" w:lineRule="auto"/>
        <w:rPr>
          <w:rFonts w:hint="eastAsia" w:ascii="宋体" w:hAnsi="宋体"/>
          <w:b/>
          <w:bCs/>
          <w:color w:val="auto"/>
          <w:sz w:val="24"/>
        </w:rPr>
      </w:pPr>
      <w:r>
        <w:rPr>
          <w:rFonts w:hint="eastAsia" w:ascii="宋体" w:hAnsi="宋体"/>
          <w:b/>
          <w:bCs/>
          <w:color w:val="auto"/>
          <w:sz w:val="24"/>
        </w:rPr>
        <w:t>18.投标文件的澄清和修正</w:t>
      </w:r>
    </w:p>
    <w:p w14:paraId="362B6EF1">
      <w:pPr>
        <w:pStyle w:val="419"/>
        <w:spacing w:line="360" w:lineRule="auto"/>
        <w:rPr>
          <w:rFonts w:hint="eastAsia" w:ascii="宋体" w:hAnsi="宋体"/>
          <w:bCs/>
          <w:color w:val="auto"/>
          <w:sz w:val="24"/>
        </w:rPr>
      </w:pPr>
      <w:r>
        <w:rPr>
          <w:rFonts w:hint="eastAsia" w:ascii="宋体" w:hAnsi="宋体"/>
          <w:bCs/>
          <w:color w:val="auto"/>
          <w:sz w:val="24"/>
        </w:rPr>
        <w:t>18.1对于投标文件中含义不明确、同类问题表述不一致或者有明显文字和计算错误的内容，评标委员会应当以书面形式要求投标人作出必要的澄清、说明或者补正。</w:t>
      </w:r>
    </w:p>
    <w:p w14:paraId="4DB15E95">
      <w:pPr>
        <w:pStyle w:val="419"/>
        <w:spacing w:line="360" w:lineRule="auto"/>
        <w:rPr>
          <w:rFonts w:hint="eastAsia" w:ascii="宋体" w:hAnsi="宋体"/>
          <w:bCs/>
          <w:color w:val="auto"/>
          <w:sz w:val="24"/>
        </w:rPr>
      </w:pPr>
      <w:r>
        <w:rPr>
          <w:rFonts w:hint="eastAsia" w:ascii="宋体" w:hAnsi="宋体"/>
          <w:bCs/>
          <w:color w:val="auto"/>
          <w:sz w:val="24"/>
        </w:rPr>
        <w:t>18.2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5327104">
      <w:pPr>
        <w:pStyle w:val="419"/>
        <w:spacing w:line="360" w:lineRule="auto"/>
        <w:rPr>
          <w:rFonts w:hint="eastAsia" w:ascii="宋体" w:hAnsi="宋体"/>
          <w:bCs/>
          <w:color w:val="auto"/>
          <w:sz w:val="24"/>
        </w:rPr>
      </w:pPr>
      <w:r>
        <w:rPr>
          <w:rFonts w:hint="eastAsia" w:ascii="宋体" w:hAnsi="宋体"/>
          <w:bCs/>
          <w:color w:val="auto"/>
          <w:sz w:val="24"/>
        </w:rPr>
        <w:t>18.3投标文件报价出现前后不一致的，将按照下列规定修正：</w:t>
      </w:r>
    </w:p>
    <w:p w14:paraId="6E245821">
      <w:pPr>
        <w:pStyle w:val="419"/>
        <w:spacing w:line="360" w:lineRule="auto"/>
        <w:rPr>
          <w:rFonts w:hint="eastAsia" w:ascii="宋体" w:hAnsi="宋体"/>
          <w:bCs/>
          <w:color w:val="auto"/>
          <w:sz w:val="24"/>
        </w:rPr>
      </w:pPr>
      <w:r>
        <w:rPr>
          <w:rFonts w:hint="eastAsia" w:ascii="宋体" w:hAnsi="宋体"/>
          <w:bCs/>
          <w:color w:val="auto"/>
          <w:sz w:val="24"/>
        </w:rPr>
        <w:t>（一）投标文件中报价一览表（报价表）内容与投标文件中相应内容不一致的，以报价一览表（报价表）为准；</w:t>
      </w:r>
    </w:p>
    <w:p w14:paraId="5A411AAC">
      <w:pPr>
        <w:pStyle w:val="419"/>
        <w:spacing w:line="360" w:lineRule="auto"/>
        <w:rPr>
          <w:rFonts w:hint="eastAsia" w:ascii="宋体" w:hAnsi="宋体"/>
          <w:bCs/>
          <w:color w:val="auto"/>
          <w:sz w:val="24"/>
        </w:rPr>
      </w:pPr>
      <w:r>
        <w:rPr>
          <w:rFonts w:hint="eastAsia" w:ascii="宋体" w:hAnsi="宋体"/>
          <w:bCs/>
          <w:color w:val="auto"/>
          <w:sz w:val="24"/>
        </w:rPr>
        <w:t>（二）大写金额和小写金额不一致的，以大写金额为准；</w:t>
      </w:r>
    </w:p>
    <w:p w14:paraId="76B79D33">
      <w:pPr>
        <w:pStyle w:val="419"/>
        <w:spacing w:line="360" w:lineRule="auto"/>
        <w:rPr>
          <w:rFonts w:hint="eastAsia" w:ascii="宋体" w:hAnsi="宋体"/>
          <w:bCs/>
          <w:color w:val="auto"/>
          <w:sz w:val="24"/>
        </w:rPr>
      </w:pPr>
      <w:r>
        <w:rPr>
          <w:rFonts w:hint="eastAsia" w:ascii="宋体" w:hAnsi="宋体"/>
          <w:bCs/>
          <w:color w:val="auto"/>
          <w:sz w:val="24"/>
        </w:rPr>
        <w:t>（三）单价金额小数点或者百分比有明显错位的，以报价一览表的总价为准，并修改单价；</w:t>
      </w:r>
    </w:p>
    <w:p w14:paraId="696DF02F">
      <w:pPr>
        <w:pStyle w:val="419"/>
        <w:spacing w:line="360" w:lineRule="auto"/>
        <w:rPr>
          <w:rFonts w:hint="eastAsia" w:ascii="宋体" w:hAnsi="宋体"/>
          <w:bCs/>
          <w:color w:val="auto"/>
          <w:sz w:val="24"/>
        </w:rPr>
      </w:pPr>
      <w:r>
        <w:rPr>
          <w:rFonts w:hint="eastAsia" w:ascii="宋体" w:hAnsi="宋体"/>
          <w:bCs/>
          <w:color w:val="auto"/>
          <w:sz w:val="24"/>
        </w:rPr>
        <w:t>（四）总价金额与按单价汇总金额不一致的，以单价金额计算结果为准。</w:t>
      </w:r>
    </w:p>
    <w:p w14:paraId="00B85AD1">
      <w:pPr>
        <w:pStyle w:val="419"/>
        <w:spacing w:line="360" w:lineRule="auto"/>
        <w:rPr>
          <w:rFonts w:ascii="宋体" w:hAnsi="宋体"/>
          <w:bCs/>
          <w:color w:val="auto"/>
          <w:sz w:val="24"/>
        </w:rPr>
      </w:pPr>
      <w:r>
        <w:rPr>
          <w:rFonts w:ascii="宋体" w:hAnsi="宋体"/>
          <w:bCs/>
          <w:color w:val="auto"/>
          <w:sz w:val="24"/>
        </w:rPr>
        <w:tab/>
      </w:r>
      <w:r>
        <w:rPr>
          <w:rFonts w:hint="eastAsia" w:ascii="宋体" w:hAnsi="宋体"/>
          <w:bCs/>
          <w:color w:val="auto"/>
          <w:sz w:val="24"/>
        </w:rPr>
        <w:t>同时出现两种以上不一致的，按照前款规定的顺序修正。修正后的报价按照第19</w:t>
      </w:r>
      <w:r>
        <w:rPr>
          <w:rFonts w:ascii="宋体" w:hAnsi="宋体"/>
          <w:bCs/>
          <w:color w:val="auto"/>
          <w:sz w:val="24"/>
        </w:rPr>
        <w:t>.2</w:t>
      </w:r>
      <w:r>
        <w:rPr>
          <w:rFonts w:hint="eastAsia" w:ascii="宋体" w:hAnsi="宋体"/>
          <w:bCs/>
          <w:color w:val="auto"/>
          <w:sz w:val="24"/>
        </w:rPr>
        <w:t>条的规定经投标人确认后产生约束力，投标人不确认的，将被视为</w:t>
      </w:r>
      <w:r>
        <w:rPr>
          <w:rFonts w:hint="eastAsia" w:ascii="宋体" w:hAnsi="宋体"/>
          <w:b/>
          <w:bCs/>
          <w:color w:val="auto"/>
          <w:sz w:val="24"/>
        </w:rPr>
        <w:t>无效投标</w:t>
      </w:r>
      <w:r>
        <w:rPr>
          <w:rFonts w:hint="eastAsia" w:ascii="宋体" w:hAnsi="宋体"/>
          <w:bCs/>
          <w:color w:val="auto"/>
          <w:sz w:val="24"/>
        </w:rPr>
        <w:t>被拒绝。对不同文字文本投标文件的解释发生异议的，以中文文本为准。</w:t>
      </w:r>
    </w:p>
    <w:p w14:paraId="5C5E7FD4">
      <w:pPr>
        <w:pStyle w:val="419"/>
        <w:spacing w:line="360" w:lineRule="auto"/>
        <w:rPr>
          <w:rFonts w:hint="eastAsia" w:ascii="宋体" w:hAnsi="宋体"/>
          <w:b/>
          <w:bCs/>
          <w:color w:val="auto"/>
          <w:sz w:val="24"/>
        </w:rPr>
      </w:pPr>
      <w:r>
        <w:rPr>
          <w:rFonts w:hint="eastAsia" w:ascii="宋体" w:hAnsi="宋体"/>
          <w:b/>
          <w:bCs/>
          <w:color w:val="auto"/>
          <w:sz w:val="24"/>
        </w:rPr>
        <w:t>19.投标偏离与非实质性响应</w:t>
      </w:r>
    </w:p>
    <w:p w14:paraId="50E57DA8">
      <w:pPr>
        <w:pStyle w:val="419"/>
        <w:spacing w:line="360" w:lineRule="auto"/>
        <w:rPr>
          <w:rFonts w:ascii="宋体" w:hAnsi="宋体"/>
          <w:bCs/>
          <w:color w:val="auto"/>
          <w:sz w:val="24"/>
        </w:rPr>
      </w:pPr>
      <w:r>
        <w:rPr>
          <w:rFonts w:hint="eastAsia" w:ascii="宋体" w:hAnsi="宋体"/>
          <w:bCs/>
          <w:color w:val="auto"/>
          <w:sz w:val="24"/>
        </w:rPr>
        <w:t>19.1对于投标文件中不构成实质性偏差的不正规、不一致或不规则，评标委员会可以接受，但这种接受不能损坏或影响任何投标人的相对排序。</w:t>
      </w:r>
    </w:p>
    <w:p w14:paraId="11DD5827">
      <w:pPr>
        <w:pStyle w:val="419"/>
        <w:spacing w:line="360" w:lineRule="auto"/>
        <w:rPr>
          <w:rFonts w:ascii="宋体" w:hAnsi="宋体"/>
          <w:bCs/>
          <w:color w:val="auto"/>
          <w:sz w:val="24"/>
        </w:rPr>
      </w:pPr>
      <w:r>
        <w:rPr>
          <w:rFonts w:hint="eastAsia" w:ascii="宋体" w:hAnsi="宋体"/>
          <w:bCs/>
          <w:color w:val="auto"/>
          <w:sz w:val="24"/>
        </w:rPr>
        <w:t>19.2在详细评标之前，根据本须知的规定，评标委员会要审查每份投标文件是否实质上响应了招标文件的要求。实质上响应的投标应该是与招标文件要求的全部实质性条款、条件和规格相符，没有重大偏离的投标。</w:t>
      </w:r>
    </w:p>
    <w:p w14:paraId="00BB7114">
      <w:pPr>
        <w:pStyle w:val="419"/>
        <w:spacing w:line="360" w:lineRule="auto"/>
        <w:rPr>
          <w:rFonts w:hint="eastAsia" w:ascii="宋体" w:hAnsi="宋体"/>
          <w:bCs/>
          <w:color w:val="auto"/>
          <w:sz w:val="24"/>
        </w:rPr>
      </w:pPr>
      <w:r>
        <w:rPr>
          <w:rFonts w:hint="eastAsia" w:ascii="宋体" w:hAnsi="宋体"/>
          <w:bCs/>
          <w:color w:val="auto"/>
          <w:sz w:val="24"/>
        </w:rPr>
        <w:t>19.3实质上没有响应招标文件要求的投标将被拒绝。投标人不得通过修正或撤销不符合要求的偏离或保留从而使其投标成为实质上响应的投标。</w:t>
      </w:r>
    </w:p>
    <w:p w14:paraId="4E4856E1">
      <w:pPr>
        <w:pStyle w:val="419"/>
        <w:spacing w:line="360" w:lineRule="auto"/>
        <w:rPr>
          <w:rFonts w:hint="eastAsia" w:ascii="宋体" w:hAnsi="宋体"/>
          <w:b/>
          <w:bCs/>
          <w:color w:val="auto"/>
          <w:sz w:val="24"/>
        </w:rPr>
      </w:pPr>
      <w:r>
        <w:rPr>
          <w:rFonts w:hint="eastAsia" w:ascii="宋体" w:hAnsi="宋体"/>
          <w:b/>
          <w:bCs/>
          <w:color w:val="auto"/>
          <w:sz w:val="24"/>
        </w:rPr>
        <w:t>20.投标无效</w:t>
      </w:r>
    </w:p>
    <w:p w14:paraId="058B53EE">
      <w:pPr>
        <w:pStyle w:val="419"/>
        <w:spacing w:line="360" w:lineRule="auto"/>
        <w:rPr>
          <w:rFonts w:hint="eastAsia" w:ascii="宋体" w:hAnsi="宋体"/>
          <w:bCs/>
          <w:color w:val="auto"/>
          <w:sz w:val="24"/>
        </w:rPr>
      </w:pPr>
      <w:r>
        <w:rPr>
          <w:rFonts w:hint="eastAsia" w:ascii="宋体" w:hAnsi="宋体"/>
          <w:bCs/>
          <w:color w:val="auto"/>
          <w:sz w:val="24"/>
        </w:rPr>
        <w:t>20.1投标人存在下列情况之一的，投标无效：</w:t>
      </w:r>
    </w:p>
    <w:p w14:paraId="4907DB67">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1</w:t>
      </w:r>
      <w:r>
        <w:rPr>
          <w:rFonts w:hint="eastAsia" w:ascii="宋体" w:hAnsi="宋体"/>
          <w:bCs/>
          <w:color w:val="auto"/>
          <w:sz w:val="24"/>
        </w:rPr>
        <w:t>）投标文件未按招标文件要求签署、盖章的；</w:t>
      </w:r>
    </w:p>
    <w:p w14:paraId="5CE3B27C">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2</w:t>
      </w:r>
      <w:r>
        <w:rPr>
          <w:rFonts w:hint="eastAsia" w:ascii="宋体" w:hAnsi="宋体"/>
          <w:bCs/>
          <w:color w:val="auto"/>
          <w:sz w:val="24"/>
        </w:rPr>
        <w:t>）不具备招标文件中规定的资格要求的；</w:t>
      </w:r>
    </w:p>
    <w:p w14:paraId="0B8EF79D">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3</w:t>
      </w:r>
      <w:r>
        <w:rPr>
          <w:rFonts w:hint="eastAsia" w:ascii="宋体" w:hAnsi="宋体"/>
          <w:bCs/>
          <w:color w:val="auto"/>
          <w:sz w:val="24"/>
        </w:rPr>
        <w:t>）投标报价出现超过招标文件中最高限价的；</w:t>
      </w:r>
    </w:p>
    <w:p w14:paraId="0C7DEA19">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4</w:t>
      </w:r>
      <w:r>
        <w:rPr>
          <w:rFonts w:hint="eastAsia" w:ascii="宋体" w:hAnsi="宋体"/>
          <w:bCs/>
          <w:color w:val="auto"/>
          <w:sz w:val="24"/>
        </w:rPr>
        <w:t>）投标文件含有采购人不能接受的附加条件的；</w:t>
      </w:r>
    </w:p>
    <w:p w14:paraId="06E7D0A6">
      <w:pPr>
        <w:pStyle w:val="419"/>
        <w:spacing w:line="360" w:lineRule="auto"/>
        <w:rPr>
          <w:rFonts w:hint="eastAsia" w:ascii="宋体" w:hAnsi="宋体"/>
          <w:bCs/>
          <w:color w:val="auto"/>
          <w:sz w:val="24"/>
        </w:rPr>
      </w:pPr>
      <w:r>
        <w:rPr>
          <w:rFonts w:hint="eastAsia" w:ascii="宋体" w:hAnsi="宋体"/>
          <w:bCs/>
          <w:color w:val="auto"/>
          <w:sz w:val="24"/>
        </w:rPr>
        <w:t>（</w:t>
      </w:r>
      <w:r>
        <w:rPr>
          <w:rFonts w:hint="eastAsia" w:ascii="宋体" w:hAnsi="宋体"/>
          <w:bCs/>
          <w:color w:val="auto"/>
          <w:sz w:val="24"/>
          <w:lang w:val="en-US" w:eastAsia="zh-CN"/>
        </w:rPr>
        <w:t>5</w:t>
      </w:r>
      <w:r>
        <w:rPr>
          <w:rFonts w:hint="eastAsia" w:ascii="宋体" w:hAnsi="宋体"/>
          <w:bCs/>
          <w:color w:val="auto"/>
          <w:sz w:val="24"/>
        </w:rPr>
        <w:t>）法律、法规、规章及本招标文件规定的其他无效情形。</w:t>
      </w:r>
    </w:p>
    <w:p w14:paraId="0D1041AF">
      <w:pPr>
        <w:pStyle w:val="419"/>
        <w:spacing w:line="360" w:lineRule="auto"/>
        <w:rPr>
          <w:rFonts w:ascii="宋体" w:hAnsi="宋体"/>
          <w:bCs/>
          <w:color w:val="auto"/>
          <w:sz w:val="24"/>
        </w:rPr>
      </w:pPr>
      <w:r>
        <w:rPr>
          <w:rFonts w:hint="eastAsia" w:ascii="宋体" w:hAnsi="宋体"/>
          <w:bCs/>
          <w:color w:val="auto"/>
          <w:sz w:val="24"/>
        </w:rPr>
        <w:t>20.2有下列情形之一的，视为投标人串通投标，其投标无效：</w:t>
      </w:r>
    </w:p>
    <w:p w14:paraId="795E8AE6">
      <w:pPr>
        <w:pStyle w:val="419"/>
        <w:spacing w:line="360" w:lineRule="auto"/>
        <w:rPr>
          <w:rFonts w:hint="eastAsia" w:ascii="宋体" w:hAnsi="宋体"/>
          <w:bCs/>
          <w:color w:val="auto"/>
          <w:sz w:val="24"/>
        </w:rPr>
      </w:pPr>
      <w:r>
        <w:rPr>
          <w:rFonts w:hint="eastAsia" w:ascii="宋体" w:hAnsi="宋体"/>
          <w:bCs/>
          <w:color w:val="auto"/>
          <w:sz w:val="24"/>
        </w:rPr>
        <w:t>依据《政府采购货物和服务招标投标管理办法》（财政部令第87号）第三十七条</w:t>
      </w:r>
    </w:p>
    <w:p w14:paraId="267F5799">
      <w:pPr>
        <w:pStyle w:val="419"/>
        <w:spacing w:line="360" w:lineRule="auto"/>
        <w:rPr>
          <w:rFonts w:hint="eastAsia" w:ascii="宋体" w:hAnsi="宋体"/>
          <w:bCs/>
          <w:color w:val="auto"/>
          <w:sz w:val="24"/>
        </w:rPr>
      </w:pPr>
      <w:r>
        <w:rPr>
          <w:rFonts w:hint="eastAsia" w:ascii="宋体" w:hAnsi="宋体"/>
          <w:bCs/>
          <w:color w:val="auto"/>
          <w:sz w:val="24"/>
        </w:rPr>
        <w:t>（1）不同投标人的投标文件由同一单位或者个人编制；</w:t>
      </w:r>
    </w:p>
    <w:p w14:paraId="1EDE37E8">
      <w:pPr>
        <w:pStyle w:val="419"/>
        <w:spacing w:line="360" w:lineRule="auto"/>
        <w:rPr>
          <w:rFonts w:hint="eastAsia" w:ascii="宋体" w:hAnsi="宋体"/>
          <w:bCs/>
          <w:color w:val="auto"/>
          <w:sz w:val="24"/>
        </w:rPr>
      </w:pPr>
      <w:r>
        <w:rPr>
          <w:rFonts w:hint="eastAsia" w:ascii="宋体" w:hAnsi="宋体"/>
          <w:bCs/>
          <w:color w:val="auto"/>
          <w:sz w:val="24"/>
        </w:rPr>
        <w:t>（2）不同投标人委托同一单位或者个人办理投标事宜；</w:t>
      </w:r>
    </w:p>
    <w:p w14:paraId="4D5C15DA">
      <w:pPr>
        <w:pStyle w:val="419"/>
        <w:spacing w:line="360" w:lineRule="auto"/>
        <w:rPr>
          <w:rFonts w:hint="eastAsia" w:ascii="宋体" w:hAnsi="宋体"/>
          <w:bCs/>
          <w:color w:val="auto"/>
          <w:sz w:val="24"/>
        </w:rPr>
      </w:pPr>
      <w:r>
        <w:rPr>
          <w:rFonts w:hint="eastAsia" w:ascii="宋体" w:hAnsi="宋体"/>
          <w:bCs/>
          <w:color w:val="auto"/>
          <w:sz w:val="24"/>
        </w:rPr>
        <w:t>（3）不同投标人的投标文件载明的项目管理成员或者联系人员为同一人；</w:t>
      </w:r>
    </w:p>
    <w:p w14:paraId="650B31CB">
      <w:pPr>
        <w:pStyle w:val="419"/>
        <w:spacing w:line="360" w:lineRule="auto"/>
        <w:rPr>
          <w:rFonts w:ascii="宋体" w:hAnsi="宋体"/>
          <w:bCs/>
          <w:color w:val="auto"/>
          <w:sz w:val="24"/>
        </w:rPr>
      </w:pPr>
      <w:r>
        <w:rPr>
          <w:rFonts w:hint="eastAsia" w:ascii="宋体" w:hAnsi="宋体"/>
          <w:bCs/>
          <w:color w:val="auto"/>
          <w:sz w:val="24"/>
        </w:rPr>
        <w:t>（4）不同投标人的投标文件异常一致或者投标报价呈规律性差异；</w:t>
      </w:r>
    </w:p>
    <w:p w14:paraId="53B6E1C5">
      <w:pPr>
        <w:pStyle w:val="419"/>
        <w:spacing w:line="360" w:lineRule="auto"/>
        <w:rPr>
          <w:rFonts w:hint="eastAsia" w:ascii="宋体" w:hAnsi="宋体"/>
          <w:bCs/>
          <w:color w:val="auto"/>
          <w:sz w:val="24"/>
        </w:rPr>
      </w:pPr>
      <w:r>
        <w:rPr>
          <w:rFonts w:hint="eastAsia" w:ascii="宋体" w:hAnsi="宋体"/>
          <w:bCs/>
          <w:color w:val="auto"/>
          <w:sz w:val="24"/>
        </w:rPr>
        <w:t>(5)不同投标人的投标文件相互混装；</w:t>
      </w:r>
    </w:p>
    <w:p w14:paraId="6B96BA74">
      <w:pPr>
        <w:pStyle w:val="419"/>
        <w:spacing w:line="360" w:lineRule="auto"/>
        <w:rPr>
          <w:rFonts w:ascii="宋体" w:hAnsi="宋体"/>
          <w:bCs/>
          <w:color w:val="auto"/>
          <w:sz w:val="24"/>
        </w:rPr>
      </w:pPr>
      <w:r>
        <w:rPr>
          <w:rFonts w:hint="eastAsia" w:ascii="宋体" w:hAnsi="宋体"/>
          <w:bCs/>
          <w:color w:val="auto"/>
          <w:sz w:val="24"/>
        </w:rPr>
        <w:t>20.3其他投标无效情形：</w:t>
      </w:r>
    </w:p>
    <w:p w14:paraId="7D7B0ECF">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）不符合招标文件关于进口产品规定的；</w:t>
      </w:r>
    </w:p>
    <w:p w14:paraId="06DF2ED6">
      <w:pPr>
        <w:pStyle w:val="419"/>
        <w:spacing w:line="360" w:lineRule="auto"/>
        <w:rPr>
          <w:rFonts w:ascii="宋体" w:hAnsi="宋体"/>
          <w:bCs/>
          <w:color w:val="auto"/>
          <w:sz w:val="24"/>
        </w:rPr>
      </w:pPr>
      <w:r>
        <w:rPr>
          <w:rFonts w:hint="eastAsia" w:ascii="宋体" w:hAnsi="宋体"/>
          <w:bCs/>
          <w:color w:val="auto"/>
          <w:sz w:val="24"/>
        </w:rPr>
        <w:t>（2）任何选择性报价（或多个方案）的投标；</w:t>
      </w:r>
    </w:p>
    <w:p w14:paraId="338BC4E3">
      <w:pPr>
        <w:pStyle w:val="419"/>
        <w:spacing w:line="360" w:lineRule="auto"/>
        <w:rPr>
          <w:rFonts w:ascii="宋体" w:hAnsi="宋体"/>
          <w:bCs/>
          <w:color w:val="auto"/>
          <w:sz w:val="24"/>
        </w:rPr>
      </w:pPr>
      <w:r>
        <w:rPr>
          <w:rFonts w:hint="eastAsia" w:ascii="宋体" w:hAnsi="宋体"/>
          <w:bCs/>
          <w:color w:val="auto"/>
          <w:sz w:val="24"/>
        </w:rPr>
        <w:t>（3）任何包含价格调整要求的投标；</w:t>
      </w:r>
    </w:p>
    <w:p w14:paraId="4571596D">
      <w:pPr>
        <w:pStyle w:val="419"/>
        <w:spacing w:line="360" w:lineRule="auto"/>
        <w:rPr>
          <w:rFonts w:ascii="宋体" w:hAnsi="宋体"/>
          <w:bCs/>
          <w:color w:val="auto"/>
          <w:sz w:val="24"/>
        </w:rPr>
      </w:pPr>
      <w:r>
        <w:rPr>
          <w:rFonts w:hint="eastAsia" w:ascii="宋体" w:hAnsi="宋体"/>
          <w:bCs/>
          <w:color w:val="auto"/>
          <w:sz w:val="24"/>
        </w:rPr>
        <w:t>（4）投标有效期不满足要求的投标；</w:t>
      </w:r>
    </w:p>
    <w:p w14:paraId="0146080A">
      <w:pPr>
        <w:pStyle w:val="419"/>
        <w:spacing w:line="360" w:lineRule="auto"/>
        <w:rPr>
          <w:rFonts w:ascii="宋体" w:hAnsi="宋体"/>
          <w:bCs/>
          <w:color w:val="auto"/>
          <w:sz w:val="24"/>
        </w:rPr>
      </w:pPr>
      <w:r>
        <w:rPr>
          <w:rFonts w:hint="eastAsia" w:ascii="宋体" w:hAnsi="宋体"/>
          <w:bCs/>
          <w:color w:val="auto"/>
          <w:sz w:val="24"/>
        </w:rPr>
        <w:t>（5）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AE4D6E9">
      <w:pPr>
        <w:pStyle w:val="419"/>
        <w:spacing w:line="360" w:lineRule="auto"/>
        <w:rPr>
          <w:rFonts w:ascii="宋体" w:hAnsi="宋体"/>
          <w:bCs/>
          <w:color w:val="auto"/>
          <w:sz w:val="24"/>
        </w:rPr>
      </w:pPr>
      <w:r>
        <w:rPr>
          <w:rFonts w:hint="eastAsia" w:ascii="宋体" w:hAnsi="宋体"/>
          <w:bCs/>
          <w:color w:val="auto"/>
          <w:sz w:val="24"/>
        </w:rPr>
        <w:t>（6）投标文件报价出现前后不一致，投标人不确认修正后的报价的；</w:t>
      </w:r>
    </w:p>
    <w:p w14:paraId="31B28983">
      <w:pPr>
        <w:pStyle w:val="419"/>
        <w:spacing w:line="360" w:lineRule="auto"/>
        <w:rPr>
          <w:rFonts w:ascii="宋体" w:hAnsi="宋体"/>
          <w:bCs/>
          <w:color w:val="auto"/>
          <w:sz w:val="24"/>
        </w:rPr>
      </w:pPr>
      <w:r>
        <w:rPr>
          <w:rFonts w:hint="eastAsia" w:ascii="宋体" w:hAnsi="宋体"/>
          <w:bCs/>
          <w:color w:val="auto"/>
          <w:sz w:val="24"/>
        </w:rPr>
        <w:t>（7）未按照招标文件要求提交</w:t>
      </w:r>
      <w:r>
        <w:rPr>
          <w:rFonts w:ascii="宋体" w:hAnsi="宋体"/>
          <w:bCs/>
          <w:color w:val="auto"/>
          <w:sz w:val="24"/>
        </w:rPr>
        <w:t>“</w:t>
      </w:r>
      <w:r>
        <w:rPr>
          <w:rFonts w:hint="eastAsia" w:ascii="宋体" w:hAnsi="宋体"/>
          <w:bCs/>
          <w:color w:val="auto"/>
          <w:sz w:val="24"/>
        </w:rPr>
        <w:t>投标人声明函</w:t>
      </w:r>
      <w:r>
        <w:rPr>
          <w:rFonts w:ascii="宋体" w:hAnsi="宋体"/>
          <w:bCs/>
          <w:color w:val="auto"/>
          <w:sz w:val="24"/>
        </w:rPr>
        <w:t>”</w:t>
      </w:r>
      <w:r>
        <w:rPr>
          <w:rFonts w:hint="eastAsia" w:ascii="宋体" w:hAnsi="宋体"/>
          <w:bCs/>
          <w:color w:val="auto"/>
          <w:sz w:val="24"/>
        </w:rPr>
        <w:t>的；</w:t>
      </w:r>
    </w:p>
    <w:p w14:paraId="63283D4F">
      <w:pPr>
        <w:pStyle w:val="419"/>
        <w:spacing w:line="360" w:lineRule="auto"/>
        <w:rPr>
          <w:rFonts w:ascii="宋体" w:hAnsi="宋体"/>
          <w:bCs/>
          <w:color w:val="auto"/>
          <w:sz w:val="24"/>
        </w:rPr>
      </w:pPr>
      <w:r>
        <w:rPr>
          <w:rFonts w:hint="eastAsia" w:ascii="宋体" w:hAnsi="宋体"/>
          <w:bCs/>
          <w:color w:val="auto"/>
          <w:sz w:val="24"/>
        </w:rPr>
        <w:t>（8）服务期限（或交货期或交货及完成期）不满足招标文件要求的；</w:t>
      </w:r>
    </w:p>
    <w:p w14:paraId="144D31AB">
      <w:pPr>
        <w:pStyle w:val="419"/>
        <w:spacing w:line="360" w:lineRule="auto"/>
        <w:rPr>
          <w:rFonts w:ascii="宋体" w:hAnsi="宋体"/>
          <w:bCs/>
          <w:color w:val="auto"/>
          <w:sz w:val="24"/>
        </w:rPr>
      </w:pPr>
      <w:r>
        <w:rPr>
          <w:rFonts w:hint="eastAsia" w:ascii="宋体" w:hAnsi="宋体"/>
          <w:bCs/>
          <w:color w:val="auto"/>
          <w:sz w:val="24"/>
        </w:rPr>
        <w:t>（9）未按照招标文件要求单独递交报价一览表原件的。</w:t>
      </w:r>
    </w:p>
    <w:p w14:paraId="1381185A">
      <w:pPr>
        <w:pStyle w:val="419"/>
        <w:spacing w:line="360" w:lineRule="auto"/>
        <w:rPr>
          <w:rFonts w:hint="eastAsia" w:ascii="宋体" w:hAnsi="宋体"/>
          <w:b/>
          <w:bCs/>
          <w:color w:val="auto"/>
          <w:sz w:val="24"/>
        </w:rPr>
      </w:pPr>
      <w:r>
        <w:rPr>
          <w:rFonts w:hint="eastAsia" w:ascii="宋体" w:hAnsi="宋体"/>
          <w:b/>
          <w:bCs/>
          <w:color w:val="auto"/>
          <w:sz w:val="24"/>
        </w:rPr>
        <w:t>21.投标文件的综合比较与评价</w:t>
      </w:r>
    </w:p>
    <w:p w14:paraId="05823506">
      <w:pPr>
        <w:pStyle w:val="419"/>
        <w:spacing w:line="360" w:lineRule="auto"/>
        <w:rPr>
          <w:rFonts w:ascii="宋体" w:hAnsi="宋体"/>
          <w:bCs/>
          <w:color w:val="auto"/>
          <w:sz w:val="24"/>
        </w:rPr>
      </w:pPr>
      <w:r>
        <w:rPr>
          <w:rFonts w:hint="eastAsia" w:ascii="宋体" w:hAnsi="宋体"/>
          <w:bCs/>
          <w:color w:val="auto"/>
          <w:sz w:val="24"/>
        </w:rPr>
        <w:t>21.1根据项目实际情况本项目的评标方法为综合评分法，评审标准详见第五章。</w:t>
      </w:r>
    </w:p>
    <w:p w14:paraId="18348529">
      <w:pPr>
        <w:pStyle w:val="419"/>
        <w:spacing w:line="360" w:lineRule="auto"/>
        <w:rPr>
          <w:rFonts w:hint="eastAsia" w:ascii="宋体" w:hAnsi="宋体"/>
          <w:bCs/>
          <w:color w:val="auto"/>
          <w:sz w:val="24"/>
        </w:rPr>
      </w:pPr>
      <w:r>
        <w:rPr>
          <w:rFonts w:hint="eastAsia" w:ascii="宋体" w:hAnsi="宋体"/>
          <w:bCs/>
          <w:color w:val="auto"/>
          <w:sz w:val="24"/>
        </w:rPr>
        <w:t>21.2评标委员会将按照招标文件中规定的评标方法和评审标准，对符合性审查合格的投标文件进行商务和技术评估，综合比较与评价。评标时，评标委员会各成员应当独立对每个投标人的投标文件进行评价，并汇总每个投标人的得分。</w:t>
      </w:r>
    </w:p>
    <w:p w14:paraId="7288883B">
      <w:pPr>
        <w:pStyle w:val="419"/>
        <w:spacing w:line="360" w:lineRule="auto"/>
        <w:rPr>
          <w:rFonts w:hint="eastAsia" w:ascii="宋体" w:hAnsi="宋体"/>
          <w:bCs/>
          <w:color w:val="auto"/>
          <w:sz w:val="24"/>
        </w:rPr>
      </w:pPr>
      <w:r>
        <w:rPr>
          <w:rFonts w:hint="eastAsia" w:ascii="宋体" w:hAnsi="宋体"/>
          <w:bCs/>
          <w:color w:val="auto"/>
          <w:sz w:val="24"/>
          <w:lang w:val="en-US" w:eastAsia="zh-CN"/>
        </w:rPr>
        <w:t>21</w:t>
      </w:r>
      <w:r>
        <w:rPr>
          <w:rFonts w:hint="eastAsia" w:ascii="宋体" w:hAnsi="宋体"/>
          <w:bCs/>
          <w:color w:val="auto"/>
          <w:sz w:val="24"/>
        </w:rPr>
        <w:t>.3根据《政府采购促进中小企业发展管理办法》（财库</w:t>
      </w:r>
      <w:r>
        <w:rPr>
          <w:rFonts w:hint="eastAsia" w:ascii="宋体" w:hAnsi="宋体"/>
          <w:bCs/>
          <w:color w:val="auto"/>
          <w:sz w:val="24"/>
          <w:lang w:eastAsia="zh-CN"/>
        </w:rPr>
        <w:t>〔2020〕</w:t>
      </w:r>
      <w:r>
        <w:rPr>
          <w:rFonts w:hint="eastAsia" w:ascii="宋体" w:hAnsi="宋体"/>
          <w:bCs/>
          <w:color w:val="auto"/>
          <w:sz w:val="24"/>
        </w:rPr>
        <w:t>46号）、《财政部司法部关于政府采购支持监狱企业发展有关问题的通知》（财库〔</w:t>
      </w:r>
      <w:r>
        <w:rPr>
          <w:rFonts w:ascii="宋体" w:hAnsi="宋体"/>
          <w:bCs/>
          <w:color w:val="auto"/>
          <w:sz w:val="24"/>
        </w:rPr>
        <w:t>2014</w:t>
      </w:r>
      <w:r>
        <w:rPr>
          <w:rFonts w:hint="eastAsia" w:ascii="宋体" w:hAnsi="宋体"/>
          <w:bCs/>
          <w:color w:val="auto"/>
          <w:sz w:val="24"/>
        </w:rPr>
        <w:t>〕</w:t>
      </w:r>
      <w:r>
        <w:rPr>
          <w:rFonts w:ascii="宋体" w:hAnsi="宋体"/>
          <w:bCs/>
          <w:color w:val="auto"/>
          <w:sz w:val="24"/>
        </w:rPr>
        <w:t>68</w:t>
      </w:r>
      <w:r>
        <w:rPr>
          <w:rFonts w:hint="eastAsia" w:ascii="宋体" w:hAnsi="宋体"/>
          <w:bCs/>
          <w:color w:val="auto"/>
          <w:sz w:val="24"/>
        </w:rPr>
        <w:t>号）和《三部门联合发布关于促进残疾人就业政府采购政策的通知》（财库〔</w:t>
      </w:r>
      <w:r>
        <w:rPr>
          <w:rFonts w:ascii="宋体" w:hAnsi="宋体"/>
          <w:bCs/>
          <w:color w:val="auto"/>
          <w:sz w:val="24"/>
        </w:rPr>
        <w:t>2017</w:t>
      </w:r>
      <w:r>
        <w:rPr>
          <w:rFonts w:hint="eastAsia" w:ascii="宋体" w:hAnsi="宋体"/>
          <w:bCs/>
          <w:color w:val="auto"/>
          <w:sz w:val="24"/>
        </w:rPr>
        <w:t>〕</w:t>
      </w:r>
      <w:r>
        <w:rPr>
          <w:rFonts w:ascii="宋体" w:hAnsi="宋体"/>
          <w:bCs/>
          <w:color w:val="auto"/>
          <w:sz w:val="24"/>
        </w:rPr>
        <w:t>141</w:t>
      </w:r>
      <w:r>
        <w:rPr>
          <w:rFonts w:hint="eastAsia" w:ascii="宋体" w:hAnsi="宋体"/>
          <w:bCs/>
          <w:color w:val="auto"/>
          <w:sz w:val="24"/>
        </w:rPr>
        <w:t>号）的规定，对满足价格扣除条件且在投标文件中提交了《投标人企业类型声明函》《残疾人福利性单位声明函》或省级以上监狱管理局、戒毒管理局（含新疆生产建设兵团）出具的属于监狱企业的证明文件的投标人，其投标报价扣除10%后参与评审。</w:t>
      </w:r>
      <w:r>
        <w:rPr>
          <w:rFonts w:hint="eastAsia" w:ascii="宋体" w:hAnsi="宋体" w:eastAsia="宋体" w:cs="宋体"/>
          <w:spacing w:val="-14"/>
          <w:sz w:val="24"/>
          <w:highlight w:val="none"/>
          <w:lang w:val="en-US" w:eastAsia="zh-CN"/>
        </w:rPr>
        <w:t>根据《国务院办公厅关于在政府采购中实施本国产品标准及相关政策的通知》（国办发〔2025〕34号)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r>
        <w:rPr>
          <w:rFonts w:hint="eastAsia" w:ascii="宋体" w:hAnsi="宋体"/>
          <w:bCs/>
          <w:color w:val="auto"/>
          <w:sz w:val="24"/>
        </w:rPr>
        <w:t>具体办法详见招标文件第五章评标方法和标准。</w:t>
      </w:r>
    </w:p>
    <w:p w14:paraId="49373EB0">
      <w:pPr>
        <w:pStyle w:val="419"/>
        <w:spacing w:line="360" w:lineRule="auto"/>
        <w:rPr>
          <w:rFonts w:hint="eastAsia" w:ascii="宋体" w:hAnsi="宋体"/>
          <w:b/>
          <w:bCs/>
          <w:color w:val="auto"/>
          <w:sz w:val="24"/>
        </w:rPr>
      </w:pPr>
      <w:r>
        <w:rPr>
          <w:rFonts w:hint="eastAsia" w:ascii="宋体" w:hAnsi="宋体"/>
          <w:b/>
          <w:bCs/>
          <w:color w:val="auto"/>
          <w:sz w:val="24"/>
        </w:rPr>
        <w:t>22.废标情况</w:t>
      </w:r>
    </w:p>
    <w:p w14:paraId="7518073A">
      <w:pPr>
        <w:pStyle w:val="419"/>
        <w:spacing w:line="360" w:lineRule="auto"/>
        <w:rPr>
          <w:rFonts w:ascii="宋体" w:hAnsi="宋体"/>
          <w:bCs/>
          <w:color w:val="auto"/>
          <w:sz w:val="24"/>
        </w:rPr>
      </w:pPr>
      <w:r>
        <w:rPr>
          <w:rFonts w:hint="eastAsia" w:ascii="宋体" w:hAnsi="宋体"/>
          <w:bCs/>
          <w:color w:val="auto"/>
          <w:sz w:val="24"/>
        </w:rPr>
        <w:t>22.1在招标采购中，出现下列情形之一的，应予废标：</w:t>
      </w:r>
    </w:p>
    <w:p w14:paraId="6E217163">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1</w:t>
      </w:r>
      <w:r>
        <w:rPr>
          <w:rFonts w:hint="eastAsia" w:ascii="宋体" w:hAnsi="宋体"/>
          <w:bCs/>
          <w:color w:val="auto"/>
          <w:sz w:val="24"/>
        </w:rPr>
        <w:t>）符合专业条件的投标人或者对招标文件作实质响应的投标人不足三家。</w:t>
      </w:r>
    </w:p>
    <w:p w14:paraId="42A3B1C4">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2</w:t>
      </w:r>
      <w:r>
        <w:rPr>
          <w:rFonts w:hint="eastAsia" w:ascii="宋体" w:hAnsi="宋体"/>
          <w:bCs/>
          <w:color w:val="auto"/>
          <w:sz w:val="24"/>
        </w:rPr>
        <w:t>）出现影响采购公正的违法、违规行为的。</w:t>
      </w:r>
    </w:p>
    <w:p w14:paraId="07D4A60C">
      <w:pPr>
        <w:pStyle w:val="419"/>
        <w:spacing w:line="360" w:lineRule="auto"/>
        <w:rPr>
          <w:rFonts w:ascii="宋体" w:hAnsi="宋体"/>
          <w:bCs/>
          <w:color w:val="auto"/>
          <w:sz w:val="24"/>
        </w:rPr>
      </w:pPr>
      <w:r>
        <w:rPr>
          <w:rFonts w:hint="eastAsia" w:ascii="宋体" w:hAnsi="宋体"/>
          <w:bCs/>
          <w:color w:val="auto"/>
          <w:sz w:val="24"/>
        </w:rPr>
        <w:t>（</w:t>
      </w:r>
      <w:r>
        <w:rPr>
          <w:rFonts w:ascii="宋体" w:hAnsi="宋体"/>
          <w:bCs/>
          <w:color w:val="auto"/>
          <w:sz w:val="24"/>
        </w:rPr>
        <w:t>3</w:t>
      </w:r>
      <w:r>
        <w:rPr>
          <w:rFonts w:hint="eastAsia" w:ascii="宋体" w:hAnsi="宋体"/>
          <w:bCs/>
          <w:color w:val="auto"/>
          <w:sz w:val="24"/>
        </w:rPr>
        <w:t>）投标人的报价均超过了采购预算，采购人不能支付的。</w:t>
      </w:r>
    </w:p>
    <w:p w14:paraId="38766195">
      <w:pPr>
        <w:pStyle w:val="419"/>
        <w:spacing w:line="360" w:lineRule="auto"/>
        <w:rPr>
          <w:rFonts w:hint="eastAsia" w:ascii="宋体" w:hAnsi="宋体"/>
          <w:bCs/>
          <w:color w:val="auto"/>
          <w:sz w:val="24"/>
        </w:rPr>
      </w:pPr>
      <w:r>
        <w:rPr>
          <w:rFonts w:hint="eastAsia" w:ascii="宋体" w:hAnsi="宋体"/>
          <w:bCs/>
          <w:color w:val="auto"/>
          <w:sz w:val="24"/>
        </w:rPr>
        <w:t>（</w:t>
      </w:r>
      <w:r>
        <w:rPr>
          <w:rFonts w:ascii="宋体" w:hAnsi="宋体"/>
          <w:bCs/>
          <w:color w:val="auto"/>
          <w:sz w:val="24"/>
        </w:rPr>
        <w:t>4</w:t>
      </w:r>
      <w:r>
        <w:rPr>
          <w:rFonts w:hint="eastAsia" w:ascii="宋体" w:hAnsi="宋体"/>
          <w:bCs/>
          <w:color w:val="auto"/>
          <w:sz w:val="24"/>
        </w:rPr>
        <w:t>）因重大变故，采购任务取消的。</w:t>
      </w:r>
    </w:p>
    <w:p w14:paraId="04A0CA4E">
      <w:pPr>
        <w:pStyle w:val="419"/>
        <w:spacing w:line="360" w:lineRule="auto"/>
        <w:rPr>
          <w:rFonts w:ascii="宋体" w:hAnsi="宋体"/>
          <w:b/>
          <w:bCs/>
          <w:color w:val="auto"/>
          <w:sz w:val="24"/>
        </w:rPr>
      </w:pPr>
      <w:r>
        <w:rPr>
          <w:rFonts w:hint="eastAsia" w:ascii="宋体" w:hAnsi="宋体"/>
          <w:b/>
          <w:bCs/>
          <w:color w:val="auto"/>
          <w:sz w:val="24"/>
        </w:rPr>
        <w:t>23.评标过程及保密原则</w:t>
      </w:r>
    </w:p>
    <w:p w14:paraId="2EBB73A1">
      <w:pPr>
        <w:pStyle w:val="419"/>
        <w:spacing w:line="360" w:lineRule="auto"/>
        <w:rPr>
          <w:rFonts w:hint="eastAsia" w:ascii="宋体" w:hAnsi="宋体"/>
          <w:bCs/>
          <w:color w:val="auto"/>
          <w:sz w:val="24"/>
        </w:rPr>
      </w:pPr>
      <w:r>
        <w:rPr>
          <w:rFonts w:hint="eastAsia" w:ascii="宋体" w:hAnsi="宋体"/>
          <w:bCs/>
          <w:color w:val="auto"/>
          <w:sz w:val="24"/>
        </w:rPr>
        <w:t>23.1评标将在严格保密的情况下进行。</w:t>
      </w:r>
    </w:p>
    <w:p w14:paraId="00CD88EC">
      <w:pPr>
        <w:pStyle w:val="419"/>
        <w:spacing w:line="360" w:lineRule="auto"/>
        <w:rPr>
          <w:rFonts w:ascii="宋体" w:hAnsi="宋体"/>
          <w:bCs/>
          <w:color w:val="auto"/>
          <w:sz w:val="24"/>
        </w:rPr>
      </w:pPr>
      <w:r>
        <w:rPr>
          <w:rFonts w:hint="eastAsia" w:ascii="宋体" w:hAnsi="宋体"/>
          <w:bCs/>
          <w:color w:val="auto"/>
          <w:sz w:val="24"/>
        </w:rPr>
        <w:t>23.2有关人员对评标情况以及在评标过程中获悉的国家秘密、商业秘密负有保密责任。</w:t>
      </w:r>
    </w:p>
    <w:p w14:paraId="11A6E005">
      <w:pPr>
        <w:pStyle w:val="419"/>
        <w:spacing w:line="360" w:lineRule="auto"/>
        <w:rPr>
          <w:rFonts w:hint="eastAsia" w:ascii="宋体" w:hAnsi="宋体"/>
          <w:bCs/>
          <w:color w:val="auto"/>
          <w:sz w:val="24"/>
        </w:rPr>
      </w:pPr>
      <w:r>
        <w:rPr>
          <w:rFonts w:hint="eastAsia" w:ascii="宋体" w:hAnsi="宋体"/>
          <w:bCs/>
          <w:color w:val="auto"/>
          <w:sz w:val="24"/>
        </w:rPr>
        <w:t>23.3在评标期间，投标人试图影响采购人、采购代理机构和评标委员会的任何活动，将导致其</w:t>
      </w:r>
      <w:r>
        <w:rPr>
          <w:rFonts w:hint="eastAsia" w:ascii="宋体" w:hAnsi="宋体"/>
          <w:b/>
          <w:bCs/>
          <w:color w:val="auto"/>
          <w:sz w:val="24"/>
        </w:rPr>
        <w:t>投标被拒绝</w:t>
      </w:r>
      <w:r>
        <w:rPr>
          <w:rFonts w:hint="eastAsia" w:ascii="宋体" w:hAnsi="宋体"/>
          <w:bCs/>
          <w:color w:val="auto"/>
          <w:sz w:val="24"/>
        </w:rPr>
        <w:t>，并承担相应的法律责任。</w:t>
      </w:r>
    </w:p>
    <w:p w14:paraId="5614C96A">
      <w:pPr>
        <w:pStyle w:val="419"/>
        <w:spacing w:line="360" w:lineRule="auto"/>
        <w:jc w:val="center"/>
        <w:rPr>
          <w:rFonts w:ascii="宋体" w:hAnsi="宋体"/>
          <w:b/>
          <w:color w:val="auto"/>
          <w:sz w:val="32"/>
          <w:szCs w:val="32"/>
        </w:rPr>
      </w:pPr>
      <w:r>
        <w:rPr>
          <w:rFonts w:hint="eastAsia" w:ascii="宋体" w:hAnsi="宋体"/>
          <w:b/>
          <w:color w:val="auto"/>
          <w:sz w:val="32"/>
          <w:szCs w:val="32"/>
        </w:rPr>
        <w:t>六</w:t>
      </w:r>
      <w:r>
        <w:rPr>
          <w:rFonts w:hint="eastAsia" w:ascii="宋体" w:hAnsi="宋体"/>
          <w:b/>
          <w:color w:val="auto"/>
          <w:sz w:val="32"/>
          <w:szCs w:val="32"/>
          <w:lang w:eastAsia="zh-CN"/>
        </w:rPr>
        <w:t>、</w:t>
      </w:r>
      <w:r>
        <w:rPr>
          <w:rFonts w:hint="eastAsia" w:ascii="宋体" w:hAnsi="宋体"/>
          <w:b/>
          <w:color w:val="auto"/>
          <w:sz w:val="32"/>
          <w:szCs w:val="32"/>
        </w:rPr>
        <w:t>确定中标</w:t>
      </w:r>
    </w:p>
    <w:p w14:paraId="60CC5022">
      <w:pPr>
        <w:pStyle w:val="419"/>
        <w:spacing w:line="360" w:lineRule="auto"/>
        <w:rPr>
          <w:rFonts w:hint="eastAsia" w:ascii="宋体" w:hAnsi="宋体"/>
          <w:b/>
          <w:bCs/>
          <w:color w:val="auto"/>
          <w:sz w:val="24"/>
        </w:rPr>
      </w:pPr>
      <w:r>
        <w:rPr>
          <w:rFonts w:hint="eastAsia" w:ascii="宋体" w:hAnsi="宋体"/>
          <w:b/>
          <w:bCs/>
          <w:color w:val="auto"/>
          <w:sz w:val="24"/>
        </w:rPr>
        <w:t>24.中标候选人的确定原则及标准</w:t>
      </w:r>
    </w:p>
    <w:p w14:paraId="7A390A50">
      <w:pPr>
        <w:pStyle w:val="419"/>
        <w:spacing w:line="360" w:lineRule="auto"/>
        <w:rPr>
          <w:rFonts w:ascii="宋体" w:hAnsi="宋体"/>
          <w:bCs/>
          <w:color w:val="auto"/>
          <w:sz w:val="24"/>
        </w:rPr>
      </w:pPr>
      <w:r>
        <w:rPr>
          <w:rFonts w:hint="eastAsia" w:ascii="宋体" w:hAnsi="宋体"/>
          <w:bCs/>
          <w:color w:val="auto"/>
          <w:sz w:val="24"/>
        </w:rPr>
        <w:t>24.1评标委员会将根据招标文件的评标方法和评审标准，推荐中标候选人及评标排序，确定满足招标文件全部实质性要求，且按照评审因素的量化指标评审得分最高的投标人为排名第一的中标候选人。评审得分相同的，按投标报价由低到高顺序排列。如报价相同则技术部分得分最高优先。</w:t>
      </w:r>
    </w:p>
    <w:p w14:paraId="446B2866">
      <w:pPr>
        <w:pStyle w:val="419"/>
        <w:spacing w:line="360" w:lineRule="auto"/>
        <w:rPr>
          <w:rFonts w:hint="eastAsia" w:ascii="宋体" w:hAnsi="宋体"/>
          <w:bCs/>
          <w:color w:val="auto"/>
          <w:sz w:val="24"/>
        </w:rPr>
      </w:pPr>
      <w:r>
        <w:rPr>
          <w:rFonts w:hint="eastAsia" w:ascii="宋体" w:hAnsi="宋体"/>
          <w:bCs/>
          <w:color w:val="auto"/>
          <w:sz w:val="24"/>
        </w:rPr>
        <w:t>24.2单一产品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非单一产品采购项目，采购需求中应载明核心产品，多家投标人提供的产品中有一种核心产品品牌相同，即视为提供相同品牌产品，按照第一款规定执行。如按前两款规定计算投标人数量后不足三家的，属于对招标文件作实质响应的投标人不足三家。</w:t>
      </w:r>
    </w:p>
    <w:p w14:paraId="50F43C7E">
      <w:pPr>
        <w:pStyle w:val="419"/>
        <w:spacing w:line="360" w:lineRule="auto"/>
        <w:rPr>
          <w:rFonts w:hint="eastAsia" w:ascii="宋体" w:hAnsi="宋体"/>
          <w:b/>
          <w:bCs/>
          <w:color w:val="auto"/>
          <w:sz w:val="24"/>
        </w:rPr>
      </w:pPr>
      <w:r>
        <w:rPr>
          <w:rFonts w:hint="eastAsia" w:ascii="宋体" w:hAnsi="宋体"/>
          <w:b/>
          <w:bCs/>
          <w:color w:val="auto"/>
          <w:sz w:val="24"/>
        </w:rPr>
        <w:t>25.确定中标人</w:t>
      </w:r>
    </w:p>
    <w:p w14:paraId="09B886AA">
      <w:pPr>
        <w:pStyle w:val="419"/>
        <w:spacing w:line="360" w:lineRule="auto"/>
        <w:rPr>
          <w:rFonts w:ascii="宋体" w:hAnsi="宋体"/>
          <w:bCs/>
          <w:color w:val="auto"/>
          <w:sz w:val="24"/>
        </w:rPr>
      </w:pPr>
      <w:r>
        <w:rPr>
          <w:rFonts w:hint="eastAsia" w:ascii="宋体" w:hAnsi="宋体"/>
          <w:bCs/>
          <w:color w:val="auto"/>
          <w:sz w:val="24"/>
        </w:rPr>
        <w:t>25.1采购人将在评标报告确定的中标候选人名单中按顺序确定中标人。</w:t>
      </w:r>
    </w:p>
    <w:p w14:paraId="69B4ED58">
      <w:pPr>
        <w:pStyle w:val="419"/>
        <w:spacing w:line="360" w:lineRule="auto"/>
        <w:rPr>
          <w:rFonts w:hint="eastAsia" w:ascii="宋体" w:hAnsi="宋体"/>
          <w:bCs/>
          <w:color w:val="auto"/>
          <w:sz w:val="24"/>
        </w:rPr>
      </w:pPr>
      <w:r>
        <w:rPr>
          <w:rFonts w:hint="eastAsia" w:ascii="宋体" w:hAnsi="宋体"/>
          <w:bCs/>
          <w:color w:val="auto"/>
          <w:sz w:val="24"/>
        </w:rPr>
        <w:t>25.2评标委员会有权对投标人的报价、技术、商务等进行综合评审，最低投标报价不作为中标的保证。</w:t>
      </w:r>
    </w:p>
    <w:p w14:paraId="6A8015A6">
      <w:pPr>
        <w:pStyle w:val="419"/>
        <w:spacing w:line="360" w:lineRule="auto"/>
        <w:rPr>
          <w:rFonts w:hint="eastAsia" w:ascii="宋体" w:hAnsi="宋体"/>
          <w:b/>
          <w:bCs/>
          <w:color w:val="auto"/>
          <w:sz w:val="24"/>
        </w:rPr>
      </w:pPr>
      <w:r>
        <w:rPr>
          <w:rFonts w:hint="eastAsia" w:ascii="宋体" w:hAnsi="宋体"/>
          <w:b/>
          <w:bCs/>
          <w:color w:val="auto"/>
          <w:sz w:val="24"/>
        </w:rPr>
        <w:t>26.保留权利</w:t>
      </w:r>
    </w:p>
    <w:p w14:paraId="5BD18950">
      <w:pPr>
        <w:pStyle w:val="419"/>
        <w:spacing w:line="360" w:lineRule="auto"/>
        <w:rPr>
          <w:rFonts w:hint="eastAsia" w:ascii="宋体" w:hAnsi="宋体"/>
          <w:bCs/>
          <w:color w:val="auto"/>
          <w:sz w:val="24"/>
        </w:rPr>
      </w:pPr>
      <w:r>
        <w:rPr>
          <w:rFonts w:hint="eastAsia" w:ascii="宋体" w:hAnsi="宋体"/>
          <w:bCs/>
          <w:color w:val="auto"/>
          <w:sz w:val="24"/>
        </w:rPr>
        <w:t>26.1因不可抗力或中标人自身原因不能履约等情形，采购人保留与其他中标候选人签订合同的权利。</w:t>
      </w:r>
    </w:p>
    <w:p w14:paraId="2A994347">
      <w:pPr>
        <w:pStyle w:val="419"/>
        <w:spacing w:line="360" w:lineRule="auto"/>
        <w:rPr>
          <w:rFonts w:hint="eastAsia" w:ascii="宋体" w:hAnsi="宋体"/>
          <w:b/>
          <w:bCs/>
          <w:color w:val="auto"/>
          <w:sz w:val="24"/>
        </w:rPr>
      </w:pPr>
      <w:r>
        <w:rPr>
          <w:rFonts w:hint="eastAsia" w:ascii="宋体" w:hAnsi="宋体"/>
          <w:b/>
          <w:bCs/>
          <w:color w:val="auto"/>
          <w:sz w:val="24"/>
        </w:rPr>
        <w:t>27.中标通知书</w:t>
      </w:r>
    </w:p>
    <w:p w14:paraId="1F2A967A">
      <w:pPr>
        <w:pStyle w:val="419"/>
        <w:spacing w:line="360" w:lineRule="auto"/>
        <w:rPr>
          <w:rFonts w:hint="eastAsia" w:ascii="宋体" w:hAnsi="宋体"/>
          <w:bCs/>
          <w:color w:val="auto"/>
          <w:sz w:val="24"/>
        </w:rPr>
      </w:pPr>
      <w:r>
        <w:rPr>
          <w:rFonts w:hint="eastAsia" w:ascii="宋体" w:hAnsi="宋体"/>
          <w:bCs/>
          <w:color w:val="auto"/>
          <w:sz w:val="24"/>
        </w:rPr>
        <w:t>27.1在投标有效期内，中标人确定后，采购代理机构将在财政部门指定的政府采购信息发布媒体上公告中标结果，同时采购代理机构以书面形式向中标人发出中标通知书。</w:t>
      </w:r>
    </w:p>
    <w:p w14:paraId="61744DEC">
      <w:pPr>
        <w:pStyle w:val="419"/>
        <w:spacing w:line="360" w:lineRule="auto"/>
        <w:rPr>
          <w:rFonts w:hint="eastAsia" w:ascii="宋体" w:hAnsi="宋体"/>
          <w:bCs/>
          <w:color w:val="auto"/>
          <w:sz w:val="24"/>
        </w:rPr>
      </w:pPr>
      <w:r>
        <w:rPr>
          <w:rFonts w:hint="eastAsia" w:ascii="宋体" w:hAnsi="宋体"/>
          <w:bCs/>
          <w:color w:val="auto"/>
          <w:sz w:val="24"/>
        </w:rPr>
        <w:t>27.2投标人可通过相关发布媒体查询中标结果。</w:t>
      </w:r>
    </w:p>
    <w:p w14:paraId="4B71CE3E">
      <w:pPr>
        <w:pStyle w:val="419"/>
        <w:spacing w:line="360" w:lineRule="auto"/>
        <w:rPr>
          <w:rFonts w:hint="eastAsia" w:ascii="宋体" w:hAnsi="宋体"/>
          <w:bCs/>
          <w:color w:val="auto"/>
          <w:sz w:val="24"/>
        </w:rPr>
      </w:pPr>
      <w:r>
        <w:rPr>
          <w:rFonts w:hint="eastAsia" w:ascii="宋体" w:hAnsi="宋体"/>
          <w:bCs/>
          <w:color w:val="auto"/>
          <w:sz w:val="24"/>
        </w:rPr>
        <w:t>27.3中标通知书是合同的组成部分。</w:t>
      </w:r>
    </w:p>
    <w:p w14:paraId="5C9BEB16">
      <w:pPr>
        <w:pStyle w:val="419"/>
        <w:spacing w:line="360" w:lineRule="auto"/>
        <w:rPr>
          <w:rFonts w:hint="eastAsia" w:ascii="宋体" w:hAnsi="宋体"/>
          <w:b/>
          <w:bCs/>
          <w:color w:val="auto"/>
          <w:sz w:val="24"/>
        </w:rPr>
      </w:pPr>
      <w:r>
        <w:rPr>
          <w:rFonts w:hint="eastAsia" w:ascii="宋体" w:hAnsi="宋体"/>
          <w:b/>
          <w:bCs/>
          <w:color w:val="auto"/>
          <w:sz w:val="24"/>
        </w:rPr>
        <w:t>28.签订合同</w:t>
      </w:r>
    </w:p>
    <w:p w14:paraId="25CC3E9A">
      <w:pPr>
        <w:pStyle w:val="419"/>
        <w:spacing w:line="360" w:lineRule="auto"/>
        <w:rPr>
          <w:rFonts w:ascii="宋体" w:hAnsi="宋体"/>
          <w:bCs/>
          <w:color w:val="auto"/>
          <w:sz w:val="24"/>
        </w:rPr>
      </w:pPr>
      <w:r>
        <w:rPr>
          <w:rFonts w:hint="eastAsia" w:ascii="宋体" w:hAnsi="宋体"/>
          <w:bCs/>
          <w:color w:val="auto"/>
          <w:sz w:val="24"/>
        </w:rPr>
        <w:t>28.1中标人应当自中标通知书发出之日起</w:t>
      </w:r>
      <w:r>
        <w:rPr>
          <w:rFonts w:ascii="宋体" w:hAnsi="宋体"/>
          <w:bCs/>
          <w:color w:val="auto"/>
          <w:sz w:val="24"/>
        </w:rPr>
        <w:t>30</w:t>
      </w:r>
      <w:r>
        <w:rPr>
          <w:rFonts w:hint="eastAsia" w:ascii="宋体" w:hAnsi="宋体"/>
          <w:bCs/>
          <w:color w:val="auto"/>
          <w:sz w:val="24"/>
        </w:rPr>
        <w:t>日内，按照招标文件和投标文件的规定，与采购人签订书面合同。所签订的合同不得对招标文件确定的事项和投标文件作实质性修改。</w:t>
      </w:r>
    </w:p>
    <w:p w14:paraId="14444C0E">
      <w:pPr>
        <w:pStyle w:val="419"/>
        <w:spacing w:line="360" w:lineRule="auto"/>
        <w:rPr>
          <w:rFonts w:ascii="宋体" w:hAnsi="宋体"/>
          <w:bCs/>
          <w:color w:val="auto"/>
          <w:sz w:val="24"/>
        </w:rPr>
      </w:pPr>
      <w:r>
        <w:rPr>
          <w:rFonts w:hint="eastAsia" w:ascii="宋体" w:hAnsi="宋体"/>
          <w:bCs/>
          <w:color w:val="auto"/>
          <w:sz w:val="24"/>
        </w:rPr>
        <w:t>28.2招标文件及其补充文件、中标人的投标文件及其澄清文件等，均为签订合同的依据。</w:t>
      </w:r>
    </w:p>
    <w:p w14:paraId="7D589CE0">
      <w:pPr>
        <w:pStyle w:val="419"/>
        <w:spacing w:line="360" w:lineRule="auto"/>
        <w:rPr>
          <w:rFonts w:ascii="宋体" w:hAnsi="宋体"/>
          <w:bCs/>
          <w:color w:val="auto"/>
          <w:sz w:val="24"/>
        </w:rPr>
      </w:pPr>
      <w:r>
        <w:rPr>
          <w:rFonts w:hint="eastAsia" w:ascii="宋体" w:hAnsi="宋体"/>
          <w:bCs/>
          <w:color w:val="auto"/>
          <w:sz w:val="24"/>
        </w:rPr>
        <w:t>28.3中标人拒绝与采购人签订合同的，采购人可以按照评标报告推荐的中标候选人名单排序，确定下一候选人为中标人，也可以重新开展政府采购活动。</w:t>
      </w:r>
    </w:p>
    <w:p w14:paraId="50646CC8">
      <w:pPr>
        <w:pStyle w:val="419"/>
        <w:spacing w:line="360" w:lineRule="auto"/>
        <w:rPr>
          <w:rFonts w:ascii="宋体" w:hAnsi="宋体"/>
          <w:bCs/>
          <w:color w:val="auto"/>
          <w:sz w:val="24"/>
        </w:rPr>
      </w:pPr>
      <w:r>
        <w:rPr>
          <w:rFonts w:hint="eastAsia" w:ascii="宋体" w:hAnsi="宋体"/>
          <w:bCs/>
          <w:color w:val="auto"/>
          <w:sz w:val="24"/>
        </w:rPr>
        <w:t>28.4政府采购合同履行中，采购人可以与中标人签订补充合同，但补充合同必须符合政府采购法相关法律法规有关规定。</w:t>
      </w:r>
    </w:p>
    <w:p w14:paraId="356FDD99">
      <w:pPr>
        <w:pStyle w:val="419"/>
        <w:spacing w:line="360" w:lineRule="auto"/>
        <w:rPr>
          <w:rFonts w:hint="eastAsia" w:ascii="宋体" w:hAnsi="宋体"/>
          <w:b/>
          <w:bCs/>
          <w:color w:val="auto"/>
          <w:sz w:val="24"/>
          <w:highlight w:val="none"/>
        </w:rPr>
      </w:pPr>
      <w:r>
        <w:rPr>
          <w:rFonts w:hint="eastAsia" w:ascii="宋体" w:hAnsi="宋体"/>
          <w:b/>
          <w:bCs/>
          <w:color w:val="auto"/>
          <w:sz w:val="24"/>
          <w:highlight w:val="none"/>
        </w:rPr>
        <w:t>29.履约保证金</w:t>
      </w:r>
    </w:p>
    <w:p w14:paraId="5C8304EA">
      <w:pPr>
        <w:pStyle w:val="419"/>
        <w:spacing w:line="360" w:lineRule="auto"/>
        <w:rPr>
          <w:rFonts w:hint="eastAsia" w:ascii="宋体" w:hAnsi="宋体"/>
          <w:b w:val="0"/>
          <w:bCs w:val="0"/>
          <w:color w:val="auto"/>
          <w:sz w:val="24"/>
        </w:rPr>
      </w:pPr>
      <w:r>
        <w:rPr>
          <w:rFonts w:hint="eastAsia" w:ascii="宋体" w:hAnsi="宋体"/>
          <w:b w:val="0"/>
          <w:bCs w:val="0"/>
          <w:color w:val="auto"/>
          <w:sz w:val="24"/>
        </w:rPr>
        <w:t>29.1中标人应当按照招标文件“第二章投标人须知前附表”中的规定金额和时间，向采购人提交履约保证金。</w:t>
      </w:r>
    </w:p>
    <w:p w14:paraId="371F77EC">
      <w:pPr>
        <w:pStyle w:val="419"/>
        <w:spacing w:line="360" w:lineRule="auto"/>
        <w:rPr>
          <w:rFonts w:hint="eastAsia" w:ascii="宋体" w:hAnsi="宋体"/>
          <w:b w:val="0"/>
          <w:bCs w:val="0"/>
          <w:color w:val="auto"/>
          <w:sz w:val="24"/>
        </w:rPr>
      </w:pPr>
      <w:r>
        <w:rPr>
          <w:rFonts w:hint="eastAsia" w:ascii="宋体" w:hAnsi="宋体"/>
          <w:b w:val="0"/>
          <w:bCs w:val="0"/>
          <w:color w:val="auto"/>
          <w:sz w:val="24"/>
        </w:rPr>
        <w:t>29.2如果中标人没有按照招标文件规定提交履约保证金，采购人有权取消该中标决定，并没收其投标保证金。在此情况下，采购人可另选下一个中标候选人，或重新招标。</w:t>
      </w:r>
    </w:p>
    <w:p w14:paraId="4A887C4D">
      <w:pPr>
        <w:pStyle w:val="419"/>
        <w:spacing w:line="360" w:lineRule="auto"/>
        <w:rPr>
          <w:rFonts w:hint="eastAsia" w:ascii="宋体" w:hAnsi="宋体"/>
          <w:b/>
          <w:bCs/>
          <w:color w:val="auto"/>
          <w:sz w:val="24"/>
        </w:rPr>
      </w:pPr>
      <w:r>
        <w:rPr>
          <w:rFonts w:hint="eastAsia" w:ascii="宋体" w:hAnsi="宋体"/>
          <w:b/>
          <w:bCs/>
          <w:color w:val="auto"/>
          <w:sz w:val="24"/>
        </w:rPr>
        <w:t>30.投标人质疑</w:t>
      </w:r>
    </w:p>
    <w:p w14:paraId="26F1DA5D">
      <w:pPr>
        <w:pStyle w:val="419"/>
        <w:spacing w:line="360" w:lineRule="auto"/>
        <w:rPr>
          <w:rFonts w:hint="eastAsia" w:ascii="宋体" w:hAnsi="宋体"/>
          <w:bCs/>
          <w:color w:val="auto"/>
          <w:sz w:val="24"/>
        </w:rPr>
        <w:sectPr>
          <w:headerReference r:id="rId3" w:type="default"/>
          <w:footerReference r:id="rId4" w:type="default"/>
          <w:pgSz w:w="11910" w:h="16840"/>
          <w:pgMar w:top="1134" w:right="1134" w:bottom="1140" w:left="1457" w:header="851" w:footer="953" w:gutter="0"/>
          <w:cols w:space="720" w:num="1"/>
          <w:docGrid w:linePitch="286" w:charSpace="0"/>
        </w:sectPr>
      </w:pPr>
      <w:r>
        <w:rPr>
          <w:rFonts w:hint="eastAsia" w:ascii="宋体" w:hAnsi="宋体"/>
          <w:bCs/>
          <w:color w:val="auto"/>
          <w:sz w:val="24"/>
        </w:rPr>
        <w:t>30.1投标人应当在法定质疑期内一次性提出针对同一采购程序环节的质疑。</w:t>
      </w:r>
    </w:p>
    <w:p w14:paraId="67B338B8">
      <w:pPr>
        <w:numPr>
          <w:ilvl w:val="0"/>
          <w:numId w:val="0"/>
        </w:numPr>
        <w:jc w:val="center"/>
        <w:rPr>
          <w:rFonts w:hint="eastAsia" w:ascii="宋体"/>
          <w:b/>
          <w:color w:val="auto"/>
          <w:sz w:val="32"/>
          <w:szCs w:val="32"/>
        </w:rPr>
      </w:pPr>
      <w:r>
        <w:rPr>
          <w:rFonts w:hint="eastAsia" w:ascii="宋体" w:hAnsi="Calibri" w:eastAsia="宋体" w:cs="Times New Roman"/>
          <w:b/>
          <w:color w:val="auto"/>
          <w:kern w:val="2"/>
          <w:sz w:val="32"/>
          <w:szCs w:val="32"/>
          <w:lang w:val="en-US" w:eastAsia="zh-CN" w:bidi="ar-SA"/>
        </w:rPr>
        <w:t>第四章</w:t>
      </w:r>
      <w:r>
        <w:rPr>
          <w:rFonts w:hint="eastAsia" w:ascii="宋体" w:cs="Times New Roman"/>
          <w:b/>
          <w:color w:val="auto"/>
          <w:kern w:val="2"/>
          <w:sz w:val="32"/>
          <w:szCs w:val="32"/>
          <w:lang w:val="en-US" w:eastAsia="zh-CN" w:bidi="ar-SA"/>
        </w:rPr>
        <w:t xml:space="preserve"> </w:t>
      </w:r>
      <w:r>
        <w:rPr>
          <w:rFonts w:hint="eastAsia" w:ascii="宋体"/>
          <w:b/>
          <w:color w:val="auto"/>
          <w:sz w:val="32"/>
          <w:szCs w:val="32"/>
        </w:rPr>
        <w:t>采购需求</w:t>
      </w:r>
    </w:p>
    <w:p w14:paraId="1FE6F00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招标文件中所列技术参数、规格、型号、品牌仅为满足项目基本需求的参考，投标人可提供性能相当或更优的同类产品，但须在投标文件中提供详细的技术对比说明及相关证明材料（如产品规格书、第三方检测报告、功能截图等），以证明所投产品完全满足或优于招标要求。若投标人未提供对比说明，则视为不响应。</w:t>
      </w:r>
    </w:p>
    <w:p w14:paraId="47693C4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2.所有信创设备须符合国家安全可靠测评要求，但不限定具体型号，投标人提供同等或更优性能的国产自主可控产品即可。  </w:t>
      </w:r>
    </w:p>
    <w:tbl>
      <w:tblPr>
        <w:tblStyle w:val="97"/>
        <w:tblpPr w:leftFromText="180" w:rightFromText="180" w:vertAnchor="text" w:horzAnchor="page" w:tblpX="1216" w:tblpY="1638"/>
        <w:tblOverlap w:val="never"/>
        <w:tblW w:w="96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1"/>
        <w:gridCol w:w="742"/>
        <w:gridCol w:w="7620"/>
        <w:gridCol w:w="409"/>
        <w:gridCol w:w="442"/>
      </w:tblGrid>
      <w:tr w14:paraId="0A851A1C">
        <w:tblPrEx>
          <w:tblLayout w:type="fixed"/>
        </w:tblPrEx>
        <w:trPr>
          <w:trHeight w:val="270" w:hRule="atLeast"/>
          <w:jc w:val="center"/>
        </w:trPr>
        <w:tc>
          <w:tcPr>
            <w:tcW w:w="9674" w:type="dxa"/>
            <w:gridSpan w:val="5"/>
            <w:tcBorders>
              <w:top w:val="single" w:color="000000" w:sz="4" w:space="0"/>
              <w:left w:val="single" w:color="000000" w:sz="4" w:space="0"/>
              <w:bottom w:val="single" w:color="000000" w:sz="4" w:space="0"/>
              <w:right w:val="single" w:color="000000" w:sz="4" w:space="0"/>
            </w:tcBorders>
            <w:vAlign w:val="center"/>
          </w:tcPr>
          <w:p w14:paraId="390D89A0">
            <w:pPr>
              <w:keepNext w:val="0"/>
              <w:keepLines w:val="0"/>
              <w:widowControl/>
              <w:suppressLineNumbers w:val="0"/>
              <w:tabs>
                <w:tab w:val="left" w:pos="3795"/>
              </w:tabs>
              <w:spacing w:before="0" w:beforeAutospacing="0" w:after="0" w:afterAutospacing="0"/>
              <w:ind w:left="0" w:righ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32"/>
                <w:szCs w:val="32"/>
                <w:u w:val="none"/>
                <w:lang w:val="en-US" w:eastAsia="zh-CN" w:bidi="ar"/>
              </w:rPr>
              <w:t>一、办公信息化</w:t>
            </w:r>
          </w:p>
        </w:tc>
      </w:tr>
      <w:tr w14:paraId="2F497612">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AFD9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0521CE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彩色激光多功能一体机</w:t>
            </w:r>
          </w:p>
        </w:tc>
        <w:tc>
          <w:tcPr>
            <w:tcW w:w="7620" w:type="dxa"/>
            <w:tcBorders>
              <w:top w:val="single" w:color="000000" w:sz="4" w:space="0"/>
              <w:left w:val="single" w:color="000000" w:sz="4" w:space="0"/>
              <w:bottom w:val="single" w:color="000000" w:sz="4" w:space="0"/>
              <w:right w:val="single" w:color="000000" w:sz="4" w:space="0"/>
            </w:tcBorders>
            <w:vAlign w:val="center"/>
          </w:tcPr>
          <w:p w14:paraId="28A4886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r>
              <w:rPr>
                <w:rFonts w:hint="eastAsia" w:ascii="宋体" w:hAnsi="宋体" w:cs="宋体"/>
                <w:i w:val="0"/>
                <w:iCs w:val="0"/>
                <w:color w:val="FF0000"/>
                <w:kern w:val="0"/>
                <w:sz w:val="20"/>
                <w:szCs w:val="20"/>
                <w:u w:val="none"/>
                <w:lang w:val="en-US" w:eastAsia="zh-CN" w:bidi="ar"/>
              </w:rPr>
              <w:t>国产品牌</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414C3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635DE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CF900E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F541D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CFEFF7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68396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打印幅面</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A4</w:t>
            </w:r>
            <w:r>
              <w:rPr>
                <w:rStyle w:val="519"/>
                <w:rFonts w:hint="default" w:eastAsia="宋体"/>
                <w:lang w:val="en-US" w:eastAsia="zh-CN" w:bidi="ar"/>
              </w:rPr>
              <w:t xml:space="preserve"> </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35482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20726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F0535A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AA052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442E87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DE04C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最高分辩率≥600×600dpi（dpi）</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E51A2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8DD48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57B1F7B">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A3664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6570FE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A1B59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黑白打印速度</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FF0000"/>
                <w:kern w:val="0"/>
                <w:sz w:val="20"/>
                <w:szCs w:val="20"/>
                <w:u w:val="none"/>
                <w:lang w:val="en-US" w:eastAsia="zh-CN" w:bidi="ar"/>
              </w:rPr>
              <w:t>26</w:t>
            </w:r>
            <w:r>
              <w:rPr>
                <w:rFonts w:hint="eastAsia" w:ascii="宋体" w:hAnsi="宋体" w:eastAsia="宋体" w:cs="宋体"/>
                <w:i w:val="0"/>
                <w:iCs w:val="0"/>
                <w:color w:val="000000"/>
                <w:kern w:val="0"/>
                <w:sz w:val="20"/>
                <w:szCs w:val="20"/>
                <w:u w:val="none"/>
                <w:lang w:val="en-US" w:eastAsia="zh-CN" w:bidi="ar"/>
              </w:rPr>
              <w:t>（ppm）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EA94C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C2C47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28611D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6BCF3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04AB62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5D9C9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彩色打印速度</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FF0000"/>
                <w:kern w:val="0"/>
                <w:sz w:val="20"/>
                <w:szCs w:val="20"/>
                <w:u w:val="none"/>
                <w:lang w:val="en-US" w:eastAsia="zh-CN" w:bidi="ar"/>
              </w:rPr>
              <w:t>26</w:t>
            </w:r>
            <w:r>
              <w:rPr>
                <w:rFonts w:hint="eastAsia" w:ascii="宋体" w:hAnsi="宋体" w:eastAsia="宋体" w:cs="宋体"/>
                <w:i w:val="0"/>
                <w:iCs w:val="0"/>
                <w:color w:val="000000"/>
                <w:kern w:val="0"/>
                <w:sz w:val="20"/>
                <w:szCs w:val="20"/>
                <w:u w:val="none"/>
                <w:lang w:val="en-US" w:eastAsia="zh-CN" w:bidi="ar"/>
              </w:rPr>
              <w:t>（ppm）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3C12B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8F55F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FEA1869">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D07E6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ED8A20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65252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打印介质</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普通纸,激光打印纸</w:t>
            </w:r>
            <w:r>
              <w:rPr>
                <w:rStyle w:val="519"/>
                <w:rFonts w:hint="default" w:eastAsia="宋体"/>
                <w:lang w:val="en-US" w:eastAsia="zh-CN" w:bidi="ar"/>
              </w:rPr>
              <w:t xml:space="preserve"> </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17E2D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B6337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CC56E3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5BA3F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F2FEEC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E0952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以太网络接口,USB接口</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56462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A77C8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BFF3BA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D5493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D30962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70D36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纸张容量</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≥250（张）</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B5CA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8C917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5A4B1A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2D2B1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56C744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C60AC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外形尺寸</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w:t>
            </w:r>
            <w:r>
              <w:rPr>
                <w:rFonts w:hint="eastAsia"/>
                <w:b w:val="0"/>
                <w:bCs w:val="0"/>
                <w:color w:val="FF0000"/>
                <w:sz w:val="24"/>
                <w:highlight w:val="none"/>
                <w:lang w:val="en-US" w:eastAsia="zh-CN"/>
              </w:rPr>
              <w:t>410*444*401（mm）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AC8CD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8C3FC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8180F9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87B2B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0DDACF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DDA1F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电源</w:t>
            </w:r>
            <w:r>
              <w:rPr>
                <w:rStyle w:val="519"/>
                <w:rFonts w:hint="default" w:eastAsia="宋体"/>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220-240V</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9B0A2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B6270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22E8DE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89C22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86B881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365DD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功能：打印、复印、扫描，自动双面，网络打印（有线/无线） </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0697B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49AA4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E2EF4E0">
        <w:tblPrEx>
          <w:tblLayout w:type="fixed"/>
        </w:tblPrEx>
        <w:trPr>
          <w:trHeight w:val="135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156A8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626805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w:t>
            </w:r>
          </w:p>
        </w:tc>
        <w:tc>
          <w:tcPr>
            <w:tcW w:w="7620" w:type="dxa"/>
            <w:tcBorders>
              <w:top w:val="single" w:color="000000" w:sz="4" w:space="0"/>
              <w:left w:val="single" w:color="000000" w:sz="4" w:space="0"/>
              <w:bottom w:val="single" w:color="000000" w:sz="4" w:space="0"/>
              <w:right w:val="single" w:color="000000" w:sz="4" w:space="0"/>
            </w:tcBorders>
            <w:vAlign w:val="center"/>
          </w:tcPr>
          <w:p w14:paraId="311DA0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1.CPU：国产自主可控处理器（CPU采用海光C86-3G、飞腾D2000、麒麟990、兆芯KX-U6780A等，或性能不低于上述型号的其他国产自主可控芯片（</w:t>
            </w:r>
            <w:r>
              <w:rPr>
                <w:rFonts w:hint="eastAsia" w:ascii="宋体" w:hAnsi="宋体" w:eastAsia="宋体" w:cs="宋体"/>
                <w:i w:val="0"/>
                <w:iCs w:val="0"/>
                <w:color w:val="FF0000"/>
                <w:kern w:val="0"/>
                <w:sz w:val="18"/>
                <w:szCs w:val="18"/>
                <w:u w:val="none"/>
                <w:lang w:val="en-US" w:eastAsia="zh-CN" w:bidi="ar"/>
              </w:rPr>
              <w:t>投标人须在投标文件中提供所投CPU</w:t>
            </w:r>
            <w:r>
              <w:rPr>
                <w:rFonts w:hint="eastAsia" w:ascii="宋体" w:hAnsi="宋体" w:cs="宋体"/>
                <w:i w:val="0"/>
                <w:iCs w:val="0"/>
                <w:color w:val="FF0000"/>
                <w:kern w:val="0"/>
                <w:sz w:val="18"/>
                <w:szCs w:val="18"/>
                <w:u w:val="none"/>
                <w:lang w:val="en-US" w:eastAsia="zh-CN" w:bidi="ar"/>
              </w:rPr>
              <w:t>满足</w:t>
            </w:r>
            <w:r>
              <w:rPr>
                <w:rFonts w:hint="eastAsia" w:ascii="宋体" w:hAnsi="宋体" w:eastAsia="宋体" w:cs="宋体"/>
                <w:i w:val="0"/>
                <w:iCs w:val="0"/>
                <w:color w:val="FF0000"/>
                <w:kern w:val="0"/>
                <w:sz w:val="18"/>
                <w:szCs w:val="18"/>
                <w:u w:val="none"/>
                <w:lang w:val="en-US" w:eastAsia="zh-CN" w:bidi="ar"/>
              </w:rPr>
              <w:t>性能</w:t>
            </w:r>
            <w:r>
              <w:rPr>
                <w:rFonts w:hint="eastAsia" w:ascii="宋体" w:hAnsi="宋体" w:cs="宋体"/>
                <w:i w:val="0"/>
                <w:iCs w:val="0"/>
                <w:color w:val="FF0000"/>
                <w:kern w:val="0"/>
                <w:sz w:val="18"/>
                <w:szCs w:val="18"/>
                <w:u w:val="none"/>
                <w:lang w:val="en-US" w:eastAsia="zh-CN" w:bidi="ar"/>
              </w:rPr>
              <w:t>指标的第三方检测报告或产品规格书</w:t>
            </w:r>
            <w:r>
              <w:rPr>
                <w:rFonts w:hint="eastAsia" w:ascii="宋体" w:hAnsi="宋体" w:eastAsia="宋体" w:cs="宋体"/>
                <w:i w:val="0"/>
                <w:iCs w:val="0"/>
                <w:color w:val="FF0000"/>
                <w:kern w:val="0"/>
                <w:sz w:val="18"/>
                <w:szCs w:val="18"/>
                <w:u w:val="none"/>
                <w:lang w:val="en-US" w:eastAsia="zh-CN" w:bidi="ar"/>
              </w:rPr>
              <w:t>及证明材料</w:t>
            </w:r>
            <w:r>
              <w:rPr>
                <w:rFonts w:hint="eastAsia" w:ascii="宋体" w:hAnsi="宋体" w:eastAsia="宋体" w:cs="宋体"/>
                <w:i w:val="0"/>
                <w:iCs w:val="0"/>
                <w:color w:val="000000"/>
                <w:kern w:val="0"/>
                <w:sz w:val="18"/>
                <w:szCs w:val="18"/>
                <w:u w:val="none"/>
                <w:lang w:val="en-US" w:eastAsia="zh-CN" w:bidi="ar"/>
              </w:rPr>
              <w:t>），物理核心数≥8 核，主频≥3.0GHz，所有核心智能频率可提升至 &gt; 3.3GHz；主板为（内存条插槽≥4，SATA 3.0 接口≤4，M.2插槽≤2，外形尺寸≤244mm × 244mm，主供电≥24pin）；机箱支持全高全长扩展卡；内存配置≥16GB DDR4 3200MHz，配备 4 个 DDR4 3200MHz 内存插槽，支持 128GB 3200MHz 内存扩展；显卡为标配 2G 独立显卡，支持 VGA+HDMI 视频输出显示；硬盘为 &gt; 512GB M.2 接口 NVMe 协议 SSD，支持机械硬盘扩展。</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20B61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246A6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44A292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1A34B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EBE68E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E3C1E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2.操作系统：预装统信uos V20或麒麟KOS</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6F187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FB51F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983249E">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9F680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16225E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0FD9A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3.LED背光液晶显示器，屏幕尺寸≥23英寸，支持最高分辨率不小于1920×1080，屏幕比16:9，VGA、HDMI接口；</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FACEB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16E85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8DE158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5FC32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1FFF9B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6B25D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4.标准USB接口有线光电鼠标、键盘；</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587E2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2104F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6F014E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7D5A7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CE0475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85B86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每台电脑配套云桌面软件1套，要求如下：</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9C3CA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1EACC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9181AE9">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959FD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EE59E3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8519E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1、要求软件为B/S，基于WEB的全中文图形化管理界面，支持现有网络环境下的跨网段、跨路由管理；支持广域网分发镜像管理终端。</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7D2B5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80D94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9A78582">
        <w:tblPrEx>
          <w:tblLayout w:type="fixed"/>
        </w:tblPrEx>
        <w:trPr>
          <w:trHeight w:val="90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2D001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0883B5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AA143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服务端支持同时统一对多个平台管理和系统部署，服务器和终端支持飞腾/龙芯/海光/兆芯/海思麒麟/盘古/鲲鹏等硬件平台。服务端支持统信UOS/麒麟KOS/中科方德等操作系统，服务器需支持服务端支持统信UOS/麒麟KOS/中科方德等操作系统，终端支持统信UOS/麒麟KOS/中科方德等操作系统。</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3897E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4D6EF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E6E23E9">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316EC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D867E1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0348E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、支持远程开机关机。</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DF1E8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C2F0E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97C0232">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76B8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0C7510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笔记本电脑</w:t>
            </w:r>
          </w:p>
        </w:tc>
        <w:tc>
          <w:tcPr>
            <w:tcW w:w="7620" w:type="dxa"/>
            <w:tcBorders>
              <w:top w:val="single" w:color="000000" w:sz="4" w:space="0"/>
              <w:left w:val="single" w:color="000000" w:sz="4" w:space="0"/>
              <w:bottom w:val="single" w:color="000000" w:sz="4" w:space="0"/>
              <w:right w:val="single" w:color="000000" w:sz="4" w:space="0"/>
            </w:tcBorders>
            <w:vAlign w:val="center"/>
          </w:tcPr>
          <w:p w14:paraId="726A58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笔记本：操作系统(麒麟V10)，</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2ED741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5A77C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6098D4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621E2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0922FD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FF0F0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1.处理器：8核处理器 ，主频≥</w:t>
            </w:r>
            <w:r>
              <w:rPr>
                <w:rFonts w:hint="eastAsia"/>
                <w:b w:val="0"/>
                <w:bCs w:val="0"/>
                <w:color w:val="FF0000"/>
                <w:sz w:val="24"/>
                <w:highlight w:val="none"/>
                <w:lang w:val="en-US" w:eastAsia="zh-CN"/>
              </w:rPr>
              <w:t>2.3GHz</w:t>
            </w:r>
            <w:r>
              <w:rPr>
                <w:rFonts w:hint="default" w:ascii="Times New Roman" w:hAnsi="Times New Roman" w:eastAsia="宋体" w:cs="Times New Roman"/>
                <w:i w:val="0"/>
                <w:iCs w:val="0"/>
                <w:color w:val="000000"/>
                <w:kern w:val="0"/>
                <w:sz w:val="18"/>
                <w:szCs w:val="18"/>
                <w:u w:val="none"/>
                <w:lang w:val="en-US" w:eastAsia="zh-CN" w:bidi="ar"/>
              </w:rPr>
              <w:t>‌</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E36BD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73BFE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2D9A9B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0158B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AE69BA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E7D2F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2.内存：≥16GB LPDDR5-5500，向下兼容LPDDR4X-4266，频率为5500MHz；</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8BB59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04965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CB83E4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FC3C1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277485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A1A14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3.显卡：集显；</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5122E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A78B4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5E88C2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393CD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D93986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7689B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4.硬盘：≥1TB固态硬盘；</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6FB2A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B0D61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C66773F">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B64F8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9837F1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D04F0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5.接口：3.5mm耳麦二合一接口 1，≥USB-C 1，≥USB-A 2（支持USB3.2 Gen1 (5Gbps)，最大对外供电5V/2A），HDMI接口≥ 1，miniRJ45≥ 1；</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85DC7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2D780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5D1864B">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97DDB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F6A8D9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9FD54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6.硬件服务：3年保修+3年上门；</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86DCA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27642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FA1171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03ED0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1E5BC0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44402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7.屏幕尺寸：≥14英寸IPS屏镜面屏，四边窄边框，90%屏占比，3:2</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56113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513BE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D2934B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1743B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6ECD7D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7C26A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8.屏幕分辨率：≥2160 1440 ，185 PPI</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6FF34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C50C8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6CFC2FB">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873F4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86BA64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D77B0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9.屏幕色域：100% sRGB 广色域(典型值)，≥1500:1对比度</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2BDBD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C5920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26F2B89">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CB29F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915310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9E5009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10.屏幕亮度：≥300 nits 亮度（典型值）；</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06BB1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8B90E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BC6516B">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2B665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C48022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2D280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包括笔记本套件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49F08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0CC31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10FA73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1DD07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D2BC6C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B0F95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11.具有低蓝光护眼认证，须提供相关证明材料</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6F263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E26DD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DBDA157">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0570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3DBA0B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碎纸机</w:t>
            </w:r>
          </w:p>
        </w:tc>
        <w:tc>
          <w:tcPr>
            <w:tcW w:w="7620" w:type="dxa"/>
            <w:tcBorders>
              <w:top w:val="single" w:color="000000" w:sz="4" w:space="0"/>
              <w:left w:val="single" w:color="000000" w:sz="4" w:space="0"/>
              <w:bottom w:val="single" w:color="000000" w:sz="4" w:space="0"/>
              <w:right w:val="single" w:color="000000" w:sz="4" w:space="0"/>
            </w:tcBorders>
            <w:vAlign w:val="center"/>
          </w:tcPr>
          <w:p w14:paraId="0B9696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手动碎纸机</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6F6A33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56893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0101FB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6E863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D3D801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EAAA6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额定电压100-240V AV 50/60Hz</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D3790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554D2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E8C002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A11DA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8C8634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07B12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额定功率</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3C8B4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C63BB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E9695D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0FB33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ED4D3F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8E485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保密等级 德标DIN66399标准5级</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85252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5E41A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B2FF76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ED8CB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0D2423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9ABE1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碎纸对象 纸张</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A8E3D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571D0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84DD9A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DEB58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323C29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662C7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碎纸方式 粒状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9730A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F2E05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13AC8E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1FD4C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A3AB44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B341C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碎纸能力10张/次以下</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9C474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D03C8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30047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BFCD9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BB5886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05396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纸屑盒容量 20L</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50069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84BA7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BF4BF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6E925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8C5D27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F5424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碎纸效果 2*6mm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14C73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03113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6B52509">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C2AAA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E31CFC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4B45C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碎纸速度 1.6m/min</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E21CE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51932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A7A21D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9610F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859AD9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C022D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连续碎纸时间 10min</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FEACB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30952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328FCA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89036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994B44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1D29C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进纸口数量 1个</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07818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A315A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E425B2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2B46B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BF0D4D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AF2AF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工作噪音</w:t>
            </w:r>
            <w:r>
              <w:rPr>
                <w:rFonts w:hint="eastAsia"/>
                <w:b w:val="0"/>
                <w:bCs w:val="0"/>
                <w:color w:val="FF0000"/>
                <w:sz w:val="24"/>
                <w:highlight w:val="none"/>
                <w:lang w:val="en-US" w:eastAsia="zh-CN"/>
              </w:rPr>
              <w:t>(dB)≤56</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875F2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54D65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008973F">
        <w:tblPrEx>
          <w:tblLayout w:type="fixed"/>
        </w:tblPrEx>
        <w:trPr>
          <w:trHeight w:val="67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649DA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2" w:type="dxa"/>
            <w:tcBorders>
              <w:top w:val="single" w:color="000000" w:sz="4" w:space="0"/>
              <w:left w:val="single" w:color="000000" w:sz="4" w:space="0"/>
              <w:bottom w:val="single" w:color="000000" w:sz="4" w:space="0"/>
              <w:right w:val="single" w:color="000000" w:sz="4" w:space="0"/>
            </w:tcBorders>
            <w:vAlign w:val="center"/>
          </w:tcPr>
          <w:p w14:paraId="5E3156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专用计算机</w:t>
            </w:r>
          </w:p>
        </w:tc>
        <w:tc>
          <w:tcPr>
            <w:tcW w:w="7620" w:type="dxa"/>
            <w:tcBorders>
              <w:top w:val="single" w:color="000000" w:sz="4" w:space="0"/>
              <w:left w:val="single" w:color="000000" w:sz="4" w:space="0"/>
              <w:bottom w:val="single" w:color="000000" w:sz="4" w:space="0"/>
              <w:right w:val="single" w:color="000000" w:sz="4" w:space="0"/>
            </w:tcBorders>
            <w:vAlign w:val="center"/>
          </w:tcPr>
          <w:p w14:paraId="5C96CF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八核处理器 + 16GB 内存，预装 WPS+OFD 办公套件和安全套件，配备单向导入装置和专用U盘，兼容主流科研软件，支持定制化软件安装，三年整机质保，硬盘不回收，支持内存扩展至 32GB，硬盘扩展至 4TB。</w:t>
            </w:r>
          </w:p>
        </w:tc>
        <w:tc>
          <w:tcPr>
            <w:tcW w:w="409" w:type="dxa"/>
            <w:tcBorders>
              <w:top w:val="single" w:color="000000" w:sz="4" w:space="0"/>
              <w:left w:val="single" w:color="000000" w:sz="4" w:space="0"/>
              <w:bottom w:val="single" w:color="000000" w:sz="4" w:space="0"/>
              <w:right w:val="single" w:color="000000" w:sz="4" w:space="0"/>
            </w:tcBorders>
            <w:vAlign w:val="center"/>
          </w:tcPr>
          <w:p w14:paraId="50BD9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2" w:type="dxa"/>
            <w:tcBorders>
              <w:top w:val="single" w:color="000000" w:sz="4" w:space="0"/>
              <w:left w:val="single" w:color="000000" w:sz="4" w:space="0"/>
              <w:bottom w:val="single" w:color="000000" w:sz="4" w:space="0"/>
              <w:right w:val="single" w:color="000000" w:sz="4" w:space="0"/>
            </w:tcBorders>
            <w:vAlign w:val="center"/>
          </w:tcPr>
          <w:p w14:paraId="2422CB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C5298B3">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1533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29F839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大型彩色激光复印机</w:t>
            </w:r>
          </w:p>
        </w:tc>
        <w:tc>
          <w:tcPr>
            <w:tcW w:w="7620" w:type="dxa"/>
            <w:tcBorders>
              <w:top w:val="single" w:color="000000" w:sz="4" w:space="0"/>
              <w:left w:val="single" w:color="000000" w:sz="4" w:space="0"/>
              <w:bottom w:val="single" w:color="000000" w:sz="4" w:space="0"/>
              <w:right w:val="single" w:color="000000" w:sz="4" w:space="0"/>
            </w:tcBorders>
            <w:vAlign w:val="center"/>
          </w:tcPr>
          <w:p w14:paraId="6FB0BC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800MHZ+133MHZ双核处理器 512MB内存</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64FD2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7F081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E4C02B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9A7B2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75E7FE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56E11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颜色类型</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彩色</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E2208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283E4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0C354F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557E5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5D32E6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ADC8D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涵盖功能</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复印/打印/扫描</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12823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A1969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07BB39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A8470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F83CAA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4D3EF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最大原稿尺寸</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A3</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62AAC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650BC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8951A0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DC277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1C54B5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348DF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内存容量</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5GB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79691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82EDF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7EB2D11">
        <w:tblPrEx>
          <w:tblLayout w:type="fixed"/>
        </w:tblPrEx>
        <w:trPr>
          <w:trHeight w:val="458"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85A12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B4B197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79357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耗材描述</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黑色：20000页，彩色：12000页，光鼓：黑白150000页，彩色：100000页</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54C3B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A6411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0875B0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05586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9E69AB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9E6EC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双面器</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标配</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61E61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93899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3DB5C9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2CB8D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4D8D93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60CA1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接口类型</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USB2.0</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B2840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71621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932282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D23F3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C87172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61959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最高月印量</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黑白14万张，彩色6万张</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678D8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AFCD9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E42D39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2FAD2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03F0AB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1C9E0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复印功能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9835A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85AB2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6BBEA0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5303C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29041A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B11C2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复印速度</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35cpm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E2585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9F1CD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F0C367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78692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FD2EEE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FFE7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AAD00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66D4D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3A1DB9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745ED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D6ACA2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7DE5B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打印控制器</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标准配置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0A944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988FB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1740AB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B188A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F89B5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5F1F1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打印速度</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35ppm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8BD9B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89C90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93602A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6AE97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406F46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11438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扫描功能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57C3D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85499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2C6F0A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EE429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C0C005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79AFB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扫描控制器</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标准配置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A8C1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09053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72E787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F8D9B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EC5F31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8847D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扫描速度</w:t>
            </w:r>
            <w:r>
              <w:rPr>
                <w:rFonts w:hint="default" w:ascii="Arial" w:hAnsi="Arial" w:eastAsia="宋体" w:cs="Arial"/>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70ppm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1087D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E7667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F8C0357">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DEDFD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033517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大型黑白复印机</w:t>
            </w:r>
          </w:p>
        </w:tc>
        <w:tc>
          <w:tcPr>
            <w:tcW w:w="7620" w:type="dxa"/>
            <w:tcBorders>
              <w:top w:val="single" w:color="000000" w:sz="4" w:space="0"/>
              <w:left w:val="single" w:color="000000" w:sz="4" w:space="0"/>
              <w:bottom w:val="single" w:color="000000" w:sz="4" w:space="0"/>
              <w:right w:val="single" w:color="000000" w:sz="4" w:space="0"/>
            </w:tcBorders>
            <w:vAlign w:val="center"/>
          </w:tcPr>
          <w:p w14:paraId="6EC2F8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黑白激光复合机 （标配双面器+输稿器+双纸盒+工作台）</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25CFB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27F90F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82F301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8DDF1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EEAE6D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403DE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纸盒容量 (页)500*2+100=1100页</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B7D3B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6DDFC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BB1AF8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2E92E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6E9316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1162C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接口类型:有线网络、无线网络、USB、USB2.0、USB3.0</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54959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F5C2F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E88B04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BC87F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F63476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8C413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耗材类型:鼓粉分离式</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59950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1638E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9B719C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69361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8109FC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AC1C4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幅面:A3</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BD651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81F1F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DA6B34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6DBED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8D1F4F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C1EE7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双面自动送稿器:100页</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9EFB8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DC858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1164E8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50C37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A0A993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73381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连续复印页数:999</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29377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15261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D2BB74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CF139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1358E5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D23D4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复印速度 (cpm):26</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BD00E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4ED05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EDB6B2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5514D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650D7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DCBA8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复印比例:25-400%</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963EF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7F9BB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D38BEF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7D13F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1233F3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92428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复印分辨率 (dpi):600*600</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6CEB3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17A99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D5C3F6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1854F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4786C7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7085C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连续打印 (页)999</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7CC40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5A4B1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D14842B">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F481F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8A3715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DE70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打印功能:本地、有线网络</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602C1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47121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566B7D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B4C8F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FE2C98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4DD77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是否支持双面打印:是</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17269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FEE37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9BF787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DC58C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F39CA1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A5E5F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无线功能类型:有线网络、WIFI打印、移动打印、云打印</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20DB7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BC417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B38855D">
        <w:tblPrEx>
          <w:tblLayout w:type="fixed"/>
        </w:tblPrEx>
        <w:trPr>
          <w:trHeight w:val="13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1AA22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2" w:type="dxa"/>
            <w:tcBorders>
              <w:top w:val="single" w:color="000000" w:sz="4" w:space="0"/>
              <w:left w:val="single" w:color="000000" w:sz="4" w:space="0"/>
              <w:bottom w:val="single" w:color="000000" w:sz="4" w:space="0"/>
              <w:right w:val="single" w:color="000000" w:sz="4" w:space="0"/>
            </w:tcBorders>
            <w:vAlign w:val="center"/>
          </w:tcPr>
          <w:p w14:paraId="2C0C7F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圆形会议桌</w:t>
            </w:r>
          </w:p>
        </w:tc>
        <w:tc>
          <w:tcPr>
            <w:tcW w:w="7620" w:type="dxa"/>
            <w:tcBorders>
              <w:top w:val="single" w:color="000000" w:sz="4" w:space="0"/>
              <w:left w:val="single" w:color="000000" w:sz="4" w:space="0"/>
              <w:bottom w:val="single" w:color="000000" w:sz="4" w:space="0"/>
              <w:right w:val="single" w:color="000000" w:sz="4" w:space="0"/>
            </w:tcBorders>
            <w:vAlign w:val="center"/>
          </w:tcPr>
          <w:p w14:paraId="62752F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规格：8000*2000*760mm，20人位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1、基材：采用优质刨花板。                                                                                                                                        2、面材：采用优质三聚氰胺浸渍纸。                                                                                        3、封边：采用优质PVC封边条。                                                           4、胶水：采用优质热熔胶。                                                                 5、五金：采用优质三合一连接件。</w:t>
            </w:r>
          </w:p>
        </w:tc>
        <w:tc>
          <w:tcPr>
            <w:tcW w:w="409" w:type="dxa"/>
            <w:tcBorders>
              <w:top w:val="single" w:color="000000" w:sz="4" w:space="0"/>
              <w:left w:val="single" w:color="000000" w:sz="4" w:space="0"/>
              <w:bottom w:val="single" w:color="000000" w:sz="4" w:space="0"/>
              <w:right w:val="single" w:color="000000" w:sz="4" w:space="0"/>
            </w:tcBorders>
            <w:vAlign w:val="center"/>
          </w:tcPr>
          <w:p w14:paraId="7342C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76873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2E01B07">
        <w:tblPrEx>
          <w:tblLayout w:type="fixed"/>
        </w:tblPrEx>
        <w:trPr>
          <w:trHeight w:val="180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5D842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42" w:type="dxa"/>
            <w:tcBorders>
              <w:top w:val="single" w:color="000000" w:sz="4" w:space="0"/>
              <w:left w:val="single" w:color="000000" w:sz="4" w:space="0"/>
              <w:bottom w:val="single" w:color="000000" w:sz="4" w:space="0"/>
              <w:right w:val="single" w:color="000000" w:sz="4" w:space="0"/>
            </w:tcBorders>
            <w:vAlign w:val="center"/>
          </w:tcPr>
          <w:p w14:paraId="26B942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职工座椅</w:t>
            </w:r>
          </w:p>
        </w:tc>
        <w:tc>
          <w:tcPr>
            <w:tcW w:w="7620" w:type="dxa"/>
            <w:tcBorders>
              <w:top w:val="single" w:color="000000" w:sz="4" w:space="0"/>
              <w:left w:val="single" w:color="000000" w:sz="4" w:space="0"/>
              <w:bottom w:val="single" w:color="000000" w:sz="4" w:space="0"/>
              <w:right w:val="single" w:color="000000" w:sz="4" w:space="0"/>
            </w:tcBorders>
            <w:vAlign w:val="center"/>
          </w:tcPr>
          <w:p w14:paraId="4C599E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整体尺寸：68×68×92cm（宽×深×高）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座面：53×41cm，高弹海绵（65kg/m³）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座高调节：43–53cm（气压升降）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承重：110kg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框架：钢制四星脚，粉末涂层防锈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面料：100%聚酯纤维，耐磨透气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净重：6.4kg，轻便易移动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特点：人体工学靠背、可升降、久坐舒适</w:t>
            </w:r>
          </w:p>
        </w:tc>
        <w:tc>
          <w:tcPr>
            <w:tcW w:w="409" w:type="dxa"/>
            <w:tcBorders>
              <w:top w:val="single" w:color="000000" w:sz="4" w:space="0"/>
              <w:left w:val="single" w:color="000000" w:sz="4" w:space="0"/>
              <w:bottom w:val="single" w:color="000000" w:sz="4" w:space="0"/>
              <w:right w:val="single" w:color="000000" w:sz="4" w:space="0"/>
            </w:tcBorders>
            <w:vAlign w:val="center"/>
          </w:tcPr>
          <w:p w14:paraId="29D319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2" w:type="dxa"/>
            <w:tcBorders>
              <w:top w:val="single" w:color="000000" w:sz="4" w:space="0"/>
              <w:left w:val="single" w:color="000000" w:sz="4" w:space="0"/>
              <w:bottom w:val="single" w:color="000000" w:sz="4" w:space="0"/>
              <w:right w:val="single" w:color="000000" w:sz="4" w:space="0"/>
            </w:tcBorders>
            <w:vAlign w:val="center"/>
          </w:tcPr>
          <w:p w14:paraId="0D07E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37EA22D1">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8F45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599B83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音响设备</w:t>
            </w:r>
          </w:p>
        </w:tc>
        <w:tc>
          <w:tcPr>
            <w:tcW w:w="7620" w:type="dxa"/>
            <w:tcBorders>
              <w:top w:val="single" w:color="000000" w:sz="4" w:space="0"/>
              <w:left w:val="single" w:color="000000" w:sz="4" w:space="0"/>
              <w:bottom w:val="single" w:color="000000" w:sz="4" w:space="0"/>
              <w:right w:val="single" w:color="000000" w:sz="4" w:space="0"/>
            </w:tcBorders>
            <w:vAlign w:val="center"/>
          </w:tcPr>
          <w:p w14:paraId="6D16A9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一、系统核心功能</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08B22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68CBFE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00F6BBA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E3174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D4B92E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25D1E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1.声场覆盖要求</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67987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D0CCF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7EDB01D">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441A9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824DA0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6EDC7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  采用"2主扩+2补声"布局，主音箱壁挂安装于主席台两侧，补声音箱吸顶安装于观众区上方，确保70㎡空间内声场均匀，无死角</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750A1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2AC4A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0589A70">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38981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BEEBB6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C2A4D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5寸单元组合设计，兼顾中高频语言清晰度和低频响应，适合会议发言与多媒体播放</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79D98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2C5A6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4A63B1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CD79B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9A002A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6D342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  覆盖角度100°×100°，确保不同位置听众都能获得一致的听觉体验</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05428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8FA50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21BEEA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2E233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06A2CE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F931F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2.会议拾音系统要求</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539F2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8D3E3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5415467">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B41B1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C76679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E72D5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  无线麦克风系统：UHF频段抗干扰能力强，领夹麦适合固定发言，手持麦适合移动互动，满足多人会议需求</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A1C19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10981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EDF9DC2">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9EE72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AF38A5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36403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  鹅颈麦克风：心形指向性有效抑制环境噪声，提升发言清晰度，适合桌面固定发言场景</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C1A0D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53C1A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67A363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B7D02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A3F3EA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1BB2F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  支持8路麦克风同时接入，满足小型研讨会、座谈会等多人发言场景</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0D298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2D930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38A762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EC0F0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83E379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D13A4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3.智能音频处理能力要求</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A6A57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6E1F7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E1844F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D9428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F5159E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51E79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  内置反馈抑制功能，有效消除会议中常见的啸叫问题，提升扩音质量</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86575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B4F94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456F6C8">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80886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1B7C54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E9F62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  数字均衡调节，可根据会议室声学环境进行精准调试，补偿房间声学缺陷</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F946A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5FB17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05D78D9">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D4A02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9F2C99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D3B14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  USB录音/播放功能，支持会议内容实时录制与回放，方便会后复盘与存档</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72987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CCCB5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09DBF5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2E8F7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ADC169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4F523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4.场景适配性</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DEC27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DB621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C1705C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0095F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7DC05D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93513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  系统操作简单直观，支持一键开启/关闭，降低非专业人员操作门槛</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89321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BEFA1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0B902B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99C6D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12E9E0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A1AD7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  外观音箱与会议室装修风格融合，提升整体视觉效果</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6779C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1E708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6ECC34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8029F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3386AB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1E9D3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二、详细技术参数要求</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87D67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8991A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1E72A1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02D8B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28EC2F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12A26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1.主扩声音箱</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E6E91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F642F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C2FC46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A3F9E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3B4444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51A18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  单元配置：5英寸锥形低音单元，1英寸半球形高音单元</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FC6F9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55430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C39474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D76C4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892951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0C284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  频率响应：65Hz-20kHz(±3dB)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00285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F62D3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9E8CCC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848F6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75593D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E9DE0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  额定功率：100W(连续)/400W(峰值)，阻抗8Ω</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6F97E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BAB4E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5D7F32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6F188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E026B7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E9038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  灵敏度：91dB(1W/1m)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87C2C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BCCD5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B1ED96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8CF0B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3442A4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DCC08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  最大声压级：111dB(连续)/117dB(峰值)</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182F9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65C69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1930BE9">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E6ADB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D7DB97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93F7F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  覆盖角度：100°(水平)×100°(垂直)</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353AC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6E14D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C76F1D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BDFDC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94A3AD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FEA10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  尺寸：210×330×230mm，重量4.2kg</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8D86E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B4C3B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D50237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E444E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D4CDD1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9ADE9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2.无线麦克风系统</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B781A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CA255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BF3466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217FD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2A4BBA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A5B53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  系统类型：UHF频段无线系统，2通道接收机</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AC9D9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736D1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4073C3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69E1A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4D5732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9EC06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  频率范围：518-698MHz</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BED76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65BAB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BC7E8D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D8175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FB2FE5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9BC25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  调制方式：FM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86248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919B0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F7549E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3A4E6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DA76DD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5C49C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  信噪比：&gt;90dB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F71AF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432CC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10CDE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9C9A1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70FB79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28069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  动态范围：&gt;100dB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C88AC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C7885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ADDE13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8D5DD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E9628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35172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  领夹麦克风：心形指向性，频率响应20Hz-20kHz</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CFF99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B6725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BB8AD7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EFFD2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1D870F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2D02A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  手持麦克风：心形指向性，频率响应50Hz-15kHz</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B7091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04357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DFA4A1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45B89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CBD767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C65A2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  有效工作距离：50米(开阔空间)</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543F7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349B5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59DF86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84BD8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8613C9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0FC98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3.数字调音台</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1CB89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3912B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B4DA93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796A1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7AAE0E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31AA7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  输入通道：10路(4路麦克风+线路输入，4路立体声线路输入)</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1B51E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ADA78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ACB469B">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06B5F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82C9F0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9DBA1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  麦克风前置放大器：幻像电源+48V</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9EDDB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DACF0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8871E2B">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19044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C17A49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B71E8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  均衡器：3段通道均衡，7段主均衡</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52882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C4052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DEE3FB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59428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F73500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44939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  效果器：内置SPX效果器，16种预设效果</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7E66B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E3045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BA9DA0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84561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DEFFD2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3C816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  输出：2组主输出，2组辅助输出，耳机输出</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7EC44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6179E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C23B82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169E3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06A30F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7248C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  尺寸：444×300×100mm，重量3.2kg</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EBB8C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45717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F6E128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BA44A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FD3511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5993D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三、系统安装与布局要求</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DEE03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6648E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3C9F40C">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4FB8E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5D316F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CED22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1.主扩声音箱：壁挂安装于主席台两侧，高度2.5-3米，与墙面夹角15°，指向观众区中心位置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AD963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17B4F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E94B19E">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75FC7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720288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E61CF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2.辅助补声音箱：吸顶安装于观众区上方，间距3-4米，确保声音均匀覆盖后排区域</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40558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40EEF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B7C342A">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5137B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415E92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C7E00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3.无线接收机：放置于会议桌下方或机柜内，天线延伸至主席台前方，避免遮挡</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BAD20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E89A8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F3EF987">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1E849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7C8000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9E3BC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4.调音台与处理器：放置于会议桌一侧，方便会议主持人操作，或安装于机柜内远程控制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69E0A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E895B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4D807AB">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F97A1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8F3A85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C1ECC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5.电源时序器：连接所有设备电源，设置开机顺序为：处理器→调音台→功放→音箱，关机顺序相反</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15964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AE5EC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857562D">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8C63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367146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移动投影（5000流明）</w:t>
            </w:r>
          </w:p>
        </w:tc>
        <w:tc>
          <w:tcPr>
            <w:tcW w:w="7620" w:type="dxa"/>
            <w:tcBorders>
              <w:top w:val="single" w:color="000000" w:sz="4" w:space="0"/>
              <w:left w:val="single" w:color="000000" w:sz="4" w:space="0"/>
              <w:bottom w:val="single" w:color="000000" w:sz="4" w:space="0"/>
              <w:right w:val="single" w:color="000000" w:sz="4" w:space="0"/>
            </w:tcBorders>
            <w:vAlign w:val="center"/>
          </w:tcPr>
          <w:p w14:paraId="594769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带120寸玻珠幕布</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5A64E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03B20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5B4909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48B87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9688B1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4507B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扬声器功率16W</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2D73D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80DA1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78E9BC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3B173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B62F4E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1BBDF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光学分辨率1920*1200</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92FCD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6E11F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6C33BB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2E75A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291139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B9777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标称亮度(ANSI流明)5000流明</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2E9AC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661C0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D264D1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AE4F9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8C2B84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B267D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接口类型USB、HDMI、网络接口</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AED85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4DA42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820EA8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CBEE9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6763FA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6B634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投射距离(投射比)1.38-2.28</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77325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CE26F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AC8447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5B49D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6BBBC5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683C2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梯形矫正 四向梯形校正</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E73DF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36688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5E349F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C17D4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AD3956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F7E86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标称对比度15000：1</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14181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9A649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8F80EB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BE3E9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D71227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94245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投影技术3LCD</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65DEC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EB7BA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A49C23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9B3B2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58ED60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0E867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灯泡寿命5000(不含)-10000(含)小时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83BE1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8CEE1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CD8911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9BC5C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42B43A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C338B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投放画面大小80-300英寸</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BDED2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558A5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351055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15263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235610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5E9B2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光源类型 高压汞灯</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D29AE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E8F27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E3BE9D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4D800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B10C80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9B970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屏幕比例16：10</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F4249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75218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9DEC69E">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2433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6A1FE8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移动智慧屏</w:t>
            </w:r>
          </w:p>
        </w:tc>
        <w:tc>
          <w:tcPr>
            <w:tcW w:w="7620" w:type="dxa"/>
            <w:tcBorders>
              <w:top w:val="single" w:color="000000" w:sz="4" w:space="0"/>
              <w:left w:val="single" w:color="000000" w:sz="4" w:space="0"/>
              <w:bottom w:val="single" w:color="000000" w:sz="4" w:space="0"/>
              <w:right w:val="single" w:color="000000" w:sz="4" w:space="0"/>
            </w:tcBorders>
            <w:vAlign w:val="center"/>
          </w:tcPr>
          <w:p w14:paraId="348C38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一、整机硬件：</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0053E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545681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22C74AA">
        <w:tblPrEx>
          <w:tblLayout w:type="fixed"/>
        </w:tblPrEx>
        <w:trPr>
          <w:trHeight w:val="90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1F7FE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05B5FB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25EC1D0">
            <w:pPr>
              <w:keepNext w:val="0"/>
              <w:keepLines w:val="0"/>
              <w:widowControl/>
              <w:numPr>
                <w:ilvl w:val="0"/>
                <w:numId w:val="30"/>
              </w:numPr>
              <w:suppressLineNumbers w:val="0"/>
              <w:spacing w:before="0" w:beforeAutospacing="0" w:after="0" w:afterAutospacing="0"/>
              <w:ind w:left="0" w:right="0"/>
              <w:jc w:val="left"/>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整机屏幕采用86英寸液晶显示器。采用UHD超高清LED液晶屏，显示比例16:9，分辨率3840×2160。</w:t>
            </w:r>
          </w:p>
          <w:p w14:paraId="68603D72">
            <w:pPr>
              <w:keepNext w:val="0"/>
              <w:keepLines w:val="0"/>
              <w:widowControl/>
              <w:numPr>
                <w:ilvl w:val="0"/>
                <w:numId w:val="30"/>
              </w:numPr>
              <w:suppressLineNumbers w:val="0"/>
              <w:spacing w:before="0" w:beforeAutospacing="0" w:after="0" w:afterAutospacing="0"/>
              <w:ind w:left="0" w:right="0"/>
              <w:jc w:val="left"/>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FF0000"/>
                <w:kern w:val="0"/>
                <w:sz w:val="18"/>
                <w:szCs w:val="18"/>
                <w:u w:val="none"/>
                <w:lang w:val="en-US" w:eastAsia="zh-CN" w:bidi="ar"/>
              </w:rPr>
              <w:t>整机具备接口：侧置输入接口具备2路HDMI、1路RS232、1路USB。输出接口具备1路音频、1路触控USB。前置输入接口3路USB（包含1路Type-C、2路USB）。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5088F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64955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A37DDD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856F9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477E48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2967C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3.采用电容触控技术，支持信创系统中进行10点或以上触控。</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EECBE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624BC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EF942B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07093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B906EB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F0A38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4.整机内置扬声器，总功率60W。</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3E8FB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7F168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54E065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91A27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C5EFD1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80006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5.整机支持高级音效设置，可以调节左右声道平衡</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4D490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DECC5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B6E9497">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D3B37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23444C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0EF06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6.整机内置非独立外扩展的4阵列麦克风，可用于对教室环境音频进行采集，麦克风拾音距离≥12m。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6E08C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6116A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D6436F5">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9437C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36BCC4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69242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.整机支持色彩空间可选，包含标准模式和sRGB模式，在sRGB模式下可做到高色准△E≤1.5。</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5D713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8F5D1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A393AD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9EF94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D312FE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7CAFB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8</w:t>
            </w:r>
            <w:r>
              <w:rPr>
                <w:rFonts w:hint="eastAsia" w:ascii="宋体" w:hAnsi="宋体" w:eastAsia="宋体" w:cs="宋体"/>
                <w:i w:val="0"/>
                <w:iCs w:val="0"/>
                <w:color w:val="000000"/>
                <w:kern w:val="0"/>
                <w:sz w:val="18"/>
                <w:szCs w:val="18"/>
                <w:u w:val="none"/>
                <w:lang w:val="en-US" w:eastAsia="zh-CN" w:bidi="ar"/>
              </w:rPr>
              <w:t>.整机采用硬件低蓝光背光技术</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AB417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EDFBC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902066B">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8AA24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995C85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1E5F0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r>
              <w:rPr>
                <w:rFonts w:hint="eastAsia" w:ascii="宋体" w:hAnsi="宋体" w:eastAsia="宋体" w:cs="宋体"/>
                <w:i w:val="0"/>
                <w:iCs w:val="0"/>
                <w:color w:val="000000"/>
                <w:kern w:val="0"/>
                <w:sz w:val="18"/>
                <w:szCs w:val="18"/>
                <w:u w:val="none"/>
                <w:lang w:val="en-US" w:eastAsia="zh-CN" w:bidi="ar"/>
              </w:rPr>
              <w:t>.支持标准、多媒体和节能三种图像模式调节。支持可自定义图像设置，可对对比度、屏幕色温、图像亮度、亮度范围、色彩空间进行调节设置。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AF8DE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EA342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E6FFA36">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6F47C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95C72C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0AD17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w:t>
            </w:r>
            <w:r>
              <w:rPr>
                <w:rFonts w:hint="eastAsia" w:ascii="宋体" w:hAnsi="宋体" w:eastAsia="宋体" w:cs="宋体"/>
                <w:i w:val="0"/>
                <w:iCs w:val="0"/>
                <w:color w:val="000000"/>
                <w:kern w:val="0"/>
                <w:sz w:val="18"/>
                <w:szCs w:val="18"/>
                <w:u w:val="none"/>
                <w:lang w:val="en-US" w:eastAsia="zh-CN" w:bidi="ar"/>
              </w:rPr>
              <w:t>.整机具备前置按键。支持通过前置按键进行开关机、调出中控菜单、音量+/-、护眼、录屏的操作。（</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EE351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F44F5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4869D75">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0821A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30FE5E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B45F3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.整机无需外接无线网卡，在信创系统下可实现Wi-Fi无线上网连接、AP无线热点发射和BT蓝牙连接功能。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29DFE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9B9D4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48C24D1">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8159E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F5AC25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BA32B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.Wi-Fi及AP热点支持频段2.4GHz/5GHz 。Wi-Fi和AP热点工作距离≥12m。Wi-Fi制式支持IEEE 802.11 a/b/g/n/ac/ax；支持版本Wi-Fi6。</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79649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262CE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F8B923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B1198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D087CF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2E0CC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.整机支持蓝牙Bluetooth 5.2标准</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FDCFC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563EF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24D7CDE">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105B5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6C1E11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568C1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.整机内置非独立摄像头，可拍摄≥1600万像素数的照片，支持输出4K。整机支持输出摄像头视场角≥135度且水平视场角≥120度画面。</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CFA27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BD8D4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EB81CBD">
        <w:tblPrEx>
          <w:tblLayout w:type="fixed"/>
        </w:tblPrEx>
        <w:trPr>
          <w:trHeight w:val="9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A4987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F5575D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3DF2B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.整机关机状态下，通过长按电源键进入设置界面后，可点击屏幕选择恢复操作系统到出厂默认状态，无需额外工具辅助。</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E6932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C18B0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0905DC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67CE4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7F0C0E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0546C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二、OPS模块：</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516D1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0CCDC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6913A4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31880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F85AAF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571FB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auto"/>
                <w:kern w:val="0"/>
                <w:sz w:val="18"/>
                <w:szCs w:val="18"/>
                <w:u w:val="none"/>
                <w:lang w:val="en-US" w:eastAsia="zh-CN" w:bidi="ar"/>
              </w:rPr>
              <w:t>CPU采用海光C86-3G、飞腾D2000、麒麟990、兆芯KX-U6780A等，或性能不低于上述型号的其他国产自主可控芯片（投标人须在投标文件中提供所投CPU的性能对比说明及证明材料）。操作系统采用统信UOS或麒麟KOS。</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FCAC6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6E9A6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9FFD88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C57ED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952E28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8D615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2.内存：16GB DDR4笔记本内存或以上配置；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A8438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0D014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526FB5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2F123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090628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9B28D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3.硬盘：512GB或以上SSD固态硬盘；</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C78B2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927CD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013181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1DDFF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F2B0AE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05AC2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三、教学软件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CDFB7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19C1D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5ED9AC1">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96BAE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EEDCDE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6D425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1.能够为教师提供100T的云存储空间，教师可在个人云空间中上传存储互动课件、云教案和其他教学资源。  </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A6E4E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568AF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22AF5FB">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39E71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8D7814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8F4E4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5A7E6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E1FB5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F269B6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7F142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B20EBE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7CD65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2.可以移动调整文件及文件夹的层级，能够对文件进行重命名、删除操作。</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AE53C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A7743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216FD82">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90A20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2F5BE6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D5319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3.互动课件与其他教学资源的云空间相互独立。教师可新建课件组或素材文件夹对教学资源进行个性化分类与标记。</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8D49F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23F00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6582C37">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6F9AA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7CD07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00492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4.多媒体素材库内的素材能插入互动课件，互动课件内的多媒体素材能在课件内直接上传至多媒体素材存储空间，实现了教师调用、采集教学素材。</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CDE52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B55F1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593F7BC">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772CD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4A5A1F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3D5E2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5.为使用方全体教师配备个人账号，形成一体的信息化教学账号体系；根据教师账号信息将教师云空间匹配至对应学校、学科校本资源库。支持通过数字账号、微信二维码、硬件密钥方式登录教师个人账号。</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6F62C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EF624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E12E29B">
        <w:tblPrEx>
          <w:tblLayout w:type="fixed"/>
        </w:tblPrEx>
        <w:trPr>
          <w:trHeight w:val="112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4FB9A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D4469E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2013A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互动教学课件支持开放式云分享：分享者可将互动课件、课件组以公开或加密的web链接和二维码形式进行分享，分享链接可设置访问有效期。接收方通过web链接或二维码的课件分享入口可预览互动课件内容并可触控课件互动元素，并能将互动课件转存至个人云空间，登陆云空间即可接收并打开互动课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FFD82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63DAA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C658C45">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66FAC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D5E06C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DE032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7.具有互动式教学课件资源，包含学科教育各学段各地区教材版本 不少于100个。</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1EE45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610BF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669EAE0">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92CF9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6FA7F5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DE273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8.具有互动式教学课件资源，包含学科教育各学段教材版本全部教学章节、专题教育多个主题教育、特殊教育 3 大分类的 不少于100000 份的互动课件。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0A000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2EA85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C09C418">
        <w:tblPrEx>
          <w:tblLayout w:type="fixed"/>
        </w:tblPrEx>
        <w:trPr>
          <w:trHeight w:val="90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55129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874F46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729EF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9.按照下载量、课件质量、相关性会每天动态更新课件列表，提供按章节、主题筛选和关键词搜索，支持模糊搜索。课件支持直接预览并下载。预览课 件时可以拖动课堂活动、形状、几何、文本元素。下载时课件可同步至教师个人云空间。</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B006A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6EDB9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73736AA">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3D01E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2E3C80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DE3F4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10.内置课堂教学、简约、插画、科技、古风等不少于70个课件主题模板供教师选用，且教师可自定义课件背景。</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AA160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08135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EF5A57A">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F7D0D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EF781B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76867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11.学科思维导图工具：内嵌学科思维导图功能，提供思维导图工具，提供3种预设模板，可自由增删或拖拽编辑知识节点；学科思维导图知识点可逐级、逐个展开，导图工具具备归纳总结功能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E641C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26517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93A1A4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18C23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407AD9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3C370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12.擦除：提供精细点擦除、笔迹全屏清除。</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9E6BD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AD6A1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B78598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59D7B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4349D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ECC64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13.撤销重做：支持白板操作撤销和重做，防止误操作影响教学。</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712CB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F1AEF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03FFCC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51131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3B59D1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559FAB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4.文件导出：支持授课时导出课件导出为图片，课件支持多种格式导出。</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91FCC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D1FCF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6565454">
        <w:tblPrEx>
          <w:tblLayout w:type="fixed"/>
        </w:tblPrEx>
        <w:trPr>
          <w:trHeight w:val="532"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98EDA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4C6CB6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F439B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四、配套移动支架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75113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3CB45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35F709E">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F404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3EDE83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办公桌椅</w:t>
            </w:r>
          </w:p>
        </w:tc>
        <w:tc>
          <w:tcPr>
            <w:tcW w:w="7620" w:type="dxa"/>
            <w:tcBorders>
              <w:top w:val="single" w:color="000000" w:sz="4" w:space="0"/>
              <w:left w:val="single" w:color="000000" w:sz="4" w:space="0"/>
              <w:bottom w:val="single" w:color="000000" w:sz="4" w:space="0"/>
              <w:right w:val="single" w:color="000000" w:sz="4" w:space="0"/>
            </w:tcBorders>
            <w:vAlign w:val="center"/>
          </w:tcPr>
          <w:p w14:paraId="3A7643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1.尺寸：≥1400×700×760mm。</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271EE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1B002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028DD084">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B8558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4946B0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45792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2.基材采高密度环保纤维板，漆面光泽度高、硬度达H级，椅子框架采用一次性成型不锈钢材料，超纤皮。透气性强，柔软而富有弹性，厚度适中。</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674B8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65802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ACCA1C9">
        <w:tblPrEx>
          <w:tblLayout w:type="fixed"/>
        </w:tblPrEx>
        <w:trPr>
          <w:trHeight w:val="135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4EC31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06DF35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w:t>
            </w:r>
          </w:p>
        </w:tc>
        <w:tc>
          <w:tcPr>
            <w:tcW w:w="7620" w:type="dxa"/>
            <w:tcBorders>
              <w:top w:val="single" w:color="000000" w:sz="4" w:space="0"/>
              <w:left w:val="single" w:color="000000" w:sz="4" w:space="0"/>
              <w:bottom w:val="single" w:color="000000" w:sz="4" w:space="0"/>
              <w:right w:val="single" w:color="000000" w:sz="4" w:space="0"/>
            </w:tcBorders>
            <w:vAlign w:val="center"/>
          </w:tcPr>
          <w:p w14:paraId="791F86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1.CPU：国产自主可控处理器（CPU采用海光C86-3G、飞腾D2000、麒麟990、兆芯KX-U6780A等，或性能不低于上述型号的其他国产自主可控芯片（</w:t>
            </w:r>
            <w:r>
              <w:rPr>
                <w:rFonts w:hint="eastAsia" w:ascii="宋体" w:hAnsi="宋体" w:eastAsia="宋体" w:cs="宋体"/>
                <w:i w:val="0"/>
                <w:iCs w:val="0"/>
                <w:color w:val="FF0000"/>
                <w:kern w:val="0"/>
                <w:sz w:val="18"/>
                <w:szCs w:val="18"/>
                <w:u w:val="none"/>
                <w:lang w:val="en-US" w:eastAsia="zh-CN" w:bidi="ar"/>
              </w:rPr>
              <w:t>投标人须在投标文件中提供所投CPU</w:t>
            </w:r>
            <w:r>
              <w:rPr>
                <w:rFonts w:hint="eastAsia" w:ascii="宋体" w:hAnsi="宋体" w:cs="宋体"/>
                <w:i w:val="0"/>
                <w:iCs w:val="0"/>
                <w:color w:val="FF0000"/>
                <w:kern w:val="0"/>
                <w:sz w:val="18"/>
                <w:szCs w:val="18"/>
                <w:u w:val="none"/>
                <w:lang w:val="en-US" w:eastAsia="zh-CN" w:bidi="ar"/>
              </w:rPr>
              <w:t>满足</w:t>
            </w:r>
            <w:r>
              <w:rPr>
                <w:rFonts w:hint="eastAsia" w:ascii="宋体" w:hAnsi="宋体" w:eastAsia="宋体" w:cs="宋体"/>
                <w:i w:val="0"/>
                <w:iCs w:val="0"/>
                <w:color w:val="FF0000"/>
                <w:kern w:val="0"/>
                <w:sz w:val="18"/>
                <w:szCs w:val="18"/>
                <w:u w:val="none"/>
                <w:lang w:val="en-US" w:eastAsia="zh-CN" w:bidi="ar"/>
              </w:rPr>
              <w:t>性能</w:t>
            </w:r>
            <w:r>
              <w:rPr>
                <w:rFonts w:hint="eastAsia" w:ascii="宋体" w:hAnsi="宋体" w:cs="宋体"/>
                <w:i w:val="0"/>
                <w:iCs w:val="0"/>
                <w:color w:val="FF0000"/>
                <w:kern w:val="0"/>
                <w:sz w:val="18"/>
                <w:szCs w:val="18"/>
                <w:u w:val="none"/>
                <w:lang w:val="en-US" w:eastAsia="zh-CN" w:bidi="ar"/>
              </w:rPr>
              <w:t>指标的第三方检测报告或产品规格书</w:t>
            </w:r>
            <w:r>
              <w:rPr>
                <w:rFonts w:hint="eastAsia" w:ascii="宋体" w:hAnsi="宋体" w:eastAsia="宋体" w:cs="宋体"/>
                <w:i w:val="0"/>
                <w:iCs w:val="0"/>
                <w:color w:val="FF0000"/>
                <w:kern w:val="0"/>
                <w:sz w:val="18"/>
                <w:szCs w:val="18"/>
                <w:u w:val="none"/>
                <w:lang w:val="en-US" w:eastAsia="zh-CN" w:bidi="ar"/>
              </w:rPr>
              <w:t>及证明材料</w:t>
            </w:r>
            <w:r>
              <w:rPr>
                <w:rFonts w:hint="eastAsia" w:ascii="宋体" w:hAnsi="宋体" w:eastAsia="宋体" w:cs="宋体"/>
                <w:i w:val="0"/>
                <w:iCs w:val="0"/>
                <w:color w:val="000000"/>
                <w:kern w:val="0"/>
                <w:sz w:val="18"/>
                <w:szCs w:val="18"/>
                <w:u w:val="none"/>
                <w:lang w:val="en-US" w:eastAsia="zh-CN" w:bidi="ar"/>
              </w:rPr>
              <w:t>）。物理核心数≥8 核，主频≥3.0GHz，所有核心智能频率可提升至 &gt; 3.3GHz；机箱支持全高全长扩展卡；内存配置≥16GB DDR4 3200MHz，配备 4 个 DDR4 3200MHz 内存插槽，支持 128GB 3200MHz 内存扩展；显卡为标配 2G 独立显卡，支持 VGA+HDMI 视频输出显示；硬盘为 &gt; 512GB M.2 接口 NVMe 协议 SSD，支持机械硬盘扩展。</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6197C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610A73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2B9756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6004A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0C2555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F74DE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2.操作系统：统信uos V20</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FE1FC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BEA6C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30F338C">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10526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6BD303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090E5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3.LED背光液晶显示器，屏幕尺寸≥23英寸显示器，支持最高分辨率不小于1920×1080，屏幕比16:9，VGA、HDMI接口；</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26D91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B5F85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C3D6D1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ECE5B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4E10C3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9FD6F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4.标准USB接口有线光电鼠标、键盘；</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DE34E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03AF1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C8ED5F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88A6E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B96E33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CF59A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每台电脑配套云桌面软件1套，要求如下：</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1E17F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6AEBE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360E153">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C8532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4D8697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E6B07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1、要求软件为B/S，基于WEB的全中文图形化管理界面，支持现有网络环境下的跨网段、跨路由管理；支持广域网分发镜像管理终端。</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25409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0CEC4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8A265B6">
        <w:tblPrEx>
          <w:tblLayout w:type="fixed"/>
        </w:tblPrEx>
        <w:trPr>
          <w:trHeight w:val="90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6C649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755103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82196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服务端支持同时统一对多个平台管理和系统部署，服务器和终端支持飞腾/龙芯/海光/兆芯/海思麒麟/盘古/鲲鹏等硬件平台。服务端支持统信UOS/麒麟KOS/中科方德等操作系统，服务器需支持服务端支持统信UOS/麒麟KOS/中科方德等操作系统，终端支持统信UOS/麒麟KOS/中科方德等操作系统。</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3B2F9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6FE8C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228EB2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88D1F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C523A1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47621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3、支持远程开机关机。</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26E31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58A55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7725186">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74F77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457A35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电话</w:t>
            </w:r>
          </w:p>
        </w:tc>
        <w:tc>
          <w:tcPr>
            <w:tcW w:w="7620" w:type="dxa"/>
            <w:tcBorders>
              <w:top w:val="single" w:color="000000" w:sz="4" w:space="0"/>
              <w:left w:val="single" w:color="000000" w:sz="4" w:space="0"/>
              <w:bottom w:val="single" w:color="000000" w:sz="4" w:space="0"/>
              <w:right w:val="single" w:color="000000" w:sz="4" w:space="0"/>
            </w:tcBorders>
            <w:vAlign w:val="center"/>
          </w:tcPr>
          <w:p w14:paraId="0F1B00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1.类型：普通座机</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29735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3B54F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F5912B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B133E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122BCB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A0B1E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2.类别：有绳板机</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B92AD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45E47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0ACD21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62DC1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4AE027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19C3D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3.铃声：可选</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16EB8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DAAFC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E5E6868">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578F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2CFF66E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打印机</w:t>
            </w:r>
          </w:p>
        </w:tc>
        <w:tc>
          <w:tcPr>
            <w:tcW w:w="7620" w:type="dxa"/>
            <w:tcBorders>
              <w:top w:val="single" w:color="000000" w:sz="4" w:space="0"/>
              <w:left w:val="single" w:color="000000" w:sz="4" w:space="0"/>
              <w:bottom w:val="single" w:color="000000" w:sz="4" w:space="0"/>
              <w:right w:val="single" w:color="000000" w:sz="4" w:space="0"/>
            </w:tcBorders>
            <w:vAlign w:val="center"/>
          </w:tcPr>
          <w:p w14:paraId="410A55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A4幅面打印机，支持有线和无线网络打印</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5AE59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36918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21FEEA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50C62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09E79C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57A72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打印功能：支持无边框打印</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42957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50C2E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C90866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2A046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C13A5C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3A281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打印功能：自动双面</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7F03B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5DC29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19578D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1884C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DBD4E2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0D50D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基础功能：打印；复印；扫描；A4</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73D5E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2F824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969B3E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339ED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D850B2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0FB9A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端口：USB；Wi-Fi端口；以太网</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7CBDA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9855C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C991001">
        <w:tblPrEx>
          <w:tblLayout w:type="fixed"/>
        </w:tblPrEx>
        <w:trPr>
          <w:trHeight w:val="4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2C13B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42" w:type="dxa"/>
            <w:tcBorders>
              <w:top w:val="single" w:color="000000" w:sz="4" w:space="0"/>
              <w:left w:val="single" w:color="000000" w:sz="4" w:space="0"/>
              <w:bottom w:val="single" w:color="000000" w:sz="4" w:space="0"/>
              <w:right w:val="single" w:color="000000" w:sz="4" w:space="0"/>
            </w:tcBorders>
            <w:vAlign w:val="center"/>
          </w:tcPr>
          <w:p w14:paraId="71B60F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档案柜</w:t>
            </w:r>
          </w:p>
        </w:tc>
        <w:tc>
          <w:tcPr>
            <w:tcW w:w="7620" w:type="dxa"/>
            <w:tcBorders>
              <w:top w:val="single" w:color="000000" w:sz="4" w:space="0"/>
              <w:left w:val="single" w:color="000000" w:sz="4" w:space="0"/>
              <w:bottom w:val="single" w:color="000000" w:sz="4" w:space="0"/>
              <w:right w:val="single" w:color="000000" w:sz="4" w:space="0"/>
            </w:tcBorders>
            <w:vAlign w:val="center"/>
          </w:tcPr>
          <w:p w14:paraId="58DF21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灰、白色，采用加厚1.10mm、冷轧钢板，配备静音滑轨、独立钢制锁具；参考尺寸：1800mm×850mm×390mm。</w:t>
            </w:r>
          </w:p>
        </w:tc>
        <w:tc>
          <w:tcPr>
            <w:tcW w:w="409" w:type="dxa"/>
            <w:tcBorders>
              <w:top w:val="single" w:color="000000" w:sz="4" w:space="0"/>
              <w:left w:val="single" w:color="000000" w:sz="4" w:space="0"/>
              <w:bottom w:val="single" w:color="000000" w:sz="4" w:space="0"/>
              <w:right w:val="single" w:color="000000" w:sz="4" w:space="0"/>
            </w:tcBorders>
            <w:vAlign w:val="center"/>
          </w:tcPr>
          <w:p w14:paraId="7C3896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42" w:type="dxa"/>
            <w:tcBorders>
              <w:top w:val="single" w:color="000000" w:sz="4" w:space="0"/>
              <w:left w:val="single" w:color="000000" w:sz="4" w:space="0"/>
              <w:bottom w:val="single" w:color="000000" w:sz="4" w:space="0"/>
              <w:right w:val="single" w:color="000000" w:sz="4" w:space="0"/>
            </w:tcBorders>
            <w:vAlign w:val="center"/>
          </w:tcPr>
          <w:p w14:paraId="4CDBD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28FEB91">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2B2F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4842D9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饮水机</w:t>
            </w:r>
          </w:p>
        </w:tc>
        <w:tc>
          <w:tcPr>
            <w:tcW w:w="7620" w:type="dxa"/>
            <w:tcBorders>
              <w:top w:val="single" w:color="000000" w:sz="4" w:space="0"/>
              <w:left w:val="single" w:color="000000" w:sz="4" w:space="0"/>
              <w:bottom w:val="single" w:color="000000" w:sz="4" w:space="0"/>
              <w:right w:val="single" w:color="000000" w:sz="4" w:space="0"/>
            </w:tcBorders>
            <w:vAlign w:val="center"/>
          </w:tcPr>
          <w:p w14:paraId="4FE094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规格：1600*450*1450（允许误差值：±100mm）</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7FF8CD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7978C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51D247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C5B72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668224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C9DEC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过滤系统：三级过滤</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A38AC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E8268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CBB6989">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BCE7C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EB9118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01D49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内胆材质：304-1Cr18Ni8，</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9C521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8B211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79F2C2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00146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9F3DF2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F8224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出水方式：1开3温</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279F6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B9082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FB3DEC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59D77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40194A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401A3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电压：380V 50Hz</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28CDA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5DF43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9344F3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85A5C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2813298">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D332D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适用水压：0.1-6Mpa</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D7E5A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EFCC1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D4D2E1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077CC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C46525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13CB1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功率：≥6kw</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DCB61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93044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A59C19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88302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0011CE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0FB80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供水量：开水≥60L/H</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30A88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1ABE5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2E6B24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7E3F1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154506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1B829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温开水≥350L/H</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439D7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39698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F42573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CEB78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9F9F79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759DD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内胆容积：≥35L</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D3AAC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F2277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0A051E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A0ED9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E7D3A2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C0545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供应源：市政自来水</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E1F03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F32EC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E5A37D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B7E0D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F7AD5C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4FECF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可供人数：≥200人</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011AF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C2F16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300BE8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A9DCC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5B072B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62F3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内胆材质：食品级304#不锈钢</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9B16E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14753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FC7187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F8963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FA61FC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2B3C0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安全等级：防蒸汽、防超温、防触电、防干烧、防缺水</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C9C1A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31B31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ADEAF28">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01FC5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48D993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1A3D9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显示屏：LCD液晶显示智能系统：智能控温、智能定时开关、智能水位显示、智能换芯提示、智能故障上报</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1FD82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0D0F6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E4A60E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9B622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61BE7A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95C1E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机脚：活动轮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083E9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2EBB3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3567694">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59E34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BD612A9">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0BA18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需提供检测报告，食品接触产品安全认证、3C认证证书、饮用水卫生安全产品卫生许可批件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49244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2629B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36B1F89">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E4A3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514392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沙发</w:t>
            </w:r>
          </w:p>
        </w:tc>
        <w:tc>
          <w:tcPr>
            <w:tcW w:w="7620" w:type="dxa"/>
            <w:tcBorders>
              <w:top w:val="single" w:color="000000" w:sz="4" w:space="0"/>
              <w:left w:val="single" w:color="000000" w:sz="4" w:space="0"/>
              <w:bottom w:val="single" w:color="000000" w:sz="4" w:space="0"/>
              <w:right w:val="single" w:color="000000" w:sz="4" w:space="0"/>
            </w:tcBorders>
            <w:vAlign w:val="center"/>
          </w:tcPr>
          <w:p w14:paraId="1DC676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布艺沙发，实木框架，海绵填充。</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5A1A5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436F87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60E056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2A378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E5B83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A4257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1.单人位尺寸：长52cm*宽59cm*高71cm。（尺寸±不超过5cm）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B7F95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E263E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9B7FDA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3A755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13F728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10B11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2.双人位尺寸：长101cm*宽59cm*高71cm。（尺寸±不超过5cm）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4F739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E9BFB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39BBDB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B21B0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A35590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F72E9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3.单人位2个+双人位1个。</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E95DF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BA09F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E01EB8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B683D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427A9F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7F79B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4.面料:超柔绒布。</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32BB1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0A45D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BB0B769">
        <w:tblPrEx>
          <w:tblLayout w:type="fixed"/>
        </w:tblPrEx>
        <w:trPr>
          <w:trHeight w:val="4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235709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42" w:type="dxa"/>
            <w:tcBorders>
              <w:top w:val="single" w:color="000000" w:sz="4" w:space="0"/>
              <w:left w:val="single" w:color="000000" w:sz="4" w:space="0"/>
              <w:bottom w:val="single" w:color="000000" w:sz="4" w:space="0"/>
              <w:right w:val="single" w:color="000000" w:sz="4" w:space="0"/>
            </w:tcBorders>
            <w:vAlign w:val="center"/>
          </w:tcPr>
          <w:p w14:paraId="299254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接待沙发</w:t>
            </w:r>
          </w:p>
        </w:tc>
        <w:tc>
          <w:tcPr>
            <w:tcW w:w="7620" w:type="dxa"/>
            <w:tcBorders>
              <w:top w:val="single" w:color="000000" w:sz="4" w:space="0"/>
              <w:left w:val="single" w:color="000000" w:sz="4" w:space="0"/>
              <w:bottom w:val="single" w:color="000000" w:sz="4" w:space="0"/>
              <w:right w:val="single" w:color="000000" w:sz="4" w:space="0"/>
            </w:tcBorders>
            <w:vAlign w:val="center"/>
          </w:tcPr>
          <w:p w14:paraId="695DAE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商务接待沙发，尺寸：3人位，高密度海绵，功能布艺面料，实木框架。茶几：木质板材或石英石面材。</w:t>
            </w:r>
          </w:p>
        </w:tc>
        <w:tc>
          <w:tcPr>
            <w:tcW w:w="409" w:type="dxa"/>
            <w:tcBorders>
              <w:top w:val="single" w:color="000000" w:sz="4" w:space="0"/>
              <w:left w:val="single" w:color="000000" w:sz="4" w:space="0"/>
              <w:bottom w:val="single" w:color="000000" w:sz="4" w:space="0"/>
              <w:right w:val="single" w:color="000000" w:sz="4" w:space="0"/>
            </w:tcBorders>
            <w:vAlign w:val="center"/>
          </w:tcPr>
          <w:p w14:paraId="52D0A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4C8C0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32F2F5D">
        <w:tblPrEx>
          <w:tblLayout w:type="fixed"/>
        </w:tblPrEx>
        <w:trPr>
          <w:trHeight w:val="9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07635F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42" w:type="dxa"/>
            <w:tcBorders>
              <w:top w:val="single" w:color="000000" w:sz="4" w:space="0"/>
              <w:left w:val="single" w:color="000000" w:sz="4" w:space="0"/>
              <w:bottom w:val="single" w:color="000000" w:sz="4" w:space="0"/>
              <w:right w:val="single" w:color="000000" w:sz="4" w:space="0"/>
            </w:tcBorders>
            <w:vAlign w:val="center"/>
          </w:tcPr>
          <w:p w14:paraId="37222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心理生态云平台</w:t>
            </w:r>
          </w:p>
        </w:tc>
        <w:tc>
          <w:tcPr>
            <w:tcW w:w="7620" w:type="dxa"/>
            <w:tcBorders>
              <w:top w:val="single" w:color="000000" w:sz="4" w:space="0"/>
              <w:left w:val="single" w:color="000000" w:sz="4" w:space="0"/>
              <w:bottom w:val="single" w:color="000000" w:sz="4" w:space="0"/>
              <w:right w:val="single" w:color="000000" w:sz="4" w:space="0"/>
            </w:tcBorders>
            <w:vAlign w:val="center"/>
          </w:tcPr>
          <w:p w14:paraId="4568D6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系统简介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心理生态云平台是高校使用的多端口、多层级心理健康应用与管理平台。平台依托信息化云服务网络，采用先进的SaaS服务模式，以健康教育、监测预警、咨询服务、干预处置“四位一体”的心理健康工作体系为指导进行设计。学校管理人员与用户可通过心理生态云平台PC网页、手机小程序、H5网页、智慧心理服务站等不同形式登录，满足不同角色使用场景的需求。平台管理人员可方便、快捷地使用账号或手机号登录系统，并切换账号或角色开展各项工作。平台具备大数据一览、部门/院系/年级/班级管理、咨询师/辅导员管理、学生/游客管理、角色分配管理、心理测评管理、心理预警管理、心理记录管理、谈心谈话管理、周报/月报管理、危机事件记录管理、转介人员管理、心理档案管理、物联设备管理、心理科普/训练资源管理、数据分类管理等若干项功能，满足教育工作者在心理工作开展中的各项需求，快速实现工作的落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★1、数据中心看板包含但不限于：人员状况统计、近一年测评活动趋势、近一年预警人员统计、科普浏览量统计、近一年预约人统计、各组织人员分布情况、心理健康与行为问题监控数据。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2、包含但不限于：创建测评、预警处理、添加人员、添加组织、预约咨询五个快捷键。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★3、可以自定义编辑、添加组织类型，对子管理员进行管理、分配多角色、管理多个组织、查看关联账号信息。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4、可以对人员搜索、导出、转移、删除、重置密码，可查看人员信息、测评任务报告、自主测评报告，可以对人员类型搜索、添加、编辑、删除，管理信息完善模版，设置游客模式。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以对人员档案搜索、查看、导出、完善基本信息。档案内容包含但不限于：人员姓名、人员账号、性别、出生日期、民族、人员类型、健康状况、所属组织与通过模版收集到的人员信息；以图形的形式显示不同时间段个体心理测评、心理记录、心理工作、心理咨询的动态跟踪记录，可以下载记录；可以查看测评记录、干预记录、咨询记录、谈心谈话、评价记录、危机事件处理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以对测评活动进行创建、搜索、停用、延长、提前结束、删除、查看；可查看测评明细、对人员补测；可导出列表、原始数据、选项统计；可对自主测评报告进行搜索、查看、管理；可以显示自主测评报告的来源为小程序、物联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报告内容包含但不限于：基本信息、活动引导、量表介绍、量表说明、测评结果、答题情况、因子分析、测评信息、阳性检测状况统计表、统计分析、建议说明、因子名称、因子题目、因子定义、所有题目选项统计、训练推荐、专属推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可以对测评数据检验分析生成报告，报告可以查看、下载。报告内容包含但不限于：测评时间、报告生成时间、每组各样本差异检验统计分析、各因子差异检验统计分析，分析维度包含：样本数、平均值、标准差、方差、α显著性水平、F值、P值、t值、正态分布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★9、可以搜索、查看、导出、批量处理、转介心理预警人员，可以更换量表发起再次测评，可以显示综合预警信息的来源包含但不限于：咨询记录、谈心谈话记录、自主测评。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10、可以对转介人员进行搜索、查看、转介撤销、数据导出等操作。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★11、可以添加、搜索、查看、删除咨询记录，咨询记录来源包含但不限于：服务站咨询、线下咨询、预约咨询。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12、可查看、搜索、管理评级审核。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★13、可以添加心理委员，可以对单位负责人、心理委员的谈心谈话、周报月报添加、搜索、导出。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14、可以对危机事件记录进行搜索、添加、查看，危机事件记录可以上传附件。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★15、可以对科普资源、科普精选资源、心理训练资源进行查看、搜索、添加、置顶、删除。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可以搜索、查看、解绑物联设备；可以查看物联设备生成的量表测评报告、生理检测报告，可以导出报告；可以搜索、查看通话记录；可以搜索、查看、回复心理信件，信件的来源包含但不限于小程序、物联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17、可以添加、修改量表；可以对自主量表设置为隐藏或显示。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★18、可以对预约咨询师与预约功能室进行搜索、添加、查看、模版添加、设置管理；可以编辑咨询师预约须知、功能室使用预约须知；可以移除失约人员；可以编辑失约次数。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19、可以对数据统计进行管理，包括综合统计、测评活动、人员数据、预警干预、咨询预约、谈心谈话、科普内容。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20、可以管理单位信息包括但不限于：模板字段库、单位信息、客户管理、小程序设置。</w:t>
            </w:r>
          </w:p>
        </w:tc>
        <w:tc>
          <w:tcPr>
            <w:tcW w:w="409" w:type="dxa"/>
            <w:tcBorders>
              <w:top w:val="single" w:color="000000" w:sz="4" w:space="0"/>
              <w:left w:val="single" w:color="000000" w:sz="4" w:space="0"/>
              <w:bottom w:val="single" w:color="000000" w:sz="4" w:space="0"/>
              <w:right w:val="single" w:color="000000" w:sz="4" w:space="0"/>
            </w:tcBorders>
            <w:vAlign w:val="center"/>
          </w:tcPr>
          <w:p w14:paraId="7C308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1F54C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BD62286">
        <w:tblPrEx>
          <w:tblLayout w:type="fixed"/>
        </w:tblPrEx>
        <w:trPr>
          <w:trHeight w:val="742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64524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42" w:type="dxa"/>
            <w:tcBorders>
              <w:top w:val="single" w:color="000000" w:sz="4" w:space="0"/>
              <w:left w:val="single" w:color="000000" w:sz="4" w:space="0"/>
              <w:bottom w:val="single" w:color="000000" w:sz="4" w:space="0"/>
              <w:right w:val="single" w:color="000000" w:sz="4" w:space="0"/>
            </w:tcBorders>
            <w:vAlign w:val="center"/>
          </w:tcPr>
          <w:p w14:paraId="682403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服务站系统</w:t>
            </w:r>
          </w:p>
        </w:tc>
        <w:tc>
          <w:tcPr>
            <w:tcW w:w="7620" w:type="dxa"/>
            <w:tcBorders>
              <w:top w:val="single" w:color="000000" w:sz="4" w:space="0"/>
              <w:left w:val="single" w:color="000000" w:sz="4" w:space="0"/>
              <w:bottom w:val="single" w:color="000000" w:sz="4" w:space="0"/>
              <w:right w:val="single" w:color="000000" w:sz="4" w:space="0"/>
            </w:tcBorders>
            <w:vAlign w:val="center"/>
          </w:tcPr>
          <w:p w14:paraId="69C8E4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一、功能部分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1、可在首页页面查看轮播，点击轮播内容后可查看详情。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2、快捷操作包含但不限于心理测评、心理咨询、趣味测评、心理训练、心理科普。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★3、含趣味测评。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4、可接通心理热线，系统可设置不同的电话号码作为心理热线。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5、包含但不限于抑郁专题、亲子关系、学业问题、能力个性、心理健康、人际交往、情绪情感、职场生涯模块。系统可自动记录、统计浏览历史。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6、可浏览心理科普内容，内容包含但不限于科普文章、科普视频、科普音频。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★7、可收藏喜欢的心理内容。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★8、可完成按时间顺序发起的测评任务，可自主测评；任务结束可查看测评任务、自主测评的测评记录。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★9、包含但不限于亲子关系、学业问题、能力个性、心理健康、人际交往、情绪情感、职场生涯等不少于七类主题量表。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★10、测评开始前可查看量表介绍、量表指导语、使用人群、测评须知等内容。测评结束提交即可完成测评任务，完成一个量表后自动进入下一量表的测评。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11、可进行咨询师预约，系统提供单位咨询师列表，可选择咨询师预约时段、咨询维度，可填写咨询内容供咨询师提前查看。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★12、登录个人账号可查看个人信息、测评记录、我的收藏，可在系统内接通心理热线，可通过外挂话筒接通心理热线。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13、可查看任务测评、自主测评的测评记录。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14、可采用各类文章、音频、视频进行心理训练，心理训练结束后可记录并保存训练心情、训练感受。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15、用户可绑定手机号。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16、可进行咨询室预约，系统提供咨询室列表，可选择不同的咨询室，可选择咨询室预约时段。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17、可添加信件至心理信箱，可查看历史信件。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电容触摸终端：显示尺寸≥32英寸；分辨率≥1920(V)×1080（H）；运行内存≥2G；存储内存≥16G；电容触摸终端外挂话筒1台：可采集、播放音频，话筒提起时电容触摸终端外放音频关闭，保证使用者隐私。</w:t>
            </w:r>
          </w:p>
        </w:tc>
        <w:tc>
          <w:tcPr>
            <w:tcW w:w="409" w:type="dxa"/>
            <w:tcBorders>
              <w:top w:val="single" w:color="000000" w:sz="4" w:space="0"/>
              <w:left w:val="single" w:color="000000" w:sz="4" w:space="0"/>
              <w:bottom w:val="single" w:color="000000" w:sz="4" w:space="0"/>
              <w:right w:val="single" w:color="000000" w:sz="4" w:space="0"/>
            </w:tcBorders>
            <w:vAlign w:val="center"/>
          </w:tcPr>
          <w:p w14:paraId="58802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57F58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5337E970">
        <w:tblPrEx>
          <w:tblLayout w:type="fixed"/>
        </w:tblPrEx>
        <w:trPr>
          <w:trHeight w:val="4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6AD5D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42" w:type="dxa"/>
            <w:tcBorders>
              <w:top w:val="single" w:color="000000" w:sz="4" w:space="0"/>
              <w:left w:val="single" w:color="000000" w:sz="4" w:space="0"/>
              <w:bottom w:val="single" w:color="000000" w:sz="4" w:space="0"/>
              <w:right w:val="single" w:color="000000" w:sz="4" w:space="0"/>
            </w:tcBorders>
            <w:vAlign w:val="center"/>
          </w:tcPr>
          <w:p w14:paraId="758F90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心理投射画板</w:t>
            </w:r>
          </w:p>
        </w:tc>
        <w:tc>
          <w:tcPr>
            <w:tcW w:w="7620" w:type="dxa"/>
            <w:tcBorders>
              <w:top w:val="single" w:color="000000" w:sz="4" w:space="0"/>
              <w:left w:val="single" w:color="000000" w:sz="4" w:space="0"/>
              <w:bottom w:val="single" w:color="000000" w:sz="4" w:space="0"/>
              <w:right w:val="single" w:color="000000" w:sz="4" w:space="0"/>
            </w:tcBorders>
            <w:vAlign w:val="center"/>
          </w:tcPr>
          <w:p w14:paraId="1DE35B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松木箱体，尺寸：450*450*190mmm, 最大夹画900mm，带抽屉。配套绘画 纸张、画板、彩铅、彩笔、水笔各1 套。</w:t>
            </w:r>
          </w:p>
        </w:tc>
        <w:tc>
          <w:tcPr>
            <w:tcW w:w="409" w:type="dxa"/>
            <w:tcBorders>
              <w:top w:val="single" w:color="000000" w:sz="4" w:space="0"/>
              <w:left w:val="single" w:color="000000" w:sz="4" w:space="0"/>
              <w:bottom w:val="single" w:color="000000" w:sz="4" w:space="0"/>
              <w:right w:val="single" w:color="000000" w:sz="4" w:space="0"/>
            </w:tcBorders>
            <w:vAlign w:val="center"/>
          </w:tcPr>
          <w:p w14:paraId="3AFD62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275FD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4C130F2">
        <w:tblPrEx>
          <w:tblLayout w:type="fixed"/>
        </w:tblPrEx>
        <w:trPr>
          <w:trHeight w:val="27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506D6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42" w:type="dxa"/>
            <w:tcBorders>
              <w:top w:val="single" w:color="000000" w:sz="4" w:space="0"/>
              <w:left w:val="single" w:color="000000" w:sz="4" w:space="0"/>
              <w:bottom w:val="single" w:color="000000" w:sz="4" w:space="0"/>
              <w:right w:val="single" w:color="000000" w:sz="4" w:space="0"/>
            </w:tcBorders>
            <w:vAlign w:val="center"/>
          </w:tcPr>
          <w:p w14:paraId="2453C8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录音笔</w:t>
            </w:r>
          </w:p>
        </w:tc>
        <w:tc>
          <w:tcPr>
            <w:tcW w:w="7620" w:type="dxa"/>
            <w:tcBorders>
              <w:top w:val="single" w:color="000000" w:sz="4" w:space="0"/>
              <w:left w:val="single" w:color="000000" w:sz="4" w:space="0"/>
              <w:bottom w:val="single" w:color="000000" w:sz="4" w:space="0"/>
              <w:right w:val="single" w:color="000000" w:sz="4" w:space="0"/>
            </w:tcBorders>
            <w:vAlign w:val="center"/>
          </w:tcPr>
          <w:p w14:paraId="5C5AF1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不小于8G内存，高效降噪，一键录音</w:t>
            </w:r>
            <w:r>
              <w:rPr>
                <w:rFonts w:hint="eastAsia" w:ascii="宋体" w:hAnsi="宋体" w:cs="宋体"/>
                <w:i w:val="0"/>
                <w:iCs w:val="0"/>
                <w:color w:val="000000"/>
                <w:kern w:val="0"/>
                <w:sz w:val="18"/>
                <w:szCs w:val="18"/>
                <w:u w:val="none"/>
                <w:lang w:val="en-US" w:eastAsia="zh-CN" w:bidi="ar"/>
              </w:rPr>
              <w:t>、</w:t>
            </w:r>
            <w:r>
              <w:rPr>
                <w:rFonts w:hint="eastAsia" w:ascii="宋体" w:hAnsi="宋体" w:cs="宋体"/>
                <w:i w:val="0"/>
                <w:iCs w:val="0"/>
                <w:color w:val="FF0000"/>
                <w:kern w:val="0"/>
                <w:sz w:val="18"/>
                <w:szCs w:val="18"/>
                <w:u w:val="none"/>
                <w:lang w:val="en-US" w:eastAsia="zh-CN" w:bidi="ar"/>
              </w:rPr>
              <w:t>续航</w:t>
            </w:r>
            <w:r>
              <w:rPr>
                <w:rFonts w:hint="eastAsia" w:ascii="宋体" w:hAnsi="宋体" w:eastAsia="宋体" w:cs="宋体"/>
                <w:i w:val="0"/>
                <w:iCs w:val="0"/>
                <w:color w:val="FF0000"/>
                <w:kern w:val="0"/>
                <w:sz w:val="18"/>
                <w:szCs w:val="18"/>
                <w:u w:val="none"/>
                <w:lang w:val="en-US" w:eastAsia="zh-CN" w:bidi="ar"/>
              </w:rPr>
              <w:t>≥</w:t>
            </w:r>
            <w:r>
              <w:rPr>
                <w:rFonts w:hint="eastAsia" w:ascii="宋体" w:hAnsi="宋体" w:cs="宋体"/>
                <w:i w:val="0"/>
                <w:iCs w:val="0"/>
                <w:color w:val="FF0000"/>
                <w:kern w:val="0"/>
                <w:sz w:val="18"/>
                <w:szCs w:val="18"/>
                <w:u w:val="none"/>
                <w:lang w:val="en-US" w:eastAsia="zh-CN" w:bidi="ar"/>
              </w:rPr>
              <w:t>18h、语音转文字、A-B 复读</w:t>
            </w:r>
            <w:r>
              <w:rPr>
                <w:rFonts w:hint="eastAsia" w:ascii="宋体" w:hAnsi="宋体" w:eastAsia="宋体" w:cs="宋体"/>
                <w:i w:val="0"/>
                <w:iCs w:val="0"/>
                <w:color w:val="FF0000"/>
                <w:kern w:val="0"/>
                <w:sz w:val="18"/>
                <w:szCs w:val="18"/>
                <w:u w:val="none"/>
                <w:lang w:val="en-US" w:eastAsia="zh-CN" w:bidi="ar"/>
              </w:rPr>
              <w:t>。</w:t>
            </w:r>
          </w:p>
        </w:tc>
        <w:tc>
          <w:tcPr>
            <w:tcW w:w="409" w:type="dxa"/>
            <w:tcBorders>
              <w:top w:val="single" w:color="000000" w:sz="4" w:space="0"/>
              <w:left w:val="single" w:color="000000" w:sz="4" w:space="0"/>
              <w:bottom w:val="single" w:color="000000" w:sz="4" w:space="0"/>
              <w:right w:val="single" w:color="000000" w:sz="4" w:space="0"/>
            </w:tcBorders>
            <w:vAlign w:val="center"/>
          </w:tcPr>
          <w:p w14:paraId="49726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16D284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4D16572">
        <w:tblPrEx>
          <w:tblLayout w:type="fixed"/>
        </w:tblPrEx>
        <w:trPr>
          <w:trHeight w:val="90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41FA8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42" w:type="dxa"/>
            <w:tcBorders>
              <w:top w:val="single" w:color="000000" w:sz="4" w:space="0"/>
              <w:left w:val="single" w:color="000000" w:sz="4" w:space="0"/>
              <w:bottom w:val="single" w:color="000000" w:sz="4" w:space="0"/>
              <w:right w:val="single" w:color="000000" w:sz="4" w:space="0"/>
            </w:tcBorders>
            <w:vAlign w:val="center"/>
          </w:tcPr>
          <w:p w14:paraId="51282D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挂钟</w:t>
            </w:r>
          </w:p>
        </w:tc>
        <w:tc>
          <w:tcPr>
            <w:tcW w:w="7620" w:type="dxa"/>
            <w:tcBorders>
              <w:top w:val="single" w:color="000000" w:sz="4" w:space="0"/>
              <w:left w:val="single" w:color="000000" w:sz="4" w:space="0"/>
              <w:bottom w:val="single" w:color="000000" w:sz="4" w:space="0"/>
              <w:right w:val="single" w:color="000000" w:sz="4" w:space="0"/>
            </w:tcBorders>
            <w:vAlign w:val="center"/>
          </w:tcPr>
          <w:p w14:paraId="2EEC21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材质：优质 ABS 环保树脂 + 玻璃镜面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尺寸：≥38×38×4.5cm 机芯：高级静音扫描机芯（无“咔嗒”声）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电池：1 节 5 号电池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特点：对比鲜明的黑白设计，走时精准（月误差≤30 秒）</w:t>
            </w:r>
          </w:p>
        </w:tc>
        <w:tc>
          <w:tcPr>
            <w:tcW w:w="409" w:type="dxa"/>
            <w:tcBorders>
              <w:top w:val="single" w:color="000000" w:sz="4" w:space="0"/>
              <w:left w:val="single" w:color="000000" w:sz="4" w:space="0"/>
              <w:bottom w:val="single" w:color="000000" w:sz="4" w:space="0"/>
              <w:right w:val="single" w:color="000000" w:sz="4" w:space="0"/>
            </w:tcBorders>
            <w:vAlign w:val="center"/>
          </w:tcPr>
          <w:p w14:paraId="284C8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3183E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6C0274B">
        <w:tblPrEx>
          <w:tblLayout w:type="fixed"/>
        </w:tblPrEx>
        <w:trPr>
          <w:trHeight w:val="4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399768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42" w:type="dxa"/>
            <w:tcBorders>
              <w:top w:val="single" w:color="000000" w:sz="4" w:space="0"/>
              <w:left w:val="single" w:color="000000" w:sz="4" w:space="0"/>
              <w:bottom w:val="single" w:color="000000" w:sz="4" w:space="0"/>
              <w:right w:val="single" w:color="000000" w:sz="4" w:space="0"/>
            </w:tcBorders>
            <w:vAlign w:val="center"/>
          </w:tcPr>
          <w:p w14:paraId="676DF6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咨询沙发茶几（2人位）</w:t>
            </w:r>
          </w:p>
        </w:tc>
        <w:tc>
          <w:tcPr>
            <w:tcW w:w="7620" w:type="dxa"/>
            <w:tcBorders>
              <w:top w:val="single" w:color="000000" w:sz="4" w:space="0"/>
              <w:left w:val="single" w:color="000000" w:sz="4" w:space="0"/>
              <w:bottom w:val="single" w:color="000000" w:sz="4" w:space="0"/>
              <w:right w:val="single" w:color="000000" w:sz="4" w:space="0"/>
            </w:tcBorders>
            <w:vAlign w:val="center"/>
          </w:tcPr>
          <w:p w14:paraId="7162AB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组成：1张圆桌、2把椅子，实木材质，参考桌面直径80CM、高75CM；参考椅子高73CM、一体成型靠背高34CM，外包棉麻面料、高密度海绵填充</w:t>
            </w:r>
          </w:p>
        </w:tc>
        <w:tc>
          <w:tcPr>
            <w:tcW w:w="409" w:type="dxa"/>
            <w:tcBorders>
              <w:top w:val="single" w:color="000000" w:sz="4" w:space="0"/>
              <w:left w:val="single" w:color="000000" w:sz="4" w:space="0"/>
              <w:bottom w:val="single" w:color="000000" w:sz="4" w:space="0"/>
              <w:right w:val="single" w:color="000000" w:sz="4" w:space="0"/>
            </w:tcBorders>
            <w:vAlign w:val="center"/>
          </w:tcPr>
          <w:p w14:paraId="2485E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232D01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6488F63">
        <w:tblPrEx>
          <w:tblLayout w:type="fixed"/>
        </w:tblPrEx>
        <w:trPr>
          <w:trHeight w:val="562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60B1F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742" w:type="dxa"/>
            <w:tcBorders>
              <w:top w:val="single" w:color="000000" w:sz="4" w:space="0"/>
              <w:left w:val="single" w:color="000000" w:sz="4" w:space="0"/>
              <w:bottom w:val="single" w:color="000000" w:sz="4" w:space="0"/>
              <w:right w:val="single" w:color="000000" w:sz="4" w:space="0"/>
            </w:tcBorders>
            <w:vAlign w:val="center"/>
          </w:tcPr>
          <w:p w14:paraId="4EA96D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体感音乐放松椅</w:t>
            </w:r>
          </w:p>
        </w:tc>
        <w:tc>
          <w:tcPr>
            <w:tcW w:w="7620" w:type="dxa"/>
            <w:tcBorders>
              <w:top w:val="single" w:color="000000" w:sz="4" w:space="0"/>
              <w:left w:val="single" w:color="000000" w:sz="4" w:space="0"/>
              <w:bottom w:val="single" w:color="000000" w:sz="4" w:space="0"/>
              <w:right w:val="single" w:color="000000" w:sz="4" w:space="0"/>
            </w:tcBorders>
            <w:vAlign w:val="center"/>
          </w:tcPr>
          <w:p w14:paraId="7B3249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1、包含但不限于自主放松、处方减压、自然乐库、自助释压等功能。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2、自主放松功能能提供即兴弹奏音乐（≥50个全音基本音级和≥30个半音变化音级）与即兴击打音乐（≥10个基本音级）。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处方减压功能包含但不限于：补充能量、感知呼吸、回溯过去、激发元气等α脑波处方；渐进放松、凝视放松、深度放松、数数放松等δ脑波处方；清理心情、想象放松、心灵沐雨、寻梦之旅等θ脑波处方，每个处方项目由引导语渐进转入脑波音乐，相互配合共同牵引进入放松减压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4、自然乐库功能含≥10种自然界动物声音、≥25种环境元素声音。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5、自助释压功能含≥35首α音乐资源，涵盖脑波音乐、五行音乐、放松音乐、冥想音乐等，配合轮播放松图片进行自助地释压。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6、拓展放松功能含≥15部呼吸训练、减压引导、正念指南、助眠指南视频，满足多数情景下的放松体验。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1、姿态控制系统：放松椅靠背、腿部联动电机控制，可通过手动按钮操作，控制面板带有≥2个5V2AUSB充电接口。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2、音乐单元：肩部内置两个全频高保真喇叭。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3、体感单元：背部与座部内置6个低频≥15W振子，整体振动功率≥90W。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功放系统:采用无线通讯，支持平板软件对放松椅控制，可控制音量强度、体感强度放松椅姿态控制，体感强度与音量强度大小可独立调整独立静音，当功放系统外接耳机时，放松椅全频喇叭静音，体感振子持续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5、采用高品质小牛皮包覆，与肌肤接触舒适。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6、尺寸：≥1000mm*900mm*1000mm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7、电容触摸平板1台：显示尺寸≥10英寸，分辨率≥1920×1200，运行内存≥4G，存储内存≥128G。</w:t>
            </w:r>
          </w:p>
        </w:tc>
        <w:tc>
          <w:tcPr>
            <w:tcW w:w="409" w:type="dxa"/>
            <w:tcBorders>
              <w:top w:val="single" w:color="000000" w:sz="4" w:space="0"/>
              <w:left w:val="single" w:color="000000" w:sz="4" w:space="0"/>
              <w:bottom w:val="single" w:color="000000" w:sz="4" w:space="0"/>
              <w:right w:val="single" w:color="000000" w:sz="4" w:space="0"/>
            </w:tcBorders>
            <w:vAlign w:val="center"/>
          </w:tcPr>
          <w:p w14:paraId="5FF221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25A962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8335C18">
        <w:tblPrEx>
          <w:tblLayout w:type="fixed"/>
        </w:tblPrEx>
        <w:trPr>
          <w:trHeight w:val="5832"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04246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742" w:type="dxa"/>
            <w:tcBorders>
              <w:top w:val="single" w:color="000000" w:sz="4" w:space="0"/>
              <w:left w:val="single" w:color="000000" w:sz="4" w:space="0"/>
              <w:bottom w:val="single" w:color="000000" w:sz="4" w:space="0"/>
              <w:right w:val="single" w:color="000000" w:sz="4" w:space="0"/>
            </w:tcBorders>
            <w:vAlign w:val="center"/>
          </w:tcPr>
          <w:p w14:paraId="194A8C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心理健康多维训练系统</w:t>
            </w:r>
          </w:p>
        </w:tc>
        <w:tc>
          <w:tcPr>
            <w:tcW w:w="7620" w:type="dxa"/>
            <w:tcBorders>
              <w:top w:val="single" w:color="000000" w:sz="4" w:space="0"/>
              <w:left w:val="single" w:color="000000" w:sz="4" w:space="0"/>
              <w:bottom w:val="single" w:color="000000" w:sz="4" w:space="0"/>
              <w:right w:val="single" w:color="000000" w:sz="4" w:space="0"/>
            </w:tcBorders>
            <w:vAlign w:val="center"/>
          </w:tcPr>
          <w:p w14:paraId="42B8DD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1、含趣味测试、专业测试。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★2、阅读材料包含但不限于人际交往、励志、情绪调节、自我成长四大类主题资源。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3、含电影赏析、科普动画、认识心理等视频资源。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4、包含但不限于古今中外专家、专有名词、心理学实验、心理效应等资源。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★5、包含但不限于不可能图、养生调理、多视图片、情感交往类、视觉后像、错觉图片、似动图片、双关图片、家庭教育类、社会公德类、认知提升类等心理图库。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6、包含但不限于心灵电台、放松音乐、正念冥想等功能模块。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7、可通过单一指夹传感器实时采集脉搏（包含实时波形、心跳频率、灌注指数）、血氧指数、呼吸频率三通道的生理指标，生理指标采集完成后可自动分析，生成健康检测报告。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8、含趣味互动游戏，击打、弹奏音乐等。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★9、包含但不限于爱心类、欢乐类、激励类、家庭类、建筑类、美景类、幽默类、友善类等绘画交互练习。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10、包含但不限于唤醒激发、自助平衡、整合统一等绘画练习。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11、含意向绘画练习。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★12、包含但不限于人物、交通、建筑、动物、植物、自然、军事、家居等类别沙具。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13、可进行沙具呈现、换沙标记、画水清除、文本标记、沙具缩放、沙具扭转、天气转换（包含雨、雪、阴、晴）、记录、说明、分析（生成报告）等沙盘操作。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★14、可以不断清除代表负面情绪的自由落体情绪头像（包含紧张、猜疑、愤怒、嘲讽、失落、悲伤、疲惫、欺辱等），达到宣泄、释放的目的。二、产品配置：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1、一级冷轧钢板，喷塑工艺，茶几式外形设计,尺寸720mm×1000mm×500mm。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2、内嵌电容触摸终端1套：显示尺寸32英寸，分辨率1920×1080，运行内存4G，存储内存32G。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3、指夹式健康检测传感器一个。</w:t>
            </w:r>
          </w:p>
        </w:tc>
        <w:tc>
          <w:tcPr>
            <w:tcW w:w="409" w:type="dxa"/>
            <w:tcBorders>
              <w:top w:val="single" w:color="000000" w:sz="4" w:space="0"/>
              <w:left w:val="single" w:color="000000" w:sz="4" w:space="0"/>
              <w:bottom w:val="single" w:color="000000" w:sz="4" w:space="0"/>
              <w:right w:val="single" w:color="000000" w:sz="4" w:space="0"/>
            </w:tcBorders>
            <w:vAlign w:val="center"/>
          </w:tcPr>
          <w:p w14:paraId="2C976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478C00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0CB76CE">
        <w:tblPrEx>
          <w:tblLayout w:type="fixed"/>
        </w:tblPrEx>
        <w:trPr>
          <w:trHeight w:val="2933"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0B622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742" w:type="dxa"/>
            <w:tcBorders>
              <w:top w:val="single" w:color="000000" w:sz="4" w:space="0"/>
              <w:left w:val="single" w:color="000000" w:sz="4" w:space="0"/>
              <w:bottom w:val="single" w:color="000000" w:sz="4" w:space="0"/>
              <w:right w:val="single" w:color="000000" w:sz="4" w:space="0"/>
            </w:tcBorders>
            <w:vAlign w:val="center"/>
          </w:tcPr>
          <w:p w14:paraId="020E80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智能拥抱放松系统</w:t>
            </w:r>
          </w:p>
        </w:tc>
        <w:tc>
          <w:tcPr>
            <w:tcW w:w="7620" w:type="dxa"/>
            <w:tcBorders>
              <w:top w:val="single" w:color="000000" w:sz="4" w:space="0"/>
              <w:left w:val="single" w:color="000000" w:sz="4" w:space="0"/>
              <w:bottom w:val="single" w:color="000000" w:sz="4" w:space="0"/>
              <w:right w:val="single" w:color="000000" w:sz="4" w:space="0"/>
            </w:tcBorders>
            <w:vAlign w:val="center"/>
          </w:tcPr>
          <w:p w14:paraId="154F7C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1、采用卡通吉祥物造型设计，可帮助来访者快速放松、舒缓情绪。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2、高度≥1.8米，符合人体高度设计。采用环保工艺，选用安全舒适面料。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3、低电压运营，可有效保护来访者的用电安全。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4、通过拥抱，可有效的识别来访者的肢体行为，通过主动语言沟通，让来访者放松心境。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5、可以同来访者进行有效的心理引导与疏通，心理引导模块采用人工智能原理对宣泄者行为进行分析，通过故事、放松引导沟等引导来访者放松释压。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6、多点拥抱触摸，通过不同部位的拥抱，引导语智能反馈可给予不同的语音互动。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7、来访者通过拥抱方式，得到精神抚慰，进行真实有效的情绪释放。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8、内置不同心理拥抱疏导语，音量大小可自主调节。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9、AI智能问答功能：采用智能语音识别技术，来访者可通过语音方式发起语音咨询互动，系统可对来访者语音予以智能识别，以语音回复。</w:t>
            </w:r>
          </w:p>
        </w:tc>
        <w:tc>
          <w:tcPr>
            <w:tcW w:w="409" w:type="dxa"/>
            <w:tcBorders>
              <w:top w:val="single" w:color="000000" w:sz="4" w:space="0"/>
              <w:left w:val="single" w:color="000000" w:sz="4" w:space="0"/>
              <w:bottom w:val="single" w:color="000000" w:sz="4" w:space="0"/>
              <w:right w:val="single" w:color="000000" w:sz="4" w:space="0"/>
            </w:tcBorders>
            <w:vAlign w:val="center"/>
          </w:tcPr>
          <w:p w14:paraId="67D18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05F89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6D7B7DE">
        <w:tblPrEx>
          <w:tblLayout w:type="fixed"/>
        </w:tblPrEx>
        <w:trPr>
          <w:trHeight w:val="9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09A4C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42" w:type="dxa"/>
            <w:tcBorders>
              <w:top w:val="single" w:color="000000" w:sz="4" w:space="0"/>
              <w:left w:val="single" w:color="000000" w:sz="4" w:space="0"/>
              <w:bottom w:val="single" w:color="000000" w:sz="4" w:space="0"/>
              <w:right w:val="single" w:color="000000" w:sz="4" w:space="0"/>
            </w:tcBorders>
            <w:vAlign w:val="center"/>
          </w:tcPr>
          <w:p w14:paraId="69BD14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多模态训练系统</w:t>
            </w:r>
          </w:p>
        </w:tc>
        <w:tc>
          <w:tcPr>
            <w:tcW w:w="7620" w:type="dxa"/>
            <w:tcBorders>
              <w:top w:val="single" w:color="000000" w:sz="4" w:space="0"/>
              <w:left w:val="single" w:color="000000" w:sz="4" w:space="0"/>
              <w:bottom w:val="single" w:color="000000" w:sz="4" w:space="0"/>
              <w:right w:val="single" w:color="000000" w:sz="4" w:space="0"/>
            </w:tcBorders>
            <w:vAlign w:val="center"/>
          </w:tcPr>
          <w:p w14:paraId="431D5E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运用生物反馈和心理调适技术，集脑电，脉搏血氧和呼吸等生理指标监控检测、压力与情绪评估、身心状态调节、情绪稳定性训练等多模态心理调控训练。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1、生理心理数据检测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腕部生物反馈仪进行静态生理心理检测。反应实时的生理心理指标，包含但不限于心率，血氧数值，灌注指数，压力指数，疲劳指数，焦虑抑郁指数等并生成HRV分析（时域分析不少于RR间期图，直方图，RR间期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值、RMSSD、CV、SDSD、SDNN、NN50、PNN50、DRR等)，HRV频域指标(功率谱密度图，VL、LF、HF的能量分布图，分线性分析散点图。TP、VLF、LF、HF、LF/HF、LFnorm、Hfnorm等），精神压力分析，自主神经系统分析，微血管分析的详细图文版报告，能够以文件形式导出；通过额头脑电头带采集受试者的双路脑电波，分析实时的专注度、放松度和双脑平衡性；通过腹部呼吸设备采集受试者的呼吸率，可生成报告，并可根据检测结果智能推荐训练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2、智能评估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★对所监测的生理心理数据通过包含但不限于间期图、直方图、功率谱密度图、散点图等进行多维度分析并给出报告，并对报告中的结论给出解释和建议，评估内容包含但不限于：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（1）通过时域分析、频域分析、非线性分析等进行精确的HRV数据。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（2）精神压力分析：通过数据对压力指数、抗压指数、情绪指数、疲劳指数等进行智能判定。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（3）自主神经分析：通过数据对焦虑指数、抑郁指数、自主神经活性、自主神经平衡性方面进行智能判定。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（4）微血管分析：通过数据对血管的K值、血管年龄及血管阶段进行医学上的分析。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（5）脑电波分析：通过数据对专注度、放松度和双脑平衡性进行分析及结果的判定。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（6）呼吸率分析：通过呼吸设备获取呼吸率。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3、测评中心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★包含心理健康评估（SCL-90）、抑郁评估（SDS）、焦虑评估（SAS）和睡眠评估（PSQI）四个评估模块。可生成报告并可导出。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4、训练中心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★包含缓解焦虑、抑郁疗愈、缓解疲劳、心理减压、专注提升、改善睡眠和放松训练等调养项目，调节页面有调节模块对应的视频及调节模块对应的调节指标波形趋势图显示。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5、报告中心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所有检测或训练都可以生成报告，保存在报告中心，包含检测报告模块、训练模块及量表报告模块。可直接观看也可生成报告再行查看。管理员可查看所有测试者的报告信息，基于保密情况，非管理员只能查看自己的报告，系统自带查询功能，可通过输入用户名进行报告的查询。可删除不需要的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6、用户中心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用户管理页面需要管理员账号去对所有的客户进行管理，包括个人信息修改和删除。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1、触摸终端：显示尺寸≥10英寸，分辨率≥1920×1200，运行内存≥4G，存储内存≥128G。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腕部手环穿戴式生理指标检测仪:蓝牙数据传输，腕部穿戴式设计，可以检测以下生理指标：皮电指数、皮导指数；血管弹性分析指标;血氧数值；心率；双波长(红外、红光)的脉搏波形；血流灌注指数；HRV变异曲线图；自主神经平衡度、活性，HRV时域指标(RR间期均值、RMSSD、CV、SDSD、SDNN、NN50、PNN50、DRR等)，HRV频域指标(TP、VLF、LF、HF、LF/HF、LFnorm、Hfnorm等)，精神压力分析指标(身体抗压能力、身体疲劳状态、精神压力状态、精神情绪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3、脑部头带生理指标检测仪:蓝牙数据传输，额头穿戴式设计，双通道脑电波，可以检测以下生理指标：专注度、放松度。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4、下腹部呼吸带生理指标检测仪:蓝牙数据传输，下腹部穿戴式设计，可以检测呼吸率等生理指标。</w:t>
            </w:r>
          </w:p>
        </w:tc>
        <w:tc>
          <w:tcPr>
            <w:tcW w:w="409" w:type="dxa"/>
            <w:tcBorders>
              <w:top w:val="single" w:color="000000" w:sz="4" w:space="0"/>
              <w:left w:val="single" w:color="000000" w:sz="4" w:space="0"/>
              <w:bottom w:val="single" w:color="000000" w:sz="4" w:space="0"/>
              <w:right w:val="single" w:color="000000" w:sz="4" w:space="0"/>
            </w:tcBorders>
            <w:vAlign w:val="center"/>
          </w:tcPr>
          <w:p w14:paraId="34AE0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6D7DD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B981FCC">
        <w:tblPrEx>
          <w:tblLayout w:type="fixed"/>
        </w:tblPrEx>
        <w:trPr>
          <w:trHeight w:val="4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38FF84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742" w:type="dxa"/>
            <w:tcBorders>
              <w:top w:val="single" w:color="000000" w:sz="4" w:space="0"/>
              <w:left w:val="single" w:color="000000" w:sz="4" w:space="0"/>
              <w:bottom w:val="single" w:color="000000" w:sz="4" w:space="0"/>
              <w:right w:val="single" w:color="000000" w:sz="4" w:space="0"/>
            </w:tcBorders>
            <w:vAlign w:val="center"/>
          </w:tcPr>
          <w:p w14:paraId="2140BC0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接待沙发</w:t>
            </w:r>
          </w:p>
        </w:tc>
        <w:tc>
          <w:tcPr>
            <w:tcW w:w="7620" w:type="dxa"/>
            <w:tcBorders>
              <w:top w:val="single" w:color="000000" w:sz="4" w:space="0"/>
              <w:left w:val="single" w:color="000000" w:sz="4" w:space="0"/>
              <w:bottom w:val="single" w:color="000000" w:sz="4" w:space="0"/>
              <w:right w:val="single" w:color="000000" w:sz="4" w:space="0"/>
            </w:tcBorders>
            <w:vAlign w:val="center"/>
          </w:tcPr>
          <w:p w14:paraId="673CA8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商务接待沙发，尺寸：3人位，高密度海绵，颐达面料，耐磨西皮，实木框架。茶几：木质板材或石英石面材。</w:t>
            </w:r>
          </w:p>
        </w:tc>
        <w:tc>
          <w:tcPr>
            <w:tcW w:w="409" w:type="dxa"/>
            <w:tcBorders>
              <w:top w:val="single" w:color="000000" w:sz="4" w:space="0"/>
              <w:left w:val="single" w:color="000000" w:sz="4" w:space="0"/>
              <w:bottom w:val="single" w:color="000000" w:sz="4" w:space="0"/>
              <w:right w:val="single" w:color="000000" w:sz="4" w:space="0"/>
            </w:tcBorders>
            <w:vAlign w:val="center"/>
          </w:tcPr>
          <w:p w14:paraId="7FF25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21FF0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71BB38B">
        <w:tblPrEx>
          <w:tblLayout w:type="fixed"/>
        </w:tblPrEx>
        <w:trPr>
          <w:trHeight w:val="787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5B8B14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742" w:type="dxa"/>
            <w:tcBorders>
              <w:top w:val="single" w:color="000000" w:sz="4" w:space="0"/>
              <w:left w:val="single" w:color="000000" w:sz="4" w:space="0"/>
              <w:bottom w:val="single" w:color="000000" w:sz="4" w:space="0"/>
              <w:right w:val="single" w:color="000000" w:sz="4" w:space="0"/>
            </w:tcBorders>
            <w:vAlign w:val="center"/>
          </w:tcPr>
          <w:p w14:paraId="057186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数字沙盘系统</w:t>
            </w:r>
          </w:p>
        </w:tc>
        <w:tc>
          <w:tcPr>
            <w:tcW w:w="7620" w:type="dxa"/>
            <w:tcBorders>
              <w:top w:val="single" w:color="000000" w:sz="4" w:space="0"/>
              <w:left w:val="single" w:color="000000" w:sz="4" w:space="0"/>
              <w:bottom w:val="single" w:color="000000" w:sz="4" w:space="0"/>
              <w:right w:val="single" w:color="000000" w:sz="4" w:space="0"/>
            </w:tcBorders>
            <w:vAlign w:val="center"/>
          </w:tcPr>
          <w:p w14:paraId="47B9E2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★1、无需注册，输入来访者基本信息即可登录。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2、包含但不限于人物、动物、植物、交通工具、建筑物、家居生活、食物、自然、矿物、军事等≥10大类沙具。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对选中的沙具进行包含但不限于如下操作：水平移动、上升下沉、前俯后仰、右右旋转、左摇右摆、旋转复位、整体缩放、水平缩放、左右缩放、上下缩放、前后缩放、缩放复原、复制一个、面对面镜像、背对背镜像、排队复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4、可对沙具多选、全选，可单独选中一个沙具删除，可选择多个沙具全部删除。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5、可进行挖沙、堆沙、平整，可选择沙子颜色，可进行复位操作。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6、提供陆地、海洋两种类型的沙盘。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7、可从普通，水平，竖直角度调节沙盘视图方向。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8、沙盘可自由旋转不同角度，可前、后、左、右多个方向观察。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9、可选择包含但不限于晴天、雪天、雨天、多云、雷电、落叶、落花等沙盘场景。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★10、可在完成沙具摆放后，或者在进行过程中，对沙盘保存、重新开始、退出等操作。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★11、注册人员管理可显示所有用户信息，包括用户id、姓名、学号、班级、注册日期等。管理员可以对用户信息进行编辑、删除。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★12、显示所有完成的沙盘游戏数据，包括沙游id、用户名、学号、沙游缩略图、沙游标题、沙游描述、完成时间等内容，可以回放、查看报告、编辑报告。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★13、可多视角观察沙盘游戏结果、沙盘游戏放大缩小、设置沙盘功能区域网格（田字格、九宫格）、沙盘游戏过程的回放暂停、倍速、自由拖动播放进度条、重播、退出等功能模块。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14、可查找、添加、导出管理员信息，并对管理员信息编辑、删除等操作。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★15、可添加不同的系统角色，对不同的角色进行编辑、删除、授权等操作。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1、一级冷轧钢板，喷塑工艺，茶几式外形设计,四面氛围灯光显示，尺寸≥720mm×1100mm×600mm。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2、电容触摸终端1台：显示尺寸≥42英寸，分辨率≥1920×1080，触摸类型≥10点触摸，处理器≥i5，内存≥8G，固态硬盘≥128G，独立显卡≥GT1030。</w:t>
            </w:r>
          </w:p>
        </w:tc>
        <w:tc>
          <w:tcPr>
            <w:tcW w:w="409" w:type="dxa"/>
            <w:tcBorders>
              <w:top w:val="single" w:color="000000" w:sz="4" w:space="0"/>
              <w:left w:val="single" w:color="000000" w:sz="4" w:space="0"/>
              <w:bottom w:val="single" w:color="000000" w:sz="4" w:space="0"/>
              <w:right w:val="single" w:color="000000" w:sz="4" w:space="0"/>
            </w:tcBorders>
            <w:vAlign w:val="center"/>
          </w:tcPr>
          <w:p w14:paraId="73B2C8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4E4A3D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2AB7256">
        <w:tblPrEx>
          <w:tblLayout w:type="fixed"/>
        </w:tblPrEx>
        <w:trPr>
          <w:trHeight w:val="360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66AE8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742" w:type="dxa"/>
            <w:tcBorders>
              <w:top w:val="single" w:color="000000" w:sz="4" w:space="0"/>
              <w:left w:val="single" w:color="000000" w:sz="4" w:space="0"/>
              <w:bottom w:val="single" w:color="000000" w:sz="4" w:space="0"/>
              <w:right w:val="single" w:color="000000" w:sz="4" w:space="0"/>
            </w:tcBorders>
            <w:vAlign w:val="center"/>
          </w:tcPr>
          <w:p w14:paraId="6FCBC6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沙盘游戏活动套装</w:t>
            </w:r>
          </w:p>
        </w:tc>
        <w:tc>
          <w:tcPr>
            <w:tcW w:w="7620" w:type="dxa"/>
            <w:tcBorders>
              <w:top w:val="single" w:color="000000" w:sz="4" w:space="0"/>
              <w:left w:val="single" w:color="000000" w:sz="4" w:space="0"/>
              <w:bottom w:val="single" w:color="000000" w:sz="4" w:space="0"/>
              <w:right w:val="single" w:color="000000" w:sz="4" w:space="0"/>
            </w:tcBorders>
            <w:vAlign w:val="center"/>
          </w:tcPr>
          <w:p w14:paraId="2797D9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1、标准沙盘1套：内侧尺寸≥720×570×70mm，边厚≥17mm，总高度≥680mm，采用全实木材质，海蓝色设计，表面光滑不伤手，耐磨不掉色，底部安装防滑处理，上下分体式安装，便于移动和搬运。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2、团体沙盘1套：内侧尺寸1010*1010*80mm，边厚17mm，总高度≥690mm,采用全实木材质，海蓝色设计，表面光滑不伤手，耐磨不掉色，底部安装防滑处理，上下分体式安装，便于移动和搬运。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3、沙具摆放柜4套：尺寸≥1600×1200×300mm，5层9阶设计，充分满足不同类别沙具按不同阶层分类摆放的要求，便于来访者清晰地看到全部沙具，采用全实木材质，结构稳定大方，天然木纹色。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4、沙具≥2400个：包括人物、动物、植物、建筑物、食品果实、家具生活用品、交通工具、自然景观、宗教等18大类及若干次类别，材质采用树脂、陶瓷、ABS工程塑料等。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5、沙子≥50kg：天然专用海沙或石英砂。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6、沙盘辅助工具2套：包括沙耙、沙刷、沙铲、沙桶、水壶，可用于选取沙具，盛放、移动沙子或清水；标准皮蹲不少于4个。</w:t>
            </w:r>
          </w:p>
        </w:tc>
        <w:tc>
          <w:tcPr>
            <w:tcW w:w="409" w:type="dxa"/>
            <w:tcBorders>
              <w:top w:val="single" w:color="000000" w:sz="4" w:space="0"/>
              <w:left w:val="single" w:color="000000" w:sz="4" w:space="0"/>
              <w:bottom w:val="single" w:color="000000" w:sz="4" w:space="0"/>
              <w:right w:val="single" w:color="000000" w:sz="4" w:space="0"/>
            </w:tcBorders>
            <w:vAlign w:val="center"/>
          </w:tcPr>
          <w:p w14:paraId="6E290F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5D7F0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08FC09D2">
        <w:tblPrEx>
          <w:tblLayout w:type="fixed"/>
        </w:tblPrEx>
        <w:trPr>
          <w:trHeight w:val="27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79C78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742" w:type="dxa"/>
            <w:tcBorders>
              <w:top w:val="single" w:color="000000" w:sz="4" w:space="0"/>
              <w:left w:val="single" w:color="000000" w:sz="4" w:space="0"/>
              <w:bottom w:val="single" w:color="000000" w:sz="4" w:space="0"/>
              <w:right w:val="single" w:color="000000" w:sz="4" w:space="0"/>
            </w:tcBorders>
            <w:vAlign w:val="center"/>
          </w:tcPr>
          <w:p w14:paraId="4106CD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鞋套盒</w:t>
            </w:r>
          </w:p>
        </w:tc>
        <w:tc>
          <w:tcPr>
            <w:tcW w:w="7620" w:type="dxa"/>
            <w:tcBorders>
              <w:top w:val="single" w:color="000000" w:sz="4" w:space="0"/>
              <w:left w:val="single" w:color="000000" w:sz="4" w:space="0"/>
              <w:bottom w:val="single" w:color="000000" w:sz="4" w:space="0"/>
              <w:right w:val="single" w:color="000000" w:sz="4" w:space="0"/>
            </w:tcBorders>
            <w:vAlign w:val="center"/>
          </w:tcPr>
          <w:p w14:paraId="350264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室内一次性鞋套盒</w:t>
            </w:r>
          </w:p>
        </w:tc>
        <w:tc>
          <w:tcPr>
            <w:tcW w:w="409" w:type="dxa"/>
            <w:tcBorders>
              <w:top w:val="single" w:color="000000" w:sz="4" w:space="0"/>
              <w:left w:val="single" w:color="000000" w:sz="4" w:space="0"/>
              <w:bottom w:val="single" w:color="000000" w:sz="4" w:space="0"/>
              <w:right w:val="single" w:color="000000" w:sz="4" w:space="0"/>
            </w:tcBorders>
            <w:vAlign w:val="center"/>
          </w:tcPr>
          <w:p w14:paraId="52A57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0B2E5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r>
      <w:tr w14:paraId="6C870942">
        <w:tblPrEx>
          <w:tblLayout w:type="fixed"/>
        </w:tblPrEx>
        <w:trPr>
          <w:trHeight w:val="697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17CB2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742" w:type="dxa"/>
            <w:tcBorders>
              <w:top w:val="single" w:color="000000" w:sz="4" w:space="0"/>
              <w:left w:val="single" w:color="000000" w:sz="4" w:space="0"/>
              <w:bottom w:val="single" w:color="000000" w:sz="4" w:space="0"/>
              <w:right w:val="single" w:color="000000" w:sz="4" w:space="0"/>
            </w:tcBorders>
            <w:vAlign w:val="center"/>
          </w:tcPr>
          <w:p w14:paraId="458B6B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多维按摩脉搏反馈调适设备</w:t>
            </w:r>
          </w:p>
        </w:tc>
        <w:tc>
          <w:tcPr>
            <w:tcW w:w="7620" w:type="dxa"/>
            <w:tcBorders>
              <w:top w:val="single" w:color="000000" w:sz="4" w:space="0"/>
              <w:left w:val="single" w:color="000000" w:sz="4" w:space="0"/>
              <w:bottom w:val="single" w:color="000000" w:sz="4" w:space="0"/>
              <w:right w:val="single" w:color="000000" w:sz="4" w:space="0"/>
            </w:tcBorders>
            <w:vAlign w:val="center"/>
          </w:tcPr>
          <w:p w14:paraId="4CE284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★1、管理员权限包括用户管理、报告管理、图表管理、系统管理、健康检测、呼吸训练、调养中心等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2、普通用户权限包括报告管理、健康检测、呼吸训练、调养中心等。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3、可以新增、修改、删除、查询普通用户账号信息。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4、可以查询、删除用户历史报告信息。可以排序、导出用户历史报告信息。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★5、管理员账号可查看所有用户健康检测历史指数信息，包括压力指数、疲劳指数、情绪指数、稳定指数折线图等。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6、可使用管理员账号管理普通用户账号系统权限信息，包括当前报告查看权限、历史报告查看权限等。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7、含有脉搏数据检测，可以查看健康检测项目信息，包括CV、DRR、RMSSD、SDSD等。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★8、呼吸训练功包含实物辅助训练、鼻腔呼吸训练等。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★9、调养中心包含但不限于肌肉放松、想象放松、精力恢复、消除焦虑等。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★10、包含多种自然场景及冥想引导放松项目（不少于10种）。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★11、可管理冥想释压项目，包含但不限于引导视频、同步检测、分析脉搏数据等。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12、包含但不限于五行音乐、放松音乐、冥想音乐等音乐调适项目。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1、放松椅靠背、腿部联动电机控制，可一键零重力、一键姿态复位功能，支持软件系统控制与手持有线控制器两种控制模式。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2、肩部内置两个全频高保真喇叭。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3、内置音乐随动系统，包括信号放大系统和25W次声体感振动器。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4、采用SL型长行程导轨与按摩球的智能机芯，全身多组按摩气囊，配合足底按摩滚轮、腰部红外加热。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5、采用高品质超纤皮包覆。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6、放松抱枕毯：整体尺寸40mm×40mm，放开尺寸1200mm×1500m。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7、电容触摸平板1台：显示尺寸≥10英寸，分辨率≥1920×1200，运行内存≥4G，存储内存≥128G。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8、生物传感器一套：指夹、USB采集器。</w:t>
            </w:r>
          </w:p>
        </w:tc>
        <w:tc>
          <w:tcPr>
            <w:tcW w:w="409" w:type="dxa"/>
            <w:tcBorders>
              <w:top w:val="single" w:color="000000" w:sz="4" w:space="0"/>
              <w:left w:val="single" w:color="000000" w:sz="4" w:space="0"/>
              <w:bottom w:val="single" w:color="000000" w:sz="4" w:space="0"/>
              <w:right w:val="single" w:color="000000" w:sz="4" w:space="0"/>
            </w:tcBorders>
            <w:vAlign w:val="center"/>
          </w:tcPr>
          <w:p w14:paraId="5F90F7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7AA448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E64DDFE">
        <w:tblPrEx>
          <w:tblLayout w:type="fixed"/>
        </w:tblPrEx>
        <w:trPr>
          <w:trHeight w:val="819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39B09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742" w:type="dxa"/>
            <w:tcBorders>
              <w:top w:val="single" w:color="000000" w:sz="4" w:space="0"/>
              <w:left w:val="single" w:color="000000" w:sz="4" w:space="0"/>
              <w:bottom w:val="single" w:color="000000" w:sz="4" w:space="0"/>
              <w:right w:val="single" w:color="000000" w:sz="4" w:space="0"/>
            </w:tcBorders>
            <w:vAlign w:val="center"/>
          </w:tcPr>
          <w:p w14:paraId="4D8911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智能身心减压调养舱</w:t>
            </w:r>
          </w:p>
        </w:tc>
        <w:tc>
          <w:tcPr>
            <w:tcW w:w="7620" w:type="dxa"/>
            <w:tcBorders>
              <w:top w:val="single" w:color="000000" w:sz="4" w:space="0"/>
              <w:left w:val="single" w:color="000000" w:sz="4" w:space="0"/>
              <w:bottom w:val="single" w:color="000000" w:sz="4" w:space="0"/>
              <w:right w:val="single" w:color="000000" w:sz="4" w:space="0"/>
            </w:tcBorders>
            <w:vAlign w:val="center"/>
          </w:tcPr>
          <w:p w14:paraId="6CA585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1、包含但不限于呼吸训练、精力恢复、消除焦虑、激发活力、催眠释压、深度减压、身心合一、自主调养、健康检测等模块。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2、系统侧边栏可展开或隐藏，侧边栏中的按键能对调养舱所有功能实现控制，包括头罩姿态控制、靠背姿态控制、加热开关、足疗开关等。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3、身心检测功能具有精确的脉搏数据检测，快速准确地评估身心健康状况并给出评价建议。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4、检测时实时显示脉搏波。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5、通过USB有线脉搏采集器三分钟(通过设置中心设定)快速展示测试者的心率、稳定指数、抗压能力和自主神经等数值，脉搏波波形图及HRV折线图在测试过程中会展示实时数据及动态图表。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可通过检测时间查询检测报告列表，查看检测报告详情，包含用户基本信息（用户名、性别、年龄等信息），检测日期、训练时长、平均心率、检测指标（包括间期均值、相邻RR间期差的均方根、间期变异系数、相邻RR间期差的标准差、间期标准差、PNN50、间期极差、PNN50%、RR间期图等）、精神压力、自主神经、检测参数评价与建议。检测报告可以导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7、可通过用户名检索某用户的图表，也可查看全部。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8、调养项目可自由选择男、女声引导语，针对不同环境、不同场合下的放松需求。训练项目内显示同步实时心率与专注意数值。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9、皮垫下内置红外热疗发生装置，可促进血液循环和微循环。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10、智能软件操控，无需放松舱控制手柄。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11、采用≥30组全息气囊包覆进行气压按摩，促进血液循环，放松肌肉，消除疲劳。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12、调养项目针对太空舱按摩程序、脑波灯牵引程序一体化封装，一键进入任一调养项目，太空舱随即联动动作，自动展开姿态调整、音乐播放、脑波牵引等工作。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二、产品配置：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1、流线型电动抗干扰头罩，可任意调整闭合角度，最大角度下基本与外界环境全隔离，营造良好、客观、安静的放松氛围。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2、脑波灯单元采用1Hz至14Hz闪烁频率，可进行δ、θ、α、β脑波牵引。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3、肩部内置两个全频高保真喇叭。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4、臀部内置≥25W次声体感振动器。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5、柔性按摩机芯，以揉捏、叩击、指压、拍打等多种按摩手法，深入筋膜、穴位和肌肉，深层梳理，快速放松肌肉。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6、按摩气囊覆盖小腿两侧及脚面周边，足底可进行滚轮刮痧按摩，针对足底穴位进行有效地放松，腰背设置红外加热功能。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7、采用高品质超纤皮包覆。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8、放松抱枕毯：整体尺寸40mm×40mm，放开尺寸1200mm×1500mm。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9、白色移动式操作台车1套：定制ABS材质，台车底部安装可锁式万向轮。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10、一体机1台：显示尺寸≥21.5英寸；分辨率≥1920(H)×1080（V）；运行内存≥4G；存储内存≥32G。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11、生物传感器一套：指夹、USB采集器。</w:t>
            </w:r>
          </w:p>
        </w:tc>
        <w:tc>
          <w:tcPr>
            <w:tcW w:w="409" w:type="dxa"/>
            <w:tcBorders>
              <w:top w:val="single" w:color="000000" w:sz="4" w:space="0"/>
              <w:left w:val="single" w:color="000000" w:sz="4" w:space="0"/>
              <w:bottom w:val="single" w:color="000000" w:sz="4" w:space="0"/>
              <w:right w:val="single" w:color="000000" w:sz="4" w:space="0"/>
            </w:tcBorders>
            <w:vAlign w:val="center"/>
          </w:tcPr>
          <w:p w14:paraId="1231E7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79620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F24F2C0">
        <w:tblPrEx>
          <w:tblLayout w:type="fixed"/>
        </w:tblPrEx>
        <w:trPr>
          <w:trHeight w:val="67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42BF0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742" w:type="dxa"/>
            <w:tcBorders>
              <w:top w:val="single" w:color="000000" w:sz="4" w:space="0"/>
              <w:left w:val="single" w:color="000000" w:sz="4" w:space="0"/>
              <w:bottom w:val="single" w:color="000000" w:sz="4" w:space="0"/>
              <w:right w:val="single" w:color="000000" w:sz="4" w:space="0"/>
            </w:tcBorders>
            <w:vAlign w:val="center"/>
          </w:tcPr>
          <w:p w14:paraId="4F77BD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休息坐凳</w:t>
            </w:r>
          </w:p>
        </w:tc>
        <w:tc>
          <w:tcPr>
            <w:tcW w:w="7620" w:type="dxa"/>
            <w:tcBorders>
              <w:top w:val="single" w:color="000000" w:sz="4" w:space="0"/>
              <w:left w:val="single" w:color="000000" w:sz="4" w:space="0"/>
              <w:bottom w:val="single" w:color="000000" w:sz="4" w:space="0"/>
              <w:right w:val="single" w:color="000000" w:sz="4" w:space="0"/>
            </w:tcBorders>
            <w:vAlign w:val="center"/>
          </w:tcPr>
          <w:p w14:paraId="15C3C8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人体工学，承重力强，回弹性强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尺寸：400mm*400mm*2000mm长，高 密度海绵，多层板框架，优质PU皮， 颜色可选。</w:t>
            </w:r>
          </w:p>
        </w:tc>
        <w:tc>
          <w:tcPr>
            <w:tcW w:w="409" w:type="dxa"/>
            <w:tcBorders>
              <w:top w:val="single" w:color="000000" w:sz="4" w:space="0"/>
              <w:left w:val="single" w:color="000000" w:sz="4" w:space="0"/>
              <w:bottom w:val="single" w:color="000000" w:sz="4" w:space="0"/>
              <w:right w:val="single" w:color="000000" w:sz="4" w:space="0"/>
            </w:tcBorders>
            <w:vAlign w:val="center"/>
          </w:tcPr>
          <w:p w14:paraId="607D35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79E54A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E2CE8B6">
        <w:tblPrEx>
          <w:tblLayout w:type="fixed"/>
        </w:tblPrEx>
        <w:trPr>
          <w:trHeight w:val="4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37E217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742" w:type="dxa"/>
            <w:tcBorders>
              <w:top w:val="single" w:color="000000" w:sz="4" w:space="0"/>
              <w:left w:val="single" w:color="000000" w:sz="4" w:space="0"/>
              <w:bottom w:val="single" w:color="000000" w:sz="4" w:space="0"/>
              <w:right w:val="single" w:color="000000" w:sz="4" w:space="0"/>
            </w:tcBorders>
            <w:vAlign w:val="center"/>
          </w:tcPr>
          <w:p w14:paraId="20EFEF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宣泄地板</w:t>
            </w:r>
          </w:p>
        </w:tc>
        <w:tc>
          <w:tcPr>
            <w:tcW w:w="7620" w:type="dxa"/>
            <w:tcBorders>
              <w:top w:val="single" w:color="000000" w:sz="4" w:space="0"/>
              <w:left w:val="single" w:color="000000" w:sz="4" w:space="0"/>
              <w:bottom w:val="single" w:color="000000" w:sz="4" w:space="0"/>
              <w:right w:val="single" w:color="000000" w:sz="4" w:space="0"/>
            </w:tcBorders>
            <w:vAlign w:val="center"/>
          </w:tcPr>
          <w:p w14:paraId="37C9AF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尺寸不小于1000*1000*25mm，高密度，高弹性，高防护性能，带斜纹，强度更高。</w:t>
            </w:r>
          </w:p>
        </w:tc>
        <w:tc>
          <w:tcPr>
            <w:tcW w:w="409" w:type="dxa"/>
            <w:tcBorders>
              <w:top w:val="single" w:color="000000" w:sz="4" w:space="0"/>
              <w:left w:val="single" w:color="000000" w:sz="4" w:space="0"/>
              <w:bottom w:val="single" w:color="000000" w:sz="4" w:space="0"/>
              <w:right w:val="single" w:color="000000" w:sz="4" w:space="0"/>
            </w:tcBorders>
            <w:vAlign w:val="center"/>
          </w:tcPr>
          <w:p w14:paraId="0C669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2" w:type="dxa"/>
            <w:tcBorders>
              <w:top w:val="single" w:color="000000" w:sz="4" w:space="0"/>
              <w:left w:val="single" w:color="000000" w:sz="4" w:space="0"/>
              <w:bottom w:val="single" w:color="000000" w:sz="4" w:space="0"/>
              <w:right w:val="single" w:color="000000" w:sz="4" w:space="0"/>
            </w:tcBorders>
            <w:vAlign w:val="center"/>
          </w:tcPr>
          <w:p w14:paraId="624369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r>
      <w:tr w14:paraId="590F94E9">
        <w:tblPrEx>
          <w:tblLayout w:type="fixed"/>
        </w:tblPrEx>
        <w:trPr>
          <w:trHeight w:val="67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38B0B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742" w:type="dxa"/>
            <w:tcBorders>
              <w:top w:val="single" w:color="000000" w:sz="4" w:space="0"/>
              <w:left w:val="single" w:color="000000" w:sz="4" w:space="0"/>
              <w:bottom w:val="single" w:color="000000" w:sz="4" w:space="0"/>
              <w:right w:val="single" w:color="000000" w:sz="4" w:space="0"/>
            </w:tcBorders>
            <w:vAlign w:val="center"/>
          </w:tcPr>
          <w:p w14:paraId="7F6F39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宣泄墙</w:t>
            </w:r>
          </w:p>
        </w:tc>
        <w:tc>
          <w:tcPr>
            <w:tcW w:w="7620" w:type="dxa"/>
            <w:tcBorders>
              <w:top w:val="single" w:color="000000" w:sz="4" w:space="0"/>
              <w:left w:val="single" w:color="000000" w:sz="4" w:space="0"/>
              <w:bottom w:val="single" w:color="000000" w:sz="4" w:space="0"/>
              <w:right w:val="single" w:color="000000" w:sz="4" w:space="0"/>
            </w:tcBorders>
            <w:vAlign w:val="center"/>
          </w:tcPr>
          <w:p w14:paraId="51A045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尺寸不小于500*500*25mm，外层套采用高品质PU皮材质，具备抗震、抗裂、无辐射、环保、无热效应等优点，里层采用高回力芯填充，具有耐磨损、耐屈折、抗撕裂、抗氧化性等优点，背板为木质，结实可靠。</w:t>
            </w:r>
          </w:p>
        </w:tc>
        <w:tc>
          <w:tcPr>
            <w:tcW w:w="409" w:type="dxa"/>
            <w:tcBorders>
              <w:top w:val="single" w:color="000000" w:sz="4" w:space="0"/>
              <w:left w:val="single" w:color="000000" w:sz="4" w:space="0"/>
              <w:bottom w:val="single" w:color="000000" w:sz="4" w:space="0"/>
              <w:right w:val="single" w:color="000000" w:sz="4" w:space="0"/>
            </w:tcBorders>
            <w:vAlign w:val="center"/>
          </w:tcPr>
          <w:p w14:paraId="2169C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42" w:type="dxa"/>
            <w:tcBorders>
              <w:top w:val="single" w:color="000000" w:sz="4" w:space="0"/>
              <w:left w:val="single" w:color="000000" w:sz="4" w:space="0"/>
              <w:bottom w:val="single" w:color="000000" w:sz="4" w:space="0"/>
              <w:right w:val="single" w:color="000000" w:sz="4" w:space="0"/>
            </w:tcBorders>
            <w:vAlign w:val="center"/>
          </w:tcPr>
          <w:p w14:paraId="7EF8BF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平方米</w:t>
            </w:r>
          </w:p>
        </w:tc>
      </w:tr>
      <w:tr w14:paraId="7D2BBF60">
        <w:tblPrEx>
          <w:tblLayout w:type="fixed"/>
        </w:tblPrEx>
        <w:trPr>
          <w:trHeight w:val="22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2E115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742" w:type="dxa"/>
            <w:tcBorders>
              <w:top w:val="single" w:color="000000" w:sz="4" w:space="0"/>
              <w:left w:val="single" w:color="000000" w:sz="4" w:space="0"/>
              <w:bottom w:val="single" w:color="000000" w:sz="4" w:space="0"/>
              <w:right w:val="single" w:color="000000" w:sz="4" w:space="0"/>
            </w:tcBorders>
            <w:vAlign w:val="center"/>
          </w:tcPr>
          <w:p w14:paraId="72D75E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基础宣泄套装</w:t>
            </w:r>
          </w:p>
        </w:tc>
        <w:tc>
          <w:tcPr>
            <w:tcW w:w="7620" w:type="dxa"/>
            <w:tcBorders>
              <w:top w:val="single" w:color="000000" w:sz="4" w:space="0"/>
              <w:left w:val="single" w:color="000000" w:sz="4" w:space="0"/>
              <w:bottom w:val="single" w:color="000000" w:sz="4" w:space="0"/>
              <w:right w:val="single" w:color="000000" w:sz="4" w:space="0"/>
            </w:tcBorders>
            <w:vAlign w:val="center"/>
          </w:tcPr>
          <w:p w14:paraId="7A19A3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1、基础宣泄人1个：采用十字人外形，高品质PU皮包裹，高回力芯填充，整体高度≥170cm，底座可选择注沙或注水。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2、基础宣泄柱1个：采用圆柱式外形，高品质PU皮包裹，高回力芯填充，整体高度≥170cm，底座可选择注沙或注水。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3、速度宣泄球1个：击打部分内胆采用高品质PVC塑胶材质，外层采用高品质PU皮包裹，整体高度应可灵活调整，击打部分需充气使用，底座可选择注沙或注水。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4、充气宣泄棒4个：内胆采用高品质PVC塑胶材质，外层材质柔软、防滑、抗裂，可充气使用。长度≥70cm。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5、宣泄手套不少于2副。</w:t>
            </w:r>
          </w:p>
        </w:tc>
        <w:tc>
          <w:tcPr>
            <w:tcW w:w="409" w:type="dxa"/>
            <w:tcBorders>
              <w:top w:val="single" w:color="000000" w:sz="4" w:space="0"/>
              <w:left w:val="single" w:color="000000" w:sz="4" w:space="0"/>
              <w:bottom w:val="single" w:color="000000" w:sz="4" w:space="0"/>
              <w:right w:val="single" w:color="000000" w:sz="4" w:space="0"/>
            </w:tcBorders>
            <w:vAlign w:val="center"/>
          </w:tcPr>
          <w:p w14:paraId="23F18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3F9AD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4E624CE">
        <w:tblPrEx>
          <w:tblLayout w:type="fixed"/>
        </w:tblPrEx>
        <w:trPr>
          <w:trHeight w:val="382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0252D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742" w:type="dxa"/>
            <w:tcBorders>
              <w:top w:val="single" w:color="000000" w:sz="4" w:space="0"/>
              <w:left w:val="single" w:color="000000" w:sz="4" w:space="0"/>
              <w:bottom w:val="single" w:color="000000" w:sz="4" w:space="0"/>
              <w:right w:val="single" w:color="000000" w:sz="4" w:space="0"/>
            </w:tcBorders>
            <w:vAlign w:val="center"/>
          </w:tcPr>
          <w:p w14:paraId="07C421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运动宣泄放松训练设备</w:t>
            </w:r>
          </w:p>
        </w:tc>
        <w:tc>
          <w:tcPr>
            <w:tcW w:w="7620" w:type="dxa"/>
            <w:tcBorders>
              <w:top w:val="single" w:color="000000" w:sz="4" w:space="0"/>
              <w:left w:val="single" w:color="000000" w:sz="4" w:space="0"/>
              <w:bottom w:val="single" w:color="000000" w:sz="4" w:space="0"/>
              <w:right w:val="single" w:color="000000" w:sz="4" w:space="0"/>
            </w:tcBorders>
            <w:vAlign w:val="center"/>
          </w:tcPr>
          <w:p w14:paraId="246FE8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1、包含但不限于运动减压、心理舒展、呐喊宣泄、档案管理等功能。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2、包含但不限于骑行探险、障碍跑酷、太空漫步、越野竞技、跑跑乐等骑行运动宣泄放松游戏。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3、运动过程中实时检测运动数据与生理指标数据。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4、内置动感心理学活力音乐，充分调动身体运动神经，促进心理放松调试。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5、包含但不限于骑行探险、障碍跑酷等多种运动宣泄游戏，采用低噪声双麦克风传感器适应不同身高，精准记录宣泄强度数值，通过游戏进度的反馈对情绪问题进行有效宣泄。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6、实时记录宣泄流程及消耗结果，自动生成周报表、月报表、年报表等档案。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1、一级冷轧钢板，喷塑工艺，尺寸≥990mm×1630mm×450mm。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2、触摸触摸终端：显示尺寸≥42英寸，分辨率≥1920(H)×1080（V），触摸类型≥10点触摸，处理器≥i5，内存≥8G，固态硬盘≥128G。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3、单车可靠耐用，通过无线通讯与软件系统连接，单车车把设置有四色按键，通过按键即可完成系统控制。</w:t>
            </w:r>
          </w:p>
        </w:tc>
        <w:tc>
          <w:tcPr>
            <w:tcW w:w="409" w:type="dxa"/>
            <w:tcBorders>
              <w:top w:val="single" w:color="000000" w:sz="4" w:space="0"/>
              <w:left w:val="single" w:color="000000" w:sz="4" w:space="0"/>
              <w:bottom w:val="single" w:color="000000" w:sz="4" w:space="0"/>
              <w:right w:val="single" w:color="000000" w:sz="4" w:space="0"/>
            </w:tcBorders>
            <w:vAlign w:val="center"/>
          </w:tcPr>
          <w:p w14:paraId="013FE6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0853E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6135A01">
        <w:tblPrEx>
          <w:tblLayout w:type="fixed"/>
        </w:tblPrEx>
        <w:trPr>
          <w:trHeight w:val="249"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5C977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742" w:type="dxa"/>
            <w:tcBorders>
              <w:top w:val="single" w:color="000000" w:sz="4" w:space="0"/>
              <w:left w:val="single" w:color="000000" w:sz="4" w:space="0"/>
              <w:bottom w:val="single" w:color="000000" w:sz="4" w:space="0"/>
              <w:right w:val="single" w:color="000000" w:sz="4" w:space="0"/>
            </w:tcBorders>
            <w:vAlign w:val="center"/>
          </w:tcPr>
          <w:p w14:paraId="741963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多维身心训练系统</w:t>
            </w:r>
          </w:p>
        </w:tc>
        <w:tc>
          <w:tcPr>
            <w:tcW w:w="7620" w:type="dxa"/>
            <w:tcBorders>
              <w:top w:val="single" w:color="000000" w:sz="4" w:space="0"/>
              <w:left w:val="single" w:color="000000" w:sz="4" w:space="0"/>
              <w:bottom w:val="single" w:color="000000" w:sz="4" w:space="0"/>
              <w:right w:val="single" w:color="000000" w:sz="4" w:space="0"/>
            </w:tcBorders>
            <w:vAlign w:val="center"/>
          </w:tcPr>
          <w:p w14:paraId="747E20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1、系统支持单机、网络物联两种模式使用，单机模式下用户可以以游客身份登录或以注册帐号登录。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★3、包含但不限于角色选择、开始游戏、切换帐号、我的信息、宝藏库、系统设置、退出等快捷键。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4、系统提供不少于两种卡通形象的角色。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5、系统包含但不限于情绪迷宫、考场困境、心沟通、茶话会、逍遥游等训练场景，可选择低、中、高三级难度，系统含闯关模式、自由模式。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★6、闯关模式下上一关训练结束后，提示用户是否进入下一关。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7、自由模式下，训练中用户可自由切换训练场景。结束训练后回到选择界面。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8、通关后可生成报告，报告可自动上传至平台。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9、系统通过3D动画的场景把训练者带入训练场景。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10、训练场景含操作说明。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★11、可以通过呐喊或击打的形式打破训练场景中的障碍物，不同场景下障碍物不同。每次训练过关后会随机获得宝藏奖励。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情绪迷宫通过操纵屏幕左下角的轮盘、或移动角色进行操作，带领角色走出迷宫，可以选择跳过该操作。进入训练场景后通过清除场景中的障碍物完成训练。场景墙内容包含但不限于：悲伤、愤懑、迷茫、阴郁、忧愁、恼怒、哀痛、沮丧等情绪文字。训练过程中通过角色内心积极与消极的对话，展示角色的心路历程，训练结束后获得宝藏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考场困境通过操纵屏屏幕左下角的轮盘、或移动角色进行操作，带领角色避开道路上的障碍物，帮助角色到达终点，完成后给予胜利好评，可以选择跳过该操作。进入情绪半透明幕墙训练场景后，通过击打或呐喊清除障碍物，进入教室获得宝藏。场景墙内容包含但不限于：焦虑、紧张、困顿、烦闷、焦躁、恐惧、担忧、压抑、自我怀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★14、心沟通通过移动“情绪词”将其放到对应的卡通人物表情“空白框”中，帮助角色匹配对应的情绪后打破心中隔阂，墙内外的两个角色通过对话训练消除隔阂，过关后两个角色相拥，并获得宝藏。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★15、茶话会中两个角色被困在一个废旧的院子场景内，通过找出画面中所有的卡通形象、清除障碍墙，走出院子参加茶话会，过关后获得宝藏。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★16、逍遥游通过把所有文字拼成成语，进入训练场景。通过清除场景中的障碍物完成训练，过关后获得宝藏。场景墙内容包含但不限于解除封闭、固步自封、保守、偏见、刻板、固执、压抑、闭锁等。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17、我的信息包含但不限于用户帐号信息及我的历史报告内容。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18、宝藏库含通关奖励。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19、系统可以设置音乐音量、音效音量、模式切换。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20、管理员可添加、查看、删除、编辑用户信息，查看用户报告。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二、配置要求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1、一级冷轧钢板，喷塑工艺，尺寸≥990mm×1630mm×450mm。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2、触摸终端1台：显示尺寸≥42英寸，分辨率≥1920(H)×1080（V），触摸类型≥10点触摸，处理器≥i7，内存≥8G，固态硬盘≥250G,独立显卡≥1650,显存≥4G。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3、击打柱：圆柱式外形，采用PU皮包裹，高回力芯填充，整体高度≥160cm，底座可选择注沙或注水。</w:t>
            </w:r>
          </w:p>
        </w:tc>
        <w:tc>
          <w:tcPr>
            <w:tcW w:w="409" w:type="dxa"/>
            <w:tcBorders>
              <w:top w:val="single" w:color="000000" w:sz="4" w:space="0"/>
              <w:left w:val="single" w:color="000000" w:sz="4" w:space="0"/>
              <w:bottom w:val="single" w:color="000000" w:sz="4" w:space="0"/>
              <w:right w:val="single" w:color="000000" w:sz="4" w:space="0"/>
            </w:tcBorders>
            <w:vAlign w:val="center"/>
          </w:tcPr>
          <w:p w14:paraId="06DC3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30B78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DD9ACEC">
        <w:tblPrEx>
          <w:tblLayout w:type="fixed"/>
        </w:tblPrEx>
        <w:trPr>
          <w:trHeight w:val="13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540900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742" w:type="dxa"/>
            <w:tcBorders>
              <w:top w:val="single" w:color="000000" w:sz="4" w:space="0"/>
              <w:left w:val="single" w:color="000000" w:sz="4" w:space="0"/>
              <w:bottom w:val="single" w:color="000000" w:sz="4" w:space="0"/>
              <w:right w:val="single" w:color="000000" w:sz="4" w:space="0"/>
            </w:tcBorders>
            <w:vAlign w:val="center"/>
          </w:tcPr>
          <w:p w14:paraId="511DAB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体感互动宣泄系统</w:t>
            </w:r>
          </w:p>
        </w:tc>
        <w:tc>
          <w:tcPr>
            <w:tcW w:w="7620" w:type="dxa"/>
            <w:tcBorders>
              <w:top w:val="single" w:color="000000" w:sz="4" w:space="0"/>
              <w:left w:val="single" w:color="000000" w:sz="4" w:space="0"/>
              <w:bottom w:val="single" w:color="000000" w:sz="4" w:space="0"/>
              <w:right w:val="single" w:color="000000" w:sz="4" w:space="0"/>
            </w:tcBorders>
            <w:vAlign w:val="center"/>
          </w:tcPr>
          <w:p w14:paraId="34C9E8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通过动态捕捉、影像辨识技术将使用者深入融合进虚拟游戏系统，并在游戏中展开宣泄训练、肢体协调训练、感官统合训练、反应力训练、智力训练等，从而达到宣泄负面情绪、释放心理压力、调节身心平衡的作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2、系统内置红外热感应人体姿态扫描仪，通过肢体动作控制互动游戏。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3、系统提供不少于100款中英文训练内容。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4、显示屏显示尺寸≥42英寸，底座设计稳定可靠。</w:t>
            </w:r>
          </w:p>
        </w:tc>
        <w:tc>
          <w:tcPr>
            <w:tcW w:w="409" w:type="dxa"/>
            <w:tcBorders>
              <w:top w:val="single" w:color="000000" w:sz="4" w:space="0"/>
              <w:left w:val="single" w:color="000000" w:sz="4" w:space="0"/>
              <w:bottom w:val="single" w:color="000000" w:sz="4" w:space="0"/>
              <w:right w:val="single" w:color="000000" w:sz="4" w:space="0"/>
            </w:tcBorders>
            <w:vAlign w:val="center"/>
          </w:tcPr>
          <w:p w14:paraId="15D3E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6C77E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5E729F6A">
        <w:tblPrEx>
          <w:tblLayout w:type="fixed"/>
        </w:tblPrEx>
        <w:trPr>
          <w:trHeight w:val="4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36D0A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742" w:type="dxa"/>
            <w:tcBorders>
              <w:top w:val="single" w:color="000000" w:sz="4" w:space="0"/>
              <w:left w:val="single" w:color="000000" w:sz="4" w:space="0"/>
              <w:bottom w:val="single" w:color="000000" w:sz="4" w:space="0"/>
              <w:right w:val="single" w:color="000000" w:sz="4" w:space="0"/>
            </w:tcBorders>
            <w:vAlign w:val="center"/>
          </w:tcPr>
          <w:p w14:paraId="649A75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心理挂图</w:t>
            </w:r>
          </w:p>
        </w:tc>
        <w:tc>
          <w:tcPr>
            <w:tcW w:w="7620" w:type="dxa"/>
            <w:tcBorders>
              <w:top w:val="single" w:color="000000" w:sz="4" w:space="0"/>
              <w:left w:val="single" w:color="000000" w:sz="4" w:space="0"/>
              <w:bottom w:val="single" w:color="000000" w:sz="4" w:space="0"/>
              <w:right w:val="single" w:color="000000" w:sz="4" w:space="0"/>
            </w:tcBorders>
            <w:vAlign w:val="center"/>
          </w:tcPr>
          <w:p w14:paraId="266C2F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1、包含制度、人物、宣泄、格言、积极心理、心理效应、心理实验七大类。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2、边框采用实木材质，常规尺寸40cm*60cm。</w:t>
            </w:r>
          </w:p>
        </w:tc>
        <w:tc>
          <w:tcPr>
            <w:tcW w:w="409" w:type="dxa"/>
            <w:tcBorders>
              <w:top w:val="single" w:color="000000" w:sz="4" w:space="0"/>
              <w:left w:val="single" w:color="000000" w:sz="4" w:space="0"/>
              <w:bottom w:val="single" w:color="000000" w:sz="4" w:space="0"/>
              <w:right w:val="single" w:color="000000" w:sz="4" w:space="0"/>
            </w:tcBorders>
            <w:vAlign w:val="center"/>
          </w:tcPr>
          <w:p w14:paraId="3E32E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42" w:type="dxa"/>
            <w:tcBorders>
              <w:top w:val="single" w:color="000000" w:sz="4" w:space="0"/>
              <w:left w:val="single" w:color="000000" w:sz="4" w:space="0"/>
              <w:bottom w:val="single" w:color="000000" w:sz="4" w:space="0"/>
              <w:right w:val="single" w:color="000000" w:sz="4" w:space="0"/>
            </w:tcBorders>
            <w:vAlign w:val="center"/>
          </w:tcPr>
          <w:p w14:paraId="13B36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r>
      <w:tr w14:paraId="3F14D20F">
        <w:tblPrEx>
          <w:tblLayout w:type="fixed"/>
        </w:tblPrEx>
        <w:trPr>
          <w:trHeight w:val="112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77888D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742" w:type="dxa"/>
            <w:tcBorders>
              <w:top w:val="single" w:color="000000" w:sz="4" w:space="0"/>
              <w:left w:val="single" w:color="000000" w:sz="4" w:space="0"/>
              <w:bottom w:val="single" w:color="000000" w:sz="4" w:space="0"/>
              <w:right w:val="single" w:color="000000" w:sz="4" w:space="0"/>
            </w:tcBorders>
            <w:vAlign w:val="center"/>
          </w:tcPr>
          <w:p w14:paraId="2284BE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环境设计、改造、信息化布线，涉及墙面、天花板、地板、窗帘、石膏墙、绿植、文化建设</w:t>
            </w:r>
          </w:p>
        </w:tc>
        <w:tc>
          <w:tcPr>
            <w:tcW w:w="7620" w:type="dxa"/>
            <w:tcBorders>
              <w:top w:val="single" w:color="000000" w:sz="4" w:space="0"/>
              <w:left w:val="single" w:color="000000" w:sz="4" w:space="0"/>
              <w:bottom w:val="single" w:color="000000" w:sz="4" w:space="0"/>
              <w:right w:val="single" w:color="000000" w:sz="4" w:space="0"/>
            </w:tcBorders>
            <w:vAlign w:val="center"/>
          </w:tcPr>
          <w:p w14:paraId="0C26D4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环境设计、改造、信息化布线，涉及墙面、天花板、地板、窗帘、石膏墙、绿植、文化建设</w:t>
            </w:r>
          </w:p>
          <w:p w14:paraId="25EDB3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p>
        </w:tc>
        <w:tc>
          <w:tcPr>
            <w:tcW w:w="409" w:type="dxa"/>
            <w:tcBorders>
              <w:top w:val="single" w:color="000000" w:sz="4" w:space="0"/>
              <w:left w:val="single" w:color="000000" w:sz="4" w:space="0"/>
              <w:bottom w:val="single" w:color="000000" w:sz="4" w:space="0"/>
              <w:right w:val="single" w:color="000000" w:sz="4" w:space="0"/>
            </w:tcBorders>
            <w:vAlign w:val="center"/>
          </w:tcPr>
          <w:p w14:paraId="160D9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7842B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4BD00C22">
        <w:tblPrEx>
          <w:tblLayout w:type="fixed"/>
        </w:tblPrEx>
        <w:trPr>
          <w:trHeight w:val="2082"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199F77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742" w:type="dxa"/>
            <w:tcBorders>
              <w:top w:val="single" w:color="000000" w:sz="4" w:space="0"/>
              <w:left w:val="single" w:color="000000" w:sz="4" w:space="0"/>
              <w:bottom w:val="single" w:color="000000" w:sz="4" w:space="0"/>
              <w:right w:val="single" w:color="000000" w:sz="4" w:space="0"/>
            </w:tcBorders>
            <w:vAlign w:val="center"/>
          </w:tcPr>
          <w:p w14:paraId="538EDA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饮水机</w:t>
            </w:r>
          </w:p>
        </w:tc>
        <w:tc>
          <w:tcPr>
            <w:tcW w:w="7620" w:type="dxa"/>
            <w:tcBorders>
              <w:top w:val="single" w:color="000000" w:sz="4" w:space="0"/>
              <w:left w:val="single" w:color="000000" w:sz="4" w:space="0"/>
              <w:bottom w:val="single" w:color="000000" w:sz="4" w:space="0"/>
              <w:right w:val="single" w:color="000000" w:sz="4" w:space="0"/>
            </w:tcBorders>
            <w:vAlign w:val="center"/>
          </w:tcPr>
          <w:p w14:paraId="11A508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13升，2千瓦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符合《生活饮用水卫生标准》GB5749-2022、3C 强制认证、国家涉水产品卫生许可及一级水效标准，采用立式直连自来水直饮机设计，兼顾净水直饮、节能高效、智能易维护、校园安全适配核心特点，适配办公楼紧凑空间与后勤标准化管理需求。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热水胆容量：13L（食品级 304 不锈钢一体式内胆，无拼接焊缝，防漏水）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额定功率：2000W（纯铜绕组加热管，加热效率高，无高频运行噪音）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电源规格：220V/50Hz（适配办公楼常规单相电，无需改线）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水效等级：一级（国家节能标准，加热保温综合能耗低，贴合校园节能要求）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防触电等级：1 类（带可靠接地，符合校园电气安全规范）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机身整体尺寸：长420-460mm× 宽400-465mm× 高1300-1450mm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占地面积：≤0.2㎡，贴墙摆放仅需侧边预留≥10cm 操作 / 检修空间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净重：20-30kg（机身轻量化，方便后勤挪动、点位调整）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供水方式：双水源设计（主：直连市政自来水，适配水压 0.1-0.4MPa；副：手动加水），无地漏 / 进水口的办公区也可使用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安装要求：无需预埋管线，接自来水龙头 + 10A 三孔插座即可，后勤人员可自行完成安装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滤芯配置：PP 棉（5μm）→颗粒活性炭→压缩活性炭→RO 反渗透膜（100G）→后置复合炭（亲水膜 + 椰壳炭）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核心过滤效果：滤除自来水中重金属、细菌、余氯、泥沙等，出水符合直饮标准，口感清甜，适合泡茶 / 冲咖啡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净水流量：≥0.5L/min，制热水能力23L/h（13L 内胆烧开时间约 15-20 分钟，满足办公高峰饮水）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滤芯功能：① 前置滤材滤除杂质；② RO 膜滤除重金属 / 细菌；③ 后置炭调口感 + 抑菌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滤芯维护：模块化卡扣设计，无需工具，后勤人员 1 分钟可更换，滤芯寿命智能提醒（PP 棉 6-12 个月，RO 膜 24-36 个月）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加热技术：步进式逐层加热（补水、加热同步，内胆水温恒定 95-100℃，无千沸水）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出水方式：双出水嘴设计（左：常温水，右：开水），均为按压式出水，带安全童锁（开水嘴需先解锁再出水，防止误触烫伤）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出水速度：开水≥1.5L/min，常温水≥2L/min，接满一杯 200ml 开水仅需 8 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保温功能：EPS 环保保温层包裹内胆，恒温保温（90-95℃），无需反复加热，节能省电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隔夜排空：自动排空内胆死水，次日首次出水为新鲜开水，避免死水饮用风险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三重防干烧保护（温控保护器 + 传感器超温保护 + 缺水保护），无水不加热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漏电保护（内置漏电保护器，漏电瞬间断电，反应时间≤0.1 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漏水 / 防溢流保护（机身底部带漏水感应，漏水自动停机并报警）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停水保护（自来水停水后自动停机，防止空转）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故障自检（机身大屏显示故障代码，方便售后排查）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防烫保护（水嘴加高 + 外壳防烫设计，机身表面温度≤45℃）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显示界面：LED 高清大屏（显示水温、水位、滤芯寿命、TDS 值、运行状态，一目了然）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核心智能功能：① 滤芯寿命智能提醒（数字显示剩余寿命，滤芯到期自动报警）；② 定时开关机（可设置办公时间 8:00-18:00 自动运行，其余时间休眠，节能省电）；③ 水质 TDS 值实时显示（直观看到净水效果）；④ 故障自检（故障代码显示，无需专业人员排查）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附加功能：① 常温水终端紫外线杀菌（二次抑菌，保障饮水卫生）；② 热胆自动冲洗（每次开机自动冲洗，避免内胆结垢）；③ 童锁保护（开水嘴专属，防止学生 / 办公人员误触）</w:t>
            </w:r>
          </w:p>
        </w:tc>
        <w:tc>
          <w:tcPr>
            <w:tcW w:w="409" w:type="dxa"/>
            <w:tcBorders>
              <w:top w:val="single" w:color="000000" w:sz="4" w:space="0"/>
              <w:left w:val="single" w:color="000000" w:sz="4" w:space="0"/>
              <w:bottom w:val="single" w:color="000000" w:sz="4" w:space="0"/>
              <w:right w:val="single" w:color="000000" w:sz="4" w:space="0"/>
            </w:tcBorders>
            <w:vAlign w:val="center"/>
          </w:tcPr>
          <w:p w14:paraId="37DB2C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2" w:type="dxa"/>
            <w:tcBorders>
              <w:top w:val="single" w:color="000000" w:sz="4" w:space="0"/>
              <w:left w:val="single" w:color="000000" w:sz="4" w:space="0"/>
              <w:bottom w:val="single" w:color="000000" w:sz="4" w:space="0"/>
              <w:right w:val="single" w:color="000000" w:sz="4" w:space="0"/>
            </w:tcBorders>
            <w:vAlign w:val="center"/>
          </w:tcPr>
          <w:p w14:paraId="65A1DA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F2265DE">
        <w:tblPrEx>
          <w:tblLayout w:type="fixed"/>
        </w:tblPrEx>
        <w:trPr>
          <w:trHeight w:val="2468"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4642E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742" w:type="dxa"/>
            <w:tcBorders>
              <w:top w:val="single" w:color="000000" w:sz="4" w:space="0"/>
              <w:left w:val="single" w:color="000000" w:sz="4" w:space="0"/>
              <w:bottom w:val="single" w:color="000000" w:sz="4" w:space="0"/>
              <w:right w:val="single" w:color="000000" w:sz="4" w:space="0"/>
            </w:tcBorders>
            <w:vAlign w:val="center"/>
          </w:tcPr>
          <w:p w14:paraId="3B69B0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入口热风幕</w:t>
            </w:r>
          </w:p>
        </w:tc>
        <w:tc>
          <w:tcPr>
            <w:tcW w:w="7620" w:type="dxa"/>
            <w:tcBorders>
              <w:top w:val="single" w:color="000000" w:sz="4" w:space="0"/>
              <w:left w:val="single" w:color="000000" w:sz="4" w:space="0"/>
              <w:bottom w:val="single" w:color="000000" w:sz="4" w:space="0"/>
              <w:right w:val="single" w:color="000000" w:sz="4" w:space="0"/>
            </w:tcBorders>
            <w:vAlign w:val="center"/>
          </w:tcPr>
          <w:p w14:paraId="3FD2AE9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结构类型：离心式风幕机，采用低噪音离心式蜗轮。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控制方式：触摸式开关+红外线遥控调速。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机身材质：铝合金外壳，无螺丝圆弧设计。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电机配置：高速纯铜电机，持续运行5000小时无故障。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认证标准：通过CCC认证。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尺寸：2000×220×240mm长×宽×高。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电压频率：220~240V/50Hz。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电机功率：高档470W，低档440W。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风量：高档2520m³/h，低档2100m³/h。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噪音水平：高档≤58dB，低档≤56dB。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净重：约27.5kg。</w:t>
            </w:r>
          </w:p>
        </w:tc>
        <w:tc>
          <w:tcPr>
            <w:tcW w:w="409" w:type="dxa"/>
            <w:tcBorders>
              <w:top w:val="single" w:color="000000" w:sz="4" w:space="0"/>
              <w:left w:val="single" w:color="000000" w:sz="4" w:space="0"/>
              <w:bottom w:val="single" w:color="000000" w:sz="4" w:space="0"/>
              <w:right w:val="single" w:color="000000" w:sz="4" w:space="0"/>
            </w:tcBorders>
            <w:vAlign w:val="center"/>
          </w:tcPr>
          <w:p w14:paraId="68EBB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182729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C3F4DEA">
        <w:tblPrEx>
          <w:tblLayout w:type="fixed"/>
        </w:tblPrEx>
        <w:trPr>
          <w:trHeight w:val="2980" w:hRule="atLeast"/>
          <w:jc w:val="center"/>
        </w:trPr>
        <w:tc>
          <w:tcPr>
            <w:tcW w:w="461" w:type="dxa"/>
            <w:vMerge w:val="restart"/>
            <w:tcBorders>
              <w:top w:val="single" w:color="000000" w:sz="4" w:space="0"/>
              <w:left w:val="single" w:color="000000" w:sz="4" w:space="0"/>
              <w:bottom w:val="nil"/>
              <w:right w:val="single" w:color="000000" w:sz="4" w:space="0"/>
            </w:tcBorders>
            <w:vAlign w:val="center"/>
          </w:tcPr>
          <w:p w14:paraId="5D5F7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742" w:type="dxa"/>
            <w:vMerge w:val="restart"/>
            <w:tcBorders>
              <w:top w:val="single" w:color="000000" w:sz="4" w:space="0"/>
              <w:left w:val="single" w:color="000000" w:sz="4" w:space="0"/>
              <w:bottom w:val="nil"/>
              <w:right w:val="single" w:color="000000" w:sz="4" w:space="0"/>
            </w:tcBorders>
            <w:vAlign w:val="center"/>
          </w:tcPr>
          <w:p w14:paraId="48B20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手机屏蔽柜</w:t>
            </w:r>
          </w:p>
        </w:tc>
        <w:tc>
          <w:tcPr>
            <w:tcW w:w="7620" w:type="dxa"/>
            <w:vMerge w:val="restart"/>
            <w:tcBorders>
              <w:top w:val="single" w:color="000000" w:sz="4" w:space="0"/>
              <w:left w:val="single" w:color="000000" w:sz="4" w:space="0"/>
              <w:bottom w:val="nil"/>
              <w:right w:val="single" w:color="000000" w:sz="4" w:space="0"/>
            </w:tcBorders>
            <w:vAlign w:val="center"/>
          </w:tcPr>
          <w:p w14:paraId="4B6654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50抽屉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符合国家保密标准BMB49-2020、通过国家保密科技测评中心认证，屏蔽效能及结构设计贴合校园会议室便捷管理、高频使用、安全耐用核心需求，适配会议室墙面 / 角落摆放，不占用会议空间。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抽屉数量：50 个独立屏蔽抽屉（单层 5 抽 ×10 层，数字编号 1-50，一一对应）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认证要求：通过国家保密科技测评中心认证，附正式认证证书及检测报告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执行标准：符合《保密会议移动通信干扰器的技术要求和测试方法》、国家保密标准 BMB49-2020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屏蔽类型：无源屏蔽（无需外接电源，无走线麻烦，适配会议室无额外插座场景）</w:t>
            </w:r>
          </w:p>
          <w:p w14:paraId="08A0B5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适用设备：支持≤7 英寸直板 / 折叠屏手机，抽屉内可容纳手机 + 常规手机壳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整体重量：64-75kg（±1kg），结构稳固，无倾倒隐患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柜体材质：SPCC 优质冷轧钢板，柜体厚度1.0-1.2mm，柜门双层屏蔽钢板（厚度≥0.8mm），焊接处无缝处理，确保电磁连续性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屏蔽辅材：柜门四周嵌导电泡棉胶条（抗老化、高导电性），抽屉边缘做电磁密封处理，杜绝信号泄露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表面工艺：静电喷塑处理，颜色为米白色 / 商务银灰（校园会议室百搭，耐刮擦、防发黄，污渍一擦即净）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内部配件：每个抽屉内置防滑皮纹软垫，保护手机屏幕 / 外壳不刮花，抽屉无尖锐边角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锁具材质：标配独有胶柄单拔钥匙，握感舒适，锁芯为防撬钢制材质，适配校园统一管理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屏蔽频段：全覆盖2G/3G/4G/5G 移动信号、WIFI2.4G/5G、蓝牙、GPS 信号，无频段遗漏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屏蔽效能：≥80dB，柜内手机信号完全阻断，无 “跑风漏气”，符合涉密会议屏蔽要求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屏蔽方式：每个抽屉独立电磁屏蔽，互不干扰，单抽屉开合不影响其他抽屉屏蔽效果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无源优势：无需接电，避免会议室走线杂乱，无断电 / 漏电隐患，无人值守也能稳定屏蔽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抽屉编号：每个抽屉外侧标注清晰阿拉伯数字编号（1-50），配套纸质编号贴，可按需粘贴姓名 / 工位，方便师生存取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锁具管理：单主锁管控全柜，标配 2 把专属钥匙，适合会议室管理员统一管理，无抽屉单独锁，避免钥匙混乱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开合设计：磁吸式半自动弹锁，轻拧钥匙即可弹开柜门，抽屉抽拉顺滑，无卡顿 / 异响，适配会议前快速存放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空间优化：多层横向布局，高度适配人体工学，无需弯腰即可取放手机，符合会议室站立操作需求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标识适配：柜体侧面预留空白标识区，可粘贴 “手机存放柜”“会议期间请勿取放” 等校园提示贴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防磕碰设计：柜体所有边角均做圆角处理（半径≥5mm），无尖锐凸起，杜绝师生磕碰受伤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稳固设计：台立式底部带加厚防滑橡胶脚垫，增大与地面摩擦力，防侧滑、防刮擦会议室地砖 / 木地板；壁挂式配双层固定支架，承重≥100kg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抗老化设计：导电胶条为耐温抗老化材质，-10℃~50℃环境下正常使用，适配校园会议室无恒温环境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防潮设计：钢板表面喷塑做防潮处理，抽屉内无积水死角，适配南方校区潮湿环境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承重设计：整体柜体承重≥300kg，叠放 / 重压无变形，抽屉单抽承重≥5kg，可放置手机 + 充电宝等小配件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无源设计：无需外接电源，解决会议室插座不足、走线杂乱问题，会议期间无用电安全隐患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免维护：无电子元件，无需日常调试 / 充电，仅需定期擦拭柜体，后勤管理成本为 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环保无异味：所有材质均为环保级，无刺鼻异味，符合校园办公家具环保要求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灵活摆放：台立式 / 壁挂式可选，可根据会议室大小灵活调整，角落 / 墙面均可放置，不占用会议桌椅空间</w:t>
            </w:r>
          </w:p>
        </w:tc>
        <w:tc>
          <w:tcPr>
            <w:tcW w:w="409" w:type="dxa"/>
            <w:vMerge w:val="restart"/>
            <w:tcBorders>
              <w:top w:val="single" w:color="000000" w:sz="4" w:space="0"/>
              <w:left w:val="single" w:color="000000" w:sz="4" w:space="0"/>
              <w:bottom w:val="nil"/>
              <w:right w:val="single" w:color="000000" w:sz="4" w:space="0"/>
            </w:tcBorders>
            <w:vAlign w:val="center"/>
          </w:tcPr>
          <w:p w14:paraId="5CA42A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nil"/>
              <w:right w:val="single" w:color="000000" w:sz="4" w:space="0"/>
            </w:tcBorders>
            <w:vAlign w:val="center"/>
          </w:tcPr>
          <w:p w14:paraId="76D6F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0EC84876">
        <w:tblPrEx>
          <w:tblLayout w:type="fixed"/>
        </w:tblPrEx>
        <w:trPr>
          <w:trHeight w:val="8180" w:hRule="atLeast"/>
          <w:jc w:val="center"/>
        </w:trPr>
        <w:tc>
          <w:tcPr>
            <w:tcW w:w="461" w:type="dxa"/>
            <w:vMerge w:val="continue"/>
            <w:tcBorders>
              <w:top w:val="single" w:color="000000" w:sz="4" w:space="0"/>
              <w:left w:val="single" w:color="000000" w:sz="4" w:space="0"/>
              <w:bottom w:val="nil"/>
              <w:right w:val="single" w:color="000000" w:sz="4" w:space="0"/>
            </w:tcBorders>
            <w:vAlign w:val="center"/>
          </w:tcPr>
          <w:p w14:paraId="2701E2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nil"/>
              <w:right w:val="single" w:color="000000" w:sz="4" w:space="0"/>
            </w:tcBorders>
            <w:vAlign w:val="center"/>
          </w:tcPr>
          <w:p w14:paraId="477311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vMerge w:val="continue"/>
            <w:tcBorders>
              <w:top w:val="single" w:color="000000" w:sz="4" w:space="0"/>
              <w:left w:val="single" w:color="000000" w:sz="4" w:space="0"/>
              <w:bottom w:val="nil"/>
              <w:right w:val="single" w:color="000000" w:sz="4" w:space="0"/>
            </w:tcBorders>
            <w:vAlign w:val="center"/>
          </w:tcPr>
          <w:p w14:paraId="790D6D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nil"/>
              <w:right w:val="single" w:color="000000" w:sz="4" w:space="0"/>
            </w:tcBorders>
            <w:vAlign w:val="center"/>
          </w:tcPr>
          <w:p w14:paraId="7BD4F3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nil"/>
              <w:right w:val="single" w:color="000000" w:sz="4" w:space="0"/>
            </w:tcBorders>
            <w:vAlign w:val="center"/>
          </w:tcPr>
          <w:p w14:paraId="38E813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F8AB51E">
        <w:tblPrEx>
          <w:tblLayout w:type="fixed"/>
        </w:tblPrEx>
        <w:trPr>
          <w:trHeight w:val="352" w:hRule="atLeast"/>
          <w:jc w:val="center"/>
        </w:trPr>
        <w:tc>
          <w:tcPr>
            <w:tcW w:w="9674" w:type="dxa"/>
            <w:gridSpan w:val="5"/>
            <w:tcBorders>
              <w:top w:val="single" w:color="000000" w:sz="4" w:space="0"/>
              <w:left w:val="single" w:color="000000" w:sz="4" w:space="0"/>
              <w:bottom w:val="single" w:color="000000" w:sz="4" w:space="0"/>
              <w:right w:val="single" w:color="000000" w:sz="4" w:space="0"/>
            </w:tcBorders>
            <w:vAlign w:val="center"/>
          </w:tcPr>
          <w:p w14:paraId="3EA6D3A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二、智慧教室</w:t>
            </w:r>
          </w:p>
        </w:tc>
      </w:tr>
      <w:tr w14:paraId="5662B93F">
        <w:tblPrEx>
          <w:tblLayout w:type="fixed"/>
        </w:tblPrEx>
        <w:trPr>
          <w:trHeight w:val="270" w:hRule="atLeast"/>
          <w:jc w:val="center"/>
        </w:trPr>
        <w:tc>
          <w:tcPr>
            <w:tcW w:w="9674" w:type="dxa"/>
            <w:gridSpan w:val="5"/>
            <w:tcBorders>
              <w:top w:val="single" w:color="000000" w:sz="4" w:space="0"/>
              <w:left w:val="single" w:color="000000" w:sz="4" w:space="0"/>
              <w:bottom w:val="single" w:color="000000" w:sz="4" w:space="0"/>
              <w:right w:val="single" w:color="000000" w:sz="4" w:space="0"/>
            </w:tcBorders>
            <w:vAlign w:val="center"/>
          </w:tcPr>
          <w:p w14:paraId="7CE445E7">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21"/>
                <w:szCs w:val="21"/>
                <w:u w:val="none"/>
                <w:lang w:val="en-US" w:eastAsia="zh-CN" w:bidi="ar"/>
              </w:rPr>
              <w:t>塔职院智慧教室</w:t>
            </w:r>
          </w:p>
        </w:tc>
      </w:tr>
      <w:tr w14:paraId="56A3AFCE">
        <w:tblPrEx>
          <w:tblLayout w:type="fixed"/>
        </w:tblPrEx>
        <w:trPr>
          <w:trHeight w:val="819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76315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vAlign w:val="center"/>
          </w:tcPr>
          <w:p w14:paraId="719820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智慧教室终端</w:t>
            </w:r>
          </w:p>
        </w:tc>
        <w:tc>
          <w:tcPr>
            <w:tcW w:w="7620" w:type="dxa"/>
            <w:tcBorders>
              <w:top w:val="single" w:color="000000" w:sz="4" w:space="0"/>
              <w:left w:val="single" w:color="000000" w:sz="4" w:space="0"/>
              <w:bottom w:val="single" w:color="000000" w:sz="4" w:space="0"/>
              <w:right w:val="single" w:color="000000" w:sz="4" w:space="0"/>
            </w:tcBorders>
            <w:vAlign w:val="top"/>
          </w:tcPr>
          <w:p w14:paraId="2BBC6F08">
            <w:pPr>
              <w:keepNext w:val="0"/>
              <w:keepLines w:val="0"/>
              <w:widowControl/>
              <w:numPr>
                <w:ilvl w:val="0"/>
                <w:numId w:val="31"/>
              </w:numPr>
              <w:suppressLineNumbers w:val="0"/>
              <w:spacing w:before="0" w:beforeAutospacing="0" w:after="0" w:afterAutospacing="0"/>
              <w:ind w:left="0" w:right="0"/>
              <w:jc w:val="left"/>
              <w:textAlignment w:val="top"/>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智慧教室终端所有应用功能通过讲台高清触控屏操作来完成，主机及讲台高清触控屏采用讲台方式安装和使用；不借助电脑可独立实现网络中控、专业录播、远程互动、无线投屏、圈点批注、电子白板等功能；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为满足学校多样化登录要求，智慧教室终端需要支持账号密码登录、IC卡刷卡登录、二维码扫描登录、人脸识别登录四种登录方式。老师通过任一方式登陆终端后可以自动读取老师信息与权限，自动匹配个人数据；（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FF0000"/>
                <w:kern w:val="0"/>
                <w:sz w:val="18"/>
                <w:szCs w:val="18"/>
                <w:u w:val="none"/>
                <w:lang w:val="en-US" w:eastAsia="zh-CN" w:bidi="ar"/>
              </w:rPr>
              <w:t>3.讲台高清触控屏，要求尺寸不小于29英寸，</w:t>
            </w:r>
            <w:r>
              <w:rPr>
                <w:rFonts w:hint="eastAsia" w:ascii="宋体" w:hAnsi="宋体" w:cs="宋体"/>
                <w:i w:val="0"/>
                <w:iCs w:val="0"/>
                <w:color w:val="FF0000"/>
                <w:kern w:val="0"/>
                <w:sz w:val="18"/>
                <w:szCs w:val="18"/>
                <w:u w:val="none"/>
                <w:lang w:val="en-US" w:eastAsia="zh-CN" w:bidi="ar"/>
              </w:rPr>
              <w:t>分辨率不低于</w:t>
            </w:r>
            <w:r>
              <w:rPr>
                <w:rFonts w:hint="eastAsia" w:ascii="宋体" w:hAnsi="宋体" w:eastAsia="宋体" w:cs="宋体"/>
                <w:i w:val="0"/>
                <w:iCs w:val="0"/>
                <w:color w:val="FF0000"/>
                <w:kern w:val="0"/>
                <w:sz w:val="18"/>
                <w:szCs w:val="18"/>
                <w:u w:val="none"/>
                <w:lang w:val="en-US" w:eastAsia="zh-CN" w:bidi="ar"/>
              </w:rPr>
              <w:t>1080p</w:t>
            </w:r>
            <w:r>
              <w:rPr>
                <w:rFonts w:hint="eastAsia" w:ascii="宋体" w:hAnsi="宋体" w:cs="宋体"/>
                <w:i w:val="0"/>
                <w:iCs w:val="0"/>
                <w:color w:val="FF0000"/>
                <w:kern w:val="0"/>
                <w:sz w:val="18"/>
                <w:szCs w:val="18"/>
                <w:u w:val="none"/>
                <w:lang w:val="en-US" w:eastAsia="zh-CN" w:bidi="ar"/>
              </w:rPr>
              <w:t>，</w:t>
            </w:r>
            <w:r>
              <w:rPr>
                <w:rFonts w:hint="eastAsia" w:ascii="宋体" w:hAnsi="宋体" w:eastAsia="宋体" w:cs="宋体"/>
                <w:i w:val="0"/>
                <w:iCs w:val="0"/>
                <w:color w:val="FF0000"/>
                <w:kern w:val="0"/>
                <w:sz w:val="18"/>
                <w:szCs w:val="18"/>
                <w:u w:val="none"/>
                <w:lang w:val="en-US" w:eastAsia="zh-CN" w:bidi="ar"/>
              </w:rPr>
              <w:t>支持多点触控</w:t>
            </w:r>
            <w:r>
              <w:rPr>
                <w:rFonts w:hint="eastAsia" w:ascii="宋体" w:hAnsi="宋体" w:cs="宋体"/>
                <w:i w:val="0"/>
                <w:iCs w:val="0"/>
                <w:color w:val="FF0000"/>
                <w:kern w:val="0"/>
                <w:sz w:val="18"/>
                <w:szCs w:val="18"/>
                <w:u w:val="none"/>
                <w:lang w:val="en-US" w:eastAsia="zh-CN" w:bidi="ar"/>
              </w:rPr>
              <w:t>。功能实现要求应具备摄像、拾音、身份识别（如IC卡/二维码/人脸）及USB扩展功能，可采用一体化集成或组合设备实现，并在投标文件中提供详细的集成方案。</w:t>
            </w: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4.内置教师权限管理模块，支持扫码登录，支持在扫码登录界面一键开启课程录制，并且支持一键开启结束后自动上传至智慧课堂系统个人云盘空间；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5.内置录播模块，具备录制、音视频编解码、远程互动、音频处理、存储、流媒体服务器等功能于一体，支持不少于6路摄像机画面的接入；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要求录播画面在讲台高清触控屏上可实时预览，并支持录制、暂停、停止等操作，录制开启时能在教室显示大屏上呈现准备开始的倒计时，提醒师生即将开始录制；（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7.内置自动导播系统，全自动录制时，具有合理的画面跟踪切换机制，可自动进行教学内容、老师特写、老师全景、学生全景、学生特写等画面的全自动导播切换；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8.支持远程导播控制，导播画面模式支持单画面、多画面、画中画等，支持手动/自动切换；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 终端接口要求：HDMI视频输入接口≥3路；HDMI输出接口≥3路，其中≥1路需支持4K分辨率输出；网口≥8路 ，其中≥2路需支持POE；RS-232控制接口≥4路；音频MIC输入接口≥5路，每路均支持独立的48V幻象供电开关；音频LINE OUT接口≥1路；可电源管理的授课大屏供电接口≥1路、投影幕升降接口≥1路；PC控制接口≥1路；无线麦IR接口≥1路；USB接口≥1路；TYPE-C接口≥2路。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10.要求内置数字音频处理功能，支持MIC音频混音、增益、降噪等处理，音视频互动中支持回声抑制处理功能；（提供相应的产品说明书或彩页或功能截图或检测报告）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11.内置圈点批注功能，无需启动任何软件工具，支持投屏内容的录制，完整记录老师投屏、圈点批注全过程，并可上传至云盘空间；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12.内置白板教学功能，支持教师在授课过程中通过讲台高清触控屏模拟白板粉笔书写来进行板书教学；打开白板能全屏展示到黑板大屏、投影幕布显示；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13.内置无线投屏：支持多路信号同时投屏到智慧教室终端，通过讲台高清触控屏可预览无线投屏信号缩略画面图，同时对无线投屏信号进行审核，支持对投屏画面的录制；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14.内置多路信号源快速切换功能，通过讲台高清触控屏操控即可对内置电脑、外接笔记本、无线投屏等视频信号进行快速切换；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15.直播功能，支持提前创建直播活动并支持在终端设备上一键开启直播，支持多终端观看，可以支持校内、校外远程直播；（提供相应的产品说明书或彩页或功能截图或检测报告）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16.支持大屏共享模式，可一键将教师屏幕共享到小组屏，支持小组互动模式，可一键开启小组多终端投屏互动；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17.支持在课程录制界面将已录制好的资源一键上传到智慧课堂系统个人云盘空间；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18.智慧教室终端具备远程互动功能：通过讲台高清触控屏操作就可与其它互动教室进行音频和视频互动,并且支持互动界面发起教学活动包括但不限于签到选人主题讨论等功能；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19.支持通过智慧课堂控制端在任意界面下，一键唤醒智慧课堂软件系统；支持打开课件模块，完成教学相关操作；打开互动教学模块，完成教学活动，投屏，云盘等功能；支持打开线上课堂，完成远程互动；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20.支持教师在线打开授课PPT时，通过智慧终端显示正在讲课的PPT目录视图，大屏显示PPT播放画面，同时支持通过智慧终端进行跳转任意PPT页码。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21.为保证产品质量，要求提供智慧教室终端产品3C证书；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22.为保证产品设计符合节能环保的国家标准，要求提供智慧教室终端产品节能证书；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23.为保证产品稳定可靠，要求智慧教室终端平均无故障时间不低于20万小时。（提供相应的产品说明书或彩页或功能截图或检测报告）</w:t>
            </w:r>
          </w:p>
          <w:p w14:paraId="0C71ED69">
            <w:pPr>
              <w:keepNext w:val="0"/>
              <w:keepLines w:val="0"/>
              <w:widowControl/>
              <w:numPr>
                <w:ilvl w:val="0"/>
                <w:numId w:val="0"/>
              </w:numPr>
              <w:suppressLineNumbers w:val="0"/>
              <w:spacing w:before="0" w:beforeAutospacing="0" w:after="0" w:afterAutospacing="0"/>
              <w:ind w:left="0" w:right="0" w:rightChars="0"/>
              <w:jc w:val="left"/>
              <w:textAlignment w:val="top"/>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24.上述功能可采用一体化集成设备实现，也可通过组合设备实现同等功能及性能，投标人须在投标文件中提供详细的系统集成方案及功能实现说明。</w:t>
            </w:r>
          </w:p>
        </w:tc>
        <w:tc>
          <w:tcPr>
            <w:tcW w:w="409" w:type="dxa"/>
            <w:tcBorders>
              <w:top w:val="single" w:color="000000" w:sz="4" w:space="0"/>
              <w:left w:val="single" w:color="000000" w:sz="4" w:space="0"/>
              <w:bottom w:val="single" w:color="000000" w:sz="4" w:space="0"/>
              <w:right w:val="single" w:color="000000" w:sz="4" w:space="0"/>
            </w:tcBorders>
            <w:vAlign w:val="center"/>
          </w:tcPr>
          <w:p w14:paraId="048A6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71C33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C7D6ECB">
        <w:tblPrEx>
          <w:tblLayout w:type="fixed"/>
        </w:tblPrEx>
        <w:trPr>
          <w:trHeight w:val="112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627C85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2" w:type="dxa"/>
            <w:tcBorders>
              <w:top w:val="single" w:color="000000" w:sz="4" w:space="0"/>
              <w:left w:val="single" w:color="000000" w:sz="4" w:space="0"/>
              <w:bottom w:val="single" w:color="000000" w:sz="4" w:space="0"/>
              <w:right w:val="single" w:color="000000" w:sz="4" w:space="0"/>
            </w:tcBorders>
            <w:vAlign w:val="center"/>
          </w:tcPr>
          <w:p w14:paraId="5658B9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智慧终端管理系统</w:t>
            </w:r>
          </w:p>
        </w:tc>
        <w:tc>
          <w:tcPr>
            <w:tcW w:w="7620" w:type="dxa"/>
            <w:tcBorders>
              <w:top w:val="single" w:color="000000" w:sz="4" w:space="0"/>
              <w:left w:val="single" w:color="000000" w:sz="4" w:space="0"/>
              <w:bottom w:val="single" w:color="000000" w:sz="4" w:space="0"/>
              <w:right w:val="single" w:color="000000" w:sz="4" w:space="0"/>
            </w:tcBorders>
            <w:vAlign w:val="top"/>
          </w:tcPr>
          <w:p w14:paraId="59A9F9F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1.为保证系统的稳定性，所投产品需内置于智慧教室终端；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2.支持可视化集中管控终端所有功能；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3.具备多媒体信号切换、多屏互动控制、录播控制等触控界面；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4.支持绑定管控平台，并对智慧教室终端进行相关系统设置；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5.支持统一设置教室设备串口信息，包括一体机、投影等。</w:t>
            </w:r>
          </w:p>
        </w:tc>
        <w:tc>
          <w:tcPr>
            <w:tcW w:w="409" w:type="dxa"/>
            <w:tcBorders>
              <w:top w:val="single" w:color="000000" w:sz="4" w:space="0"/>
              <w:left w:val="single" w:color="000000" w:sz="4" w:space="0"/>
              <w:bottom w:val="single" w:color="000000" w:sz="4" w:space="0"/>
              <w:right w:val="single" w:color="000000" w:sz="4" w:space="0"/>
            </w:tcBorders>
            <w:vAlign w:val="center"/>
          </w:tcPr>
          <w:p w14:paraId="4C6EA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563FD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71D1E67B">
        <w:tblPrEx>
          <w:tblLayout w:type="fixed"/>
        </w:tblPrEx>
        <w:trPr>
          <w:trHeight w:val="202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35116C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2" w:type="dxa"/>
            <w:tcBorders>
              <w:top w:val="single" w:color="000000" w:sz="4" w:space="0"/>
              <w:left w:val="single" w:color="000000" w:sz="4" w:space="0"/>
              <w:bottom w:val="single" w:color="000000" w:sz="4" w:space="0"/>
              <w:right w:val="single" w:color="000000" w:sz="4" w:space="0"/>
            </w:tcBorders>
            <w:vAlign w:val="center"/>
          </w:tcPr>
          <w:p w14:paraId="1449E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精品录播系统</w:t>
            </w:r>
          </w:p>
        </w:tc>
        <w:tc>
          <w:tcPr>
            <w:tcW w:w="7620" w:type="dxa"/>
            <w:tcBorders>
              <w:top w:val="single" w:color="000000" w:sz="4" w:space="0"/>
              <w:left w:val="single" w:color="000000" w:sz="4" w:space="0"/>
              <w:bottom w:val="single" w:color="000000" w:sz="4" w:space="0"/>
              <w:right w:val="single" w:color="000000" w:sz="4" w:space="0"/>
            </w:tcBorders>
            <w:vAlign w:val="top"/>
          </w:tcPr>
          <w:p w14:paraId="5447341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1.为保证系统的稳定性，所投产品需内置于智慧教室终端；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2.具备直播、点播、录制管理、导播控制、系统设置、参数修改等功能，支持浏览器访问；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3.支持RTP、RTSP、RTMP等音视频传输协议，支持所录制的视频文件自动上传；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4.为保证直播观看和视频交互流畅进行，要求画面延迟≤300ms（局域网）；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5.支持公网CDN直播推送，支持公网视频平台进行直播对接，支持平台数量≥3个，进行活动视频的大规模直播；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6.录制模式支持本地电影模式、资源模式视频录制和双模式同步录制。</w:t>
            </w:r>
          </w:p>
        </w:tc>
        <w:tc>
          <w:tcPr>
            <w:tcW w:w="409" w:type="dxa"/>
            <w:tcBorders>
              <w:top w:val="single" w:color="000000" w:sz="4" w:space="0"/>
              <w:left w:val="single" w:color="000000" w:sz="4" w:space="0"/>
              <w:bottom w:val="single" w:color="000000" w:sz="4" w:space="0"/>
              <w:right w:val="single" w:color="000000" w:sz="4" w:space="0"/>
            </w:tcBorders>
            <w:vAlign w:val="center"/>
          </w:tcPr>
          <w:p w14:paraId="7557C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24D789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310C5F7">
        <w:tblPrEx>
          <w:tblLayout w:type="fixed"/>
        </w:tblPrEx>
        <w:trPr>
          <w:trHeight w:val="157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332157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2" w:type="dxa"/>
            <w:tcBorders>
              <w:top w:val="single" w:color="000000" w:sz="4" w:space="0"/>
              <w:left w:val="single" w:color="000000" w:sz="4" w:space="0"/>
              <w:bottom w:val="single" w:color="000000" w:sz="4" w:space="0"/>
              <w:right w:val="single" w:color="000000" w:sz="4" w:space="0"/>
            </w:tcBorders>
            <w:vAlign w:val="center"/>
          </w:tcPr>
          <w:p w14:paraId="6DAB9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教师3D跟踪探测器</w:t>
            </w:r>
          </w:p>
        </w:tc>
        <w:tc>
          <w:tcPr>
            <w:tcW w:w="7620" w:type="dxa"/>
            <w:tcBorders>
              <w:top w:val="single" w:color="000000" w:sz="4" w:space="0"/>
              <w:left w:val="single" w:color="000000" w:sz="4" w:space="0"/>
              <w:bottom w:val="single" w:color="000000" w:sz="4" w:space="0"/>
              <w:right w:val="single" w:color="000000" w:sz="4" w:space="0"/>
            </w:tcBorders>
            <w:vAlign w:val="top"/>
          </w:tcPr>
          <w:p w14:paraId="6143F40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1.要求传感器能够对可视范围内所有人物目标追踪，精准标定人物目标三维坐标；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2.要求传感器内置定位检测智能算法，传感器内置视频摄像头和光学感应镜头，双目深度信息测量。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3.传感器实时侦测包含人物高度、纵向距离和横向距离等数据；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4.综合运用景深识别、视觉感知分析、面部识别分析等多种算法，准确定位目标。</w:t>
            </w:r>
          </w:p>
        </w:tc>
        <w:tc>
          <w:tcPr>
            <w:tcW w:w="409" w:type="dxa"/>
            <w:tcBorders>
              <w:top w:val="single" w:color="000000" w:sz="4" w:space="0"/>
              <w:left w:val="single" w:color="000000" w:sz="4" w:space="0"/>
              <w:bottom w:val="single" w:color="000000" w:sz="4" w:space="0"/>
              <w:right w:val="single" w:color="000000" w:sz="4" w:space="0"/>
            </w:tcBorders>
            <w:vAlign w:val="center"/>
          </w:tcPr>
          <w:p w14:paraId="44A30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1ECDC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C4AF88E">
        <w:tblPrEx>
          <w:tblLayout w:type="fixed"/>
        </w:tblPrEx>
        <w:trPr>
          <w:trHeight w:val="180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3B615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2" w:type="dxa"/>
            <w:tcBorders>
              <w:top w:val="single" w:color="000000" w:sz="4" w:space="0"/>
              <w:left w:val="single" w:color="000000" w:sz="4" w:space="0"/>
              <w:bottom w:val="single" w:color="000000" w:sz="4" w:space="0"/>
              <w:right w:val="single" w:color="000000" w:sz="4" w:space="0"/>
            </w:tcBorders>
            <w:vAlign w:val="center"/>
          </w:tcPr>
          <w:p w14:paraId="370A6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学生3D跟踪探测器</w:t>
            </w:r>
          </w:p>
        </w:tc>
        <w:tc>
          <w:tcPr>
            <w:tcW w:w="7620" w:type="dxa"/>
            <w:tcBorders>
              <w:top w:val="single" w:color="000000" w:sz="4" w:space="0"/>
              <w:left w:val="single" w:color="000000" w:sz="4" w:space="0"/>
              <w:bottom w:val="single" w:color="000000" w:sz="4" w:space="0"/>
              <w:right w:val="single" w:color="000000" w:sz="4" w:space="0"/>
            </w:tcBorders>
            <w:vAlign w:val="top"/>
          </w:tcPr>
          <w:p w14:paraId="5E9E264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1.要求传感器能够对可视范围内所有人物目标追踪，精准标定人物目标三维坐标；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2.要求传感器内置定位检测智能算法，传感器内置视频摄像头和光学感应镜头，双目深度信息测量。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3.传感器实时侦测包含人物高度、纵向距离和横向距离等数据；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4.综合运用景深识别、视觉感知分析、面部识别分析等多种算法，准确定位目标；</w:t>
            </w:r>
          </w:p>
        </w:tc>
        <w:tc>
          <w:tcPr>
            <w:tcW w:w="409" w:type="dxa"/>
            <w:tcBorders>
              <w:top w:val="single" w:color="000000" w:sz="4" w:space="0"/>
              <w:left w:val="single" w:color="000000" w:sz="4" w:space="0"/>
              <w:bottom w:val="single" w:color="000000" w:sz="4" w:space="0"/>
              <w:right w:val="single" w:color="000000" w:sz="4" w:space="0"/>
            </w:tcBorders>
            <w:vAlign w:val="center"/>
          </w:tcPr>
          <w:p w14:paraId="637CB3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2" w:type="dxa"/>
            <w:tcBorders>
              <w:top w:val="single" w:color="000000" w:sz="4" w:space="0"/>
              <w:left w:val="single" w:color="000000" w:sz="4" w:space="0"/>
              <w:bottom w:val="single" w:color="000000" w:sz="4" w:space="0"/>
              <w:right w:val="single" w:color="000000" w:sz="4" w:space="0"/>
            </w:tcBorders>
            <w:vAlign w:val="center"/>
          </w:tcPr>
          <w:p w14:paraId="7C93C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5AEF319">
        <w:tblPrEx>
          <w:tblLayout w:type="fixed"/>
        </w:tblPrEx>
        <w:trPr>
          <w:trHeight w:val="67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33242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2" w:type="dxa"/>
            <w:tcBorders>
              <w:top w:val="single" w:color="000000" w:sz="4" w:space="0"/>
              <w:left w:val="single" w:color="000000" w:sz="4" w:space="0"/>
              <w:bottom w:val="single" w:color="000000" w:sz="4" w:space="0"/>
              <w:right w:val="single" w:color="000000" w:sz="4" w:space="0"/>
            </w:tcBorders>
            <w:vAlign w:val="center"/>
          </w:tcPr>
          <w:p w14:paraId="2CC249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全自动跟踪系统</w:t>
            </w:r>
          </w:p>
        </w:tc>
        <w:tc>
          <w:tcPr>
            <w:tcW w:w="7620" w:type="dxa"/>
            <w:tcBorders>
              <w:top w:val="single" w:color="000000" w:sz="4" w:space="0"/>
              <w:left w:val="single" w:color="000000" w:sz="4" w:space="0"/>
              <w:bottom w:val="single" w:color="000000" w:sz="4" w:space="0"/>
              <w:right w:val="single" w:color="000000" w:sz="4" w:space="0"/>
            </w:tcBorders>
            <w:vAlign w:val="top"/>
          </w:tcPr>
          <w:p w14:paraId="4E74E49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1.为保证系统的稳定性，所投产品需内置于智慧教室终端；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2.采用图像识别主动跟踪技术，无需另配跟踪主机，抗干扰性强，教师、学生均无需佩戴任何辅助装置，能够实现全场景跟踪。</w:t>
            </w:r>
          </w:p>
        </w:tc>
        <w:tc>
          <w:tcPr>
            <w:tcW w:w="409" w:type="dxa"/>
            <w:tcBorders>
              <w:top w:val="single" w:color="000000" w:sz="4" w:space="0"/>
              <w:left w:val="single" w:color="000000" w:sz="4" w:space="0"/>
              <w:bottom w:val="single" w:color="000000" w:sz="4" w:space="0"/>
              <w:right w:val="single" w:color="000000" w:sz="4" w:space="0"/>
            </w:tcBorders>
            <w:vAlign w:val="center"/>
          </w:tcPr>
          <w:p w14:paraId="52CA3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2" w:type="dxa"/>
            <w:tcBorders>
              <w:top w:val="single" w:color="000000" w:sz="4" w:space="0"/>
              <w:left w:val="single" w:color="000000" w:sz="4" w:space="0"/>
              <w:bottom w:val="single" w:color="000000" w:sz="4" w:space="0"/>
              <w:right w:val="single" w:color="000000" w:sz="4" w:space="0"/>
            </w:tcBorders>
            <w:vAlign w:val="center"/>
          </w:tcPr>
          <w:p w14:paraId="7A033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22A8C5C">
        <w:tblPrEx>
          <w:tblLayout w:type="fixed"/>
        </w:tblPrEx>
        <w:trPr>
          <w:trHeight w:val="180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5209E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2" w:type="dxa"/>
            <w:tcBorders>
              <w:top w:val="single" w:color="000000" w:sz="4" w:space="0"/>
              <w:left w:val="single" w:color="000000" w:sz="4" w:space="0"/>
              <w:bottom w:val="single" w:color="000000" w:sz="4" w:space="0"/>
              <w:right w:val="single" w:color="000000" w:sz="4" w:space="0"/>
            </w:tcBorders>
            <w:vAlign w:val="center"/>
          </w:tcPr>
          <w:p w14:paraId="65B012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云台摄像机</w:t>
            </w:r>
          </w:p>
        </w:tc>
        <w:tc>
          <w:tcPr>
            <w:tcW w:w="7620" w:type="dxa"/>
            <w:tcBorders>
              <w:top w:val="single" w:color="000000" w:sz="4" w:space="0"/>
              <w:left w:val="single" w:color="000000" w:sz="4" w:space="0"/>
              <w:bottom w:val="single" w:color="000000" w:sz="4" w:space="0"/>
              <w:right w:val="single" w:color="000000" w:sz="4" w:space="0"/>
            </w:tcBorders>
            <w:vAlign w:val="top"/>
          </w:tcPr>
          <w:p w14:paraId="746F9F4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1.传感器类型：不小于1/2.8英寸高品质CMOS传感器；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2.传感器像素：有效像素：≥207万；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3.视频格式：1080p/60， 1080i/60，1080p/50，1080i/50， 1080p/30，1080p/25向下兼容；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4.数据接口：SDI，RJ45；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5.镜头焦距：12倍光学变焦，f＝3.9～46.8mm；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6.光圈系数：F1.8~F2.4；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7.支持倒装，支持网口版本升级。</w:t>
            </w:r>
          </w:p>
        </w:tc>
        <w:tc>
          <w:tcPr>
            <w:tcW w:w="409" w:type="dxa"/>
            <w:tcBorders>
              <w:top w:val="single" w:color="000000" w:sz="4" w:space="0"/>
              <w:left w:val="single" w:color="000000" w:sz="4" w:space="0"/>
              <w:bottom w:val="single" w:color="000000" w:sz="4" w:space="0"/>
              <w:right w:val="single" w:color="000000" w:sz="4" w:space="0"/>
            </w:tcBorders>
            <w:vAlign w:val="center"/>
          </w:tcPr>
          <w:p w14:paraId="3D464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42" w:type="dxa"/>
            <w:tcBorders>
              <w:top w:val="single" w:color="000000" w:sz="4" w:space="0"/>
              <w:left w:val="single" w:color="000000" w:sz="4" w:space="0"/>
              <w:bottom w:val="single" w:color="000000" w:sz="4" w:space="0"/>
              <w:right w:val="single" w:color="000000" w:sz="4" w:space="0"/>
            </w:tcBorders>
            <w:vAlign w:val="center"/>
          </w:tcPr>
          <w:p w14:paraId="3DE63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C3A9211">
        <w:tblPrEx>
          <w:tblLayout w:type="fixed"/>
        </w:tblPrEx>
        <w:trPr>
          <w:trHeight w:val="112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454F4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2" w:type="dxa"/>
            <w:tcBorders>
              <w:top w:val="single" w:color="000000" w:sz="4" w:space="0"/>
              <w:left w:val="single" w:color="000000" w:sz="4" w:space="0"/>
              <w:bottom w:val="single" w:color="000000" w:sz="4" w:space="0"/>
              <w:right w:val="single" w:color="000000" w:sz="4" w:space="0"/>
            </w:tcBorders>
            <w:vAlign w:val="center"/>
          </w:tcPr>
          <w:p w14:paraId="10CDC3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拾音吊麦</w:t>
            </w:r>
          </w:p>
        </w:tc>
        <w:tc>
          <w:tcPr>
            <w:tcW w:w="7620" w:type="dxa"/>
            <w:tcBorders>
              <w:top w:val="single" w:color="000000" w:sz="4" w:space="0"/>
              <w:left w:val="single" w:color="000000" w:sz="4" w:space="0"/>
              <w:bottom w:val="single" w:color="000000" w:sz="4" w:space="0"/>
              <w:right w:val="single" w:color="000000" w:sz="4" w:space="0"/>
            </w:tcBorders>
            <w:vAlign w:val="top"/>
          </w:tcPr>
          <w:p w14:paraId="455BB0F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1.换能方式：电容式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2.指向性：单一超指向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3.频率响应：100-16000Hz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4.输出阻抗：近距1KΩ、远距2.3KΩ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5.灵敏度：近距-45dB、远距-38dB。</w:t>
            </w:r>
          </w:p>
        </w:tc>
        <w:tc>
          <w:tcPr>
            <w:tcW w:w="409" w:type="dxa"/>
            <w:tcBorders>
              <w:top w:val="single" w:color="000000" w:sz="4" w:space="0"/>
              <w:left w:val="single" w:color="000000" w:sz="4" w:space="0"/>
              <w:bottom w:val="single" w:color="000000" w:sz="4" w:space="0"/>
              <w:right w:val="single" w:color="000000" w:sz="4" w:space="0"/>
            </w:tcBorders>
            <w:vAlign w:val="center"/>
          </w:tcPr>
          <w:p w14:paraId="3B216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2" w:type="dxa"/>
            <w:tcBorders>
              <w:top w:val="single" w:color="000000" w:sz="4" w:space="0"/>
              <w:left w:val="single" w:color="000000" w:sz="4" w:space="0"/>
              <w:bottom w:val="single" w:color="000000" w:sz="4" w:space="0"/>
              <w:right w:val="single" w:color="000000" w:sz="4" w:space="0"/>
            </w:tcBorders>
            <w:vAlign w:val="center"/>
          </w:tcPr>
          <w:p w14:paraId="07CA14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4AD09F68">
        <w:tblPrEx>
          <w:tblLayout w:type="fixed"/>
        </w:tblPrEx>
        <w:trPr>
          <w:trHeight w:val="112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541D83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42" w:type="dxa"/>
            <w:tcBorders>
              <w:top w:val="single" w:color="000000" w:sz="4" w:space="0"/>
              <w:left w:val="single" w:color="000000" w:sz="4" w:space="0"/>
              <w:bottom w:val="single" w:color="000000" w:sz="4" w:space="0"/>
              <w:right w:val="single" w:color="000000" w:sz="4" w:space="0"/>
            </w:tcBorders>
            <w:vAlign w:val="center"/>
          </w:tcPr>
          <w:p w14:paraId="2EE83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云直播系统</w:t>
            </w:r>
          </w:p>
        </w:tc>
        <w:tc>
          <w:tcPr>
            <w:tcW w:w="7620" w:type="dxa"/>
            <w:tcBorders>
              <w:top w:val="single" w:color="000000" w:sz="4" w:space="0"/>
              <w:left w:val="single" w:color="000000" w:sz="4" w:space="0"/>
              <w:bottom w:val="single" w:color="000000" w:sz="4" w:space="0"/>
              <w:right w:val="single" w:color="000000" w:sz="4" w:space="0"/>
            </w:tcBorders>
            <w:vAlign w:val="top"/>
          </w:tcPr>
          <w:p w14:paraId="6A46F95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1.云直播功能，支持多终端观看，可定制直播间，同时直播时长、互动数据等均可统计，实现无缝对接；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2.支持扫码进入直播间，同时也支持观看地址连接加入直播间；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3.具备直播管理行为，可设置云直播是否允许回放，是否允许评论，是否允许转发等功能。</w:t>
            </w:r>
          </w:p>
        </w:tc>
        <w:tc>
          <w:tcPr>
            <w:tcW w:w="409" w:type="dxa"/>
            <w:tcBorders>
              <w:top w:val="single" w:color="000000" w:sz="4" w:space="0"/>
              <w:left w:val="single" w:color="000000" w:sz="4" w:space="0"/>
              <w:bottom w:val="single" w:color="000000" w:sz="4" w:space="0"/>
              <w:right w:val="single" w:color="000000" w:sz="4" w:space="0"/>
            </w:tcBorders>
            <w:vAlign w:val="center"/>
          </w:tcPr>
          <w:p w14:paraId="787CE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4F262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4C813866">
        <w:tblPrEx>
          <w:tblLayout w:type="fixed"/>
        </w:tblPrEx>
        <w:trPr>
          <w:trHeight w:val="360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7D147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2" w:type="dxa"/>
            <w:tcBorders>
              <w:top w:val="single" w:color="000000" w:sz="4" w:space="0"/>
              <w:left w:val="single" w:color="000000" w:sz="4" w:space="0"/>
              <w:bottom w:val="single" w:color="000000" w:sz="4" w:space="0"/>
              <w:right w:val="single" w:color="000000" w:sz="4" w:space="0"/>
            </w:tcBorders>
            <w:vAlign w:val="center"/>
          </w:tcPr>
          <w:p w14:paraId="50F246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音频处理器</w:t>
            </w:r>
          </w:p>
        </w:tc>
        <w:tc>
          <w:tcPr>
            <w:tcW w:w="7620" w:type="dxa"/>
            <w:tcBorders>
              <w:top w:val="single" w:color="000000" w:sz="4" w:space="0"/>
              <w:left w:val="single" w:color="000000" w:sz="4" w:space="0"/>
              <w:bottom w:val="single" w:color="000000" w:sz="4" w:space="0"/>
              <w:right w:val="single" w:color="000000" w:sz="4" w:space="0"/>
            </w:tcBorders>
            <w:vAlign w:val="top"/>
          </w:tcPr>
          <w:p w14:paraId="2275C5F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1.系统集成音频处理和功率放大器，高度≤1U。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2.集成回声消除功能、噪声消除功能、混音处理功能于一体；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3.反馈抑制（AFC）：传声增益提升幅度≥9dB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4.自适应背景降噪（ANS）：信噪比提升 ≥18dB自动增益控制（AGC）： -12dB - +12dB；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5.频率响应：20Hz-20kHz；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6.总谐波失真：≤0.1%8、支持≥1路RJ45接口无线话筒输入，支持≥1路凤凰端话筒输入；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7.具备≥1路翻页笔输出接口，具备≥1路USB声卡输出；具备≥4路音频输入接口，其中至少1路输入接口采用6.5mm接口；具备≥3路音频输出接口；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8.≥2个以太网接口，支持接入网络进行管控，配套平台支持远程声音控制、批量升级、音频参数调节配置、实时显示音量大小、运行日志统计及查看、故障统计等功能；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9.支持通过串口线连接中控，可实现对无线话筒的音量、电磁锁的解锁方式、电磁锁的开关进行控制；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10.功率放大器大输出功率：≥2*150W</w:t>
            </w:r>
          </w:p>
        </w:tc>
        <w:tc>
          <w:tcPr>
            <w:tcW w:w="409" w:type="dxa"/>
            <w:tcBorders>
              <w:top w:val="single" w:color="000000" w:sz="4" w:space="0"/>
              <w:left w:val="single" w:color="000000" w:sz="4" w:space="0"/>
              <w:bottom w:val="single" w:color="000000" w:sz="4" w:space="0"/>
              <w:right w:val="single" w:color="000000" w:sz="4" w:space="0"/>
            </w:tcBorders>
            <w:vAlign w:val="center"/>
          </w:tcPr>
          <w:p w14:paraId="15A78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6D5FF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A8DFA3D">
        <w:tblPrEx>
          <w:tblLayout w:type="fixed"/>
        </w:tblPrEx>
        <w:trPr>
          <w:trHeight w:val="450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3BE4D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42" w:type="dxa"/>
            <w:tcBorders>
              <w:top w:val="single" w:color="000000" w:sz="4" w:space="0"/>
              <w:left w:val="single" w:color="000000" w:sz="4" w:space="0"/>
              <w:bottom w:val="single" w:color="000000" w:sz="4" w:space="0"/>
              <w:right w:val="single" w:color="000000" w:sz="4" w:space="0"/>
            </w:tcBorders>
            <w:vAlign w:val="center"/>
          </w:tcPr>
          <w:p w14:paraId="06CC58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无线麦克风</w:t>
            </w:r>
          </w:p>
        </w:tc>
        <w:tc>
          <w:tcPr>
            <w:tcW w:w="7620" w:type="dxa"/>
            <w:tcBorders>
              <w:top w:val="single" w:color="000000" w:sz="4" w:space="0"/>
              <w:left w:val="single" w:color="000000" w:sz="4" w:space="0"/>
              <w:bottom w:val="single" w:color="000000" w:sz="4" w:space="0"/>
              <w:right w:val="single" w:color="000000" w:sz="4" w:space="0"/>
            </w:tcBorders>
            <w:vAlign w:val="top"/>
          </w:tcPr>
          <w:p w14:paraId="45750BF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1.采用UHF数字调制和无线抗干扰编码技术；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2.接收机与充电底座运用一体化设计，将话筒插入充电座便能自动完成配对，开机就能使用；（提供相应的产品说明书或彩页或功能截图或检测报告）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3.充电底座集成鹅颈麦克风功能，鹅颈麦克风话筒杆长度可选；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4.无线话筒采用直插式桌面充电器充电方式，具有充电灯光提醒及保护功能；（提供相应的产品说明书或彩页或功能截图或检测报告）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5.无线话筒具有翻页笔和激光笔功能；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6.无线麦克风侧面需具有独立音量加减按键；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7.收发频率： 470MHz - 510MHz；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8.频率响应范围：20Hz-20KHz（±3dB）；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9.综合信噪比：≥85dB；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10.充电底座具有物理解锁按键；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11.提供远程统一管理软硬件接口，配合中控可以做到上课可以开锁，下课后话筒插入底座后自动锁死，防止话筒丢失；（提供相应的产品说明书或彩页或功能截图或检测报告）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12.需具有归还语音提示功能，下课时老师未将无线麦克风插入底座可向功放设备输出归还提示语音；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13.通过中控可以远程获知和管理话筒当前状态、电池电量及未归还提醒等功能。（提供相应的产品说明书或彩页或功能截图或检测报告）</w:t>
            </w:r>
          </w:p>
        </w:tc>
        <w:tc>
          <w:tcPr>
            <w:tcW w:w="409" w:type="dxa"/>
            <w:tcBorders>
              <w:top w:val="single" w:color="000000" w:sz="4" w:space="0"/>
              <w:left w:val="single" w:color="000000" w:sz="4" w:space="0"/>
              <w:bottom w:val="single" w:color="000000" w:sz="4" w:space="0"/>
              <w:right w:val="single" w:color="000000" w:sz="4" w:space="0"/>
            </w:tcBorders>
            <w:vAlign w:val="center"/>
          </w:tcPr>
          <w:p w14:paraId="4BE6A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340FE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1D23AC5">
        <w:tblPrEx>
          <w:tblLayout w:type="fixed"/>
        </w:tblPrEx>
        <w:trPr>
          <w:trHeight w:val="202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4BB1F3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2" w:type="dxa"/>
            <w:tcBorders>
              <w:top w:val="single" w:color="000000" w:sz="4" w:space="0"/>
              <w:left w:val="single" w:color="000000" w:sz="4" w:space="0"/>
              <w:bottom w:val="single" w:color="000000" w:sz="4" w:space="0"/>
              <w:right w:val="single" w:color="000000" w:sz="4" w:space="0"/>
            </w:tcBorders>
            <w:vAlign w:val="center"/>
          </w:tcPr>
          <w:p w14:paraId="0E6C5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w:t>
            </w:r>
          </w:p>
        </w:tc>
        <w:tc>
          <w:tcPr>
            <w:tcW w:w="7620" w:type="dxa"/>
            <w:tcBorders>
              <w:top w:val="single" w:color="000000" w:sz="4" w:space="0"/>
              <w:left w:val="single" w:color="000000" w:sz="4" w:space="0"/>
              <w:bottom w:val="single" w:color="000000" w:sz="4" w:space="0"/>
              <w:right w:val="single" w:color="000000" w:sz="4" w:space="0"/>
            </w:tcBorders>
            <w:vAlign w:val="top"/>
          </w:tcPr>
          <w:p w14:paraId="669393E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1.频率响应：80Hz-18KHz（±3dB）；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2.额定阻抗：≤8Ω；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3.总谐波失真（120Hz-20KHz频率范围内）：≤3%；（提供相应的产品说明书或彩页或功能截图或检测报告）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4.特性灵敏度：≥88dB；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5.长期最大功率：≥60W；（提供相应的产品说明书或彩页或功能截图或检测报告）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6.高音单元：≥1吋；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7.低音单元：≥4吋；</w:t>
            </w:r>
          </w:p>
        </w:tc>
        <w:tc>
          <w:tcPr>
            <w:tcW w:w="409" w:type="dxa"/>
            <w:tcBorders>
              <w:top w:val="single" w:color="000000" w:sz="4" w:space="0"/>
              <w:left w:val="single" w:color="000000" w:sz="4" w:space="0"/>
              <w:bottom w:val="single" w:color="000000" w:sz="4" w:space="0"/>
              <w:right w:val="single" w:color="000000" w:sz="4" w:space="0"/>
            </w:tcBorders>
            <w:vAlign w:val="center"/>
          </w:tcPr>
          <w:p w14:paraId="244E62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2" w:type="dxa"/>
            <w:tcBorders>
              <w:top w:val="single" w:color="000000" w:sz="4" w:space="0"/>
              <w:left w:val="single" w:color="000000" w:sz="4" w:space="0"/>
              <w:bottom w:val="single" w:color="000000" w:sz="4" w:space="0"/>
              <w:right w:val="single" w:color="000000" w:sz="4" w:space="0"/>
            </w:tcBorders>
            <w:vAlign w:val="center"/>
          </w:tcPr>
          <w:p w14:paraId="4F77E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r>
      <w:tr w14:paraId="4994A3DF">
        <w:tblPrEx>
          <w:tblLayout w:type="fixed"/>
        </w:tblPrEx>
        <w:trPr>
          <w:trHeight w:val="819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0A5E6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42" w:type="dxa"/>
            <w:tcBorders>
              <w:top w:val="single" w:color="000000" w:sz="4" w:space="0"/>
              <w:left w:val="single" w:color="000000" w:sz="4" w:space="0"/>
              <w:bottom w:val="single" w:color="000000" w:sz="4" w:space="0"/>
              <w:right w:val="single" w:color="000000" w:sz="4" w:space="0"/>
            </w:tcBorders>
            <w:vAlign w:val="center"/>
          </w:tcPr>
          <w:p w14:paraId="4FE6F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智慧课堂系统</w:t>
            </w:r>
          </w:p>
        </w:tc>
        <w:tc>
          <w:tcPr>
            <w:tcW w:w="7620" w:type="dxa"/>
            <w:tcBorders>
              <w:top w:val="single" w:color="000000" w:sz="4" w:space="0"/>
              <w:left w:val="single" w:color="000000" w:sz="4" w:space="0"/>
              <w:bottom w:val="single" w:color="000000" w:sz="4" w:space="0"/>
              <w:right w:val="single" w:color="000000" w:sz="4" w:space="0"/>
            </w:tcBorders>
            <w:vAlign w:val="top"/>
          </w:tcPr>
          <w:p w14:paraId="2F17629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1.1.智慧课堂系统由大屏端、控制端、小组端、AI语音助手、移动端构成，实现课前课程建设、课中教学互动、多屏互动教学、对比教学、分组研讨等功能；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1.2.智慧课堂系统具备用户管理功能，支持与用户数据无缝对接；（提供相应的产品说明书或彩页或功能截图或检测报告）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1.3.智慧课堂系统可共享课程数据、备课资料、班级数据、题库、作业、试卷等，实现与课前资源的连贯性；（提供相应的产品说明书或彩页或功能截图或检测报告）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1.4智慧课堂系统在授课过程中所产生的的教学数据需要自动汇总，包括但不仅限于课中签到数据，课中随机选人数据，课中评分数据，课中主题讨论数据等；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2.课程建设：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2.1.选择不同的模板就可以建设慕课或精品课程的个性化课程网站；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2.2.提供多套精美网络课程建课模板，教师可依据个人资料的丰富程度及喜欢的风格进行个性化的设置；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2.3.支持课程创建者按周、课时自动生成课程章节，快速创建课程章节目录，提升建课效率；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2.4.支持课程负责人指派其他人共建同一门课程，并且可以对其权限进行设置，如：是否允许查看成绩、管理作业、管理考试、发布通知、管理课程等；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2.5.支持慕课制作和慕课教学模式，实现课程知识单元化，每个知识单元聚合丰富的富媒体教学资源；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2.6.教师可通过系统上传课程所需要的教材、参考书、参考文献、视频等资源；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2.7.支持上传多种文档格式，涵盖DOC、PPT、PDF、TXT等，上传后自动进行转码，无需下载即可直接在线阅读； （提供相应的产品说明书或彩页或功能截图或检测报告）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2.8.支持教学视频任意时间点插入测验题、图片、PPT；插入的测试题支持单选题、多选题和对错题等题型；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2.9.支持视频的虚拟剪辑，可以将视频文件按照课程的要求剪辑成适当长度；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2.10.支持视频打开“防拖拽和防窗口切换”，学生观看时无法进行快进播放，切出系统界面自动停止播放； （提供相应的产品说明书或彩页或功能截图或检测报告）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2.11.知识点拓展阅读功能，可以根据一个关键词自动生成相关知识点的知识树，插入到课程单元中，并自动推送知识点相关的图书、期刊、论文等资料；（提供相应的产品说明书或彩页或功能截图或检测报告）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2.12.支持使用教学资源包建课，教学资源包需整合本科、中高职、基础教育等各层次院校，各学科、专业的资源。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3.大屏端：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采用安装包的形式，安装到教室大屏中；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3.1课件调用：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3.1.1云盘：为每个师生账号提供不少于 100G 云盘空间，支持上传文件夹、上传文件、打开文件、新建文件夹、重命名、删除、搜索文件；可以随时调用云盘内容支持云盘资源的在线预览；支持将云盘中 PPT 文件直接点击上课使用；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3.1.2可直接调取课程资源，包含课程章节内容、作业模块、考试模块、教案等内容；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3.1.3.PPT文件：支持打开课程已有PPT，并可直接点击上课，并支持手机翻页、激光笔和聚光灯功能； （提供相应的产品说明书或彩页或功能截图或检测报告）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3.2课堂活动：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3.2.1.签到：支持教师通过智慧课堂系统发起普通签到、手势签到、位置签到、二维码签到等多种签到方式功能，学生通过移动端进行签到，教师端实时显示学生的签到情况，同时记录汇总；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3.2.2.选人：支持教师发起随机选人，屏幕上快速滚动学生的头像信息，支持多次选人，分别赋予分值并统计到学生个人成绩中；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3.2.3.抢答：支持教师发起抢答，教师可以看到所有学生的抢答情况；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3.2.4.主题讨论：支持教师发起主题讨论，学生端收到讨论点击进行发表自己的看法，支持文字、图片等方式上传，并可在大屏展示讨论结果，生成词云分析；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3.2.5.随堂练习：支持发送随堂练习给学生，支持查看学生答题结果及答题情况分析；练习题型类型至少包括单选题、多选题、判断题、客观题等常见题型；学生可使用录入文字、拍照上传等多种方式进行答题；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3.2.6.发放问卷：问卷编辑需支持自定义编辑或从教师原有问卷库导入等方式，问卷包含单选题、多选题、简答题等常见题型；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3.2.7.分组讨论：可以实现线上小组互动讨论，教师可总览各个小组讨论情况。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3.2.8.可以对单个学生或互动小组等进行生生互评。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3.2.9.白板：教师可通过白板手写板书，板书完成后支持保存到教师个人云盘。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3.2.10.支持同时给一个或多个班级上课，若为多个班级同时上课，支持将签到、抢答、选人等课堂活动同时发放到多个班级。（提供相应的产品说明书或彩页或功能截图或检测报告）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3.3多屏互动：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3.3.1.共享本机屏幕：共享时，可选择共享桌面、也可选择单一浏览器等其他软件窗口，支持选择是否开启画中画、同时共享电脑声音；支持将授课设备屏幕或窗口共享给侧屏、学生设备、线上课堂内成员；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3.3.2.共享学生设备：支持同时选择不少于4位学生，将学生屏幕展示时到授课电脑或大屏上；教师可控制是否投屏学生设备声音及关闭学生屏幕共享；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3.3.3.小组侧屏展示：支持同时展示不少于4个侧屏屏幕；教师可控制是否投屏小组侧屏声音及关闭侧屏屏幕共享；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3.4线上课堂：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3.4.1.性能要求：支持文字聊天，语音视频互动；支持 720P、1080P（HD）、HD+等高清画质视频；支持动态调整视频流的大小，适用于不同网络环境以及需要进行视频窗格切换的场景。在音频交互、降噪等场景下提供更好的声音质量，支持回声消除、自动噪声抑制、自动增益控制，适应各种音频环境，对用户的通话内容进行加密，防止信息泄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3.4.2.身份角色：教师即为课堂创建者，有权将学生设置为助教；将学生移出课堂；向学生发送解除静音或开启视频的请求；强制学生和助教静音和关闭摄像头；助教身份支持将学生移出课堂；向学生发送解除静音或开启视频的请求；强制学生静音和关闭摄像头；进行成员比对和查看比对历史；课堂录制；发布、删除和编辑公告；发布分组讨论、签到等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3.4.3.具备课堂录制功能，录制的课堂视频能回传至个人云盘中，并实现站内信课堂录制消息提醒服务；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辅助教学工具：支持画笔、激光笔、橡皮差、清除、形状、线条、文字输入；支持白板功能，在白板下支持画笔、激光笔、橡皮差、清除、形状、线条、文字输入、添加文件、修改本景色；板书完成后支持转发给学生或保存到云盘；支持切换窗口，支持在软件内快速切换至桌面、其他软件操作窗口、本软件窗口等。（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4.控制端：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4.1.支持通过智慧课堂控制端在任意界面下，一键唤醒智慧课堂软件系统；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4.2.支持通过智慧课具备课堂录制功能，录制的课堂视频能回传至个人云盘中，并实现站内信课堂录制消息提醒服务堂控制端已扫码登录用户，免密登录智慧课堂软件系统；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4.3.支持通过智慧课堂控制端在任意界面下，打开课件模块，并完成教学相关操作；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4.4.支持通过智慧课堂控制端在任意界面下，打开线上课堂模块，并完成远程互动操作；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4.5.支持通过智慧课堂控制端在任意界面下，打开签到功能，完成签到；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4.6.支持通过智慧课堂控制端在任意界面下，打开投屏功能，使用多屏互动功能；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4.7.支持通过智慧课堂控制端在任意界面下，打开活动模块，发起多种教学活动；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4.8.支持通过智慧课堂控制端在任意界面下，打开云盘模块,调用云盘资源；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4.9.支持通过智慧课堂控制端在任意界面下，打开同声翻译，实时进行课堂同声翻译；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4.10.支持通过智慧课堂控制端在任意界面下，打开AI助手，通过AI助手实现语音交互功能；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4.11.支持教师通过云盘或课程打开授课PPT时，通过智慧课堂控制端显示正在讲课的PPT目录视图，并支持通过智慧课堂控制端进行跳转任意页码；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5.小组端：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5.1.支持通过扫码将屏幕镜像投屏显示到侧屏；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5.2.配合智慧课堂大屏端完成多屏互动的功能；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6.AI语音助手：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6.1启动程序后自动开启桌面挂件，并置于桌面最上层，可随意拖动到桌面任意位置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6.2支持语音唤醒、双击唤醒、按钮唤醒等多种唤醒方式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6.3实现语音回答平台使用方式、基础问题、知识问答等多种问题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6.4支持执行语音指令，如发签到、打开白板、打开课程、开关摄像头、切换窗口等；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同声翻译：支持将教师语音实时转换为文字，并根据前后文语义动态纠正文字；支持实时翻译教师语音，识别及翻译语种包含中、英、德、法、日、西班牙、韩、阿拉伯、葡萄牙等多语种。（提供相应的产品说明书或彩页或功能截图或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7.移动端：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7.1.PC端与移动端的学习进度保持同步，学生在任何终端上，都可以实现学习记录的持续性，系统也可对任何终端的学习行为进行监控；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7.2.移动端满足课前课中课后使用，可基于课程形成师生互动交流群，实时进行即时通讯，进行讨论与交流，教师和学生可以开展话题讨论，利用发帖形式进行小组话题交流；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7.3.可以阅读海量电子图书、报纸、期刊、专题等资源，支持分享；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7.4.支持移动端加入互动课堂。</w:t>
            </w:r>
          </w:p>
        </w:tc>
        <w:tc>
          <w:tcPr>
            <w:tcW w:w="409" w:type="dxa"/>
            <w:tcBorders>
              <w:top w:val="single" w:color="000000" w:sz="4" w:space="0"/>
              <w:left w:val="single" w:color="000000" w:sz="4" w:space="0"/>
              <w:bottom w:val="single" w:color="000000" w:sz="4" w:space="0"/>
              <w:right w:val="single" w:color="000000" w:sz="4" w:space="0"/>
            </w:tcBorders>
            <w:vAlign w:val="center"/>
          </w:tcPr>
          <w:p w14:paraId="1F79A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6C73FB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C1C0B64">
        <w:tblPrEx>
          <w:tblLayout w:type="fixed"/>
        </w:tblPrEx>
        <w:trPr>
          <w:trHeight w:val="54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C26B6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7B87C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auto"/>
                <w:kern w:val="0"/>
                <w:sz w:val="18"/>
                <w:szCs w:val="18"/>
                <w:u w:val="none"/>
                <w:lang w:val="en-US" w:eastAsia="zh-CN" w:bidi="ar"/>
              </w:rPr>
              <w:t>双屏智慧黑板</w:t>
            </w:r>
          </w:p>
        </w:tc>
        <w:tc>
          <w:tcPr>
            <w:tcW w:w="7620" w:type="dxa"/>
            <w:tcBorders>
              <w:top w:val="single" w:color="000000" w:sz="4" w:space="0"/>
              <w:left w:val="single" w:color="000000" w:sz="4" w:space="0"/>
              <w:bottom w:val="single" w:color="000000" w:sz="4" w:space="0"/>
              <w:right w:val="single" w:color="000000" w:sz="4" w:space="0"/>
            </w:tcBorders>
            <w:vAlign w:val="top"/>
          </w:tcPr>
          <w:p w14:paraId="44D9BB4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1.整机采用全金属外壳，屏幕边缘采用金属圆角包边防护，整机背板采用金属材质，四拼接一体化设计，主副屏过渡平滑并在同一平面，中间无单独边框阻隔。</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63421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0DFED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A56F901">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A7CF6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1EB2F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B235C0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2.整机屏幕采用98英寸液晶显示器，采用UHD超高清LED液晶屏，显示比例16:9，分辨率3840×2160。</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5219A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D3466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329137">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E8688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07B58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336841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3.侧置输入接口：≥2路HDMI、≥1路RS232、≥1路USB；输出接口：≥1路音频、≥1路触控USB、≥1路HDMI OUT；前置输入接口：≥3路USB（包含1路Type-C、2路USB）。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4D3AA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80F64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7CD08BF">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BF061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88736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8F7487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4.采用电容触控技术，屏幕采用全贴合方式，支持信创系统中进行40点或以上触控。（提供相应的产品说明书或彩页或功能截图或检测报告）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A3989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AB601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644742">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3D5B9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24FA5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B03193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5.整机内置2.2声道扬声器，位于设备上边框，顶置朝前发声，前朝向10W高音扬声器2个，上朝向20W中低音扬声器2个，最大功率≥80W。（提供相应的产品说明书或彩页或功能截图或检测报告）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53534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3E387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BEDB870">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08A5C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434A9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216801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6.整机内置非独立外扩展的8阵列麦克风，可用于对教室环境音频进行采集，麦克风拾音距离≥12m。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4D43E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E0AC9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175F2D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6CAD8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5E8E1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1F1BC50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7.整机支持蓝牙Bluetooth 5.4标准，支持版本Wi-Fi6。</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9E16A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AC5EF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79D66C6">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854F0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6C148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9C11A4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8.整机内置非独立摄像头，可拍摄≥5000万像素数的照片，支持输出4K分辨率视频。（提供相应的产品说明书或彩页或功能截图或检测报告）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F0C8D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97568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38769DD">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BDE79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742BA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3C4175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9.OPS模块： CPU采用信创自主可控芯片，处理器核数≥8核，主频≥2.7GHz； 内存：8GB或以上配置，硬盘：256GB或以上固态硬盘；≥2G独显，具有独立非外扩展接口：≥1路HDMI ，≥3路USB。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30D7E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07DD6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B9CFE19">
        <w:tblPrEx>
          <w:tblLayout w:type="fixed"/>
        </w:tblPrEx>
        <w:trPr>
          <w:trHeight w:val="45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686D4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79E8EA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触控一体机</w:t>
            </w:r>
          </w:p>
        </w:tc>
        <w:tc>
          <w:tcPr>
            <w:tcW w:w="7620" w:type="dxa"/>
            <w:tcBorders>
              <w:top w:val="single" w:color="000000" w:sz="4" w:space="0"/>
              <w:left w:val="single" w:color="000000" w:sz="4" w:space="0"/>
              <w:bottom w:val="single" w:color="000000" w:sz="4" w:space="0"/>
              <w:right w:val="single" w:color="000000" w:sz="4" w:space="0"/>
            </w:tcBorders>
            <w:vAlign w:val="top"/>
          </w:tcPr>
          <w:p w14:paraId="3C7BBC7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1.整机采用一体化结构，屏幕采用≥65英寸超高清LED液晶屏，显示分辨率≥3840*2160，可视角度≥178°。</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37388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28DA9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17A615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D34DA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262BD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9E7530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2.整机嵌入式芯片CPU≥8核，主频≥1.6GHz，内存≥2GB，存储空间≥32GB。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3C337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306C6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12FCD5A">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EC895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078D8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C3B8BA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核心运算</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CPU芯片</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采用国产自主可控，性能</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≥8核，主频≥2.7GHz</w:t>
            </w:r>
            <w:r>
              <w:rPr>
                <w:rFonts w:hint="eastAsia" w:ascii="宋体" w:hAnsi="宋体" w:cs="宋体"/>
                <w:i w:val="0"/>
                <w:iCs w:val="0"/>
                <w:color w:val="000000" w:themeColor="text1"/>
                <w:kern w:val="0"/>
                <w:sz w:val="18"/>
                <w:szCs w:val="18"/>
                <w:u w:val="none"/>
                <w:lang w:val="en-US" w:eastAsia="zh-CN" w:bidi="ar"/>
                <w14:textFill>
                  <w14:solidFill>
                    <w14:schemeClr w14:val="tx1"/>
                  </w14:solidFill>
                </w14:textFill>
              </w:rPr>
              <w:t>。为确保系统兼容与稳定，所投产品应已完成与主流国产操作系统（如统信UOS、麒麟KOS等）的适配认证</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93908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6B0CE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40831D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127B2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E88DF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2609AD3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4.整机内置非独立外扩展的4阵列麦克风，拾音距离≥12m。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6141C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90F48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B5630D8">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4DA04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9E387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77BAE7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5.侧置接口：≥2个HDMI接口、≥1个RS232接口、≥1个USB接口用于输入；≥1个音频输出接口、≥1个触控USB输出接口用于输出；前置输入接口：≥有3个USB接口，其中包含1个Type-C接口和2个普通USB接口。</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FD058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A7E6D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DC27CDF">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18580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D6248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44F0CC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6.整机设备内置2.2声道扬声器，位于设备上边框，顶置朝前发声，12W高音扬声器2个，上朝向30W中低音扬声器2个，最大功率≥84W。</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9902B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863FC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344D9C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E57D3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74B47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2322E7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7.支持至少40点同时触控操作。</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39094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86A7B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D982F6C">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73A56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2E560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16D8AFB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8.整机无线模块（Wi-Fi和蓝牙）采用独立模块化设计，无需拆卸整机后壳即可独立拆装。</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56ACD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583DF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5F3B652">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676AE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ED11F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87D9CC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9.整机关机状态下，通过长按电源键进入设置界面后，可点击屏幕选择故障检测、系统还原功能，系统还原可单独还原PC系统，单独还原整机系统。</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871F2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3DC00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93CDCD1">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2A64A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00241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5E44F4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10.整机内置非独立摄像头，摄像头数量≥1个，可拍摄≥1600万像素数的照片。</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F938B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DBE55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FF46759">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4C9A4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57A91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CD7120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11.整机支持蓝牙Bluetooth5.4标准，Wi-Fi制式支持IEEE802.11a/b/g/n/ac/ax；支持版本Wi-Fi6。</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17884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D7636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9AC5F99">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E4208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5BB31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8F3A5F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12.电脑模块：CPU采用信创自主可控芯片；主频≥2.8Ghz，核心数≥8核心，三级缓存≥16M；内存：8GBDDR4笔记本内存或以上配置；硬盘：256GBSSD固态硬盘或以上配置；采用独立显卡，显存≥2G；预装正版国产操作系统。</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789E7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A03B8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3DF1594">
        <w:tblPrEx>
          <w:tblLayout w:type="fixed"/>
        </w:tblPrEx>
        <w:trPr>
          <w:trHeight w:val="45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F6E17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41E56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智慧讲台</w:t>
            </w:r>
          </w:p>
        </w:tc>
        <w:tc>
          <w:tcPr>
            <w:tcW w:w="7620" w:type="dxa"/>
            <w:tcBorders>
              <w:top w:val="single" w:color="000000" w:sz="4" w:space="0"/>
              <w:left w:val="single" w:color="000000" w:sz="4" w:space="0"/>
              <w:bottom w:val="single" w:color="000000" w:sz="4" w:space="0"/>
              <w:right w:val="single" w:color="000000" w:sz="4" w:space="0"/>
            </w:tcBorders>
            <w:vAlign w:val="top"/>
          </w:tcPr>
          <w:p w14:paraId="0124A18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1.讲台整体尺寸≥1600mm*750mm*750mm(可定制)；外观流线型无锐角设计，弧形环抱式围挡；</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68F8F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2D623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B365735">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1E4D0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F0E03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1E89BE3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2.为提供老师不同高度的使用讲台的需求，讲台可进行电动升降.节高度，调节过程采用静音处理；</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1781F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21EEA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3D9392E">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3D405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F18DE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6085A6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3.设备柜和讲台主框架采用可拆卸方式，可根据用户需求调整空间大小及内部结构调整，设备柜拆除后讲台主体不影响稳定及美观，讲台可正常使用；</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03129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D50A6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FA4AF59">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1BC89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588FD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154F741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4.桌面开放式设计放置29~34寸21:9触控显示器装置，仰角可调。</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E07BA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D9355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D0577EA">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2A333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0E673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键鼠</w:t>
            </w:r>
          </w:p>
        </w:tc>
        <w:tc>
          <w:tcPr>
            <w:tcW w:w="7620" w:type="dxa"/>
            <w:tcBorders>
              <w:top w:val="single" w:color="000000" w:sz="4" w:space="0"/>
              <w:left w:val="single" w:color="000000" w:sz="4" w:space="0"/>
              <w:bottom w:val="single" w:color="000000" w:sz="4" w:space="0"/>
              <w:right w:val="single" w:color="000000" w:sz="4" w:space="0"/>
            </w:tcBorders>
            <w:vAlign w:val="top"/>
          </w:tcPr>
          <w:p w14:paraId="46CED79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鼠标规格</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68E9E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318CB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24F30D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F9C78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7371D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12A1C22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分辨率：≤3000dpi；</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E42DD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2B7B4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462687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E78C4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C4F9B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7259D71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键盘规格</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4418F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C1D18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44C955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80DF0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BC00A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244CA41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键盘标准：89-108键。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C29D2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69C3A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18A8249">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C250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12EA27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无线AP</w:t>
            </w:r>
          </w:p>
        </w:tc>
        <w:tc>
          <w:tcPr>
            <w:tcW w:w="7620" w:type="dxa"/>
            <w:tcBorders>
              <w:top w:val="single" w:color="000000" w:sz="4" w:space="0"/>
              <w:left w:val="single" w:color="000000" w:sz="4" w:space="0"/>
              <w:bottom w:val="single" w:color="000000" w:sz="4" w:space="0"/>
              <w:right w:val="single" w:color="000000" w:sz="4" w:space="0"/>
            </w:tcBorders>
            <w:vAlign w:val="top"/>
          </w:tcPr>
          <w:p w14:paraId="73F613D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1.射频设计：三射频设计，同时支持2.4G和5G；</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18CDD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46821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B09139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46AED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8E5C4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721D94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2.传输速率：最大无线速率大于7Gbps；</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5C38D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AC959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08AE12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A40FF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7D888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06C707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3.无线类型：内置智能无线；</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1C940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8B2A9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B77B72F">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AB734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C0FD3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2B3AE1F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4.接口：上联：1个100/1000/2.5G/5GBase-T自适应以太网接口，支持IEEE 802.3af/802.3at/802.3bt标准PoE受电1个5G SFP接口，兼容1G和2.5G SFP口，与电口复用；</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D8517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C8302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3A14767">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1D6EE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0A914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A30C79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下联：1个10/100/1000Base-T自适应以太网接口，支持对物联网单元供电(48V/12.95W)。</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E5F44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C01F6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97B1CF2">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53D9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1085F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企业级VPN路由器</w:t>
            </w:r>
          </w:p>
        </w:tc>
        <w:tc>
          <w:tcPr>
            <w:tcW w:w="7620" w:type="dxa"/>
            <w:tcBorders>
              <w:top w:val="single" w:color="000000" w:sz="4" w:space="0"/>
              <w:left w:val="single" w:color="000000" w:sz="4" w:space="0"/>
              <w:bottom w:val="single" w:color="000000" w:sz="4" w:space="0"/>
              <w:right w:val="single" w:color="000000" w:sz="4" w:space="0"/>
            </w:tcBorders>
            <w:vAlign w:val="top"/>
          </w:tcPr>
          <w:p w14:paraId="3B0945A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LAN输出口：千兆网口；</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0A140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1A975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017640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B85ED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35BFC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B2F482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WAN接入口：千兆网口；</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94A51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52E55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58B462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65544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45A87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AE93E4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机身材质工艺：金属机身；</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E0F60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EA778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0C7A6E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94762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CCB77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62E24E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企业VPN：支持；</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BBE08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2A6A3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20C34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81931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F2C8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6A6047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不少于8口PoE供电。</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DF1BE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1E3B6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BA99CBA">
        <w:tblPrEx>
          <w:tblLayout w:type="fixed"/>
        </w:tblPrEx>
        <w:trPr>
          <w:trHeight w:val="27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072DF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42" w:type="dxa"/>
            <w:tcBorders>
              <w:top w:val="single" w:color="000000" w:sz="4" w:space="0"/>
              <w:left w:val="single" w:color="000000" w:sz="4" w:space="0"/>
              <w:bottom w:val="single" w:color="000000" w:sz="4" w:space="0"/>
              <w:right w:val="single" w:color="000000" w:sz="4" w:space="0"/>
            </w:tcBorders>
            <w:vAlign w:val="center"/>
          </w:tcPr>
          <w:p w14:paraId="0FDC0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交换机</w:t>
            </w:r>
          </w:p>
        </w:tc>
        <w:tc>
          <w:tcPr>
            <w:tcW w:w="7620" w:type="dxa"/>
            <w:tcBorders>
              <w:top w:val="single" w:color="000000" w:sz="4" w:space="0"/>
              <w:left w:val="single" w:color="000000" w:sz="4" w:space="0"/>
              <w:bottom w:val="single" w:color="000000" w:sz="4" w:space="0"/>
              <w:right w:val="single" w:color="000000" w:sz="4" w:space="0"/>
            </w:tcBorders>
            <w:vAlign w:val="top"/>
          </w:tcPr>
          <w:p w14:paraId="1B7653B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不少于16口千兆交换机。</w:t>
            </w:r>
          </w:p>
        </w:tc>
        <w:tc>
          <w:tcPr>
            <w:tcW w:w="409" w:type="dxa"/>
            <w:tcBorders>
              <w:top w:val="single" w:color="000000" w:sz="4" w:space="0"/>
              <w:left w:val="single" w:color="000000" w:sz="4" w:space="0"/>
              <w:bottom w:val="single" w:color="000000" w:sz="4" w:space="0"/>
              <w:right w:val="single" w:color="000000" w:sz="4" w:space="0"/>
            </w:tcBorders>
            <w:vAlign w:val="center"/>
          </w:tcPr>
          <w:p w14:paraId="6573E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3D010D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AA2A54D">
        <w:tblPrEx>
          <w:tblLayout w:type="fixed"/>
        </w:tblPrEx>
        <w:trPr>
          <w:trHeight w:val="1127"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94031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708300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智慧教室装修</w:t>
            </w:r>
          </w:p>
        </w:tc>
        <w:tc>
          <w:tcPr>
            <w:tcW w:w="7620" w:type="dxa"/>
            <w:tcBorders>
              <w:top w:val="single" w:color="000000" w:sz="4" w:space="0"/>
              <w:left w:val="single" w:color="000000" w:sz="4" w:space="0"/>
              <w:bottom w:val="single" w:color="000000" w:sz="4" w:space="0"/>
              <w:right w:val="single" w:color="000000" w:sz="4" w:space="0"/>
            </w:tcBorders>
            <w:vAlign w:val="top"/>
          </w:tcPr>
          <w:p w14:paraId="5E02C24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完成2个教室共计264平的空间设计装修：提供空间设计，提供布局图、布线图、效果图、施工图，根据校方最终确认版效果图完成基础空间的重构和装修施工服务。地面铺设地胶，墙面吸音处理，顶部灯光改造，强弱电改造。本项目包含所有设备整体安装调试、施工线材及配件等。</w:t>
            </w:r>
            <w:r>
              <w:rPr>
                <w:rFonts w:hint="eastAsia" w:ascii="宋体" w:hAnsi="宋体" w:eastAsia="宋体" w:cs="宋体"/>
                <w:i w:val="0"/>
                <w:iCs w:val="0"/>
                <w:color w:val="FF0000"/>
                <w:kern w:val="0"/>
                <w:sz w:val="18"/>
                <w:szCs w:val="18"/>
                <w:u w:val="none"/>
                <w:lang w:val="en-US" w:eastAsia="zh-CN" w:bidi="ar"/>
              </w:rPr>
              <w:t>装修总价不得超过投标报价中的相应分项报价。任何超出原定范围和标准的变更，须经采购人书面同意并另行签订补充协议。</w:t>
            </w:r>
          </w:p>
          <w:p w14:paraId="36E1DBC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34B8D2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0D6C00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平</w:t>
            </w:r>
            <w:r>
              <w:rPr>
                <w:rFonts w:hint="eastAsia" w:ascii="宋体" w:hAnsi="宋体" w:cs="宋体"/>
                <w:i w:val="0"/>
                <w:iCs w:val="0"/>
                <w:color w:val="000000"/>
                <w:kern w:val="0"/>
                <w:sz w:val="18"/>
                <w:szCs w:val="18"/>
                <w:u w:val="none"/>
                <w:lang w:val="en-US" w:eastAsia="zh-CN" w:bidi="ar"/>
              </w:rPr>
              <w:t>方米</w:t>
            </w:r>
          </w:p>
        </w:tc>
      </w:tr>
      <w:tr w14:paraId="460F17D4">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E66EF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9E95B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3CDA51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1.地面：地面采用塑胶地板，100％纯 PVC 耐磨层，厚度≥ 3.0mm，经防老化和紧固技术处理，耐磨耐压；地胶底部：满刮胶工艺；</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7757B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17C58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CD8442F">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9E639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F129E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1F7819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2.吸音墙面：墙面采用高性能吸音板，专业色调，环保、可回收利用；具备吸音率高、隔音性能好，保温隔热，防水、不发霉、无味，等特点；</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99A49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89F03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404D93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BAFE2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15865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A58B7B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3.灯光，采用三基色或 LED 灯光，均匀布光；</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90FC8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50863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67C1E52">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9AC89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80E38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A0DF09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4.窗帘：遮光窗帘，宽褶皱，遮光、隔音、吸音效果好，颜色根据现场环境搭配，含导轨，褶皱率大于 50%。颜色根据学校要求选定；</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E9D84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55403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CE91154">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22E17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27EF8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29EBD9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5.门：根据客户需求，可提供安装专业防盗门，隔音门或厚重的防火门，以控制外界声音的传入，降低室内环境噪声。</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414A2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9CA87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B661D38">
        <w:tblPrEx>
          <w:tblLayout w:type="fixed"/>
        </w:tblPrEx>
        <w:trPr>
          <w:trHeight w:val="480" w:hRule="atLeast"/>
          <w:jc w:val="center"/>
        </w:trPr>
        <w:tc>
          <w:tcPr>
            <w:tcW w:w="9674" w:type="dxa"/>
            <w:gridSpan w:val="5"/>
            <w:tcBorders>
              <w:top w:val="single" w:color="000000" w:sz="4" w:space="0"/>
              <w:left w:val="single" w:color="000000" w:sz="4" w:space="0"/>
              <w:bottom w:val="single" w:color="000000" w:sz="4" w:space="0"/>
              <w:right w:val="single" w:color="000000" w:sz="4" w:space="0"/>
            </w:tcBorders>
            <w:vAlign w:val="center"/>
          </w:tcPr>
          <w:p w14:paraId="09186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仿宋_GB2312" w:hAnsi="宋体" w:eastAsia="仿宋_GB2312" w:cs="仿宋_GB2312"/>
                <w:b/>
                <w:bCs/>
                <w:i w:val="0"/>
                <w:iCs w:val="0"/>
                <w:color w:val="000000"/>
                <w:kern w:val="0"/>
                <w:sz w:val="28"/>
                <w:szCs w:val="28"/>
                <w:u w:val="none"/>
                <w:lang w:val="en-US" w:eastAsia="zh-CN" w:bidi="ar"/>
              </w:rPr>
              <w:t>三、新疆农业大学亚心教室（乌鲁木齐）改造2间，和塔职院同步课堂用</w:t>
            </w:r>
          </w:p>
        </w:tc>
      </w:tr>
      <w:tr w14:paraId="4E22BB74">
        <w:tblPrEx>
          <w:tblLayout w:type="fixed"/>
        </w:tblPrEx>
        <w:trPr>
          <w:trHeight w:val="675"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490D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5C069A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智慧教室终端</w:t>
            </w:r>
          </w:p>
        </w:tc>
        <w:tc>
          <w:tcPr>
            <w:tcW w:w="7620" w:type="dxa"/>
            <w:tcBorders>
              <w:top w:val="single" w:color="000000" w:sz="4" w:space="0"/>
              <w:left w:val="single" w:color="000000" w:sz="4" w:space="0"/>
              <w:bottom w:val="single" w:color="000000" w:sz="4" w:space="0"/>
              <w:right w:val="single" w:color="000000" w:sz="4" w:space="0"/>
            </w:tcBorders>
            <w:vAlign w:val="top"/>
          </w:tcPr>
          <w:p w14:paraId="0850B6B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1.智慧教室终端所有应用功能通过讲台高清触控屏操作来完成，主机及讲台高清触控屏采用讲台方式安装和使用；不借助电脑可独立实现网络中控、专业录播、远程互动、无线投屏、圈点批注、电子白板等功能；</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5C539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003EED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94998DE">
        <w:tblPrEx>
          <w:tblLayout w:type="fixed"/>
        </w:tblPrEx>
        <w:trPr>
          <w:trHeight w:val="90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53F6A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8AC2E9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7359A4C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为满足学校多样化登录要求，智慧教室终端需要支持账号密码登录、IC卡刷卡登录、二维码扫描登录、人脸识别登录四种登录方式。老师通过任一方式登陆终端后可以自动读取老师信息与权限，自动匹配个人数据；（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01096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4ED0B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B37C1E4">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00D68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715E5A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A6BF29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3.讲台高清触控屏，要求尺寸不小于29英寸，21:9显示比例，支持1080p及以上高清显示和多点触控，内置摄像头、麦克风、IC卡读卡器、USB接口等功能；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C829F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E0068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3CA6108">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F3C2A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D5133B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08A085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4.内置教师权限管理模块，支持扫码登录，支持在扫码登录界面一键开启课程录制，并且支持一键开启结束后自动上传至智慧课堂系统个人云盘空间；</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BD1D9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9587E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58919B0">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16452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7D44E8D">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319EFE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5.内置录播模块，具备录制、音视频编解码、音频处理、存储、流媒体服务器、视频互动等功能于一体；</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C18C5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DEA0F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CA5180B">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DE16A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6B1412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AFBC55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6.要求录播画面在讲台高清触控屏上可实时预览，并支持录制、暂停、停止等操作，录制开启时能在教室显示大屏上呈现准备开始的倒计时，提醒师生即将开始录制；（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0B8E6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057A5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89BA53C">
        <w:tblPrEx>
          <w:tblLayout w:type="fixed"/>
        </w:tblPrEx>
        <w:trPr>
          <w:trHeight w:val="15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13FD6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05AEBD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FF8043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终端接口要求：HDMI视频输入接口≥3路；HDMI输出接口≥3路，其中≥1路需支持4K分辨率输出；网口≥4路，其中≥2路需支持POE；RS-232控制接口≥4路；音频MIC输入接口≥5路，每路均支持独立的48V幻象供电开关；音频LINE OUT接口≥1路；可电源管理的授课大屏220V供电接口≥1路、投影幕升降接口≥1路；PC控制接口不少于1路；无线麦IR接口不少于1路；USB接口不少于1路；TYPE-C接口不少于2路；（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85A62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E0867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BF67D80">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9B9C1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D16749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70D10A4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8.要求内置数字音频处理功能，支持MIC音频混音、增益、降噪等处理，音视频互动中支持回声抑制处理功能；（提供相应的产品说明书或彩页或功能截图或检测报告）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F01AE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65136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6D2D175">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A88BB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E27851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146F1D0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9.内置圈点批注功能，无需启动任何软件工具，支持投屏内容的录制，完整记录老师投屏、圈点批注全过程，并可上传至云盘空间；</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4DFD1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1DABF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88F0FC4">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09793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926254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2408827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10.内置白板教学功能，支持教师在授课过程中通过讲台高清触控屏模拟白板粉笔书写来进行板书教学；打开白板能全屏展示到黑板大屏、投影幕布显示；</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6EE12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BFAAF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AED5277">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3226C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38A0F7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8C36B9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11.支持无线投屏，支持多路信号同时投屏到智慧教室终端，通过讲台高清触控屏可预览无线投屏信号缩略画面图，同时对无线投屏信号进行审核，支持对投屏画面的录制；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FA6DB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E63CE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C1237B7">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D72D3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70D0C3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87EBC6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12.内置多路信号源快速切换功能，通过讲台高清触控屏操控即可对内置电脑、外接笔记本、无线投屏等视频信号进行快速切换；</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3E529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F0A0F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22D288D">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59572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515A80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C296CC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13.直播功能，支持提前创建直播活动并支持在终端设备上一键开启直播，支持多终端观看，可以支持校内、校外远程直播；（提供相应的产品说明书或彩页或功能截图或检测报告）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04368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99659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763D13E">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395E7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2BE57AA">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838C3D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14.支持大屏共享模式，可一键将教师屏幕共享到小组屏，支持小组互动模式，可一键开启小组多终端投屏互动；</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F70F7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FF754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D59ABDE">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D615F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CFE353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5D2A9E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15.支持在课程录制界面将已录制好的资源一键上传到智慧课堂系统个人云盘空间内；</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9A7FB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A00E1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8D78392">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DC5A9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6C2B7C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1F24384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16.智慧教室终端具备远程互动功能：通过讲台高清触控屏操作就可与其它互动教室进行音频和视频互动,并且支持互动界面发起教学活动包括但不限于签到选人主题讨论等功能；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6C11C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12334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6FB215B">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70D3F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48262B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8EE77E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17.支持通过智慧课堂控制端在任意界面下，一键唤醒智慧课堂软件系统；支持打开课件模块，完成教学相关操作；打开互动教学模块，完成教学活动，投屏，云盘等功能；支持打开线上课堂，完成远程互动；</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67F20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3E903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BD759C1">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84841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B2612F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E11BD3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18.支持教师在线打开授课PPT时，通过智慧终端显示正在讲课的PPT目录视图，大屏显示PPT播放画面，同时支持通过智慧终端进行跳转任意PPT页码。（提供相应的产品说明书或彩页或功能截图或检测报告）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6CD53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596AF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0581289">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2D7D4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66CA6D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C660D6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20.为保证产品质量，要求提供智慧教室终端产品3C证书；</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765CB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C5B69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1AAFB9">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7A267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526492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814A07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21.为保证产品设计符合节能环保的国家标准，要求提供智慧教室终端产品节能证书；</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499EC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9F468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4A18BF5">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5AAF5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39A5A8B">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12F448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22.为保证产品稳定可靠，要求智慧教室终端平均无故障时间不低于20万小时。（提供相应的产品说明书或彩页或功能截图或检测报告）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C5A59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D4232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B941F19">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7732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484826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智慧终端管理系统</w:t>
            </w:r>
          </w:p>
        </w:tc>
        <w:tc>
          <w:tcPr>
            <w:tcW w:w="7620" w:type="dxa"/>
            <w:tcBorders>
              <w:top w:val="single" w:color="000000" w:sz="4" w:space="0"/>
              <w:left w:val="single" w:color="000000" w:sz="4" w:space="0"/>
              <w:bottom w:val="single" w:color="000000" w:sz="4" w:space="0"/>
              <w:right w:val="single" w:color="000000" w:sz="4" w:space="0"/>
            </w:tcBorders>
            <w:vAlign w:val="top"/>
          </w:tcPr>
          <w:p w14:paraId="6C9C803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1.为保证系统的稳定性，所投产品需内置于智慧教室终端；</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587B33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5E6C2D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727451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9696F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299DF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FDAEBD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2.支持可视化集中管控终端所有功能；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46101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067FD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9A7572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53EBD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12003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6827C1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3.支持统一配置智慧终端网络信息；</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FC80B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CE2EA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72B265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424D7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44969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A3C07E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4.支持绑定管控平台，并对智慧终端进行相关系统设置；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2ED39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3DF3B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B6EA85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D66D9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489E7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1C5FAEB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5.支持统一修改无线网络信息；</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58205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C997E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E650E1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DA802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B10E4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5566AA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6.支持统一设置教室设备串口信息，包括一体机、投影等。</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304A4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2B7E9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E3B7D7C">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C4F9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27686C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常态录播系统</w:t>
            </w:r>
          </w:p>
        </w:tc>
        <w:tc>
          <w:tcPr>
            <w:tcW w:w="7620" w:type="dxa"/>
            <w:tcBorders>
              <w:top w:val="single" w:color="000000" w:sz="4" w:space="0"/>
              <w:left w:val="single" w:color="000000" w:sz="4" w:space="0"/>
              <w:bottom w:val="single" w:color="000000" w:sz="4" w:space="0"/>
              <w:right w:val="single" w:color="000000" w:sz="4" w:space="0"/>
            </w:tcBorders>
            <w:vAlign w:val="top"/>
          </w:tcPr>
          <w:p w14:paraId="1B78DD0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1.为保证系统的稳定性，所投产品需内置于智慧教室终端；</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45E8CF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15CB22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F63375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B475E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CDAC4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294734A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2.支持可视化集中管控终端所有功能；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B5C06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C2B4D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8E4D02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8FEAA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BC0B3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5C0234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3.具备多媒体信号切换、多屏互动控制、录播控制等触控界面；</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C2A40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75420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0C6AD4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64C16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DF836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C87A5CD">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4.支持绑定管控平台，并对智慧教室终端进行相关系统设置；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B23CB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87DCB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BD05AE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B927F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1D2B2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2F60D97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5.支持统一设置教室设备串口信息，包括一体机、投影等。</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323CC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79184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9DEE00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E66C0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76012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B4C4783">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531D6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4896B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99A1B89">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854BC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79042F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教师云镜摄像机</w:t>
            </w:r>
          </w:p>
        </w:tc>
        <w:tc>
          <w:tcPr>
            <w:tcW w:w="7620" w:type="dxa"/>
            <w:tcBorders>
              <w:top w:val="single" w:color="000000" w:sz="4" w:space="0"/>
              <w:left w:val="single" w:color="000000" w:sz="4" w:space="0"/>
              <w:bottom w:val="single" w:color="000000" w:sz="4" w:space="0"/>
              <w:right w:val="single" w:color="000000" w:sz="4" w:space="0"/>
            </w:tcBorders>
            <w:vAlign w:val="top"/>
          </w:tcPr>
          <w:p w14:paraId="27C0DBD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1.为保证系统的稳定性，所投产品需内置于智慧教室终端；</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538D72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17096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3E855479">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D1F72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32D75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3E83ED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2.具备直播、点播、录制管理、导播控制、系统设置、参数修改等功能，支持浏览器访问；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A52E3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22116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80B8AEB">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D065D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BE58A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0B8C46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3.支持RTP、RTSP、RTMP等音视频传输协议，支持所录制的视频文件自动上传；</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9D43C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0CA5B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60DC0A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6A91C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BCD04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EF211D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4.为保证直播观看和视频交互流畅进行，要求画面延迟≤300ms（局域网）；</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74C45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368F0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5DF7B21">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2555F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04BE6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17D2FC1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5.支持公网CDN直播推送，支持公网视频平台进行直播对接，支持平台数量≥3个，进行活动视频的大规模直播；</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D2161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7485E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AC56AD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DB51F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BAEE0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EC876E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6.录制模式支持本地电影模式、资源模式视频录制和双模式同步录制。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C37D1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63192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E8984B1">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412A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4F501E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学生云镜摄像机</w:t>
            </w:r>
          </w:p>
        </w:tc>
        <w:tc>
          <w:tcPr>
            <w:tcW w:w="7620" w:type="dxa"/>
            <w:tcBorders>
              <w:top w:val="single" w:color="000000" w:sz="4" w:space="0"/>
              <w:left w:val="single" w:color="000000" w:sz="4" w:space="0"/>
              <w:bottom w:val="single" w:color="000000" w:sz="4" w:space="0"/>
              <w:right w:val="single" w:color="000000" w:sz="4" w:space="0"/>
            </w:tcBorders>
            <w:vAlign w:val="top"/>
          </w:tcPr>
          <w:p w14:paraId="27A8071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1.846万像素1/2.8英寸4KCMOS传感器；</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471E4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5EC37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EFB76A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4174F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C791A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7267F9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2.支持30帧的网络H.265/H.264视频输出；</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ED57A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47C85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EA70AE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19221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4900A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011B9D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3.单镜头可输出全景和特写两个景别；</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C44AA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ACE4E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7ED6233">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01B02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E21DA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D7DF7A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4.支持4码流，即特写双码流和全景双码流，并可支持特写和全景同时RTMP推流；</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B9E38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2E46E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713572">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E5B2C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CDFB2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89B497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5.具备RJ45网口，支持POE功能，可同时输出全景和特写两个景别的高清视频；</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383A1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267F7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7B606A2">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2B9C8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86A35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2F2659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6.支持老师跟踪，人脸识别+运动检测，单摄像机同时实现全景景别和跟踪特写景别拍摄。支持多种跟踪模式。支持多速度等级的电子云台控制；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A3988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C372B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B34A74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A13DC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0707B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4BB4E2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7.支持数字变焦、自动增益、自动白平衡等功能。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0E03A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9CA89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7A82D1D">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E95C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3A6D6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拾音吊麦</w:t>
            </w:r>
          </w:p>
        </w:tc>
        <w:tc>
          <w:tcPr>
            <w:tcW w:w="7620" w:type="dxa"/>
            <w:tcBorders>
              <w:top w:val="single" w:color="000000" w:sz="4" w:space="0"/>
              <w:left w:val="single" w:color="000000" w:sz="4" w:space="0"/>
              <w:bottom w:val="single" w:color="000000" w:sz="4" w:space="0"/>
              <w:right w:val="single" w:color="000000" w:sz="4" w:space="0"/>
            </w:tcBorders>
            <w:vAlign w:val="top"/>
          </w:tcPr>
          <w:p w14:paraId="78151FD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1.换能方式：电容式</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4D7A5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22750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667F25A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3E89F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D4112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781C551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2.指向性：单一超指向</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91C53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49B3F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39F6DA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B3AAE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AA996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17B997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3.频率响应：100-16000Hz</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EFB98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15D28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94FB16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FAFFE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3338D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1488053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4.输出阻抗：近距1KΩ、远距2.3KΩ</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95F98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A1241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ADA3C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1A297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FE6E3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AE51E1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5.灵敏度：近距-45dB、远距-38dB。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260E7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16C6A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F95B796">
        <w:tblPrEx>
          <w:tblLayout w:type="fixed"/>
        </w:tblPrEx>
        <w:trPr>
          <w:trHeight w:val="45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3853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40F73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云直播系统</w:t>
            </w:r>
          </w:p>
        </w:tc>
        <w:tc>
          <w:tcPr>
            <w:tcW w:w="7620" w:type="dxa"/>
            <w:tcBorders>
              <w:top w:val="single" w:color="000000" w:sz="4" w:space="0"/>
              <w:left w:val="single" w:color="000000" w:sz="4" w:space="0"/>
              <w:bottom w:val="single" w:color="000000" w:sz="4" w:space="0"/>
              <w:right w:val="single" w:color="000000" w:sz="4" w:space="0"/>
            </w:tcBorders>
            <w:vAlign w:val="top"/>
          </w:tcPr>
          <w:p w14:paraId="196634D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1.云直播功能，支持多终端观看，可定制直播间，同时直播时长、互动数据等均可统计，实现无缝对接；</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59DFF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57EEA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BCE305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34F4D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00F02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C397CB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2.支持扫码进入直播间，同时也支持观看地址连接加入直播间；</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8789C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E816A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E2888E4">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129A0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8718A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237CE4C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3.具备直播管理行为，可设置云直播是否允许回放，是否允许评论，是否允许转发等功能。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A83B4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84FB6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C92E8A2">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4E45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5B603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智慧课堂系统</w:t>
            </w:r>
          </w:p>
        </w:tc>
        <w:tc>
          <w:tcPr>
            <w:tcW w:w="7620" w:type="dxa"/>
            <w:tcBorders>
              <w:top w:val="single" w:color="000000" w:sz="4" w:space="0"/>
              <w:left w:val="single" w:color="000000" w:sz="4" w:space="0"/>
              <w:bottom w:val="single" w:color="000000" w:sz="4" w:space="0"/>
              <w:right w:val="single" w:color="000000" w:sz="4" w:space="0"/>
            </w:tcBorders>
            <w:vAlign w:val="top"/>
          </w:tcPr>
          <w:p w14:paraId="7C1339F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1.基础功能：</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51C31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502A7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39277B7">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EEB04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5C8A1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7F7410C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1.1.智慧课堂系统由大屏端、控制端、移动端构成，实现课前课程建设、课中教学互动、对比教学、分组研讨等功能；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65B5E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24E3B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B50745B">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B17AA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B3F84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EDA51F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1.2.智慧课堂系统具备用户管理功能，支持与用户数据无缝对接；</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C4D37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87F4B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F667573">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3E3DA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25BEC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D3EBF2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1.3.智慧课堂系统可共享课程数据、备课资料、班级数据、题库、作业、试卷等，实现与课前资源的连贯性；</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9CEE9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CB880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4A6420">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F8502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1B8C5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1FBB09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智慧课堂系统在授课过程中所产生的的教学数据需要自动汇总，包括但不仅限于课中签到数据，课中随机选人数据，课中评分数据，课中主题讨论数据等；（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B1BF9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00D14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0C7984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46123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ED304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1A87AC4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2.课程建设：</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64CDD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5BEB0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DD4DDC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F6EFD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B711D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2625C0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2.1.选择不同的模板就可以建设慕课或精品课程的个性化课程网站；</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D6371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31C28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7F4FA41">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7FFAD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27C42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174EB9B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2.2.提供多套精美网络课程建课模板，教师可依据个人资料的丰富程度及喜欢的风格进行个性化的设置；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6F94A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CDA8F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3B275DC">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3751A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3ACDC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90DDF0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2.3.支持课程创建者按周、课时自动生成课程章节，快速创建课程章节目录，提升建课效率；</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10C92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14E52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2EDDC84">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F7E96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00179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1B7C2A8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2.4.支持课程负责人指派其他人共建同一门课程，并且可以对其权限进行设置，如：是否允许查看成绩、管理作业、管理考试、发布通知、管理课程等；</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8EEB1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7C298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BFE018">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1989A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341B3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77AE75B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2.5.支持慕课制作和慕课教学模式，实现课程知识单元化，每个知识单元聚合丰富的富媒体教学资源；</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A8BD0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ACAF7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2297F64">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B9737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02134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23A91E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2.6.教师可通过系统上传课程所需要的教材、参考书、参考文献、视频等资源；</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FB5B1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D868B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2BA0D4A">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3DF07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ED145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4AE6BA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2.7.支持上传多种文档格式，涵盖DOC、PPT、PDF、TXT等，上传后自动进行转码，无需下载即可直接在线阅读； </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E4D00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689A4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AB72031">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50BD2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F435F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2990F53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2.8.支持教学视频任意时间点插入测验题、图片、PPT；插入的测试题支持单选题、多选题和对错题等题型；（提供相应的产品说明书或彩页或功能截图或检测报告）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3A04F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6A728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92A782">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9B957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8AEE6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FA9383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2.9.支持视频的虚拟剪辑，可以将视频文件按照课程的要求剪辑成适当长度；（提供相应的产品说明书或彩页或功能截图或检测报告）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11871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4A9D2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88B5003">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B3FC7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B6BAE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211110E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2.10.支持视频打开“防拖拽和防窗口切换”，学生观看时无法进行快进播放，切出系统界面自动停止播放； </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C2183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E45D9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553B3CC">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805DD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B65BF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2DCDDD8C">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2.11.知识点拓展阅读功能，可以根据一个关键词自动生成相关知识点的知识树，插入到课程单元中，并自动推送知识点相关的图书、期刊、论文等资料；</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45A53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67206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F0E3DED">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28E17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BB169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15E455E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2.12.支持使用教学资源包建课，教学资源包需整合本科、中高职、基础教育等各层次院校，各学科、专业的资源。</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8CC35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F8160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F0D77C9">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9F31E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C5D4F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7A80627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3.大屏端：</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30129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5DFF7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EED410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2E590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1781E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2374971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采用安装包的形式，安装到教室大屏中；</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AFD73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55413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B5C46A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EC75E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078A3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23EE960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3.1课件调用：</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40FC8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B0442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2662D1A">
        <w:tblPrEx>
          <w:tblLayout w:type="fixed"/>
        </w:tblPrEx>
        <w:trPr>
          <w:trHeight w:val="90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0FF67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DEF10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74FC37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云盘：为每个师生账号提供不少于100G云盘空间，支持上传文件夹、上传文件、打开文件、新建文件夹、重命名、删除、搜索文件；可以随时调用云盘内容，支持云盘资源的在线预览；支持将云盘中PPT文件直接点击上课使用；（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29456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5FEC3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88A8F0F">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A902B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22EB8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748372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3.1.2.可直接调取课程资源，包含课程章节内容、作业模块、考试模块、教案等内容；</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4A91E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EF41B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637A8C">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9B031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75EDE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709326B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3.1.3.PPT文件：支持打开课程已有PPT，并可直接点击上课，并支持手机翻页、激光笔和聚光灯功能，PPT播放支持动画、翻页效果；</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B89C3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FCF77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85AC599">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C3719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3F39A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756C23C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3.2课堂活动：</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8F25C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5710E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4D880D8">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C9D97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DED80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838719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3.2.1.签到：支持教师通过智慧课堂系统发起普通签到、手势签到、位置签到、二维码签到等多种签到方式功能，学生通过移动端进行签到，教师端实时显示学生的签到情况，同时记录汇总；</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38340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3B33C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0F8BC83">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D1B90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6F713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BF788F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3.2.2.选人：支持教师发起随机选人，屏幕上快速滚动学生的头像信息，支持多次选人，分别赋予分值并统计到学生个人成绩中；</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ED223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6C10B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07F089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53855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6FBA8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978DF9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3.2.3.抢答：支持教师发起抢答，教师可以看到所有学生的抢答情况；</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F4486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7A55D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15578C0">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DC891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233C6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62AEED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3.2.4.主题讨论：支持教师发起主题讨论，学生端收到讨论点击进行发表自己的看法，支持文字、图片等方式上传，并可在大屏展示讨论结果，生成词云分析；</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EE02D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E6256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C43FA31">
        <w:tblPrEx>
          <w:tblLayout w:type="fixed"/>
        </w:tblPrEx>
        <w:trPr>
          <w:trHeight w:val="90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6FA3F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8F0B4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B7E9E4B">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随堂练习：支持发送随堂练习给学生，支持在PC、手机终端查看学生答题结果及答题情况分析；练习题型类型至少包括单选题、多选题、判断题、客观题等常见题型，支持从网络教学平台教师原有课程题库导入；学生可使用录入文字、拍照上传等多种方式进行答题。</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ED853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7393C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66AF479">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930BC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89EF3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24A752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3.2.6.发放问卷：问卷编辑需支持自定义编辑或从网络教学平台教师原有问卷库导入等方式。问卷包含单选题、多选题、简答题等常见题型。</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4A0E5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18BC3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9A84005">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B38A7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DF211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3CD4DF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3.2.7.分组讨论：可以实现线上小组互动讨论。教师可总览各个小组讨论情况，并对小组成员进行移入、移出、解散等操作。</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BABBA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1F192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7F87CA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8D390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E2C38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440E364">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3.2.8.可以对单个学生或互动小组等进行生生互评。</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720F8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7A040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C84A394">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03157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494CF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FC19562">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3.2.9.白板：教师可通过白板手写板书，板书完成后支持保存到教师个人云盘。（提供相应的产品说明书或彩页或功能截图或检测报告）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1F9AE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AE54A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41D5A14">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67D15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14D8E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D439F7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3.2.10.支持同时给一个或多个班级上课，若为多个班级同时上课，支持将签到、抢答、选人等课堂活动同时发放到多个班级。 （提供相应的产品说明书或彩页或功能截图或检测报告）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46366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D949A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F728DA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2C4C5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D227B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A0AAC01">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3.3线上课堂：</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62701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4D65A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576791">
        <w:tblPrEx>
          <w:tblLayout w:type="fixed"/>
        </w:tblPrEx>
        <w:trPr>
          <w:trHeight w:val="112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A598F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A649B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3130F3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3.3.1.性能要求：支持文字聊天，语音视频互动；支持 720P、1080P（HD）、HD+等高清画质视频；支持动态调整视频流的大小，适用于不同网络环境以及需要进行视频窗格切换的场景。在音频交互、降噪等场景下提供更好的声音质量，支持回声消除、自动噪声抑制、自动增益控制，适应各种音频环境，对用户的通话内容进行加密，防止信息泄露。</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52904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DD2A0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1FC816A">
        <w:tblPrEx>
          <w:tblLayout w:type="fixed"/>
        </w:tblPrEx>
        <w:trPr>
          <w:trHeight w:val="112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CB56D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21A44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BB9301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3.3.2.身份角色：教师即为课堂创建者，有权将学生设置为助教；将学生移出课堂；向学生发送解除静音或开启视频的请求；强制学生和助教静音和关闭摄像头；助教身份支持将学生移出课堂；向学生发送解除静音或开启视频的请求；强制学生静音和关闭摄像头；进行成员比对和查看比对历史；课堂录制；发布、删除和编辑公告；发布分组讨论、签到等活动。</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93F20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0F299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248447F">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4A908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29E47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06E488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3.3.3.具备课堂录制功能，录制的课堂视频能回传至个人云盘中，并实现站内信课堂录制消息提醒服务；（提供相应的产品说明书或彩页或功能截图或检测报告）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37499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BBB05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3E9EC92">
        <w:tblPrEx>
          <w:tblLayout w:type="fixed"/>
        </w:tblPrEx>
        <w:trPr>
          <w:trHeight w:val="112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9398D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84794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574C8A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辅助教学工具：支持画笔、激光笔、橡皮差、清除、形状、线条、文字输入；支持白板功能，在白板下支持画笔、激光笔、橡皮差、清除、形状、线条、文字输入、添加文件、修改本景色；板书完成后支持转发给学生或保存到云盘；支持切换窗口，支持在软件内快速切换至桌面、其他软件操作窗口、本软件窗口等。</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77A22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9DF2E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5F8508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7A368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1D961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23A9C7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4.控制端：</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402A8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00992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A4162A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E1B2B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21C90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4449B4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4.1.支持通过智慧课堂控制端在任意界面下，一键唤醒智慧课堂软件系统；</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66D3C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7F550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3C98660">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C5519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70E76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7B1E8A4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4.2.支持通过智慧课堂控制端已扫码登录用户，免密登录智慧课堂软件系统；</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3401C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628A2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87CBEAB">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86F26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A1534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E6F57D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4.3.支持通过智慧课堂控制端在任意界面下，打开课件模块，并完成教学相关操作；</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9CBF5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387D9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F888BF8">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9EA0C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1E6AC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06F0AB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4.4.支持通过智慧课堂控制端在任意界面下，打开线上课堂模块，并完成远程互动操作；</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78320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26937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7B5919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5BCE8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6BE91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3480A5E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4.5.支持通过智慧课堂控制端在任意界面下，打开签到功能，完成签到；</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478B1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BC3C2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075BDAA">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F7B11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E652F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62520C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4.6.支持通过智慧课堂控制端在任意界面下，打开投屏功能，使用多屏互动功能；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FE621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36783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15E65A6">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1A7AB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1672E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08B1435">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4.7.支持通过智慧课堂控制端在任意界面下，打开活动模块，发起多种教学活动；</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EA6DD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7F7DA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958BFE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3E73D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CA46B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D4CAAC3">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4.8.支持通过智慧课堂控制端在任意界面下，打开云盘模块,调用云盘资源；</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73ACC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AE520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45C3566">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D684E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9E35C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4A9F1ED7">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4.9.支持通过智慧课堂控制端在任意界面下，打开同声翻译，实时进行课堂同声翻译；</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5C09E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3474D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FA69FDD">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D198C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67C10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2AEC7990">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4.10.支持教师通过云盘或课程打开授课PPT时，通过智慧课堂控制端显示正在讲课的PPT目录视图，并支持通过智慧课堂控制端进行跳转任意页码；</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BF749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9D852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B18E13E">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48B51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2D0EB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6375EBF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同声翻译：支持将教师语音实时转换为文字，并根据前后文语义动态纠正文字；支持实时翻译教师语音，识别及翻译语种包含中、英、德、法、日、西班牙、韩、阿拉伯、葡萄牙等多语种。</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1E072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3AF8D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9759E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A2A53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AE8EA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776AC516">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5.移动端：</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EC303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178EC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BE339D3">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C7A07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B2AC6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5EEC3FAF">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5.1.PC端与移动端的学习进度保持同步，学生在任何终端上，都可以实现学习记录的持续性，系统也可对任何终端的学习行为进行监控；</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81F0F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3E7F9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2322717">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AC073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8812F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14A575BE">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5.2.移动端满足课前课中课后使用，可基于课程形成师生互动交流群，实时进行即时通讯，进行讨论与交流，教师和学生可以开展话题讨论，利用发帖形式进行小组话题交流；</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50BC6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15AA7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262A9D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D68AF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D6670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0F2F523A">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5.3.可以阅读海量电子图书、报纸、期刊、专题等资源，支持分享；</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9C929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43D35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C8FF3D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5C7D4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E1F93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149C5679">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5.4.支持移动端加入互动课堂。</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A9696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83D06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3C7E75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D260F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2ED3B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top"/>
          </w:tcPr>
          <w:p w14:paraId="228E504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41C4E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18C9F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D503A22">
        <w:tblPrEx>
          <w:tblLayout w:type="fixed"/>
        </w:tblPrEx>
        <w:trPr>
          <w:trHeight w:val="27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7261B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42" w:type="dxa"/>
            <w:tcBorders>
              <w:top w:val="single" w:color="000000" w:sz="4" w:space="0"/>
              <w:left w:val="single" w:color="000000" w:sz="4" w:space="0"/>
              <w:bottom w:val="single" w:color="000000" w:sz="4" w:space="0"/>
              <w:right w:val="single" w:color="000000" w:sz="4" w:space="0"/>
            </w:tcBorders>
            <w:vAlign w:val="center"/>
          </w:tcPr>
          <w:p w14:paraId="70E4E4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项目集成</w:t>
            </w:r>
          </w:p>
        </w:tc>
        <w:tc>
          <w:tcPr>
            <w:tcW w:w="7620" w:type="dxa"/>
            <w:tcBorders>
              <w:top w:val="single" w:color="000000" w:sz="4" w:space="0"/>
              <w:left w:val="single" w:color="000000" w:sz="4" w:space="0"/>
              <w:bottom w:val="single" w:color="000000" w:sz="4" w:space="0"/>
              <w:right w:val="single" w:color="000000" w:sz="4" w:space="0"/>
            </w:tcBorders>
            <w:vAlign w:val="center"/>
          </w:tcPr>
          <w:p w14:paraId="306BB9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需要完成2间教室的设备安装、调试、线材、辅材、布线工程等。</w:t>
            </w:r>
          </w:p>
        </w:tc>
        <w:tc>
          <w:tcPr>
            <w:tcW w:w="409" w:type="dxa"/>
            <w:tcBorders>
              <w:top w:val="single" w:color="000000" w:sz="4" w:space="0"/>
              <w:left w:val="single" w:color="000000" w:sz="4" w:space="0"/>
              <w:bottom w:val="single" w:color="000000" w:sz="4" w:space="0"/>
              <w:right w:val="single" w:color="000000" w:sz="4" w:space="0"/>
            </w:tcBorders>
            <w:vAlign w:val="center"/>
          </w:tcPr>
          <w:p w14:paraId="6BC37C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00C653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60933D6E">
        <w:tblPrEx>
          <w:tblLayout w:type="fixed"/>
        </w:tblPrEx>
        <w:trPr>
          <w:trHeight w:val="405" w:hRule="atLeast"/>
          <w:jc w:val="center"/>
        </w:trPr>
        <w:tc>
          <w:tcPr>
            <w:tcW w:w="9674" w:type="dxa"/>
            <w:gridSpan w:val="5"/>
            <w:tcBorders>
              <w:top w:val="single" w:color="000000" w:sz="4" w:space="0"/>
              <w:left w:val="single" w:color="000000" w:sz="4" w:space="0"/>
              <w:bottom w:val="single" w:color="000000" w:sz="4" w:space="0"/>
              <w:right w:val="single" w:color="000000" w:sz="4" w:space="0"/>
            </w:tcBorders>
            <w:vAlign w:val="center"/>
          </w:tcPr>
          <w:p w14:paraId="04ED386C">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四、教学中心机房</w:t>
            </w:r>
          </w:p>
        </w:tc>
      </w:tr>
      <w:tr w14:paraId="07AEE7F7">
        <w:tblPrEx>
          <w:tblLayout w:type="fixed"/>
        </w:tblPrEx>
        <w:trPr>
          <w:trHeight w:val="4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7CD97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vAlign w:val="center"/>
          </w:tcPr>
          <w:p w14:paraId="075AA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7620" w:type="dxa"/>
            <w:tcBorders>
              <w:top w:val="single" w:color="000000" w:sz="4" w:space="0"/>
              <w:left w:val="single" w:color="000000" w:sz="4" w:space="0"/>
              <w:bottom w:val="single" w:color="000000" w:sz="4" w:space="0"/>
              <w:right w:val="single" w:color="000000" w:sz="4" w:space="0"/>
            </w:tcBorders>
            <w:vAlign w:val="center"/>
          </w:tcPr>
          <w:p w14:paraId="3FC3F1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钢制镀锌金属桥架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规格:200*100，厚度0.8mm</w:t>
            </w:r>
          </w:p>
        </w:tc>
        <w:tc>
          <w:tcPr>
            <w:tcW w:w="409" w:type="dxa"/>
            <w:tcBorders>
              <w:top w:val="single" w:color="000000" w:sz="4" w:space="0"/>
              <w:left w:val="single" w:color="000000" w:sz="4" w:space="0"/>
              <w:bottom w:val="single" w:color="000000" w:sz="4" w:space="0"/>
              <w:right w:val="single" w:color="000000" w:sz="4" w:space="0"/>
            </w:tcBorders>
            <w:vAlign w:val="center"/>
          </w:tcPr>
          <w:p w14:paraId="1D15E2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442" w:type="dxa"/>
            <w:tcBorders>
              <w:top w:val="single" w:color="000000" w:sz="4" w:space="0"/>
              <w:left w:val="single" w:color="000000" w:sz="4" w:space="0"/>
              <w:bottom w:val="single" w:color="000000" w:sz="4" w:space="0"/>
              <w:right w:val="single" w:color="000000" w:sz="4" w:space="0"/>
            </w:tcBorders>
            <w:vAlign w:val="center"/>
          </w:tcPr>
          <w:p w14:paraId="014D9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70B80414">
        <w:tblPrEx>
          <w:tblLayout w:type="fixed"/>
        </w:tblPrEx>
        <w:trPr>
          <w:trHeight w:val="67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1D10A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2" w:type="dxa"/>
            <w:tcBorders>
              <w:top w:val="single" w:color="000000" w:sz="4" w:space="0"/>
              <w:left w:val="single" w:color="000000" w:sz="4" w:space="0"/>
              <w:bottom w:val="single" w:color="000000" w:sz="4" w:space="0"/>
              <w:right w:val="single" w:color="000000" w:sz="4" w:space="0"/>
            </w:tcBorders>
            <w:vAlign w:val="center"/>
          </w:tcPr>
          <w:p w14:paraId="03B10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防静电地板</w:t>
            </w:r>
          </w:p>
        </w:tc>
        <w:tc>
          <w:tcPr>
            <w:tcW w:w="7620" w:type="dxa"/>
            <w:tcBorders>
              <w:top w:val="single" w:color="000000" w:sz="4" w:space="0"/>
              <w:left w:val="single" w:color="000000" w:sz="4" w:space="0"/>
              <w:bottom w:val="single" w:color="000000" w:sz="4" w:space="0"/>
              <w:right w:val="single" w:color="000000" w:sz="4" w:space="0"/>
            </w:tcBorders>
            <w:vAlign w:val="center"/>
          </w:tcPr>
          <w:p w14:paraId="41D95A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1.面层材料品种、规格、颜色:防静电活动地板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2.找平层:1:3水泥砂浆找平层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3.其他:水泥砂浆找平层上刷一层防锈漆</w:t>
            </w:r>
          </w:p>
        </w:tc>
        <w:tc>
          <w:tcPr>
            <w:tcW w:w="409" w:type="dxa"/>
            <w:tcBorders>
              <w:top w:val="single" w:color="000000" w:sz="4" w:space="0"/>
              <w:left w:val="single" w:color="000000" w:sz="4" w:space="0"/>
              <w:bottom w:val="single" w:color="000000" w:sz="4" w:space="0"/>
              <w:right w:val="single" w:color="000000" w:sz="4" w:space="0"/>
            </w:tcBorders>
            <w:vAlign w:val="center"/>
          </w:tcPr>
          <w:p w14:paraId="7C504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42" w:type="dxa"/>
            <w:tcBorders>
              <w:top w:val="single" w:color="000000" w:sz="4" w:space="0"/>
              <w:left w:val="single" w:color="000000" w:sz="4" w:space="0"/>
              <w:bottom w:val="single" w:color="000000" w:sz="4" w:space="0"/>
              <w:right w:val="single" w:color="000000" w:sz="4" w:space="0"/>
            </w:tcBorders>
            <w:vAlign w:val="center"/>
          </w:tcPr>
          <w:p w14:paraId="5B7D5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r>
      <w:tr w14:paraId="4E153FCE">
        <w:tblPrEx>
          <w:tblLayout w:type="fixed"/>
        </w:tblPrEx>
        <w:trPr>
          <w:trHeight w:val="4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191482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2" w:type="dxa"/>
            <w:tcBorders>
              <w:top w:val="single" w:color="000000" w:sz="4" w:space="0"/>
              <w:left w:val="single" w:color="000000" w:sz="4" w:space="0"/>
              <w:bottom w:val="single" w:color="000000" w:sz="4" w:space="0"/>
              <w:right w:val="single" w:color="000000" w:sz="4" w:space="0"/>
            </w:tcBorders>
            <w:vAlign w:val="center"/>
          </w:tcPr>
          <w:p w14:paraId="048E9B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7620" w:type="dxa"/>
            <w:tcBorders>
              <w:top w:val="single" w:color="000000" w:sz="4" w:space="0"/>
              <w:left w:val="single" w:color="000000" w:sz="4" w:space="0"/>
              <w:bottom w:val="single" w:color="000000" w:sz="4" w:space="0"/>
              <w:right w:val="single" w:color="000000" w:sz="4" w:space="0"/>
            </w:tcBorders>
            <w:vAlign w:val="center"/>
          </w:tcPr>
          <w:p w14:paraId="5C8F67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1.龙骨材料种类、规格、中距:U型轻钢龙骨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2.面层材料品种、规格:600*600铝板网</w:t>
            </w:r>
          </w:p>
        </w:tc>
        <w:tc>
          <w:tcPr>
            <w:tcW w:w="409" w:type="dxa"/>
            <w:tcBorders>
              <w:top w:val="single" w:color="000000" w:sz="4" w:space="0"/>
              <w:left w:val="single" w:color="000000" w:sz="4" w:space="0"/>
              <w:bottom w:val="single" w:color="000000" w:sz="4" w:space="0"/>
              <w:right w:val="single" w:color="000000" w:sz="4" w:space="0"/>
            </w:tcBorders>
            <w:vAlign w:val="center"/>
          </w:tcPr>
          <w:p w14:paraId="53CA4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442" w:type="dxa"/>
            <w:tcBorders>
              <w:top w:val="single" w:color="000000" w:sz="4" w:space="0"/>
              <w:left w:val="single" w:color="000000" w:sz="4" w:space="0"/>
              <w:bottom w:val="single" w:color="000000" w:sz="4" w:space="0"/>
              <w:right w:val="single" w:color="000000" w:sz="4" w:space="0"/>
            </w:tcBorders>
            <w:vAlign w:val="center"/>
          </w:tcPr>
          <w:p w14:paraId="738E1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r>
      <w:tr w14:paraId="4AB9DC23">
        <w:tblPrEx>
          <w:tblLayout w:type="fixed"/>
        </w:tblPrEx>
        <w:trPr>
          <w:trHeight w:val="27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6C5F6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2" w:type="dxa"/>
            <w:tcBorders>
              <w:top w:val="single" w:color="000000" w:sz="4" w:space="0"/>
              <w:left w:val="single" w:color="000000" w:sz="4" w:space="0"/>
              <w:bottom w:val="single" w:color="000000" w:sz="4" w:space="0"/>
              <w:right w:val="single" w:color="000000" w:sz="4" w:space="0"/>
            </w:tcBorders>
            <w:vAlign w:val="center"/>
          </w:tcPr>
          <w:p w14:paraId="23BD3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LED灯板</w:t>
            </w:r>
          </w:p>
        </w:tc>
        <w:tc>
          <w:tcPr>
            <w:tcW w:w="7620" w:type="dxa"/>
            <w:tcBorders>
              <w:top w:val="single" w:color="000000" w:sz="4" w:space="0"/>
              <w:left w:val="single" w:color="000000" w:sz="4" w:space="0"/>
              <w:bottom w:val="single" w:color="000000" w:sz="4" w:space="0"/>
              <w:right w:val="single" w:color="000000" w:sz="4" w:space="0"/>
            </w:tcBorders>
            <w:vAlign w:val="center"/>
          </w:tcPr>
          <w:p w14:paraId="021FB3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600*600 led</w:t>
            </w:r>
          </w:p>
        </w:tc>
        <w:tc>
          <w:tcPr>
            <w:tcW w:w="409" w:type="dxa"/>
            <w:tcBorders>
              <w:top w:val="single" w:color="000000" w:sz="4" w:space="0"/>
              <w:left w:val="single" w:color="000000" w:sz="4" w:space="0"/>
              <w:bottom w:val="single" w:color="000000" w:sz="4" w:space="0"/>
              <w:right w:val="single" w:color="000000" w:sz="4" w:space="0"/>
            </w:tcBorders>
            <w:vAlign w:val="center"/>
          </w:tcPr>
          <w:p w14:paraId="57CABF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2" w:type="dxa"/>
            <w:tcBorders>
              <w:top w:val="single" w:color="000000" w:sz="4" w:space="0"/>
              <w:left w:val="single" w:color="000000" w:sz="4" w:space="0"/>
              <w:bottom w:val="single" w:color="000000" w:sz="4" w:space="0"/>
              <w:right w:val="single" w:color="000000" w:sz="4" w:space="0"/>
            </w:tcBorders>
            <w:vAlign w:val="center"/>
          </w:tcPr>
          <w:p w14:paraId="483B91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1D14A8B">
        <w:tblPrEx>
          <w:tblLayout w:type="fixed"/>
        </w:tblPrEx>
        <w:trPr>
          <w:trHeight w:val="27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0F4422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2" w:type="dxa"/>
            <w:tcBorders>
              <w:top w:val="single" w:color="000000" w:sz="4" w:space="0"/>
              <w:left w:val="single" w:color="000000" w:sz="4" w:space="0"/>
              <w:bottom w:val="single" w:color="000000" w:sz="4" w:space="0"/>
              <w:right w:val="single" w:color="000000" w:sz="4" w:space="0"/>
            </w:tcBorders>
            <w:vAlign w:val="center"/>
          </w:tcPr>
          <w:p w14:paraId="1F7BE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7620" w:type="dxa"/>
            <w:tcBorders>
              <w:top w:val="single" w:color="000000" w:sz="4" w:space="0"/>
              <w:left w:val="single" w:color="000000" w:sz="4" w:space="0"/>
              <w:bottom w:val="single" w:color="000000" w:sz="4" w:space="0"/>
              <w:right w:val="single" w:color="000000" w:sz="4" w:space="0"/>
            </w:tcBorders>
            <w:vAlign w:val="center"/>
          </w:tcPr>
          <w:p w14:paraId="3A064F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ZRRVV3*6</w:t>
            </w:r>
          </w:p>
        </w:tc>
        <w:tc>
          <w:tcPr>
            <w:tcW w:w="409" w:type="dxa"/>
            <w:tcBorders>
              <w:top w:val="single" w:color="000000" w:sz="4" w:space="0"/>
              <w:left w:val="single" w:color="000000" w:sz="4" w:space="0"/>
              <w:bottom w:val="single" w:color="000000" w:sz="4" w:space="0"/>
              <w:right w:val="single" w:color="000000" w:sz="4" w:space="0"/>
            </w:tcBorders>
            <w:vAlign w:val="center"/>
          </w:tcPr>
          <w:p w14:paraId="0DBF6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442" w:type="dxa"/>
            <w:tcBorders>
              <w:top w:val="single" w:color="000000" w:sz="4" w:space="0"/>
              <w:left w:val="single" w:color="000000" w:sz="4" w:space="0"/>
              <w:bottom w:val="single" w:color="000000" w:sz="4" w:space="0"/>
              <w:right w:val="single" w:color="000000" w:sz="4" w:space="0"/>
            </w:tcBorders>
            <w:vAlign w:val="center"/>
          </w:tcPr>
          <w:p w14:paraId="35D71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283CA50F">
        <w:tblPrEx>
          <w:tblLayout w:type="fixed"/>
        </w:tblPrEx>
        <w:trPr>
          <w:trHeight w:val="27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0D7051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2" w:type="dxa"/>
            <w:tcBorders>
              <w:top w:val="single" w:color="000000" w:sz="4" w:space="0"/>
              <w:left w:val="single" w:color="000000" w:sz="4" w:space="0"/>
              <w:bottom w:val="single" w:color="000000" w:sz="4" w:space="0"/>
              <w:right w:val="single" w:color="000000" w:sz="4" w:space="0"/>
            </w:tcBorders>
            <w:vAlign w:val="center"/>
          </w:tcPr>
          <w:p w14:paraId="592C7C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接地铜带</w:t>
            </w:r>
          </w:p>
        </w:tc>
        <w:tc>
          <w:tcPr>
            <w:tcW w:w="7620" w:type="dxa"/>
            <w:tcBorders>
              <w:top w:val="single" w:color="000000" w:sz="4" w:space="0"/>
              <w:left w:val="single" w:color="000000" w:sz="4" w:space="0"/>
              <w:bottom w:val="single" w:color="000000" w:sz="4" w:space="0"/>
              <w:right w:val="single" w:color="000000" w:sz="4" w:space="0"/>
            </w:tcBorders>
            <w:vAlign w:val="center"/>
          </w:tcPr>
          <w:p w14:paraId="3FE959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铜带0.025*30</w:t>
            </w:r>
          </w:p>
        </w:tc>
        <w:tc>
          <w:tcPr>
            <w:tcW w:w="409" w:type="dxa"/>
            <w:tcBorders>
              <w:top w:val="single" w:color="000000" w:sz="4" w:space="0"/>
              <w:left w:val="single" w:color="000000" w:sz="4" w:space="0"/>
              <w:bottom w:val="single" w:color="000000" w:sz="4" w:space="0"/>
              <w:right w:val="single" w:color="000000" w:sz="4" w:space="0"/>
            </w:tcBorders>
            <w:vAlign w:val="center"/>
          </w:tcPr>
          <w:p w14:paraId="6EB230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442" w:type="dxa"/>
            <w:tcBorders>
              <w:top w:val="single" w:color="000000" w:sz="4" w:space="0"/>
              <w:left w:val="single" w:color="000000" w:sz="4" w:space="0"/>
              <w:bottom w:val="single" w:color="000000" w:sz="4" w:space="0"/>
              <w:right w:val="single" w:color="000000" w:sz="4" w:space="0"/>
            </w:tcBorders>
            <w:vAlign w:val="center"/>
          </w:tcPr>
          <w:p w14:paraId="662ADF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3486FEF9">
        <w:tblPrEx>
          <w:tblLayout w:type="fixed"/>
        </w:tblPrEx>
        <w:trPr>
          <w:trHeight w:val="4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63622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2" w:type="dxa"/>
            <w:tcBorders>
              <w:top w:val="single" w:color="000000" w:sz="4" w:space="0"/>
              <w:left w:val="single" w:color="000000" w:sz="4" w:space="0"/>
              <w:bottom w:val="single" w:color="000000" w:sz="4" w:space="0"/>
              <w:right w:val="single" w:color="000000" w:sz="4" w:space="0"/>
            </w:tcBorders>
            <w:vAlign w:val="center"/>
          </w:tcPr>
          <w:p w14:paraId="46044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接地母线</w:t>
            </w:r>
          </w:p>
        </w:tc>
        <w:tc>
          <w:tcPr>
            <w:tcW w:w="7620" w:type="dxa"/>
            <w:tcBorders>
              <w:top w:val="single" w:color="000000" w:sz="4" w:space="0"/>
              <w:left w:val="single" w:color="000000" w:sz="4" w:space="0"/>
              <w:bottom w:val="single" w:color="000000" w:sz="4" w:space="0"/>
              <w:right w:val="single" w:color="000000" w:sz="4" w:space="0"/>
            </w:tcBorders>
            <w:vAlign w:val="center"/>
          </w:tcPr>
          <w:p w14:paraId="7836EB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1.名称:铜排40*4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2.规格:40*4</w:t>
            </w:r>
          </w:p>
        </w:tc>
        <w:tc>
          <w:tcPr>
            <w:tcW w:w="409" w:type="dxa"/>
            <w:tcBorders>
              <w:top w:val="single" w:color="000000" w:sz="4" w:space="0"/>
              <w:left w:val="single" w:color="000000" w:sz="4" w:space="0"/>
              <w:bottom w:val="single" w:color="000000" w:sz="4" w:space="0"/>
              <w:right w:val="single" w:color="000000" w:sz="4" w:space="0"/>
            </w:tcBorders>
            <w:vAlign w:val="center"/>
          </w:tcPr>
          <w:p w14:paraId="2D940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442" w:type="dxa"/>
            <w:tcBorders>
              <w:top w:val="single" w:color="000000" w:sz="4" w:space="0"/>
              <w:left w:val="single" w:color="000000" w:sz="4" w:space="0"/>
              <w:bottom w:val="single" w:color="000000" w:sz="4" w:space="0"/>
              <w:right w:val="single" w:color="000000" w:sz="4" w:space="0"/>
            </w:tcBorders>
            <w:vAlign w:val="center"/>
          </w:tcPr>
          <w:p w14:paraId="11DBE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1E1C3081">
        <w:tblPrEx>
          <w:tblLayout w:type="fixed"/>
        </w:tblPrEx>
        <w:trPr>
          <w:trHeight w:val="27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64AC5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2" w:type="dxa"/>
            <w:tcBorders>
              <w:top w:val="single" w:color="000000" w:sz="4" w:space="0"/>
              <w:left w:val="single" w:color="000000" w:sz="4" w:space="0"/>
              <w:bottom w:val="single" w:color="000000" w:sz="4" w:space="0"/>
              <w:right w:val="single" w:color="000000" w:sz="4" w:space="0"/>
            </w:tcBorders>
            <w:vAlign w:val="center"/>
          </w:tcPr>
          <w:p w14:paraId="179E77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等电位</w:t>
            </w:r>
          </w:p>
        </w:tc>
        <w:tc>
          <w:tcPr>
            <w:tcW w:w="7620" w:type="dxa"/>
            <w:tcBorders>
              <w:top w:val="single" w:color="000000" w:sz="4" w:space="0"/>
              <w:left w:val="single" w:color="000000" w:sz="4" w:space="0"/>
              <w:bottom w:val="single" w:color="000000" w:sz="4" w:space="0"/>
              <w:right w:val="single" w:color="000000" w:sz="4" w:space="0"/>
            </w:tcBorders>
            <w:vAlign w:val="center"/>
          </w:tcPr>
          <w:p w14:paraId="479FE7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按图定制</w:t>
            </w:r>
          </w:p>
        </w:tc>
        <w:tc>
          <w:tcPr>
            <w:tcW w:w="409" w:type="dxa"/>
            <w:tcBorders>
              <w:top w:val="single" w:color="000000" w:sz="4" w:space="0"/>
              <w:left w:val="single" w:color="000000" w:sz="4" w:space="0"/>
              <w:bottom w:val="single" w:color="000000" w:sz="4" w:space="0"/>
              <w:right w:val="single" w:color="000000" w:sz="4" w:space="0"/>
            </w:tcBorders>
            <w:vAlign w:val="center"/>
          </w:tcPr>
          <w:p w14:paraId="64940D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022B6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2100A075">
        <w:tblPrEx>
          <w:tblLayout w:type="fixed"/>
        </w:tblPrEx>
        <w:trPr>
          <w:trHeight w:val="4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272AD8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42" w:type="dxa"/>
            <w:tcBorders>
              <w:top w:val="single" w:color="000000" w:sz="4" w:space="0"/>
              <w:left w:val="single" w:color="000000" w:sz="4" w:space="0"/>
              <w:bottom w:val="single" w:color="000000" w:sz="4" w:space="0"/>
              <w:right w:val="single" w:color="000000" w:sz="4" w:space="0"/>
            </w:tcBorders>
            <w:vAlign w:val="center"/>
          </w:tcPr>
          <w:p w14:paraId="299C5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金属踢脚线</w:t>
            </w:r>
          </w:p>
        </w:tc>
        <w:tc>
          <w:tcPr>
            <w:tcW w:w="7620" w:type="dxa"/>
            <w:tcBorders>
              <w:top w:val="single" w:color="000000" w:sz="4" w:space="0"/>
              <w:left w:val="single" w:color="000000" w:sz="4" w:space="0"/>
              <w:bottom w:val="single" w:color="000000" w:sz="4" w:space="0"/>
              <w:right w:val="single" w:color="000000" w:sz="4" w:space="0"/>
            </w:tcBorders>
            <w:vAlign w:val="center"/>
          </w:tcPr>
          <w:p w14:paraId="298E07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1.踢脚线高度:100mm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2.面层材料品种、规格、颜色:不锈钢材质，厚度1.2mm</w:t>
            </w:r>
          </w:p>
        </w:tc>
        <w:tc>
          <w:tcPr>
            <w:tcW w:w="409" w:type="dxa"/>
            <w:tcBorders>
              <w:top w:val="single" w:color="000000" w:sz="4" w:space="0"/>
              <w:left w:val="single" w:color="000000" w:sz="4" w:space="0"/>
              <w:bottom w:val="single" w:color="000000" w:sz="4" w:space="0"/>
              <w:right w:val="single" w:color="000000" w:sz="4" w:space="0"/>
            </w:tcBorders>
            <w:vAlign w:val="center"/>
          </w:tcPr>
          <w:p w14:paraId="3B2650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4.76</w:t>
            </w:r>
          </w:p>
        </w:tc>
        <w:tc>
          <w:tcPr>
            <w:tcW w:w="442" w:type="dxa"/>
            <w:tcBorders>
              <w:top w:val="single" w:color="000000" w:sz="4" w:space="0"/>
              <w:left w:val="single" w:color="000000" w:sz="4" w:space="0"/>
              <w:bottom w:val="single" w:color="000000" w:sz="4" w:space="0"/>
              <w:right w:val="single" w:color="000000" w:sz="4" w:space="0"/>
            </w:tcBorders>
            <w:vAlign w:val="center"/>
          </w:tcPr>
          <w:p w14:paraId="0818E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r>
      <w:tr w14:paraId="748A94DC">
        <w:tblPrEx>
          <w:tblLayout w:type="fixed"/>
        </w:tblPrEx>
        <w:trPr>
          <w:trHeight w:val="4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2E4686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2" w:type="dxa"/>
            <w:tcBorders>
              <w:top w:val="single" w:color="000000" w:sz="4" w:space="0"/>
              <w:left w:val="single" w:color="000000" w:sz="4" w:space="0"/>
              <w:bottom w:val="single" w:color="000000" w:sz="4" w:space="0"/>
              <w:right w:val="single" w:color="000000" w:sz="4" w:space="0"/>
            </w:tcBorders>
            <w:vAlign w:val="center"/>
          </w:tcPr>
          <w:p w14:paraId="50BD52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7620" w:type="dxa"/>
            <w:tcBorders>
              <w:top w:val="single" w:color="000000" w:sz="4" w:space="0"/>
              <w:left w:val="single" w:color="000000" w:sz="4" w:space="0"/>
              <w:bottom w:val="single" w:color="000000" w:sz="4" w:space="0"/>
              <w:right w:val="single" w:color="000000" w:sz="4" w:space="0"/>
            </w:tcBorders>
            <w:vAlign w:val="center"/>
          </w:tcPr>
          <w:p w14:paraId="7CC88A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1.基层类型:一般抹灰面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2.油漆品种、刷漆遍数:抹灰面刷一遍防锈漆，在刷乳胶漆</w:t>
            </w:r>
          </w:p>
        </w:tc>
        <w:tc>
          <w:tcPr>
            <w:tcW w:w="409" w:type="dxa"/>
            <w:tcBorders>
              <w:top w:val="single" w:color="000000" w:sz="4" w:space="0"/>
              <w:left w:val="single" w:color="000000" w:sz="4" w:space="0"/>
              <w:bottom w:val="single" w:color="000000" w:sz="4" w:space="0"/>
              <w:right w:val="single" w:color="000000" w:sz="4" w:space="0"/>
            </w:tcBorders>
            <w:vAlign w:val="center"/>
          </w:tcPr>
          <w:p w14:paraId="27C56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442" w:type="dxa"/>
            <w:tcBorders>
              <w:top w:val="single" w:color="000000" w:sz="4" w:space="0"/>
              <w:left w:val="single" w:color="000000" w:sz="4" w:space="0"/>
              <w:bottom w:val="single" w:color="000000" w:sz="4" w:space="0"/>
              <w:right w:val="single" w:color="000000" w:sz="4" w:space="0"/>
            </w:tcBorders>
            <w:vAlign w:val="center"/>
          </w:tcPr>
          <w:p w14:paraId="3081EB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r>
      <w:tr w14:paraId="7CB33444">
        <w:tblPrEx>
          <w:tblLayout w:type="fixed"/>
        </w:tblPrEx>
        <w:trPr>
          <w:trHeight w:val="13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1286C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42" w:type="dxa"/>
            <w:tcBorders>
              <w:top w:val="single" w:color="000000" w:sz="4" w:space="0"/>
              <w:left w:val="single" w:color="000000" w:sz="4" w:space="0"/>
              <w:bottom w:val="single" w:color="000000" w:sz="4" w:space="0"/>
              <w:right w:val="single" w:color="000000" w:sz="4" w:space="0"/>
            </w:tcBorders>
            <w:vAlign w:val="center"/>
          </w:tcPr>
          <w:p w14:paraId="563CF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w:t>
            </w:r>
          </w:p>
        </w:tc>
        <w:tc>
          <w:tcPr>
            <w:tcW w:w="7620" w:type="dxa"/>
            <w:tcBorders>
              <w:top w:val="single" w:color="000000" w:sz="4" w:space="0"/>
              <w:left w:val="single" w:color="000000" w:sz="4" w:space="0"/>
              <w:bottom w:val="single" w:color="000000" w:sz="4" w:space="0"/>
              <w:right w:val="single" w:color="000000" w:sz="4" w:space="0"/>
            </w:tcBorders>
            <w:vAlign w:val="center"/>
          </w:tcPr>
          <w:p w14:paraId="3A3842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成品柜式空调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匹数:3P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频率:变频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规格:冷暖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安装形式:落地式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其他:含室外机</w:t>
            </w:r>
          </w:p>
        </w:tc>
        <w:tc>
          <w:tcPr>
            <w:tcW w:w="409" w:type="dxa"/>
            <w:tcBorders>
              <w:top w:val="single" w:color="000000" w:sz="4" w:space="0"/>
              <w:left w:val="single" w:color="000000" w:sz="4" w:space="0"/>
              <w:bottom w:val="single" w:color="000000" w:sz="4" w:space="0"/>
              <w:right w:val="single" w:color="000000" w:sz="4" w:space="0"/>
            </w:tcBorders>
            <w:vAlign w:val="center"/>
          </w:tcPr>
          <w:p w14:paraId="5B272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654F4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69FB963">
        <w:tblPrEx>
          <w:tblLayout w:type="fixed"/>
        </w:tblPrEx>
        <w:trPr>
          <w:trHeight w:val="27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69FFF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2" w:type="dxa"/>
            <w:tcBorders>
              <w:top w:val="single" w:color="000000" w:sz="4" w:space="0"/>
              <w:left w:val="single" w:color="000000" w:sz="4" w:space="0"/>
              <w:bottom w:val="single" w:color="000000" w:sz="4" w:space="0"/>
              <w:right w:val="single" w:color="000000" w:sz="4" w:space="0"/>
            </w:tcBorders>
            <w:vAlign w:val="center"/>
          </w:tcPr>
          <w:p w14:paraId="3A44E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LED屏配电柜</w:t>
            </w:r>
          </w:p>
        </w:tc>
        <w:tc>
          <w:tcPr>
            <w:tcW w:w="7620" w:type="dxa"/>
            <w:tcBorders>
              <w:top w:val="single" w:color="000000" w:sz="4" w:space="0"/>
              <w:left w:val="single" w:color="000000" w:sz="4" w:space="0"/>
              <w:bottom w:val="single" w:color="000000" w:sz="4" w:space="0"/>
              <w:right w:val="single" w:color="000000" w:sz="4" w:space="0"/>
            </w:tcBorders>
            <w:vAlign w:val="center"/>
          </w:tcPr>
          <w:p w14:paraId="3089CC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回路规格≥120A 回路数≥20路  多功能仪表：指示电流、电压等</w:t>
            </w:r>
          </w:p>
        </w:tc>
        <w:tc>
          <w:tcPr>
            <w:tcW w:w="409" w:type="dxa"/>
            <w:tcBorders>
              <w:top w:val="single" w:color="000000" w:sz="4" w:space="0"/>
              <w:left w:val="single" w:color="000000" w:sz="4" w:space="0"/>
              <w:bottom w:val="single" w:color="000000" w:sz="4" w:space="0"/>
              <w:right w:val="single" w:color="000000" w:sz="4" w:space="0"/>
            </w:tcBorders>
            <w:vAlign w:val="center"/>
          </w:tcPr>
          <w:p w14:paraId="130B9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5F975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6748D00">
        <w:tblPrEx>
          <w:tblLayout w:type="fixed"/>
        </w:tblPrEx>
        <w:trPr>
          <w:trHeight w:val="112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136D4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42" w:type="dxa"/>
            <w:tcBorders>
              <w:top w:val="single" w:color="000000" w:sz="4" w:space="0"/>
              <w:left w:val="single" w:color="000000" w:sz="4" w:space="0"/>
              <w:bottom w:val="single" w:color="000000" w:sz="4" w:space="0"/>
              <w:right w:val="single" w:color="000000" w:sz="4" w:space="0"/>
            </w:tcBorders>
            <w:vAlign w:val="center"/>
          </w:tcPr>
          <w:p w14:paraId="37383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UPS电池箱</w:t>
            </w:r>
          </w:p>
        </w:tc>
        <w:tc>
          <w:tcPr>
            <w:tcW w:w="7620" w:type="dxa"/>
            <w:tcBorders>
              <w:top w:val="single" w:color="000000" w:sz="4" w:space="0"/>
              <w:left w:val="single" w:color="000000" w:sz="4" w:space="0"/>
              <w:bottom w:val="single" w:color="000000" w:sz="4" w:space="0"/>
              <w:right w:val="single" w:color="000000" w:sz="4" w:space="0"/>
            </w:tcBorders>
            <w:vAlign w:val="center"/>
          </w:tcPr>
          <w:p w14:paraId="1C5CAB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电池箱层数：4层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加厚冷轧板，结构紧凑合理，承载能力大，整体静电喷塑，环保，耐磨，防腐蚀，防火，绝缘，型号齐全，能满足各中小型号UPS的电池组安装需求，通用性强，能满足各种型号的断路器安装需求，安装维护方便，整个安装过程不需采用螺丝固定。</w:t>
            </w:r>
          </w:p>
        </w:tc>
        <w:tc>
          <w:tcPr>
            <w:tcW w:w="409" w:type="dxa"/>
            <w:tcBorders>
              <w:top w:val="single" w:color="000000" w:sz="4" w:space="0"/>
              <w:left w:val="single" w:color="000000" w:sz="4" w:space="0"/>
              <w:bottom w:val="single" w:color="000000" w:sz="4" w:space="0"/>
              <w:right w:val="single" w:color="000000" w:sz="4" w:space="0"/>
            </w:tcBorders>
            <w:vAlign w:val="center"/>
          </w:tcPr>
          <w:p w14:paraId="389AFD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1DDA64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120EF50">
        <w:tblPrEx>
          <w:tblLayout w:type="fixed"/>
        </w:tblPrEx>
        <w:trPr>
          <w:trHeight w:val="67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01323D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42" w:type="dxa"/>
            <w:tcBorders>
              <w:top w:val="single" w:color="000000" w:sz="4" w:space="0"/>
              <w:left w:val="single" w:color="000000" w:sz="4" w:space="0"/>
              <w:bottom w:val="single" w:color="000000" w:sz="4" w:space="0"/>
              <w:right w:val="single" w:color="000000" w:sz="4" w:space="0"/>
            </w:tcBorders>
            <w:vAlign w:val="center"/>
          </w:tcPr>
          <w:p w14:paraId="2A3FEE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UPS电池</w:t>
            </w:r>
          </w:p>
        </w:tc>
        <w:tc>
          <w:tcPr>
            <w:tcW w:w="7620" w:type="dxa"/>
            <w:tcBorders>
              <w:top w:val="single" w:color="000000" w:sz="4" w:space="0"/>
              <w:left w:val="single" w:color="000000" w:sz="4" w:space="0"/>
              <w:bottom w:val="single" w:color="000000" w:sz="4" w:space="0"/>
              <w:right w:val="single" w:color="000000" w:sz="4" w:space="0"/>
            </w:tcBorders>
            <w:vAlign w:val="center"/>
          </w:tcPr>
          <w:p w14:paraId="7C114B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额定电压(V)：12v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额定容量（Ah）:≥100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浮充寿命（年）:≥8-10</w:t>
            </w:r>
          </w:p>
        </w:tc>
        <w:tc>
          <w:tcPr>
            <w:tcW w:w="409" w:type="dxa"/>
            <w:tcBorders>
              <w:top w:val="single" w:color="000000" w:sz="4" w:space="0"/>
              <w:left w:val="single" w:color="000000" w:sz="4" w:space="0"/>
              <w:bottom w:val="single" w:color="000000" w:sz="4" w:space="0"/>
              <w:right w:val="single" w:color="000000" w:sz="4" w:space="0"/>
            </w:tcBorders>
            <w:vAlign w:val="center"/>
          </w:tcPr>
          <w:p w14:paraId="50377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442" w:type="dxa"/>
            <w:tcBorders>
              <w:top w:val="single" w:color="000000" w:sz="4" w:space="0"/>
              <w:left w:val="single" w:color="000000" w:sz="4" w:space="0"/>
              <w:bottom w:val="single" w:color="000000" w:sz="4" w:space="0"/>
              <w:right w:val="single" w:color="000000" w:sz="4" w:space="0"/>
            </w:tcBorders>
            <w:vAlign w:val="center"/>
          </w:tcPr>
          <w:p w14:paraId="18E76F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r>
      <w:tr w14:paraId="0A4BF203">
        <w:tblPrEx>
          <w:tblLayout w:type="fixed"/>
        </w:tblPrEx>
        <w:trPr>
          <w:trHeight w:val="40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24B828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2" w:type="dxa"/>
            <w:tcBorders>
              <w:top w:val="single" w:color="000000" w:sz="4" w:space="0"/>
              <w:left w:val="single" w:color="000000" w:sz="4" w:space="0"/>
              <w:bottom w:val="single" w:color="000000" w:sz="4" w:space="0"/>
              <w:right w:val="single" w:color="000000" w:sz="4" w:space="0"/>
            </w:tcBorders>
            <w:vAlign w:val="center"/>
          </w:tcPr>
          <w:p w14:paraId="097B52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UPS主机</w:t>
            </w:r>
          </w:p>
        </w:tc>
        <w:tc>
          <w:tcPr>
            <w:tcW w:w="7620" w:type="dxa"/>
            <w:tcBorders>
              <w:top w:val="single" w:color="000000" w:sz="4" w:space="0"/>
              <w:left w:val="single" w:color="000000" w:sz="4" w:space="0"/>
              <w:bottom w:val="single" w:color="000000" w:sz="4" w:space="0"/>
              <w:right w:val="single" w:color="000000" w:sz="4" w:space="0"/>
            </w:tcBorders>
            <w:vAlign w:val="center"/>
          </w:tcPr>
          <w:p w14:paraId="0D7F86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在线式三进三出UPS主机,27KW/30KVA,长延时机型，高频机，塔式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额定容量：≥27KW/30KVA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额定输入电压：≥380/400/415Vac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输入电压范围：≥208～478Vac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相数：三相五线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输入频率范围：40~70 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输入功率因数;≥0.99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输出电压:380/400/415(1±1%)Vac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输出频率:市电模式：与输入同步；当市电频率超出最大±10%（可设置±1%、±2%、±4%、±5%）时，输出频率50/60(±0.1);  电池模式：50/60(±0.1)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整机效率≥95%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功率因数:0.9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电池电压:  ±96；±108；±120 (16节/18节/20节)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工作温度:范围≥0℃～40℃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存储温度:-范围≥25℃～55℃(不含电池)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相对湿度:0%～95%(不凝露)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质保≥3年</w:t>
            </w:r>
          </w:p>
        </w:tc>
        <w:tc>
          <w:tcPr>
            <w:tcW w:w="409" w:type="dxa"/>
            <w:tcBorders>
              <w:top w:val="single" w:color="000000" w:sz="4" w:space="0"/>
              <w:left w:val="single" w:color="000000" w:sz="4" w:space="0"/>
              <w:bottom w:val="single" w:color="000000" w:sz="4" w:space="0"/>
              <w:right w:val="single" w:color="000000" w:sz="4" w:space="0"/>
            </w:tcBorders>
            <w:vAlign w:val="center"/>
          </w:tcPr>
          <w:p w14:paraId="6CB1D5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7BBA5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02CE1D72">
        <w:tblPrEx>
          <w:tblLayout w:type="fixed"/>
        </w:tblPrEx>
        <w:trPr>
          <w:trHeight w:val="67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20EE77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42" w:type="dxa"/>
            <w:tcBorders>
              <w:top w:val="single" w:color="000000" w:sz="4" w:space="0"/>
              <w:left w:val="single" w:color="000000" w:sz="4" w:space="0"/>
              <w:bottom w:val="single" w:color="000000" w:sz="4" w:space="0"/>
              <w:right w:val="single" w:color="000000" w:sz="4" w:space="0"/>
            </w:tcBorders>
            <w:vAlign w:val="center"/>
          </w:tcPr>
          <w:p w14:paraId="7C160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7620" w:type="dxa"/>
            <w:tcBorders>
              <w:top w:val="single" w:color="000000" w:sz="4" w:space="0"/>
              <w:left w:val="single" w:color="000000" w:sz="4" w:space="0"/>
              <w:bottom w:val="single" w:color="000000" w:sz="4" w:space="0"/>
              <w:right w:val="single" w:color="000000" w:sz="4" w:space="0"/>
            </w:tcBorders>
            <w:vAlign w:val="center"/>
          </w:tcPr>
          <w:p w14:paraId="2CFE79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BV-16mm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配线部位:管内、桥架内等综合考虑</w:t>
            </w:r>
          </w:p>
        </w:tc>
        <w:tc>
          <w:tcPr>
            <w:tcW w:w="409" w:type="dxa"/>
            <w:tcBorders>
              <w:top w:val="single" w:color="000000" w:sz="4" w:space="0"/>
              <w:left w:val="single" w:color="000000" w:sz="4" w:space="0"/>
              <w:bottom w:val="single" w:color="000000" w:sz="4" w:space="0"/>
              <w:right w:val="single" w:color="000000" w:sz="4" w:space="0"/>
            </w:tcBorders>
            <w:vAlign w:val="center"/>
          </w:tcPr>
          <w:p w14:paraId="60C66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2" w:type="dxa"/>
            <w:tcBorders>
              <w:top w:val="single" w:color="000000" w:sz="4" w:space="0"/>
              <w:left w:val="single" w:color="000000" w:sz="4" w:space="0"/>
              <w:bottom w:val="single" w:color="000000" w:sz="4" w:space="0"/>
              <w:right w:val="single" w:color="000000" w:sz="4" w:space="0"/>
            </w:tcBorders>
            <w:vAlign w:val="center"/>
          </w:tcPr>
          <w:p w14:paraId="7A004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3D380504">
        <w:tblPrEx>
          <w:tblLayout w:type="fixed"/>
        </w:tblPrEx>
        <w:trPr>
          <w:trHeight w:val="27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493F6F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42" w:type="dxa"/>
            <w:tcBorders>
              <w:top w:val="single" w:color="000000" w:sz="4" w:space="0"/>
              <w:left w:val="single" w:color="000000" w:sz="4" w:space="0"/>
              <w:bottom w:val="single" w:color="000000" w:sz="4" w:space="0"/>
              <w:right w:val="single" w:color="000000" w:sz="4" w:space="0"/>
            </w:tcBorders>
            <w:vAlign w:val="center"/>
          </w:tcPr>
          <w:p w14:paraId="5F825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电缆</w:t>
            </w:r>
          </w:p>
        </w:tc>
        <w:tc>
          <w:tcPr>
            <w:tcW w:w="7620" w:type="dxa"/>
            <w:tcBorders>
              <w:top w:val="single" w:color="000000" w:sz="4" w:space="0"/>
              <w:left w:val="single" w:color="000000" w:sz="4" w:space="0"/>
              <w:bottom w:val="single" w:color="000000" w:sz="4" w:space="0"/>
              <w:right w:val="single" w:color="000000" w:sz="4" w:space="0"/>
            </w:tcBorders>
            <w:vAlign w:val="center"/>
          </w:tcPr>
          <w:p w14:paraId="155EDC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ZRRVV3*6</w:t>
            </w:r>
          </w:p>
        </w:tc>
        <w:tc>
          <w:tcPr>
            <w:tcW w:w="409" w:type="dxa"/>
            <w:tcBorders>
              <w:top w:val="single" w:color="000000" w:sz="4" w:space="0"/>
              <w:left w:val="single" w:color="000000" w:sz="4" w:space="0"/>
              <w:bottom w:val="single" w:color="000000" w:sz="4" w:space="0"/>
              <w:right w:val="single" w:color="000000" w:sz="4" w:space="0"/>
            </w:tcBorders>
            <w:vAlign w:val="center"/>
          </w:tcPr>
          <w:p w14:paraId="0CE963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6500</w:t>
            </w:r>
          </w:p>
        </w:tc>
        <w:tc>
          <w:tcPr>
            <w:tcW w:w="442" w:type="dxa"/>
            <w:tcBorders>
              <w:top w:val="single" w:color="000000" w:sz="4" w:space="0"/>
              <w:left w:val="single" w:color="000000" w:sz="4" w:space="0"/>
              <w:bottom w:val="single" w:color="000000" w:sz="4" w:space="0"/>
              <w:right w:val="single" w:color="000000" w:sz="4" w:space="0"/>
            </w:tcBorders>
            <w:vAlign w:val="center"/>
          </w:tcPr>
          <w:p w14:paraId="0E0FAC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73F77ACD">
        <w:tblPrEx>
          <w:tblLayout w:type="fixed"/>
        </w:tblPrEx>
        <w:trPr>
          <w:trHeight w:val="4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3BA144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42" w:type="dxa"/>
            <w:tcBorders>
              <w:top w:val="single" w:color="000000" w:sz="4" w:space="0"/>
              <w:left w:val="single" w:color="000000" w:sz="4" w:space="0"/>
              <w:bottom w:val="single" w:color="000000" w:sz="4" w:space="0"/>
              <w:right w:val="single" w:color="000000" w:sz="4" w:space="0"/>
            </w:tcBorders>
            <w:vAlign w:val="center"/>
          </w:tcPr>
          <w:p w14:paraId="4A6E6A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UPS配电柜</w:t>
            </w:r>
          </w:p>
        </w:tc>
        <w:tc>
          <w:tcPr>
            <w:tcW w:w="7620" w:type="dxa"/>
            <w:tcBorders>
              <w:top w:val="single" w:color="000000" w:sz="4" w:space="0"/>
              <w:left w:val="single" w:color="000000" w:sz="4" w:space="0"/>
              <w:bottom w:val="single" w:color="000000" w:sz="4" w:space="0"/>
              <w:right w:val="single" w:color="000000" w:sz="4" w:space="0"/>
            </w:tcBorders>
            <w:vAlign w:val="center"/>
          </w:tcPr>
          <w:p w14:paraId="520E7C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63A刀闸开关、多功能仪表、20路电源回路规格:800*1800*600 根据实际需求定制</w:t>
            </w:r>
          </w:p>
        </w:tc>
        <w:tc>
          <w:tcPr>
            <w:tcW w:w="409" w:type="dxa"/>
            <w:tcBorders>
              <w:top w:val="single" w:color="000000" w:sz="4" w:space="0"/>
              <w:left w:val="single" w:color="000000" w:sz="4" w:space="0"/>
              <w:bottom w:val="single" w:color="000000" w:sz="4" w:space="0"/>
              <w:right w:val="single" w:color="000000" w:sz="4" w:space="0"/>
            </w:tcBorders>
            <w:vAlign w:val="center"/>
          </w:tcPr>
          <w:p w14:paraId="114D9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402B95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AFE0E10">
        <w:tblPrEx>
          <w:tblLayout w:type="fixed"/>
        </w:tblPrEx>
        <w:trPr>
          <w:trHeight w:val="720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359F60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42" w:type="dxa"/>
            <w:tcBorders>
              <w:top w:val="single" w:color="000000" w:sz="4" w:space="0"/>
              <w:left w:val="single" w:color="000000" w:sz="4" w:space="0"/>
              <w:bottom w:val="single" w:color="000000" w:sz="4" w:space="0"/>
              <w:right w:val="single" w:color="000000" w:sz="4" w:space="0"/>
            </w:tcBorders>
            <w:vAlign w:val="center"/>
          </w:tcPr>
          <w:p w14:paraId="5AB11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7620" w:type="dxa"/>
            <w:tcBorders>
              <w:top w:val="single" w:color="000000" w:sz="4" w:space="0"/>
              <w:left w:val="single" w:color="000000" w:sz="4" w:space="0"/>
              <w:bottom w:val="single" w:color="000000" w:sz="4" w:space="0"/>
              <w:right w:val="single" w:color="000000" w:sz="4" w:space="0"/>
            </w:tcBorders>
            <w:vAlign w:val="center"/>
          </w:tcPr>
          <w:p w14:paraId="0EC32A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安装位置：楼层弱电间内墙面。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安装方式：明装。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防护等级：IP30（满足室内防尘需求）。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箱体材质：优质冷轧钢板（厚度≥1.2mm），表面镀锌或喷塑防腐。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颜色：浅灰色（RAL 7035）或白色。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类型：AC 220V 单相，50Hz。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进线方式：下进线。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进线电缆规格：YJV-3×6mm²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总进线开关：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类型：微型断路器（MCB）或塑壳断路器（MCCB）。极数：2P。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额定电流（In）：≥32A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分断能力（Icn）：≥6kA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输出回路数量：≥6路。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输出回路类型：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分路开关：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类型：微型断路器（MCB）。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极数：2P（推荐彻底断电）。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额定电流（In）：10A或16A（匹配设备功率）。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脱扣曲线：C型（适用电子设备）。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输出插座：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类型：国标三孔/五孔（带保护门）。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电流：16A。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材质：阻燃PC。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保护功能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主开关保护：过载保护 + 短路保护。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分路开关保护：过载保护 + 短路保护。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漏电保护：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方案2：关键分路（UPS回路）用 带漏保的微型断路器（RCBO）。</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过电压保护：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主进线侧加装浪涌保护器（SPD）。</w:t>
            </w:r>
          </w:p>
        </w:tc>
        <w:tc>
          <w:tcPr>
            <w:tcW w:w="409" w:type="dxa"/>
            <w:tcBorders>
              <w:top w:val="single" w:color="000000" w:sz="4" w:space="0"/>
              <w:left w:val="single" w:color="000000" w:sz="4" w:space="0"/>
              <w:bottom w:val="single" w:color="000000" w:sz="4" w:space="0"/>
              <w:right w:val="single" w:color="000000" w:sz="4" w:space="0"/>
            </w:tcBorders>
            <w:vAlign w:val="center"/>
          </w:tcPr>
          <w:p w14:paraId="44D474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2" w:type="dxa"/>
            <w:tcBorders>
              <w:top w:val="single" w:color="000000" w:sz="4" w:space="0"/>
              <w:left w:val="single" w:color="000000" w:sz="4" w:space="0"/>
              <w:bottom w:val="single" w:color="000000" w:sz="4" w:space="0"/>
              <w:right w:val="single" w:color="000000" w:sz="4" w:space="0"/>
            </w:tcBorders>
            <w:vAlign w:val="center"/>
          </w:tcPr>
          <w:p w14:paraId="59400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5EA95D3">
        <w:tblPrEx>
          <w:tblLayout w:type="fixed"/>
        </w:tblPrEx>
        <w:trPr>
          <w:trHeight w:val="112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7F9D2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742" w:type="dxa"/>
            <w:tcBorders>
              <w:top w:val="single" w:color="000000" w:sz="4" w:space="0"/>
              <w:left w:val="single" w:color="000000" w:sz="4" w:space="0"/>
              <w:bottom w:val="single" w:color="000000" w:sz="4" w:space="0"/>
              <w:right w:val="single" w:color="000000" w:sz="4" w:space="0"/>
            </w:tcBorders>
            <w:vAlign w:val="center"/>
          </w:tcPr>
          <w:p w14:paraId="7FA5F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水平弱电桥架</w:t>
            </w:r>
          </w:p>
        </w:tc>
        <w:tc>
          <w:tcPr>
            <w:tcW w:w="7620" w:type="dxa"/>
            <w:tcBorders>
              <w:top w:val="single" w:color="000000" w:sz="4" w:space="0"/>
              <w:left w:val="single" w:color="000000" w:sz="4" w:space="0"/>
              <w:bottom w:val="single" w:color="000000" w:sz="4" w:space="0"/>
              <w:right w:val="single" w:color="000000" w:sz="4" w:space="0"/>
            </w:tcBorders>
            <w:vAlign w:val="center"/>
          </w:tcPr>
          <w:p w14:paraId="135752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 镀锌钢板（厚度≥1.2mm）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表面处理 镀锌层≥12μm，或 白色/浅灰喷塑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规格（宽×高）300×100mm内置金属隔板分隔客房网络，监控网络，广播网络，监控电源，比例为50:100:100:50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 IP40（防尘防异物）</w:t>
            </w:r>
          </w:p>
        </w:tc>
        <w:tc>
          <w:tcPr>
            <w:tcW w:w="409" w:type="dxa"/>
            <w:tcBorders>
              <w:top w:val="single" w:color="000000" w:sz="4" w:space="0"/>
              <w:left w:val="single" w:color="000000" w:sz="4" w:space="0"/>
              <w:bottom w:val="single" w:color="000000" w:sz="4" w:space="0"/>
              <w:right w:val="single" w:color="000000" w:sz="4" w:space="0"/>
            </w:tcBorders>
            <w:vAlign w:val="center"/>
          </w:tcPr>
          <w:p w14:paraId="5FE48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336</w:t>
            </w:r>
          </w:p>
        </w:tc>
        <w:tc>
          <w:tcPr>
            <w:tcW w:w="442" w:type="dxa"/>
            <w:tcBorders>
              <w:top w:val="single" w:color="000000" w:sz="4" w:space="0"/>
              <w:left w:val="single" w:color="000000" w:sz="4" w:space="0"/>
              <w:bottom w:val="single" w:color="000000" w:sz="4" w:space="0"/>
              <w:right w:val="single" w:color="000000" w:sz="4" w:space="0"/>
            </w:tcBorders>
            <w:vAlign w:val="center"/>
          </w:tcPr>
          <w:p w14:paraId="41BAB7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660580BA">
        <w:tblPrEx>
          <w:tblLayout w:type="fixed"/>
        </w:tblPrEx>
        <w:trPr>
          <w:trHeight w:val="13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0B43B6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742" w:type="dxa"/>
            <w:tcBorders>
              <w:top w:val="single" w:color="000000" w:sz="4" w:space="0"/>
              <w:left w:val="single" w:color="000000" w:sz="4" w:space="0"/>
              <w:bottom w:val="single" w:color="000000" w:sz="4" w:space="0"/>
              <w:right w:val="single" w:color="000000" w:sz="4" w:space="0"/>
            </w:tcBorders>
            <w:vAlign w:val="center"/>
          </w:tcPr>
          <w:p w14:paraId="3EBD0F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垂直弱电桥架</w:t>
            </w:r>
          </w:p>
        </w:tc>
        <w:tc>
          <w:tcPr>
            <w:tcW w:w="7620" w:type="dxa"/>
            <w:tcBorders>
              <w:top w:val="single" w:color="000000" w:sz="4" w:space="0"/>
              <w:left w:val="single" w:color="000000" w:sz="4" w:space="0"/>
              <w:bottom w:val="single" w:color="000000" w:sz="4" w:space="0"/>
              <w:right w:val="single" w:color="000000" w:sz="4" w:space="0"/>
            </w:tcBorders>
            <w:vAlign w:val="center"/>
          </w:tcPr>
          <w:p w14:paraId="6F514C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类型 槽式桥架（防火要求极高时选）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 镀锌钢板（厚度≥2.0mm）符合国标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规格（宽×高）600×200mm内置金属隔板分隔UPS供电电源、楼层光缆、楼层网线（200:200:200）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 IP40（井道防尘）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防火等级 GB 8624 A级不燃（强制要求）</w:t>
            </w:r>
          </w:p>
        </w:tc>
        <w:tc>
          <w:tcPr>
            <w:tcW w:w="409" w:type="dxa"/>
            <w:tcBorders>
              <w:top w:val="single" w:color="000000" w:sz="4" w:space="0"/>
              <w:left w:val="single" w:color="000000" w:sz="4" w:space="0"/>
              <w:bottom w:val="single" w:color="000000" w:sz="4" w:space="0"/>
              <w:right w:val="single" w:color="000000" w:sz="4" w:space="0"/>
            </w:tcBorders>
            <w:vAlign w:val="center"/>
          </w:tcPr>
          <w:p w14:paraId="07657D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442" w:type="dxa"/>
            <w:tcBorders>
              <w:top w:val="single" w:color="000000" w:sz="4" w:space="0"/>
              <w:left w:val="single" w:color="000000" w:sz="4" w:space="0"/>
              <w:bottom w:val="single" w:color="000000" w:sz="4" w:space="0"/>
              <w:right w:val="single" w:color="000000" w:sz="4" w:space="0"/>
            </w:tcBorders>
            <w:vAlign w:val="center"/>
          </w:tcPr>
          <w:p w14:paraId="64E51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5EC11BB6">
        <w:tblPrEx>
          <w:tblLayout w:type="fixed"/>
        </w:tblPrEx>
        <w:trPr>
          <w:trHeight w:val="27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7FE234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42" w:type="dxa"/>
            <w:tcBorders>
              <w:top w:val="single" w:color="000000" w:sz="4" w:space="0"/>
              <w:left w:val="single" w:color="000000" w:sz="4" w:space="0"/>
              <w:bottom w:val="single" w:color="000000" w:sz="4" w:space="0"/>
              <w:right w:val="single" w:color="000000" w:sz="4" w:space="0"/>
            </w:tcBorders>
            <w:vAlign w:val="center"/>
          </w:tcPr>
          <w:p w14:paraId="6625D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电源线</w:t>
            </w:r>
          </w:p>
        </w:tc>
        <w:tc>
          <w:tcPr>
            <w:tcW w:w="7620" w:type="dxa"/>
            <w:tcBorders>
              <w:top w:val="single" w:color="000000" w:sz="4" w:space="0"/>
              <w:left w:val="single" w:color="000000" w:sz="4" w:space="0"/>
              <w:bottom w:val="single" w:color="000000" w:sz="4" w:space="0"/>
              <w:right w:val="single" w:color="000000" w:sz="4" w:space="0"/>
            </w:tcBorders>
            <w:vAlign w:val="center"/>
          </w:tcPr>
          <w:p w14:paraId="17029D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YJV-3×10mm²</w:t>
            </w:r>
          </w:p>
        </w:tc>
        <w:tc>
          <w:tcPr>
            <w:tcW w:w="409" w:type="dxa"/>
            <w:tcBorders>
              <w:top w:val="single" w:color="000000" w:sz="4" w:space="0"/>
              <w:left w:val="single" w:color="000000" w:sz="4" w:space="0"/>
              <w:bottom w:val="single" w:color="000000" w:sz="4" w:space="0"/>
              <w:right w:val="single" w:color="000000" w:sz="4" w:space="0"/>
            </w:tcBorders>
            <w:vAlign w:val="center"/>
          </w:tcPr>
          <w:p w14:paraId="7B82C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442" w:type="dxa"/>
            <w:tcBorders>
              <w:top w:val="single" w:color="000000" w:sz="4" w:space="0"/>
              <w:left w:val="single" w:color="000000" w:sz="4" w:space="0"/>
              <w:bottom w:val="single" w:color="000000" w:sz="4" w:space="0"/>
              <w:right w:val="single" w:color="000000" w:sz="4" w:space="0"/>
            </w:tcBorders>
            <w:vAlign w:val="center"/>
          </w:tcPr>
          <w:p w14:paraId="5A158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r>
      <w:tr w14:paraId="45BAC20E">
        <w:tblPrEx>
          <w:tblLayout w:type="fixed"/>
        </w:tblPrEx>
        <w:trPr>
          <w:trHeight w:val="180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36BEE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742" w:type="dxa"/>
            <w:tcBorders>
              <w:top w:val="single" w:color="000000" w:sz="4" w:space="0"/>
              <w:left w:val="single" w:color="000000" w:sz="4" w:space="0"/>
              <w:bottom w:val="single" w:color="000000" w:sz="4" w:space="0"/>
              <w:right w:val="single" w:color="000000" w:sz="4" w:space="0"/>
            </w:tcBorders>
            <w:vAlign w:val="center"/>
          </w:tcPr>
          <w:p w14:paraId="1AC03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w:t>
            </w:r>
          </w:p>
        </w:tc>
        <w:tc>
          <w:tcPr>
            <w:tcW w:w="7620" w:type="dxa"/>
            <w:tcBorders>
              <w:top w:val="single" w:color="000000" w:sz="4" w:space="0"/>
              <w:left w:val="single" w:color="000000" w:sz="4" w:space="0"/>
              <w:bottom w:val="single" w:color="000000" w:sz="4" w:space="0"/>
              <w:right w:val="single" w:color="000000" w:sz="4" w:space="0"/>
            </w:tcBorders>
            <w:vAlign w:val="center"/>
          </w:tcPr>
          <w:p w14:paraId="01DF53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类型 19英寸标准机柜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 高度：42U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 冷轧钢板（厚度≥1.5mm框架+1.2mm门板）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表面处理：喷塑哑光白（RAL 9016）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承重能力 静态承重≥1500kg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动态承重≥800kg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 IP42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防火等级 UL94 V-0级阻燃</w:t>
            </w:r>
          </w:p>
        </w:tc>
        <w:tc>
          <w:tcPr>
            <w:tcW w:w="409" w:type="dxa"/>
            <w:tcBorders>
              <w:top w:val="single" w:color="000000" w:sz="4" w:space="0"/>
              <w:left w:val="single" w:color="000000" w:sz="4" w:space="0"/>
              <w:bottom w:val="single" w:color="000000" w:sz="4" w:space="0"/>
              <w:right w:val="single" w:color="000000" w:sz="4" w:space="0"/>
            </w:tcBorders>
            <w:vAlign w:val="center"/>
          </w:tcPr>
          <w:p w14:paraId="1F8A1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2" w:type="dxa"/>
            <w:tcBorders>
              <w:top w:val="single" w:color="000000" w:sz="4" w:space="0"/>
              <w:left w:val="single" w:color="000000" w:sz="4" w:space="0"/>
              <w:bottom w:val="single" w:color="000000" w:sz="4" w:space="0"/>
              <w:right w:val="single" w:color="000000" w:sz="4" w:space="0"/>
            </w:tcBorders>
            <w:vAlign w:val="center"/>
          </w:tcPr>
          <w:p w14:paraId="3D1BC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25F69F03">
        <w:tblPrEx>
          <w:tblLayout w:type="fixed"/>
        </w:tblPrEx>
        <w:trPr>
          <w:trHeight w:val="27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1F858F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42" w:type="dxa"/>
            <w:tcBorders>
              <w:top w:val="single" w:color="000000" w:sz="4" w:space="0"/>
              <w:left w:val="single" w:color="000000" w:sz="4" w:space="0"/>
              <w:bottom w:val="single" w:color="000000" w:sz="4" w:space="0"/>
              <w:right w:val="single" w:color="000000" w:sz="4" w:space="0"/>
            </w:tcBorders>
            <w:vAlign w:val="center"/>
          </w:tcPr>
          <w:p w14:paraId="200D3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PDU插排</w:t>
            </w:r>
          </w:p>
        </w:tc>
        <w:tc>
          <w:tcPr>
            <w:tcW w:w="7620" w:type="dxa"/>
            <w:tcBorders>
              <w:top w:val="single" w:color="000000" w:sz="4" w:space="0"/>
              <w:left w:val="single" w:color="000000" w:sz="4" w:space="0"/>
              <w:bottom w:val="single" w:color="000000" w:sz="4" w:space="0"/>
              <w:right w:val="single" w:color="000000" w:sz="4" w:space="0"/>
            </w:tcBorders>
            <w:vAlign w:val="center"/>
          </w:tcPr>
          <w:p w14:paraId="4CEA1C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8位10APDU机柜专用插排</w:t>
            </w:r>
          </w:p>
        </w:tc>
        <w:tc>
          <w:tcPr>
            <w:tcW w:w="409" w:type="dxa"/>
            <w:tcBorders>
              <w:top w:val="single" w:color="000000" w:sz="4" w:space="0"/>
              <w:left w:val="single" w:color="000000" w:sz="4" w:space="0"/>
              <w:bottom w:val="single" w:color="000000" w:sz="4" w:space="0"/>
              <w:right w:val="single" w:color="000000" w:sz="4" w:space="0"/>
            </w:tcBorders>
            <w:vAlign w:val="center"/>
          </w:tcPr>
          <w:p w14:paraId="771E34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2" w:type="dxa"/>
            <w:tcBorders>
              <w:top w:val="single" w:color="000000" w:sz="4" w:space="0"/>
              <w:left w:val="single" w:color="000000" w:sz="4" w:space="0"/>
              <w:bottom w:val="single" w:color="000000" w:sz="4" w:space="0"/>
              <w:right w:val="single" w:color="000000" w:sz="4" w:space="0"/>
            </w:tcBorders>
            <w:vAlign w:val="center"/>
          </w:tcPr>
          <w:p w14:paraId="42CD6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462E3EAD">
        <w:tblPrEx>
          <w:tblLayout w:type="fixed"/>
        </w:tblPrEx>
        <w:trPr>
          <w:trHeight w:val="157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7EBF2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42" w:type="dxa"/>
            <w:tcBorders>
              <w:top w:val="single" w:color="000000" w:sz="4" w:space="0"/>
              <w:left w:val="single" w:color="000000" w:sz="4" w:space="0"/>
              <w:bottom w:val="single" w:color="000000" w:sz="4" w:space="0"/>
              <w:right w:val="single" w:color="000000" w:sz="4" w:space="0"/>
            </w:tcBorders>
            <w:vAlign w:val="center"/>
          </w:tcPr>
          <w:p w14:paraId="77E0B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ODF子框</w:t>
            </w:r>
          </w:p>
        </w:tc>
        <w:tc>
          <w:tcPr>
            <w:tcW w:w="7620" w:type="dxa"/>
            <w:tcBorders>
              <w:top w:val="single" w:color="000000" w:sz="4" w:space="0"/>
              <w:left w:val="single" w:color="000000" w:sz="4" w:space="0"/>
              <w:bottom w:val="single" w:color="000000" w:sz="4" w:space="0"/>
              <w:right w:val="single" w:color="000000" w:sz="4" w:space="0"/>
            </w:tcBorders>
            <w:vAlign w:val="center"/>
          </w:tcPr>
          <w:p w14:paraId="153F75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类型 模块化子框（支持熔配一体化托盘）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 19英寸标准宽度（483mm）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高度：2U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深度：≤260mm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 铝合金框架（厚度≥2.0mm） + 冷轧钢板面板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安装方式 机柜前立柱安装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防护等级 IP20</w:t>
            </w:r>
          </w:p>
        </w:tc>
        <w:tc>
          <w:tcPr>
            <w:tcW w:w="409" w:type="dxa"/>
            <w:tcBorders>
              <w:top w:val="single" w:color="000000" w:sz="4" w:space="0"/>
              <w:left w:val="single" w:color="000000" w:sz="4" w:space="0"/>
              <w:bottom w:val="single" w:color="000000" w:sz="4" w:space="0"/>
              <w:right w:val="single" w:color="000000" w:sz="4" w:space="0"/>
            </w:tcBorders>
            <w:vAlign w:val="center"/>
          </w:tcPr>
          <w:p w14:paraId="37C9F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442" w:type="dxa"/>
            <w:tcBorders>
              <w:top w:val="single" w:color="000000" w:sz="4" w:space="0"/>
              <w:left w:val="single" w:color="000000" w:sz="4" w:space="0"/>
              <w:bottom w:val="single" w:color="000000" w:sz="4" w:space="0"/>
              <w:right w:val="single" w:color="000000" w:sz="4" w:space="0"/>
            </w:tcBorders>
            <w:vAlign w:val="center"/>
          </w:tcPr>
          <w:p w14:paraId="59A316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54784A65">
        <w:tblPrEx>
          <w:tblLayout w:type="fixed"/>
        </w:tblPrEx>
        <w:trPr>
          <w:trHeight w:val="405" w:hRule="atLeast"/>
          <w:jc w:val="center"/>
        </w:trPr>
        <w:tc>
          <w:tcPr>
            <w:tcW w:w="9674" w:type="dxa"/>
            <w:gridSpan w:val="5"/>
            <w:tcBorders>
              <w:top w:val="single" w:color="000000" w:sz="4" w:space="0"/>
              <w:left w:val="single" w:color="000000" w:sz="4" w:space="0"/>
              <w:bottom w:val="single" w:color="000000" w:sz="4" w:space="0"/>
              <w:right w:val="single" w:color="000000" w:sz="4" w:space="0"/>
            </w:tcBorders>
            <w:vAlign w:val="center"/>
          </w:tcPr>
          <w:p w14:paraId="0B8C16CA">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五、信息化设备（多媒体教室、教学机房、四六级教室）</w:t>
            </w:r>
          </w:p>
        </w:tc>
      </w:tr>
      <w:tr w14:paraId="4FF98B70">
        <w:tblPrEx>
          <w:tblLayout w:type="fixed"/>
        </w:tblPrEx>
        <w:trPr>
          <w:trHeight w:val="660" w:hRule="atLeast"/>
          <w:jc w:val="center"/>
        </w:trPr>
        <w:tc>
          <w:tcPr>
            <w:tcW w:w="9674" w:type="dxa"/>
            <w:gridSpan w:val="5"/>
            <w:tcBorders>
              <w:top w:val="single" w:color="000000" w:sz="4" w:space="0"/>
              <w:left w:val="single" w:color="000000" w:sz="4" w:space="0"/>
              <w:bottom w:val="single" w:color="000000" w:sz="4" w:space="0"/>
              <w:right w:val="single" w:color="000000" w:sz="4" w:space="0"/>
            </w:tcBorders>
            <w:vAlign w:val="center"/>
          </w:tcPr>
          <w:p w14:paraId="0E72D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塔职院多媒体教室（所有涉及的应用系统均要适配银河麒麟、统信等操作系统；所有涉及的计算机终端、服务器的CPU和操作系统要符合安全可靠测评公告参数要求）</w:t>
            </w:r>
          </w:p>
        </w:tc>
      </w:tr>
      <w:tr w14:paraId="7A167625">
        <w:tblPrEx>
          <w:tblLayout w:type="fixed"/>
        </w:tblPrEx>
        <w:trPr>
          <w:trHeight w:val="818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5E35CE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2" w:type="dxa"/>
            <w:tcBorders>
              <w:top w:val="single" w:color="000000" w:sz="4" w:space="0"/>
              <w:left w:val="single" w:color="000000" w:sz="4" w:space="0"/>
              <w:bottom w:val="single" w:color="000000" w:sz="4" w:space="0"/>
              <w:right w:val="single" w:color="000000" w:sz="4" w:space="0"/>
            </w:tcBorders>
            <w:vAlign w:val="center"/>
          </w:tcPr>
          <w:p w14:paraId="2B462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高清网络中控</w:t>
            </w:r>
          </w:p>
        </w:tc>
        <w:tc>
          <w:tcPr>
            <w:tcW w:w="7620" w:type="dxa"/>
            <w:tcBorders>
              <w:top w:val="single" w:color="000000" w:sz="4" w:space="0"/>
              <w:left w:val="single" w:color="000000" w:sz="4" w:space="0"/>
              <w:bottom w:val="single" w:color="000000" w:sz="4" w:space="0"/>
              <w:right w:val="single" w:color="000000" w:sz="4" w:space="0"/>
            </w:tcBorders>
            <w:vAlign w:val="center"/>
          </w:tcPr>
          <w:p w14:paraId="73DADA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需配套提供控制系统集控软件及对接服务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采用高集成度一体化设计，单台设备实现所有功能，设备高度≤1.5U；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系统采用直通散热设计。主机和触控液晶面板采用分体式设计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集成高清视频矩阵功能，支持≥4路HDMI输入接口，≥1路VGA输入接口，≥4路HDMI输出接口，≥1路HDBaseT输出接口或网络传输接口，≥1路USB声卡接口，带edid编辑功能。（相关接口须提供实物图片予以佐证）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支持接入笔记本信号检测并自动切换音视频到输出通道，视频矩阵每路输出接口既可以输出不同画面，也可以输出相同画面。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支持音频切换功能，具备≥3路音频输入，≥3路音频输出。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集成强电开关控制模块，提供≥3路功率为30A/250VAC交流供电输出。电源输出接口采用防脱插头，并具有防呆设计（提供相关证明材料，如：官网截图或彩页或说明书或权威检测机构出具的检测报告）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≥6路USB接口，其中≥2个大屏USB控制信号的输入，能切换到工作站或外接笔记本电脑。（相关接口须提供实物图片予以佐证）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支持≥3路RS-232，≥2路RS-485串行接口，集成≥3路的弱电IO接口，支持+5V和+12V直流通断可控电源输出。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集成DSP音频处理器功能，具有≥3路有线麦克输入，提供可控48V幻象电源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1集集成UHF数字调制无线麦克风接收功能，具备≥1路接口同品牌无线麦克风音频输入，具备≥1路网络麦克风音频输入。（提供相关证明材料，如：官网截图或彩页或说明书或权威检测机构出具的检测报告）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无线麦克风和网络麦克风输入接口需采用RJ45接口，接口需采用一线通技术可同时传输音频、电源、控制信号；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具备独立读卡器和外接控制屏幕接口，接口采用RJ45支持一线通技术可同时传输电源和控制信号；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内置自适应音频处理算法，在不同场地均能实现自动校准，具体音频相关技术指标要求：反馈抑制（AFC）：传声增益提升幅度：≥15dB；自动增益控制（AGC）：增益控制幅度：-12dB - +12dB。自适应背景降噪（ANS）：信噪比提升≥18dB ；回声消除（AEC）：回音消除尾音长度：≥512ms，回声消除幅度：≥ 60dB，收敛速度：≥ 60dB/S ；信噪比：≥95dB，信号处理延时≤8ms ；本地扩声声场不均匀度≤5dB；所有音频处理部分的频率响应： 20Hz-20kHz（±3dB）；（提供相关证明材料，如：官网截图或彩页或说明书或权威检测机构出具的检测报告）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功率放大器的输出功率：≥2*120W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具备自动混响抑制算法；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系统支持通过一只吊装麦克风实现本地扩音和远程互动，本地扩音和远程互动能同时进行，并且相互不影响效果；（需提供机构出具的检测报告扫描件予以证明）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具备智能降噪功能，智能识别和抑制背景常态噪音。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控制系统支持以下几种方式登录：支持RFID卡登录、密码、远程登录、扫码登录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集成网络交换功能，提供≥8个网络接入端口和≥1个SFP光口,支持Wlan划分功能（须提供实物图片予以佐证）。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提供RFID读卡设备接口，支持与校园一卡通系统对接功能。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支持对接教务课表系统，实现定时开关功能，支持本地课表存储，可按课表自动执行系统开启和关闭，可脱网运行。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支持定时管理功能，可定时重启，支持本地升级和远程批量升级</w:t>
            </w:r>
          </w:p>
        </w:tc>
        <w:tc>
          <w:tcPr>
            <w:tcW w:w="409" w:type="dxa"/>
            <w:tcBorders>
              <w:top w:val="single" w:color="000000" w:sz="4" w:space="0"/>
              <w:left w:val="single" w:color="000000" w:sz="4" w:space="0"/>
              <w:bottom w:val="single" w:color="000000" w:sz="4" w:space="0"/>
              <w:right w:val="single" w:color="000000" w:sz="4" w:space="0"/>
            </w:tcBorders>
            <w:vAlign w:val="center"/>
          </w:tcPr>
          <w:p w14:paraId="0052B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2" w:type="dxa"/>
            <w:tcBorders>
              <w:top w:val="single" w:color="000000" w:sz="4" w:space="0"/>
              <w:left w:val="single" w:color="000000" w:sz="4" w:space="0"/>
              <w:bottom w:val="single" w:color="000000" w:sz="4" w:space="0"/>
              <w:right w:val="single" w:color="000000" w:sz="4" w:space="0"/>
            </w:tcBorders>
            <w:vAlign w:val="center"/>
          </w:tcPr>
          <w:p w14:paraId="2273B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38D61BC1">
        <w:tblPrEx>
          <w:tblLayout w:type="fixed"/>
        </w:tblPrEx>
        <w:trPr>
          <w:trHeight w:val="270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24060A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2" w:type="dxa"/>
            <w:tcBorders>
              <w:top w:val="single" w:color="000000" w:sz="4" w:space="0"/>
              <w:left w:val="single" w:color="000000" w:sz="4" w:space="0"/>
              <w:bottom w:val="single" w:color="000000" w:sz="4" w:space="0"/>
              <w:right w:val="single" w:color="000000" w:sz="4" w:space="0"/>
            </w:tcBorders>
            <w:vAlign w:val="center"/>
          </w:tcPr>
          <w:p w14:paraId="57936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控制屏</w:t>
            </w:r>
          </w:p>
        </w:tc>
        <w:tc>
          <w:tcPr>
            <w:tcW w:w="7620" w:type="dxa"/>
            <w:tcBorders>
              <w:top w:val="single" w:color="000000" w:sz="4" w:space="0"/>
              <w:left w:val="single" w:color="000000" w:sz="4" w:space="0"/>
              <w:bottom w:val="single" w:color="000000" w:sz="4" w:space="0"/>
              <w:right w:val="single" w:color="000000" w:sz="4" w:space="0"/>
            </w:tcBorders>
            <w:vAlign w:val="center"/>
          </w:tcPr>
          <w:p w14:paraId="313DE8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23.8寸主电容电磁双模屏，自带无源电磁笔，液晶屏分辨率≥1920*1080，支持多点触摸，主触摸屏同步显示一体机画面。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桌面控制屏10.1英寸副电容屏，兼容第三方中控自定义界面。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23.8寸屏和10.1寸屏的钢化玻璃、电容触摸屏、液晶屏要求采用无缝隙全贴合技术，双屏共覆一片钢化玻璃，厚度≧3mm。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屏体底部内置刷卡模块。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屏体采用适配器供电方式，无220V强电输入。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屏内置多媒体设备APP，实现多媒体设备的所有控制功能。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具备批注功能，老师可以通过批注功能将当前教学的重点内容进行批注，批注有多种笔型和颜色供选择；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具备板书功能、老师在画板上可以自由进行涂画和书写，支持画笔颜色、笔粗细、板书背景颜色设置，支持擦除、清空等操作；</w:t>
            </w:r>
          </w:p>
        </w:tc>
        <w:tc>
          <w:tcPr>
            <w:tcW w:w="409" w:type="dxa"/>
            <w:tcBorders>
              <w:top w:val="single" w:color="000000" w:sz="4" w:space="0"/>
              <w:left w:val="single" w:color="000000" w:sz="4" w:space="0"/>
              <w:bottom w:val="single" w:color="000000" w:sz="4" w:space="0"/>
              <w:right w:val="single" w:color="000000" w:sz="4" w:space="0"/>
            </w:tcBorders>
            <w:vAlign w:val="center"/>
          </w:tcPr>
          <w:p w14:paraId="59D570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2" w:type="dxa"/>
            <w:tcBorders>
              <w:top w:val="single" w:color="000000" w:sz="4" w:space="0"/>
              <w:left w:val="single" w:color="000000" w:sz="4" w:space="0"/>
              <w:bottom w:val="single" w:color="000000" w:sz="4" w:space="0"/>
              <w:right w:val="single" w:color="000000" w:sz="4" w:space="0"/>
            </w:tcBorders>
            <w:vAlign w:val="center"/>
          </w:tcPr>
          <w:p w14:paraId="14A49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9255AA1">
        <w:tblPrEx>
          <w:tblLayout w:type="fixed"/>
        </w:tblPrEx>
        <w:trPr>
          <w:trHeight w:val="742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321BF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2" w:type="dxa"/>
            <w:tcBorders>
              <w:top w:val="single" w:color="000000" w:sz="4" w:space="0"/>
              <w:left w:val="single" w:color="000000" w:sz="4" w:space="0"/>
              <w:bottom w:val="single" w:color="000000" w:sz="4" w:space="0"/>
              <w:right w:val="single" w:color="000000" w:sz="4" w:space="0"/>
            </w:tcBorders>
            <w:vAlign w:val="center"/>
          </w:tcPr>
          <w:p w14:paraId="0897F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台式机</w:t>
            </w:r>
          </w:p>
        </w:tc>
        <w:tc>
          <w:tcPr>
            <w:tcW w:w="7620" w:type="dxa"/>
            <w:tcBorders>
              <w:top w:val="single" w:color="000000" w:sz="4" w:space="0"/>
              <w:left w:val="single" w:color="000000" w:sz="4" w:space="0"/>
              <w:bottom w:val="single" w:color="000000" w:sz="4" w:space="0"/>
              <w:right w:val="single" w:color="000000" w:sz="4" w:space="0"/>
            </w:tcBorders>
            <w:vAlign w:val="center"/>
          </w:tcPr>
          <w:p w14:paraId="6B7498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1、终端需采用国内自主品牌。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2、配置≥八核十六线程处理器（处理器主频≥3.0GHz）；内存容量≥16GB；本地存储容量≥512 GB NVME SSD。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3、提供USB 接口≥6个，千兆网口≥1个，VGA接口≥1个，HDMI接口≥1个，COM接口≥2个，提供音频口（耳机和麦克风独立）。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4、支持SATA硬盘扩展接口≥1个，M.2扩展插槽≥1个；支持内存扩展槽位≥1个。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5、投标所选终端需提供3C证书及节能证书。提供证书复印件。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6、配置有线键盘鼠标1套。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虚拟桌面功能要求：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1、采用B/S软件架构，中文图形化管理页面。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2、为了方便管理和使用，管理平台要包括镜像管理、教室管理、用户管理等关键功能模块。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3、为满足基本教学的使用需求，要求镜像模版可以使用多种类型的操作系统，包括且不限于：UOS、Kylin等操作系统版本。</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4、支持虚拟教室功能：支持按照教室规模创建不同的虚拟教室，支持每个虚拟教室独立管理和配置，在云终端管理页面能够实现对独立教室的学生终端、教师云终端分别进行配置和管理。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5、★提供教学镜像隐藏功能，在云桌面后台可实现针对指定教室的部分教学镜像对学生可见，部分镜像（如考试镜像）对学生不可见，当需要使用的时候，提供相关证明材料，如：功能截图或彩页或说明书等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6、要求可以通过LDAP协议对接统一身份平台，让用户也可以使用统一身份平台的用户信息，无需重新创建一个全新的用户体系。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7、支持分级分权管理，可以按需自定义不同角色用户对应的管理权限。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为方便正版软件的部署和使用，支持个性化配置保存功能。首次完成软件的注册激活后，之后更新镜像模版也无需重新激活，（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9、支持镜像模版自动快照，每次镜像发布时可以自动为镜像模版打快照，支持的最大快照数量≥8个，提供功能实际界面截图证明。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10、★为了管理的便捷性，支持管理员通过服务器集群的web管理平台唤醒远程不同网段的终端，中间无需使用跳板机转发，（提供相关证明材料，如：官网截图或彩页或说明书或权威检测机构出具的检测报告）</w:t>
            </w:r>
          </w:p>
        </w:tc>
        <w:tc>
          <w:tcPr>
            <w:tcW w:w="409" w:type="dxa"/>
            <w:tcBorders>
              <w:top w:val="single" w:color="000000" w:sz="4" w:space="0"/>
              <w:left w:val="single" w:color="000000" w:sz="4" w:space="0"/>
              <w:bottom w:val="single" w:color="000000" w:sz="4" w:space="0"/>
              <w:right w:val="single" w:color="000000" w:sz="4" w:space="0"/>
            </w:tcBorders>
            <w:vAlign w:val="center"/>
          </w:tcPr>
          <w:p w14:paraId="4103E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2" w:type="dxa"/>
            <w:tcBorders>
              <w:top w:val="single" w:color="000000" w:sz="4" w:space="0"/>
              <w:left w:val="single" w:color="000000" w:sz="4" w:space="0"/>
              <w:bottom w:val="single" w:color="000000" w:sz="4" w:space="0"/>
              <w:right w:val="single" w:color="000000" w:sz="4" w:space="0"/>
            </w:tcBorders>
            <w:vAlign w:val="center"/>
          </w:tcPr>
          <w:p w14:paraId="1F3AB3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BDE7498">
        <w:tblPrEx>
          <w:tblLayout w:type="fixed"/>
        </w:tblPrEx>
        <w:trPr>
          <w:trHeight w:val="450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604BD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2" w:type="dxa"/>
            <w:tcBorders>
              <w:top w:val="single" w:color="000000" w:sz="4" w:space="0"/>
              <w:left w:val="single" w:color="000000" w:sz="4" w:space="0"/>
              <w:bottom w:val="single" w:color="000000" w:sz="4" w:space="0"/>
              <w:right w:val="single" w:color="000000" w:sz="4" w:space="0"/>
            </w:tcBorders>
            <w:vAlign w:val="center"/>
          </w:tcPr>
          <w:p w14:paraId="0E426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无线麦克风</w:t>
            </w:r>
          </w:p>
        </w:tc>
        <w:tc>
          <w:tcPr>
            <w:tcW w:w="7620" w:type="dxa"/>
            <w:tcBorders>
              <w:top w:val="single" w:color="000000" w:sz="4" w:space="0"/>
              <w:left w:val="single" w:color="000000" w:sz="4" w:space="0"/>
              <w:bottom w:val="single" w:color="000000" w:sz="4" w:space="0"/>
              <w:right w:val="single" w:color="000000" w:sz="4" w:space="0"/>
            </w:tcBorders>
            <w:vAlign w:val="center"/>
          </w:tcPr>
          <w:p w14:paraId="5F0AF5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采用UHF数字调制和无线抗干扰编码技术；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接收机和充电底座采用一体化设计，话筒插入充电座即可自动完成配对，开机即用（提供相关证明材料，如：官网截图或彩页或说明书或权威检测机构出具的检测报告）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充电底座集成鹅颈麦克风功能，鹅颈麦克风话筒杆长度可选；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无线话筒采用直插式桌面充电器充电方式，具有充电灯光提醒及保护功能（提供相关证明材料，如：官网截图或彩页或说明书或权威检测机构出具的检测报告）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无线话筒具有翻页笔和激光笔功能。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无线麦克风侧面需具有独立音量加减按键。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收发频率： 470MHz - 510MHz。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频率响应范围：20Hz-20KHz（±3dB）。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综合信噪比：≥85dB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充电底座具有物理解锁按键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提供远程统一管理软硬件接口，配合中控可以做到上课可以开锁，下课后话筒插入底座后自动锁死，防止话筒丢失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需具有归还语音提示功能，下课时老师未将无线麦克风插入底座可向功放设备输出归还提示语音；（提供相关证明材料，如：官网截图或彩页或说明书或权威检测机构出具的检测报告）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通过中控可以远程获知和管理话筒当前状态、电池电量及未归还提醒等功能</w:t>
            </w:r>
          </w:p>
        </w:tc>
        <w:tc>
          <w:tcPr>
            <w:tcW w:w="409" w:type="dxa"/>
            <w:tcBorders>
              <w:top w:val="single" w:color="000000" w:sz="4" w:space="0"/>
              <w:left w:val="single" w:color="000000" w:sz="4" w:space="0"/>
              <w:bottom w:val="single" w:color="000000" w:sz="4" w:space="0"/>
              <w:right w:val="single" w:color="000000" w:sz="4" w:space="0"/>
            </w:tcBorders>
            <w:vAlign w:val="center"/>
          </w:tcPr>
          <w:p w14:paraId="657CC3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2" w:type="dxa"/>
            <w:tcBorders>
              <w:top w:val="single" w:color="000000" w:sz="4" w:space="0"/>
              <w:left w:val="single" w:color="000000" w:sz="4" w:space="0"/>
              <w:bottom w:val="single" w:color="000000" w:sz="4" w:space="0"/>
              <w:right w:val="single" w:color="000000" w:sz="4" w:space="0"/>
            </w:tcBorders>
            <w:vAlign w:val="center"/>
          </w:tcPr>
          <w:p w14:paraId="5AF4A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1215115D">
        <w:tblPrEx>
          <w:tblLayout w:type="fixed"/>
        </w:tblPrEx>
        <w:trPr>
          <w:trHeight w:val="157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24C3F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2" w:type="dxa"/>
            <w:tcBorders>
              <w:top w:val="single" w:color="000000" w:sz="4" w:space="0"/>
              <w:left w:val="single" w:color="000000" w:sz="4" w:space="0"/>
              <w:bottom w:val="single" w:color="000000" w:sz="4" w:space="0"/>
              <w:right w:val="single" w:color="000000" w:sz="4" w:space="0"/>
            </w:tcBorders>
            <w:vAlign w:val="center"/>
          </w:tcPr>
          <w:p w14:paraId="759F27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吊装麦克风</w:t>
            </w:r>
          </w:p>
        </w:tc>
        <w:tc>
          <w:tcPr>
            <w:tcW w:w="7620" w:type="dxa"/>
            <w:tcBorders>
              <w:top w:val="single" w:color="000000" w:sz="4" w:space="0"/>
              <w:left w:val="single" w:color="000000" w:sz="4" w:space="0"/>
              <w:bottom w:val="single" w:color="000000" w:sz="4" w:space="0"/>
              <w:right w:val="single" w:color="000000" w:sz="4" w:space="0"/>
            </w:tcBorders>
            <w:vAlign w:val="center"/>
          </w:tcPr>
          <w:p w14:paraId="47C8E5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频率范围：20Hz-20KHz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灵敏度：≥-35dB（18mV/Pa）。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指向性：超心型。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最大声压级：≥135dB。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信噪比：≥75dB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供电电压：48V幻象电源供电。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抗手机、电磁、高频干扰。</w:t>
            </w:r>
          </w:p>
        </w:tc>
        <w:tc>
          <w:tcPr>
            <w:tcW w:w="409" w:type="dxa"/>
            <w:tcBorders>
              <w:top w:val="single" w:color="000000" w:sz="4" w:space="0"/>
              <w:left w:val="single" w:color="000000" w:sz="4" w:space="0"/>
              <w:bottom w:val="single" w:color="000000" w:sz="4" w:space="0"/>
              <w:right w:val="single" w:color="000000" w:sz="4" w:space="0"/>
            </w:tcBorders>
            <w:vAlign w:val="center"/>
          </w:tcPr>
          <w:p w14:paraId="25E49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42" w:type="dxa"/>
            <w:tcBorders>
              <w:top w:val="single" w:color="000000" w:sz="4" w:space="0"/>
              <w:left w:val="single" w:color="000000" w:sz="4" w:space="0"/>
              <w:bottom w:val="single" w:color="000000" w:sz="4" w:space="0"/>
              <w:right w:val="single" w:color="000000" w:sz="4" w:space="0"/>
            </w:tcBorders>
            <w:vAlign w:val="center"/>
          </w:tcPr>
          <w:p w14:paraId="6A05A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r>
      <w:tr w14:paraId="6361BC7A">
        <w:tblPrEx>
          <w:tblLayout w:type="fixed"/>
        </w:tblPrEx>
        <w:trPr>
          <w:trHeight w:val="225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0C413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2" w:type="dxa"/>
            <w:tcBorders>
              <w:top w:val="single" w:color="000000" w:sz="4" w:space="0"/>
              <w:left w:val="single" w:color="000000" w:sz="4" w:space="0"/>
              <w:bottom w:val="single" w:color="000000" w:sz="4" w:space="0"/>
              <w:right w:val="single" w:color="000000" w:sz="4" w:space="0"/>
            </w:tcBorders>
            <w:vAlign w:val="center"/>
          </w:tcPr>
          <w:p w14:paraId="3266E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音响</w:t>
            </w:r>
          </w:p>
        </w:tc>
        <w:tc>
          <w:tcPr>
            <w:tcW w:w="7620" w:type="dxa"/>
            <w:tcBorders>
              <w:top w:val="single" w:color="000000" w:sz="4" w:space="0"/>
              <w:left w:val="single" w:color="000000" w:sz="4" w:space="0"/>
              <w:bottom w:val="single" w:color="000000" w:sz="4" w:space="0"/>
              <w:right w:val="single" w:color="000000" w:sz="4" w:space="0"/>
            </w:tcBorders>
            <w:vAlign w:val="center"/>
          </w:tcPr>
          <w:p w14:paraId="40309B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频率响应：80Hz-18KHz（±3dB）。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额定阻抗：≤8Ω。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总谐波失真（120Hz-20KHz频率范围内）：≤3%（提供相关证明材料，如：官网截图或彩页或说明书或权威检测机构出具的检测报告）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特性灵敏度：≥88dB。（提供相关证明材料，如：官网截图或彩页或说明书或权威检测机构出具的检测报告）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长期最大功率：≥60W。（提供相关证明材料，如：官网截图或彩页或说明书或权威检测机构出具的检测报告）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高音单元：≥1吋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低音单元：≥4吋</w:t>
            </w:r>
          </w:p>
        </w:tc>
        <w:tc>
          <w:tcPr>
            <w:tcW w:w="409" w:type="dxa"/>
            <w:tcBorders>
              <w:top w:val="single" w:color="000000" w:sz="4" w:space="0"/>
              <w:left w:val="single" w:color="000000" w:sz="4" w:space="0"/>
              <w:bottom w:val="single" w:color="000000" w:sz="4" w:space="0"/>
              <w:right w:val="single" w:color="000000" w:sz="4" w:space="0"/>
            </w:tcBorders>
            <w:vAlign w:val="center"/>
          </w:tcPr>
          <w:p w14:paraId="4EE9C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42" w:type="dxa"/>
            <w:tcBorders>
              <w:top w:val="single" w:color="000000" w:sz="4" w:space="0"/>
              <w:left w:val="single" w:color="000000" w:sz="4" w:space="0"/>
              <w:bottom w:val="single" w:color="000000" w:sz="4" w:space="0"/>
              <w:right w:val="single" w:color="000000" w:sz="4" w:space="0"/>
            </w:tcBorders>
            <w:vAlign w:val="center"/>
          </w:tcPr>
          <w:p w14:paraId="68A15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w:t>
            </w:r>
          </w:p>
        </w:tc>
      </w:tr>
      <w:tr w14:paraId="579E83D1">
        <w:tblPrEx>
          <w:tblLayout w:type="fixed"/>
        </w:tblPrEx>
        <w:trPr>
          <w:trHeight w:val="819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5329B5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2" w:type="dxa"/>
            <w:tcBorders>
              <w:top w:val="single" w:color="000000" w:sz="4" w:space="0"/>
              <w:left w:val="single" w:color="000000" w:sz="4" w:space="0"/>
              <w:bottom w:val="single" w:color="000000" w:sz="4" w:space="0"/>
              <w:right w:val="single" w:color="000000" w:sz="4" w:space="0"/>
            </w:tcBorders>
            <w:vAlign w:val="center"/>
          </w:tcPr>
          <w:p w14:paraId="0BAA0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FF0000"/>
                <w:kern w:val="0"/>
                <w:sz w:val="18"/>
                <w:szCs w:val="18"/>
                <w:u w:val="none"/>
                <w:lang w:val="en-US" w:eastAsia="zh-CN" w:bidi="ar"/>
              </w:rPr>
              <w:t>智慧黑板</w:t>
            </w:r>
          </w:p>
        </w:tc>
        <w:tc>
          <w:tcPr>
            <w:tcW w:w="7620" w:type="dxa"/>
            <w:tcBorders>
              <w:top w:val="single" w:color="000000" w:sz="4" w:space="0"/>
              <w:left w:val="single" w:color="000000" w:sz="4" w:space="0"/>
              <w:bottom w:val="single" w:color="000000" w:sz="4" w:space="0"/>
              <w:right w:val="single" w:color="000000" w:sz="4" w:space="0"/>
            </w:tcBorders>
            <w:vAlign w:val="center"/>
          </w:tcPr>
          <w:p w14:paraId="465A18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一、整体设计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1.设备外壳材质为全金属，外观采用三拼接平面一体化设计，其整体尺寸不小于86寸。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2.主屏可直接使用普通粉笔进行书写操作，而整机两侧的副屏不仅能够使用普通粉笔，还支持液体粉笔、成膜笔等多种媒介进行板书书写。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3.整机视网膜蓝光危害（蓝光加权辐射亮度LB）满足IECTR62778:2014蓝光危害RG0级别。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4.整机具备高级音效设置功能，可对左右声道的平衡进行调节；在中低频段（125Hz-1KHz）和高频段（2KHz-16KHz），均可在-12dB至12dB的范围内进行音效调节。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w:t>
            </w:r>
            <w:r>
              <w:rPr>
                <w:rFonts w:hint="eastAsia" w:ascii="宋体" w:hAnsi="宋体" w:cs="宋体"/>
                <w:i w:val="0"/>
                <w:iCs w:val="0"/>
                <w:color w:val="FF0000"/>
                <w:kern w:val="0"/>
                <w:sz w:val="18"/>
                <w:szCs w:val="18"/>
                <w:u w:val="none"/>
                <w:lang w:val="en-US" w:eastAsia="zh-CN" w:bidi="ar"/>
              </w:rPr>
              <w:t>核心运算</w:t>
            </w:r>
            <w:r>
              <w:rPr>
                <w:rFonts w:hint="eastAsia" w:ascii="宋体" w:hAnsi="宋体" w:eastAsia="宋体" w:cs="宋体"/>
                <w:i w:val="0"/>
                <w:iCs w:val="0"/>
                <w:color w:val="FF0000"/>
                <w:kern w:val="0"/>
                <w:sz w:val="18"/>
                <w:szCs w:val="18"/>
                <w:u w:val="none"/>
                <w:lang w:val="en-US" w:eastAsia="zh-CN" w:bidi="ar"/>
              </w:rPr>
              <w:t>CPU芯片</w:t>
            </w:r>
            <w:r>
              <w:rPr>
                <w:rFonts w:hint="eastAsia" w:ascii="宋体" w:hAnsi="宋体" w:cs="宋体"/>
                <w:i w:val="0"/>
                <w:iCs w:val="0"/>
                <w:color w:val="FF0000"/>
                <w:kern w:val="0"/>
                <w:sz w:val="18"/>
                <w:szCs w:val="18"/>
                <w:u w:val="none"/>
                <w:lang w:val="en-US" w:eastAsia="zh-CN" w:bidi="ar"/>
              </w:rPr>
              <w:t>采用国产自主可控，性能</w:t>
            </w:r>
            <w:r>
              <w:rPr>
                <w:rFonts w:hint="eastAsia" w:ascii="宋体" w:hAnsi="宋体" w:eastAsia="宋体" w:cs="宋体"/>
                <w:i w:val="0"/>
                <w:iCs w:val="0"/>
                <w:color w:val="FF0000"/>
                <w:kern w:val="0"/>
                <w:sz w:val="18"/>
                <w:szCs w:val="18"/>
                <w:u w:val="none"/>
                <w:lang w:val="en-US" w:eastAsia="zh-CN" w:bidi="ar"/>
              </w:rPr>
              <w:t>≥8核，主频≥2.7GHz</w:t>
            </w:r>
            <w:r>
              <w:rPr>
                <w:rFonts w:hint="eastAsia" w:ascii="宋体" w:hAnsi="宋体" w:cs="宋体"/>
                <w:i w:val="0"/>
                <w:iCs w:val="0"/>
                <w:color w:val="FF0000"/>
                <w:kern w:val="0"/>
                <w:sz w:val="18"/>
                <w:szCs w:val="18"/>
                <w:u w:val="none"/>
                <w:lang w:val="en-US" w:eastAsia="zh-CN" w:bidi="ar"/>
              </w:rPr>
              <w:t>。为确保系统兼容与稳定，所投产品应已完成与主流国产操作系统（如统信UOS、麒麟KOS等）的适配认证</w:t>
            </w:r>
            <w:r>
              <w:rPr>
                <w:rFonts w:hint="eastAsia" w:ascii="宋体" w:hAnsi="宋体" w:eastAsia="宋体" w:cs="宋体"/>
                <w:i w:val="0"/>
                <w:iCs w:val="0"/>
                <w:color w:val="FF0000"/>
                <w:kern w:val="0"/>
                <w:sz w:val="18"/>
                <w:szCs w:val="18"/>
                <w:u w:val="none"/>
                <w:lang w:val="en-US" w:eastAsia="zh-CN" w:bidi="ar"/>
              </w:rPr>
              <w:t>。（提供相应的产品说明书或彩页或功能截图或检测报告）</w:t>
            </w:r>
            <w:r>
              <w:rPr>
                <w:rFonts w:hint="eastAsia" w:ascii="宋体" w:hAnsi="宋体" w:eastAsia="宋体" w:cs="宋体"/>
                <w:i w:val="0"/>
                <w:iCs w:val="0"/>
                <w:color w:val="FF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6.整机内置非独立外扩展的4阵列麦克风，拾音距离≥12m。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7.侧置接口包含2个HDMI接口、1个RS232接口、1个USB接口用于输入；1个音频输出接口、1个触控USB输出接口用于输出；前置输入接口设有3个USB接口，其中包含1个Type-C接口和2个普通USB接口。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8.整机具备熄屏扩声功能，在关闭显示部分的情况下可播放音频及本地扩音。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9.整机设备内置2.2声道扬声器，位于设备上边框，顶置朝前发声，12W高音扬声器2个，上朝向30W中低音扬声器2个，最大功率≥84W。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10.支持至少40点同时触控操作。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11.整机无线模块（Wi-Fi和蓝牙）采用独立模块化设计，无需拆卸整机后壳即可独立拆装。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二、整机功能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1.整机关机状态下，通过长按电源键进入设置界面后，可点击屏幕选择故障检测、系统还原功能，系统还原可单独还原PC系统，单独还原整机系统。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2.整机内置非独立摄像头，摄像头数量≥1个，可拍摄≥1600万像素数的照片。整机支持通过人脸识别进行登录账号。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3.整机全通道侧边栏快捷菜单至少包含如下小工具：批注、降半屏、截屏、放大镜、倒计时、日历、聚光灯、秒表、冻屏、倒数日、答题、节拍器。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4.支持自定义图像设置，可对对比度、屏幕色温、图像亮度、亮度范围、色彩空间调节设置。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5.支持智能板擦功能，系统可根据触控物体的形状自动识别出实物板擦，可擦除电子白板中的内容，无需依赖外部电子设备。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6.整机支持蓝牙Bluetooth5.4标准，Wi-Fi制式支持IEEE802.11a/b/g/n/ac/ax；支持版本Wi-Fi6。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7.整机内置传屏接收模块，整机不需要连接任何附加设备，可实现外部电脑、手机设备的音视频信号实时传输到整机上；电脑传屏时，支持触摸回传，在屏幕上部显示传屏工具栏。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8.整机内置文件传输应用，支持通过扫码、wifi直连两种方式与手机进行握手连接，实现文件传输功能。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三、电脑模块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1.采用抽拉内置式模块化电脑，可实现无单独接线的插拔，按压式卡扣方式，无需工具即可快速拆卸电脑模块。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2.CPU采用信创自主可控芯片；主频≥2.8Ghz，核心数≥8核心，三级缓存≥16M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3：内存：8GBDDR4笔记本内存或以上配置。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4：硬盘：256GBSSD固态硬盘或以上配置。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5.采用独立显卡，显存≥2G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6.预装正版国产操作系统。</w:t>
            </w:r>
          </w:p>
        </w:tc>
        <w:tc>
          <w:tcPr>
            <w:tcW w:w="409" w:type="dxa"/>
            <w:tcBorders>
              <w:top w:val="single" w:color="000000" w:sz="4" w:space="0"/>
              <w:left w:val="single" w:color="000000" w:sz="4" w:space="0"/>
              <w:bottom w:val="single" w:color="000000" w:sz="4" w:space="0"/>
              <w:right w:val="single" w:color="000000" w:sz="4" w:space="0"/>
            </w:tcBorders>
            <w:vAlign w:val="center"/>
          </w:tcPr>
          <w:p w14:paraId="177796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42" w:type="dxa"/>
            <w:tcBorders>
              <w:top w:val="single" w:color="000000" w:sz="4" w:space="0"/>
              <w:left w:val="single" w:color="000000" w:sz="4" w:space="0"/>
              <w:bottom w:val="single" w:color="000000" w:sz="4" w:space="0"/>
              <w:right w:val="single" w:color="000000" w:sz="4" w:space="0"/>
            </w:tcBorders>
            <w:vAlign w:val="center"/>
          </w:tcPr>
          <w:p w14:paraId="7C971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6F0E1846">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7BE5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15EF7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激光投影</w:t>
            </w:r>
          </w:p>
        </w:tc>
        <w:tc>
          <w:tcPr>
            <w:tcW w:w="7620" w:type="dxa"/>
            <w:tcBorders>
              <w:top w:val="single" w:color="000000" w:sz="4" w:space="0"/>
              <w:left w:val="single" w:color="000000" w:sz="4" w:space="0"/>
              <w:bottom w:val="single" w:color="000000" w:sz="4" w:space="0"/>
              <w:right w:val="single" w:color="000000" w:sz="4" w:space="0"/>
            </w:tcBorders>
            <w:vAlign w:val="center"/>
          </w:tcPr>
          <w:p w14:paraId="27C556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纯激光光源（激光安全等级CLASS 1级）；</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4F9C6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0A6B5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68C0623">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C104E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1E018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53A43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DLP投影技术，单机原始分辨率≥1920*1080；长宽比16:9（支持 4：3，16：10，16：6 格式）；</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DACE3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F3035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E58008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F02CC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BFD04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20FD9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标准亮度≥5600流明，对比度≥5000000:1；</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2B81C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96C36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3E18130">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40FA8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5009C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E10C0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支持电动镜头位移，垂直方向±100%，水平方±40%，具备梯形校正及四点校正；</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198E5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9F588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6E90C27">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E0C22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6B620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997DA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支持电动镜头聚焦和变焦；变焦比例≥1.6倍，可提供0.5：1，0.8：1，1.0-1.6：1，1.5-2.5：1多种镜头规格选择;</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F9320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D4068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13C209">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DE268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5AC93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8C632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光源寿命≥25000小时（正常模式），色域覆盖面积大于REC.709标准；</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A9818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0759B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D6354E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94618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FEDE4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E2BB78C">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DA8F7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B8078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C5FE4D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128B1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00A11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C44E1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照度均匀性≥90%；</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2B396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D8D39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EE530AB">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8439D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6E40C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3BFEC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整机功耗≤370W，能效等级1级，能效比≥12lm/w;</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5264C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2BE3C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3E4E588">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536FA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0D66F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8D4A4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接口：HDMI*2; HDBaseT*1（同时包含音视频信号传输及232控制指令，包括但不限于：发送开机、关机、切换视频源等多媒体教室常用指令传输）,VGA*2; 3D SYNC*2，IR 3D OUT*1,USB-B*1；RS232*1；</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6AA3F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114A8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8982BF8">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F3FFF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EFDE7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1AF8B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支持信号自动搜索，无信号自动休眠，内置测试图片，支持对比度增强功能；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436D4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3D526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C0E3D5C">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3906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7F6F4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幕布</w:t>
            </w:r>
          </w:p>
        </w:tc>
        <w:tc>
          <w:tcPr>
            <w:tcW w:w="7620" w:type="dxa"/>
            <w:tcBorders>
              <w:top w:val="single" w:color="000000" w:sz="4" w:space="0"/>
              <w:left w:val="single" w:color="000000" w:sz="4" w:space="0"/>
              <w:bottom w:val="single" w:color="000000" w:sz="4" w:space="0"/>
              <w:right w:val="single" w:color="000000" w:sz="4" w:space="0"/>
            </w:tcBorders>
            <w:vAlign w:val="center"/>
          </w:tcPr>
          <w:p w14:paraId="2ABFF5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电动升降幕布；</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1887E3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460469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r>
      <w:tr w14:paraId="133814D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8DD66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A607F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830E4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幕布尺寸：150英寸（对角线）</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4B97D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6EF6D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B8530B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7BEE9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7C1AC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9C30D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显示比例：16:9（与投影机显示比例对应）</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37055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9DAC3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58D58D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D0EE9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B263F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1D35B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幕面材质：玻珠材质</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51E95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37AE0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DA8A30">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1B4C7B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23E68E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讲台</w:t>
            </w:r>
          </w:p>
        </w:tc>
        <w:tc>
          <w:tcPr>
            <w:tcW w:w="7620" w:type="dxa"/>
            <w:tcBorders>
              <w:top w:val="single" w:color="000000" w:sz="4" w:space="0"/>
              <w:left w:val="single" w:color="000000" w:sz="4" w:space="0"/>
              <w:bottom w:val="single" w:color="000000" w:sz="4" w:space="0"/>
              <w:right w:val="single" w:color="000000" w:sz="4" w:space="0"/>
            </w:tcBorders>
            <w:vAlign w:val="center"/>
          </w:tcPr>
          <w:p w14:paraId="3518536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797EBC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353AB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779FB767">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E0A41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8BA0F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DE1A7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讲桌升降设计：采用套层的升降设计，讲桌升降过程中，升降器带动外层升降；内层不升降，做落地设计；整个过程都是三面全包裹下层，不断层。</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5D6B1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F2A54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833661F">
        <w:tblPrEx>
          <w:tblLayout w:type="fixed"/>
        </w:tblPrEx>
        <w:trPr>
          <w:trHeight w:val="90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E7C6E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C94F9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1276D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讲桌升降立柱双电机两节升降装置：升降行程最大可达480mm。超强抗下滑设计，电动升降器最大升降速度: 38mm/s，升降噪音&lt;48db，桌面最大负载: 120KG；升降过程中设计遇阻回退安全保护；升降器具备陀螺仪保护模块，防倾侧保护，升降无故障不低于2万次。</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1CA06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A87EA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95A6FD3">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78808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B1C34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F096C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桌面围边采用木质弯曲工艺一体成型，围边材料为厚度15MM的木质材料，左右两侧采用R100圆弧模具弯曲成型。</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0F4DA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DE869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D406788">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7A19E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90880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55F2D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桌面主材采用厚度25mm的高密度中纤板，侧边采用圆弧工艺处理，表面采用三聚氰胺和侧面采用PVC封边工艺，表面硬度达到3H，无毒无味，防潮防水，防腐蚀；</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A5AFD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EDA7B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11477B9">
        <w:tblPrEx>
          <w:tblLayout w:type="fixed"/>
        </w:tblPrEx>
        <w:trPr>
          <w:trHeight w:val="46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765CF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8C1B2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383F7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讲桌下层左侧嵌入落地的独立标准机架式机柜，机柜高度</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12U，深度</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500mm，机柜的背面具备独立维修门设计，机柜内带一块层板；</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7900C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41EA9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423FD93">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84A87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8AEA0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F173D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讲桌下层右侧嵌入落地的电脑主机箱位，机箱尺寸≥540x270x450mm（高宽深），机箱前门带锁，上部留有机箱的光驱门。机箱机柜两侧配置搬运扣手，方便讲桌的搬抬。</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675F2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A5941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C6C2E86">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7E8DD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F9969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D6EA4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升降电机采用手控器控制，手控器集成LED可显示桌面高度，集成3种高度预设模式，用户可以随时添加需要的高度，并通过按键，一键恢复到预设高度，方便操作；双DC33V输出，带RJ45接口；</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123A5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CD2EC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DF23979">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17492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93598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B96EE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桌面上具备模块接口，其中包括至少1个国标220V电插座、至少2个的 USB接入口，至少1路标准HDMI 输入接口。</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25645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7360A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A398E3E">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6FBF9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20C0B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A710F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确保安全性，桌面的设备到机柜之间具备理线的装置，确保桌面升降过程中，不能触碰到桌面下到机柜设备之间的连接线；</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6FBA9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D65FB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D132B08">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F715A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3944D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77287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讲桌配有直径≥Φ80mm ABS材料的水杯架，深度≥80mm；可旋转角度≥90度，实现隐藏式安装。右侧配置粉笔盒；</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8A3CD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90D2E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91AEE0">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5EADC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84DB7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BE673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讲桌支持扩展身份认证系统，也可对接第三方物联网平台，具备讲桌高度的的记忆和指定功能。实现同一个用户进入不同教室都可指定讲桌高度。</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76E6F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C3CCB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3608013">
        <w:tblPrEx>
          <w:tblLayout w:type="fixed"/>
        </w:tblPrEx>
        <w:trPr>
          <w:trHeight w:val="45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7842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08030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云桌面</w:t>
            </w:r>
          </w:p>
        </w:tc>
        <w:tc>
          <w:tcPr>
            <w:tcW w:w="7620" w:type="dxa"/>
            <w:tcBorders>
              <w:top w:val="single" w:color="000000" w:sz="4" w:space="0"/>
              <w:left w:val="single" w:color="000000" w:sz="4" w:space="0"/>
              <w:bottom w:val="single" w:color="000000" w:sz="4" w:space="0"/>
              <w:right w:val="single" w:color="000000" w:sz="4" w:space="0"/>
            </w:tcBorders>
            <w:vAlign w:val="center"/>
          </w:tcPr>
          <w:p w14:paraId="2E4F39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1、云桌面控制平台软件，采用B/S架构，提供云桌面管理、镜像管理、用户管理、终端管理、策略管理等功能模块。</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2ABE2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6BA11C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r>
      <w:tr w14:paraId="4ADFAE8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A0758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4B186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49B2BB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82017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297A3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25E2670">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35C11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A3E03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6BADB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2、支持采用远程方式对云桌面进行远程协助。远程协助基于WEB页面，无需额外安装客户端。</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8A140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53DB1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31AC3D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2CFA6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407B6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2E267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3、可以根据用户名、云桌面IP、云桌面名称等信息分页查询云桌面信息。</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D5E66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4FEFD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6928CE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4D38A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A2A93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A9473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4、支持通过上传操作系统ISO文件、QCOW2格式文件来制作生成镜像。</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E1E02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7EB09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19817E8">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C39EA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A54CB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073E6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5、支持应用程序安装包和共享文件的管理，包括：上传、删除、查询与制作镜像时加载到虚拟机内部。</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70AA6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4877E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31C1A2D">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8BF0E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BB2E5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A0914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6、支持对接LDAP、AD域导入用户，支持通过导入Excel文件的方式批量新建用户信息。</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FB3E2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ABB3A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ED5CE50">
        <w:tblPrEx>
          <w:tblLayout w:type="fixed"/>
        </w:tblPrEx>
        <w:trPr>
          <w:trHeight w:val="112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2E4A1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5A418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817B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7、★为满足在桌面故障后能快速恢复桌面环境，并确保系统盘文件不被删除，便于用户恢复数据。 支持在桌面还原后，保留历史系统盘的能力。能够在还原桌面后，自动将故障系统盘作为数据盘挂载到新桌面内，便于用户拷贝数据。（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9A56F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149A8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26845E4">
        <w:tblPrEx>
          <w:tblLayout w:type="fixed"/>
        </w:tblPrEx>
        <w:trPr>
          <w:trHeight w:val="90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49304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92012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7CE5C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支持镜像静默下载功能，镜像下载过程中可中断下载，进入桌面，无需等待镜像下载完毕后才能启动桌面，以免对使用者使用终端造成影响。（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540AD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B51C0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F1DF18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3BDBF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C21CE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0817F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9、支持云桌面种类策略配置，包含但不限于IDV、TCI等类型。</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E4DD3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28A12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94D58F5">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52EBE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61F59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73612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10、可配置全局屏幕水印功能。水印显示信息包括：用户名，云桌面名，IP，MAC地址，自定义显示。支持透明度，角度，字体大小和颜色的设置。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00A42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C3F46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384BFB5">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74227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8B078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6A1CB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11、支持管理员分级分权，通过精细化为管理员配置功能权限，提升桌面运维的安全性。</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046E8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5AF61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3884129">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860B7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8DEA4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3FAC7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12、支持为管理员自定义精细化配置功能权限，功能权限颗粒度细化到页面的具体功能。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80410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C4328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067E2A6">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5DD49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264EC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w:t>
            </w:r>
          </w:p>
        </w:tc>
        <w:tc>
          <w:tcPr>
            <w:tcW w:w="7620" w:type="dxa"/>
            <w:tcBorders>
              <w:top w:val="single" w:color="000000" w:sz="4" w:space="0"/>
              <w:left w:val="single" w:color="000000" w:sz="4" w:space="0"/>
              <w:bottom w:val="single" w:color="000000" w:sz="4" w:space="0"/>
              <w:right w:val="single" w:color="000000" w:sz="4" w:space="0"/>
            </w:tcBorders>
            <w:vAlign w:val="center"/>
          </w:tcPr>
          <w:p w14:paraId="70959F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1、要求采用1U机架式服务器。</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7AF6D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67C34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3E9367C">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743D0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ECA52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E57FD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2、CPU：≥8核心16线程，主频≥3.0GHz，需符合安全可靠测评公告参数要求。</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C5926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6DF03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4C102F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053FE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817DA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5741A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3、内存：实配内存≥32GB，整机最大支持内存256GB。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FC766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73454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4404D9B">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C8534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5763A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AD7CE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4、SSD：整机配置≥1块480G 固态硬盘，≥1块 240G M.2 SSD。</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7E6EC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5CA30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68FD29D">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70BE9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9E13C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4ADB6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5、硬盘：集成SATA硬盘控制器，整机配置硬盘≥2块3.5寸 4TB 7200转 SATA III硬盘。</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6D190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BBFFA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019F4E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5E6A9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20310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005C7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6、网口：提供不少于4个千兆网口。</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B5353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97332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28883F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8D999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26173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7D034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7、电源：提供电源不少于1块。</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2AC39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B6A47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73CE0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0058C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FB7AF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E01A7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8、需要具备CCC认证、节能认证并提供证书的复印件。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B75C1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FE8BA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8BFC66D">
        <w:tblPrEx>
          <w:tblLayout w:type="fixed"/>
        </w:tblPrEx>
        <w:trPr>
          <w:trHeight w:val="45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280D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5B5E9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附件、线材及系统实现</w:t>
            </w:r>
          </w:p>
        </w:tc>
        <w:tc>
          <w:tcPr>
            <w:tcW w:w="7620" w:type="dxa"/>
            <w:tcBorders>
              <w:top w:val="single" w:color="000000" w:sz="4" w:space="0"/>
              <w:left w:val="single" w:color="000000" w:sz="4" w:space="0"/>
              <w:bottom w:val="single" w:color="000000" w:sz="4" w:space="0"/>
              <w:right w:val="single" w:color="000000" w:sz="4" w:space="0"/>
            </w:tcBorders>
            <w:vAlign w:val="center"/>
          </w:tcPr>
          <w:p w14:paraId="1CC531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1、安装时需要的稳定器、吊扣、水晶头、接线器、音频线、麦克风线、网线、高清线等线材和接头。</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486F6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0C12D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r>
      <w:tr w14:paraId="6DAF9CA0">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76D41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AB5E3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84B80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2、需配备8口带POE路由器1个、网络配套光模块1个、鼠标键盘1套、机柜PDU插板1套。</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6EE24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8C4B3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86451FD">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4D9D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56C076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LED大屏</w:t>
            </w:r>
          </w:p>
        </w:tc>
        <w:tc>
          <w:tcPr>
            <w:tcW w:w="7620" w:type="dxa"/>
            <w:tcBorders>
              <w:top w:val="single" w:color="000000" w:sz="4" w:space="0"/>
              <w:left w:val="single" w:color="000000" w:sz="4" w:space="0"/>
              <w:bottom w:val="single" w:color="000000" w:sz="4" w:space="0"/>
              <w:right w:val="single" w:color="000000" w:sz="4" w:space="0"/>
            </w:tcBorders>
            <w:vAlign w:val="center"/>
          </w:tcPr>
          <w:p w14:paraId="1B7F8D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1.尺寸:5.5*2.6</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231F5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0FBE1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r>
      <w:tr w14:paraId="7905E30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64C97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A9FFB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0203C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2.点间距:P1.5</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080DE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DFCD9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FCF74A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10E4C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4E544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D7538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3.屏体分辨率:2560*1520</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82125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28C07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4D16EFE">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3B909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558012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阶梯教室显示屏</w:t>
            </w:r>
          </w:p>
        </w:tc>
        <w:tc>
          <w:tcPr>
            <w:tcW w:w="7620" w:type="dxa"/>
            <w:tcBorders>
              <w:top w:val="single" w:color="000000" w:sz="4" w:space="0"/>
              <w:left w:val="single" w:color="000000" w:sz="4" w:space="0"/>
              <w:bottom w:val="single" w:color="000000" w:sz="4" w:space="0"/>
              <w:right w:val="single" w:color="000000" w:sz="4" w:space="0"/>
            </w:tcBorders>
            <w:vAlign w:val="center"/>
          </w:tcPr>
          <w:p w14:paraId="403761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1.尺寸:85英寸</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100EB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6A803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r>
      <w:tr w14:paraId="2CD1D09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644DF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07718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C2EE1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2.参数:2GB+8GBHDR4K超高清</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E130E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88300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92D865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4A6D3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1A116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5CFD0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3.蓝牙语音遥控人工智能语音网络液品平板电视</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C59E5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8359A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A32EB91">
        <w:tblPrEx>
          <w:tblLayout w:type="fixed"/>
        </w:tblPrEx>
        <w:trPr>
          <w:trHeight w:val="45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6812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78954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阶梯教室音响设备</w:t>
            </w:r>
          </w:p>
        </w:tc>
        <w:tc>
          <w:tcPr>
            <w:tcW w:w="7620" w:type="dxa"/>
            <w:tcBorders>
              <w:top w:val="single" w:color="000000" w:sz="4" w:space="0"/>
              <w:left w:val="single" w:color="000000" w:sz="4" w:space="0"/>
              <w:bottom w:val="single" w:color="000000" w:sz="4" w:space="0"/>
              <w:right w:val="single" w:color="000000" w:sz="4" w:space="0"/>
            </w:tcBorders>
            <w:vAlign w:val="center"/>
          </w:tcPr>
          <w:p w14:paraId="27CDD4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1.无线话简:传输距离80米;具有长时间续航，发射机使用时长10小时，具有防申扰功能</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1A215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456030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DCFB3C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CE336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57EF8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55C97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2.音响:频响等同或优于60Hz-20KHz;高音1.4压缩高音单元X1:低音:10低音X1</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BBD21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45780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E428D25">
        <w:tblPrEx>
          <w:tblLayout w:type="fixed"/>
        </w:tblPrEx>
        <w:trPr>
          <w:trHeight w:val="90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FB97E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2E9C0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46005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音频处理器:具有矩阵增益调节功能，每个输入通道参与混音的增益可调,增益调节范围等同或优于-72品b到12db;产品具有PC客户端、手机移动端、安卓平板端不同控制方式可以通同时登入APP软件、PC客户端同时连接设备，并实现多端数据的同步</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3A7FB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10929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C126F36">
        <w:tblPrEx>
          <w:tblLayout w:type="fixed"/>
        </w:tblPrEx>
        <w:trPr>
          <w:trHeight w:val="270" w:hRule="atLeast"/>
          <w:jc w:val="center"/>
        </w:trPr>
        <w:tc>
          <w:tcPr>
            <w:tcW w:w="9674" w:type="dxa"/>
            <w:gridSpan w:val="5"/>
            <w:tcBorders>
              <w:top w:val="single" w:color="000000" w:sz="4" w:space="0"/>
              <w:left w:val="single" w:color="000000" w:sz="4" w:space="0"/>
              <w:bottom w:val="single" w:color="000000" w:sz="4" w:space="0"/>
              <w:right w:val="single" w:color="000000" w:sz="4" w:space="0"/>
            </w:tcBorders>
            <w:vAlign w:val="center"/>
          </w:tcPr>
          <w:p w14:paraId="66AD78F1">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bCs/>
                <w:i w:val="0"/>
                <w:iCs w:val="0"/>
                <w:color w:val="000000"/>
                <w:sz w:val="21"/>
                <w:szCs w:val="21"/>
                <w:u w:val="none"/>
              </w:rPr>
            </w:pPr>
            <w:r>
              <w:rPr>
                <w:rFonts w:hint="eastAsia" w:ascii="仿宋_GB2312" w:hAnsi="宋体" w:eastAsia="仿宋_GB2312" w:cs="仿宋_GB2312"/>
                <w:b/>
                <w:bCs/>
                <w:i w:val="0"/>
                <w:iCs w:val="0"/>
                <w:color w:val="000000"/>
                <w:kern w:val="0"/>
                <w:sz w:val="32"/>
                <w:szCs w:val="32"/>
                <w:u w:val="none"/>
                <w:lang w:val="en-US" w:eastAsia="zh-CN" w:bidi="ar"/>
              </w:rPr>
              <w:t>六、塔职院教学机房</w:t>
            </w:r>
          </w:p>
        </w:tc>
      </w:tr>
      <w:tr w14:paraId="04F399E3">
        <w:tblPrEx>
          <w:tblLayout w:type="fixed"/>
        </w:tblPrEx>
        <w:trPr>
          <w:trHeight w:val="45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FF6D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14A4AD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云桌面服务器</w:t>
            </w:r>
          </w:p>
        </w:tc>
        <w:tc>
          <w:tcPr>
            <w:tcW w:w="7620" w:type="dxa"/>
            <w:tcBorders>
              <w:top w:val="single" w:color="000000" w:sz="4" w:space="0"/>
              <w:left w:val="single" w:color="000000" w:sz="4" w:space="0"/>
              <w:bottom w:val="single" w:color="000000" w:sz="4" w:space="0"/>
              <w:right w:val="single" w:color="000000" w:sz="4" w:space="0"/>
            </w:tcBorders>
            <w:vAlign w:val="center"/>
          </w:tcPr>
          <w:p w14:paraId="42A290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1、软硬件一体化设备，配置≥2颗CPU，单CPU≥32核64线程，主频≥2.5GHz，需要符合安全可靠测评公告。</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3B39D6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0D5B8B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F27F2B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68332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48501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AA157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2、内存：提供内存插槽≥16个，实配内存容量≥380G。</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40B3E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CE361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122847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77400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F44AA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2AAC9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3、硬盘：配置≥2块480GB SSD，配置 HDD硬盘容量≥24TB（3*8TB）。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3BCA7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F2BEE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442097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BBE7F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278F9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B404B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4、网口：提供万兆网口≥4个，万兆多模光模块≥4个。</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659EC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2AC04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F3AA2D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2896A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62235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ECBB1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5、需要配置双电源模块。</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FD7D2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6190D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645028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5B3F9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81782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327F5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6、服务器需要具备国家强制性CCC认证、节能认证，提供证书复印件。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E71C9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EF817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B4C20CD">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C5C03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79D24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A30AF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7、★为保障所投设备质量优异，可靠性高，要求所投设备平均故障间隔时间（MTBF）≥200000小时，提供相关证明材料，如：官网截图或彩页或说明书或权威检测机构出具的检测报告）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49999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5DA2D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34E804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45F6D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2382A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1DEC4F4">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C14BB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6819C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E8326B3">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9765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1F895F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云桌面管理计算平台</w:t>
            </w:r>
          </w:p>
        </w:tc>
        <w:tc>
          <w:tcPr>
            <w:tcW w:w="7620" w:type="dxa"/>
            <w:tcBorders>
              <w:top w:val="single" w:color="000000" w:sz="4" w:space="0"/>
              <w:left w:val="single" w:color="000000" w:sz="4" w:space="0"/>
              <w:bottom w:val="single" w:color="000000" w:sz="4" w:space="0"/>
              <w:right w:val="single" w:color="000000" w:sz="4" w:space="0"/>
            </w:tcBorders>
            <w:vAlign w:val="center"/>
          </w:tcPr>
          <w:p w14:paraId="1E3FB9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1、管理平台采用B/S架构，支持中文图形化操作界面。</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06E1C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227F3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A29465C">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73375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A4477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EAAB7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2、要求采用超融合基础架构，在同一管理平台内至少包含计算资源、存储资源、网络资源等功能管理模块。</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A7A55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53BAA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53BFC86">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C618D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88680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6EDA9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3、为提供强大的横向扩展能力，需支持在集群中添加、移除服务器主机节点。</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65612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ADC5B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8200DD4">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6BF2B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47211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6C7A4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4、支持将服务器主机节点添加为计算集群，为上层业务平台提供统一的计算、存储、网络资源调度，形成基础计算平台支撑。</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3723C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3F2C3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4051C0E">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55213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1E926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8E67F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5、采用分布式存储架构，可以将服务器集群中多个节点的本地磁盘融合为统一存储资源空间，具备在线横向扩展能力，任一节点故障，都不会影响数据的正常访问。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357BD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1E133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2E29D90">
        <w:tblPrEx>
          <w:tblLayout w:type="fixed"/>
        </w:tblPrEx>
        <w:trPr>
          <w:trHeight w:val="90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9F633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70E5B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27145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支持按需创建多个存储池，支持按需指定每个存储池所需使用的冗余策略。同时还可以根据具体需求选择每个存储池对应的容量盘，容量盘可以选择服务器集群中任意几个节点中的一块或多块未被使用的磁盘，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2E1C3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C5FB8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F444FD7">
        <w:tblPrEx>
          <w:tblLayout w:type="fixed"/>
        </w:tblPrEx>
        <w:trPr>
          <w:trHeight w:val="90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B7BD1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F0B65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44D85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存储池可以设置的冗余策略至少包括：单副本、2副本、3副本、纠删码等冗余策略，纠删码可以按照2数据1校验的方案部署并实际使用，提供相关证明材料，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37E46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900B5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1CF04A0">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48AE2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713DC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96982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8、支持多级缓存技术，可以智能化地预先将热点数据从机械盘缓存到SSD和内存中，从而让这些热点数据的IO更加高效。</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AAFB8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6B493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6DACB8B">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43807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785D6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DA0A8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9、支持数据均衡负载策略，当存储池扩容或者节点/容量盘出现故障时可以触发数据重分布，数据均衡的过程不会导致业务中断、也无需人工干预。</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223DE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50595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8C14B5C">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964C3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5805D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BFEBF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10、在硬盘故障维修等需要交出硬盘的场景，为避免用户数据外泄，要求分布式存储采用块虚拟化技术，需要提供产品功能截图证明。</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E4A3A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42646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665D174">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4BE8A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37D07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748AD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11、★为保证硬盘故障后，数据可以快速重构，要求所投产品在分布式存储的方案下，1T数据重构时间≤15分钟，提供相关证明材料，如：官网截图或彩页或说明书或权威检测机构出具的检测报告）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4FE1B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9D3FA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B7A474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5F7FB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DEEAD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7E253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12、支持创建虚拟交换机。</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9A7FF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CC048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C2D1510">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22418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2E98D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8DE08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13、支持查询、下载系统管理员的操作日志，日志包括：管理员账号、IP地址、操作时间、操作内容等。</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36CC4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1E44C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1A39D9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F32F6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467C3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B2E88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14、要求提供对应型号的软件著作权证书复印件。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B83F1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7E9AC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C2767B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D8472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20C82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DC3CC1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3A5E2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B0D9F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C28509E">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6B733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564DC3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学生云终端</w:t>
            </w:r>
          </w:p>
        </w:tc>
        <w:tc>
          <w:tcPr>
            <w:tcW w:w="7620" w:type="dxa"/>
            <w:tcBorders>
              <w:top w:val="single" w:color="000000" w:sz="4" w:space="0"/>
              <w:left w:val="single" w:color="000000" w:sz="4" w:space="0"/>
              <w:bottom w:val="single" w:color="000000" w:sz="4" w:space="0"/>
              <w:right w:val="single" w:color="000000" w:sz="4" w:space="0"/>
            </w:tcBorders>
            <w:vAlign w:val="center"/>
          </w:tcPr>
          <w:p w14:paraId="7A0A96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硬件要求：</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57F0E8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27ACB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245F18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7EC0D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E992E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BAF78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1、软硬件一体化设备。</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A48D8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71998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0B13C35">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3C048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B9FC8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6B9F6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2、配置信创处理器，处理器核心不得低于四核四线程，处理器主频≥2.0GHz。</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476FD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9D251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F863C9B">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BE507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2BE07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9B23E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3、配置内存容量≥2GB，配置存储空间≥16GB。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03632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EC136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E25AFAD">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49E69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63FD7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32991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4、提供USB 3.0接口≥4个、USB2.0接口≥2个、千兆网口≥1个、音频输入输出接口≥1对，支持3段式及4段式耳机音频输入及输出、提供HDMI接口≥2个。</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16EDA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9D881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96E9F3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5E6D7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61C9B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F005E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5、产品需具备3C证书，并提供证书复印件。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3A3E3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F4908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F4D64EE">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6D500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C46CC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9C531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6、提供≥23.8英寸显示器，显示器分辨率≥1920×1080，刷新率≥100Hz，VGA接口≥1个，HDMI接口≥1个。</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E8694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1A76C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AFC35D8">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3FA56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20D0C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11361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7、配置有线键盘鼠标一套，USB接口，线长1m以上。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BC0C7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9C126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2138923">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B1EC1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C4CCE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D31A4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8、★为保障所投设备质量优异，可靠性高，要求设备平均故障间隔时间（MTBF）≥300000小时，提供相关证明材料，如：官网截图或彩页或说明书或权威检测机构出具的检测报告）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DA8F6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4957E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9730B9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0DC84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731EE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0804976">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1ABA9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C1F77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336748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00A87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AE5BB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B6B50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虚拟桌面功能要求：</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7AEA6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800B5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FDDF1F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0BBC6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8244C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112E8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1、采用B/S软件架构，中文图形化管理页面。</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B9E39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1CDA7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D2DD39E">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9C68B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39F3A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66B9E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2、为了方便管理和使用，平台要包括镜像管理、教室管理、用户管理等关键功能模块。</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E69D6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62326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E848C12">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1437C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6920F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137A1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3、为满足基本教学的使用需求，可以使用多种类型的操作系统，包括且不限于：UOS、Kylin等操作系统版本。</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35BF1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E4D1F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4837CF3">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3716F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2A0C0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61EC9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4、支持镜像模版链接分享功能，管理员可将编辑镜像模板的链接分享给其他老师，通过链接地址即可对镜像模板进行编辑，支持分享链接的失效期、分享验证码设置，要求提供产品功能界面截图证明。</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67272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8C838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B43FDA3">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A2E53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FAB85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FE968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5、支持按照教室规模创建不同的虚拟教室，每个虚拟教室能够独立管理和配置。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88257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5C78C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8F67740">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76E41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04E23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C8AA3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6、为保证重要镜像的安全性，支持教学镜像对学生隐藏或可见，要求提供产品功能界面截图证明。</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B3E92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2E855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9A755D3">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1B76B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41EBA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E13CA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7、★为更快捷安装应用软件，支持软件安装包以文件、文件夹等形式上传，提供相关证明材料，如：官网截图或彩页或说明书或权威检测机构出具的检测报告）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B9B2F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B8842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625CEF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E2B52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C5A33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1E278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8、支持分级分权管理，可以按需自定义不同角色用户对应的管理权限。</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0A94B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F328F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4FF2406">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358B5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ACF90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0D883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为方便正版软件的部署和使用，支持个性化配置保存功能。首次完成软件的注册激活后，之后更新镜像模版也无需重新激活。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0F033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B4E69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A114905">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8349C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7A716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A322B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10、为了管理的便捷性，支持管理员通过服务器集群的web管理平台唤醒远程不同网段的终端，无需使用跳板机转发，提供相关证明材料，如：官网截图或彩页或说明书或权威检测机构出具的检测报告）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D2CA8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F8A11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EC613C3">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388CA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EDC43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24552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11、★支持镜像模版自动快照，每次镜像发布时可以自动为镜像模版打快照，支持的最大快照数量≥8个，提供相关证明材料，如：官网截图或彩页或说明书或权威检测机构出具的检测报告）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4C6AB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8706B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67B774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4D28E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8EC40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5A286F0">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ACF01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B3E1C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927AEBF">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08300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5D71D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教师云终端</w:t>
            </w:r>
          </w:p>
        </w:tc>
        <w:tc>
          <w:tcPr>
            <w:tcW w:w="7620" w:type="dxa"/>
            <w:tcBorders>
              <w:top w:val="single" w:color="000000" w:sz="4" w:space="0"/>
              <w:left w:val="single" w:color="000000" w:sz="4" w:space="0"/>
              <w:bottom w:val="single" w:color="000000" w:sz="4" w:space="0"/>
              <w:right w:val="single" w:color="000000" w:sz="4" w:space="0"/>
            </w:tcBorders>
            <w:vAlign w:val="center"/>
          </w:tcPr>
          <w:p w14:paraId="333B92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硬件要求：</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450F8C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3AB0D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9A087A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EE96D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50E3B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346FF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1、采用国内自主品牌。</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75784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BDAEE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DA6EE98">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E68FA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DBBE7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CC152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2、配置信创CPU，CPU≥八核十六线程处理器（处理器主频≥3.0GHz）；配置内存≥8GB，本地存储≥512 GB SSD。</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83FC8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57CB9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ADD0D1D">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3A3B7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FB3B0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2E944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3、提供USB接口≥9个（需包含≥6个USB 3.0接口），≥1个千兆网口，≥1个VGA接口，≥2个HDMI接口，TYPE-C接口≥1个，≥1对音频输入输出接口，且支持4段式耳机音频输入及输出。</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8A6D4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618C8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E7CC7E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A64A1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2BF1E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2CFBC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4、需要配置独立显卡，显存≥2GB。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F214A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FBEC5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95C7A3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F9687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2FBC5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E186C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5、配置≥2个内存扩展槽，配置≥2个硬盘扩展槽。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C443C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6505B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799A470">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D3BA0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BA3EA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BDBBD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6、★为保障所投设备质量优异，可靠性高，要求所投设备平均故障间隔时间（MTBF）≥300000小时，提供相关证明材料，如：官网截图或彩页或说明书或权威检测机构出具的检测报告）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200C6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79F5E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2315DB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7ACD2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D7517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21700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7、需提供3C证书及节能证书复印件。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FA2F8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E5557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E3DDE5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0A433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D2F8A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859B3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8、配置有线键盘鼠标1套。</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D8E75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B4927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FEA1AED">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EFAC2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F3B02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9D207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9、配置≥23.8英寸显示器1套，分辨率≥1920×1080，刷新率≥100Hz(HDMI)，VGA接口≥1个，HDMI接口≥1个。</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1CD74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73EF3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0E6590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AE0B1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E8061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17DC3A1">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DD7B8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31370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242530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1A644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7A613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54487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虚拟桌面功能要求：</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A364B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CB154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12CF33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A0158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8E882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47396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1、采用B/S软件架构，中文图形化管理页面。</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E5F93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DA033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5229EEB">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7394E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D789B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7C75B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2、为了方便管理和使用，管理平台要包括镜像管理、教室管理、用户管理等关键功能模块。</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E255F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E843E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BA001F7">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53780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8BEEB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B2799C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3、为满足基本教学的使用需求，要求镜像模版可以使用多种类型的操作系统，包括且不限于：UOS、Kylin等操作系统版本。</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42130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210CE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90E65A9">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FC9AC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98057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37CA2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4、支持虚拟教室功能：支持按照教室规模创建不同的虚拟教室，支持每个虚拟教室独立管理和配置，在云终端管理页面能够实现对独立教室的学生终端、教师云终端分别进行配置和管理。</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4D9B6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D2DDA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524D3DE">
        <w:tblPrEx>
          <w:tblLayout w:type="fixed"/>
        </w:tblPrEx>
        <w:trPr>
          <w:trHeight w:val="90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E50B7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94506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179D7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提供教学镜像隐藏功能，在云桌面后台可实现针对指定教室的部分教学镜像对学生可见，部分镜像（如考试镜像）对学生不可见，当需要使用的时候，只需一键设置学生即可看到镜像，保证重要镜像的安全性，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41EE9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BC6CE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4850A4D">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EFDF9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4C680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13DDF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6、要求可以通过LDAP协议对接统一身份平台，让用户也可以使用统一身份平台的用户信息，无需重新创建一个全新的用户体系。</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0A3DB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8FF3B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B71243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26486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845D8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93F8C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7、支持分级分权管理，可以按需自定义不同角色用户对应的管理权限。</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2C992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1188C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F686CE6">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B53F7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E2FF3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9FA8D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为方便正版软件的部署和使用，支持个性化配置保存功能。首次完成软件的注册激活后，之后更新镜像模版也无需重新激活，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6A3CF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EA0D3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2E7A25D">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BA295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53169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5AC44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9、支持镜像模版自动快照，每次镜像发布时可以自动为镜像模版打快照，支持的最大快照数量≥8个，提供功能实际界面截图证明。</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282BD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18CE4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BDE62D6">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FD77E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0D162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77F0A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10、★为了管理的便捷性，支持管理员通过服务器集群的web管理平台唤醒远程不同网段的终端，中间无需使用跳板机转发，提供相关证明材料，如：官网截图或彩页或说明书或权威检测机构出具的检测报告）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0E883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1D2B3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6DAD45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116F5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2331F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95FA8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11、提供对应型号的软件著作权证书复印件。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2240E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BF161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A6F8B4C">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08C6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37F775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教学管理软件</w:t>
            </w:r>
          </w:p>
        </w:tc>
        <w:tc>
          <w:tcPr>
            <w:tcW w:w="7620" w:type="dxa"/>
            <w:tcBorders>
              <w:top w:val="single" w:color="000000" w:sz="4" w:space="0"/>
              <w:left w:val="single" w:color="000000" w:sz="4" w:space="0"/>
              <w:bottom w:val="single" w:color="000000" w:sz="4" w:space="0"/>
              <w:right w:val="single" w:color="000000" w:sz="4" w:space="0"/>
            </w:tcBorders>
            <w:vAlign w:val="center"/>
          </w:tcPr>
          <w:p w14:paraId="1930AC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1、要求提供多种教学模式以应对不同的教学需求。</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4EA4E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41BFC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w:t>
            </w:r>
          </w:p>
        </w:tc>
      </w:tr>
      <w:tr w14:paraId="10D0106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744EB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A7BC3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57E47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2、要求老师可以通过教学管理软件对学生一键切换不同的教学镜像。</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B43E9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4CDCE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6B51AD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0447F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96898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08421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3、为简化教学，教学管理软件需要提供远程终端编号功能。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1BF8B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875EB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B1566E7">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5BC3E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29A37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5183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4、支持老师对单一、部分、全体学生进行黑屏操作，黑屏状态下，学生的机器被锁定。</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809F6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250A1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B310D86">
        <w:tblPrEx>
          <w:tblLayout w:type="fixed"/>
        </w:tblPrEx>
        <w:trPr>
          <w:trHeight w:val="13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0B733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997C8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D3F3F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为保证正常教学使用，教师机和学生终端完成正常开机，在教师机可以实现屏幕广播；为方便在老师屏幕广播时，学生可以根据老师的演示同步进行学习操作，需提供窗口化广播模式，即在使窗口化广播时，学生可以调整老师广播屏幕大小，以便自由操作学生云终端的系统进行自由跟学，在屏幕广播的同时，老师可以选择是否广播声音给学生，针对此功能需提供实际截图证明。</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4273D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9417C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A56BC5">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F7D98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A6849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655EBF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6、为方便教学控制，支持通过教学管理软件实现一键禁止任意学生上网，禁网同时需要支持屏幕广播、屏幕查看等正常教学应用。</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F34CA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0ECB2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502B51C">
        <w:tblPrEx>
          <w:tblLayout w:type="fixed"/>
        </w:tblPrEx>
        <w:trPr>
          <w:trHeight w:val="112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E722D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EC72D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645DB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教学管理软件默认提供作业布置、批改、管理和成绩统计功能组件，提供学生作业的归档和下载；支持老师在作业空间为多个或单个班级的学生布置作业，布置内容可支持各种文件格式。老师可以对作业上交截止时间进行设置，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E38FC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CFE50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35F22D7">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C4802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643C4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67357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8、支持老师在个人空间选择要布置的班级和年级，可以上传附件，完成作业布置后，学生账号登陆后立即能看到老师布置的作业。</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34803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A6C1A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95AFF98">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F5CCB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4F5E5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70DCB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9、★支持老师在线打开学生作业，格式至少包括txt、图片。在线查看学生作业后，可以在个人空间中打分，提供相关证明材料，如：官网截图或彩页或说明书或权威检测机构出具的检测报告）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AEF92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12423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BC389C3">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A19D0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B5BDF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7E7FB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10、老师将学生作业标记为公开作业，学生可以通过学生端软件查看本年级所有老师标记的公开作业。</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E0D1A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5B1CF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6CF1899">
        <w:tblPrEx>
          <w:tblLayout w:type="fixed"/>
        </w:tblPrEx>
        <w:trPr>
          <w:trHeight w:val="90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2228F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DBE22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5D6E6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分组教学：支持老师对学生进行分组，分组时老师可以在软件界面根据学生姓名手动分组也可以随机分组，组名可以由组长和老师重命名。可记录小组总得分与小组内成员对小组的贡献值，同一组内的学生可以相互传送文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E6FD5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AF3B8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31D4E99">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1A74B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E8A3D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5B60C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12、账号灵活管理，老师、学生可以自助注册账号，也可以由管理员导入到班级内。</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65AFE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CCA1F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177A64F">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71CC7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B1C7C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04EE2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13、提供网盘功能，学生可通过作业空间账号直接登录，学生没有做完的作业或文件，可以上传到在作业空间中独立的存储空间中。</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F9E04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B05FB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5556A99">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90875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84546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5889B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14、★班级模型自动创建，为简化班级管理维护工作，支持通过邀请方式来创建班级，老师可以通过邀请学生加入，提供相关证明材料，如：官网截图或彩页或说明书或权威检测机构出具的检测报告）</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B7AB2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3D63C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723CBA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63D15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61CFF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297D5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15、微课中心：支持微课的上传、浏览及删除。</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60A39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C95E2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B8C0983">
        <w:tblPrEx>
          <w:tblLayout w:type="fixed"/>
        </w:tblPrEx>
        <w:trPr>
          <w:trHeight w:val="90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1FCE9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30923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AFFDB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随堂测试：为方便老师快速出题，支持老师通过教师端导入word、pdf、txt等题库文件，也可以通过截屏方式快速出题。老师可以通过全班答题、抢答、随机答题多种方式发起测试，发起测试时为防止作弊老师可选择全屏答题或窗口答题。针对此功能需提供功能截图证明。</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4A1EA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475ED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ECB48BC">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6682C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76C68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A96F2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17、随堂测试出题可支持单选、多选、判断、填空、问答等多种课堂测试，对于客观题老师可以设置答题卡录入正确答案并赋分，方便快速评分批改。</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780FD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8CC80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2B2F16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2C2E7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FADFE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52D11C7">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1AC20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9BC21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F40979F">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3907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36092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48口接入交换机</w:t>
            </w:r>
          </w:p>
        </w:tc>
        <w:tc>
          <w:tcPr>
            <w:tcW w:w="7620" w:type="dxa"/>
            <w:tcBorders>
              <w:top w:val="single" w:color="000000" w:sz="4" w:space="0"/>
              <w:left w:val="single" w:color="000000" w:sz="4" w:space="0"/>
              <w:bottom w:val="single" w:color="000000" w:sz="4" w:space="0"/>
              <w:right w:val="single" w:color="000000" w:sz="4" w:space="0"/>
            </w:tcBorders>
            <w:vAlign w:val="center"/>
          </w:tcPr>
          <w:p w14:paraId="0AF178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1、交换容量≥670G， 包转发率≥160Mpps。</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0C7C0B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1FD4A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16AC3707">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81707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FF4C6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5A375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2、固化1000M以太网端口≥48个，固化10G SFP+万兆光接口≥4个，万兆单模光模块≥2个。</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3FA90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4FD42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A9C5F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53246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A12D1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08978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3、支持IPV4/IPV6静态路由。</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EDD9A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2BD57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898103">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9687B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69238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243F3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4、支持生成树协议STP(IEEE 802.1d)，RSTP(IEEE 802.1w)和MSTP(IEEE 802.1s)</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381B3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CE35E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7A5F473">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8304E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21071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B7005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5、支持基础网络保护策略，限制用户向网络中发送ARP报文、ICMP请求报文、DHCP请求报文的数率，对超过限速阈值的报文进行丢弃处理，能够识别攻击行为，对有攻击行为的用户进行隔离，提供佐证材料证明。</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F0470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381A2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556B239">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77229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43A23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62FBB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6、支持链路检测协议，可检测链路的通断和光纤链路的单向性，支持端口下的环路检测功能，防止端口下因私接Hub等设备形成的环路而导致网络故障的现象，提供佐证材料证明。</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0349E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F240E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0ADE9F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09981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76664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E2406BF">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398E7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5952E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F58ED41">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D3B0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2A700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24口接入交换机</w:t>
            </w:r>
          </w:p>
        </w:tc>
        <w:tc>
          <w:tcPr>
            <w:tcW w:w="7620" w:type="dxa"/>
            <w:tcBorders>
              <w:top w:val="single" w:color="000000" w:sz="4" w:space="0"/>
              <w:left w:val="single" w:color="000000" w:sz="4" w:space="0"/>
              <w:bottom w:val="single" w:color="000000" w:sz="4" w:space="0"/>
              <w:right w:val="single" w:color="000000" w:sz="4" w:space="0"/>
            </w:tcBorders>
            <w:vAlign w:val="center"/>
          </w:tcPr>
          <w:p w14:paraId="3579DF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交换容量≥670G，包转发率≥120Mpps，。</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77C24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7ED1D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22635DC">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D8E59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4EE90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B5935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固化1000M以太网端口≥24个，固化10G SFP+光接口≥4个，万兆单模光模块≥2个。</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9B3B8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81461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D0272D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7CC64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D8327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0B454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3、支持IPV4/IPV6静态路由。</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E2D23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E606C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061098">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7863E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78271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BF078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4、支持生成树协议STP(IEEE 802.1d)，RSTP(IEEE 802.1w)和MSTP(IEEE 802.1s)</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2438D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3D1C2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13E467B">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89464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13CB3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436B6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5、支持链路检测协议，可检测链路的通断和光纤链路的单向性，支持端口下的环路检测功能，防止端口下因私接Hub等设备形成的环路而导致网络故障的现象，提供佐证材料证明。</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D7298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0FA7D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D0591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2D19E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8B2D9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55B31D2">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D9CD5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B7B7F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64A7973">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3B0720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23D011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服务器交换机</w:t>
            </w:r>
          </w:p>
        </w:tc>
        <w:tc>
          <w:tcPr>
            <w:tcW w:w="7620" w:type="dxa"/>
            <w:tcBorders>
              <w:top w:val="single" w:color="000000" w:sz="4" w:space="0"/>
              <w:left w:val="single" w:color="000000" w:sz="4" w:space="0"/>
              <w:bottom w:val="single" w:color="000000" w:sz="4" w:space="0"/>
              <w:right w:val="single" w:color="000000" w:sz="4" w:space="0"/>
            </w:tcBorders>
            <w:vAlign w:val="center"/>
          </w:tcPr>
          <w:p w14:paraId="7A0010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1、交换容量≥4.8Tbps。 包转发率≥2000Mpps，，提供佐证材料证明。</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338096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1BDF1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4DE74408">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BFAC1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4C6F3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6AFAE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2、支持并实配10G光口数≥48个，100G/40G接口数≥8个，万兆单模光模块≥2个。</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0CC50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F42F4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181B23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3A516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1B7E9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400EA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3、支持可拔插双模块化电源，可拔插四模块化风扇，前后风道。</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F8D21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DF413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B686910">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9D190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CF1DB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91A8A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4、支持硬件健康状态可视化，可以对风扇状态、电源、温度、板载电压进行监控。</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65652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0389F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BC9AD5B">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5304E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FBCE9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43CF7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5、支持SAVI功能，可防止地址解析欺骗</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A8560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7DB43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44C1C53">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0FB63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E95D3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97EAE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6、支持链路检测协议，可检测链路的通断和光纤链路的单向性，支持端口下的环路检测功能，防止端口下因私接Hub等设备形成的环路而导致网络故障的现象，提供佐证材料证明。</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B84E7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48B09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ECBD72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772A6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88B17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81CFD85">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CE68A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75945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DE4C921">
        <w:tblPrEx>
          <w:tblLayout w:type="fixed"/>
        </w:tblPrEx>
        <w:trPr>
          <w:trHeight w:val="27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776F3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42" w:type="dxa"/>
            <w:tcBorders>
              <w:top w:val="single" w:color="000000" w:sz="4" w:space="0"/>
              <w:left w:val="single" w:color="000000" w:sz="4" w:space="0"/>
              <w:bottom w:val="single" w:color="000000" w:sz="4" w:space="0"/>
              <w:right w:val="single" w:color="000000" w:sz="4" w:space="0"/>
            </w:tcBorders>
            <w:vAlign w:val="center"/>
          </w:tcPr>
          <w:p w14:paraId="4AD29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教师桌椅</w:t>
            </w:r>
          </w:p>
        </w:tc>
        <w:tc>
          <w:tcPr>
            <w:tcW w:w="7620" w:type="dxa"/>
            <w:tcBorders>
              <w:top w:val="single" w:color="000000" w:sz="4" w:space="0"/>
              <w:left w:val="single" w:color="000000" w:sz="4" w:space="0"/>
              <w:bottom w:val="single" w:color="000000" w:sz="4" w:space="0"/>
              <w:right w:val="single" w:color="000000" w:sz="4" w:space="0"/>
            </w:tcBorders>
            <w:vAlign w:val="center"/>
          </w:tcPr>
          <w:p w14:paraId="2E8127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含教师桌椅一套，整体设计符合人机工程学。</w:t>
            </w:r>
          </w:p>
        </w:tc>
        <w:tc>
          <w:tcPr>
            <w:tcW w:w="409" w:type="dxa"/>
            <w:tcBorders>
              <w:top w:val="single" w:color="000000" w:sz="4" w:space="0"/>
              <w:left w:val="single" w:color="000000" w:sz="4" w:space="0"/>
              <w:bottom w:val="single" w:color="000000" w:sz="4" w:space="0"/>
              <w:right w:val="single" w:color="000000" w:sz="4" w:space="0"/>
            </w:tcBorders>
            <w:vAlign w:val="center"/>
          </w:tcPr>
          <w:p w14:paraId="11407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3DE59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5B0D0B0B">
        <w:tblPrEx>
          <w:tblLayout w:type="fixed"/>
        </w:tblPrEx>
        <w:trPr>
          <w:trHeight w:val="90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167A7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2" w:type="dxa"/>
            <w:tcBorders>
              <w:top w:val="single" w:color="000000" w:sz="4" w:space="0"/>
              <w:left w:val="single" w:color="000000" w:sz="4" w:space="0"/>
              <w:bottom w:val="single" w:color="000000" w:sz="4" w:space="0"/>
              <w:right w:val="single" w:color="000000" w:sz="4" w:space="0"/>
            </w:tcBorders>
            <w:vAlign w:val="center"/>
          </w:tcPr>
          <w:p w14:paraId="1A7C0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学生桌椅</w:t>
            </w:r>
          </w:p>
        </w:tc>
        <w:tc>
          <w:tcPr>
            <w:tcW w:w="7620" w:type="dxa"/>
            <w:tcBorders>
              <w:top w:val="single" w:color="000000" w:sz="4" w:space="0"/>
              <w:left w:val="single" w:color="000000" w:sz="4" w:space="0"/>
              <w:bottom w:val="single" w:color="000000" w:sz="4" w:space="0"/>
              <w:right w:val="single" w:color="000000" w:sz="4" w:space="0"/>
            </w:tcBorders>
            <w:vAlign w:val="center"/>
          </w:tcPr>
          <w:p w14:paraId="79397B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人学生桌规格：1400*600*750（长*宽*高）本款电脑桌为钢木结构，产品外形尺寸的极限偏差宽±2mm，深±2mm，高±1mm，桌子框架材料采用SPCC优质冷轧钢板，框架厚度1、5mm，板材厚度≥1、2mm。靠背椅，靠背拉力可承受 120KG，60/S 椅背 不会出现变形 /损坏/开裂等现象。</w:t>
            </w:r>
          </w:p>
        </w:tc>
        <w:tc>
          <w:tcPr>
            <w:tcW w:w="409" w:type="dxa"/>
            <w:tcBorders>
              <w:top w:val="single" w:color="000000" w:sz="4" w:space="0"/>
              <w:left w:val="single" w:color="000000" w:sz="4" w:space="0"/>
              <w:bottom w:val="single" w:color="000000" w:sz="4" w:space="0"/>
              <w:right w:val="single" w:color="000000" w:sz="4" w:space="0"/>
            </w:tcBorders>
            <w:vAlign w:val="center"/>
          </w:tcPr>
          <w:p w14:paraId="11161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42" w:type="dxa"/>
            <w:tcBorders>
              <w:top w:val="single" w:color="000000" w:sz="4" w:space="0"/>
              <w:left w:val="single" w:color="000000" w:sz="4" w:space="0"/>
              <w:bottom w:val="single" w:color="000000" w:sz="4" w:space="0"/>
              <w:right w:val="single" w:color="000000" w:sz="4" w:space="0"/>
            </w:tcBorders>
            <w:vAlign w:val="center"/>
          </w:tcPr>
          <w:p w14:paraId="451B8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0E086D07">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40475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755B5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防静电地板</w:t>
            </w:r>
          </w:p>
        </w:tc>
        <w:tc>
          <w:tcPr>
            <w:tcW w:w="7620" w:type="dxa"/>
            <w:tcBorders>
              <w:top w:val="single" w:color="000000" w:sz="4" w:space="0"/>
              <w:left w:val="single" w:color="000000" w:sz="4" w:space="0"/>
              <w:bottom w:val="single" w:color="000000" w:sz="4" w:space="0"/>
              <w:right w:val="single" w:color="000000" w:sz="4" w:space="0"/>
            </w:tcBorders>
            <w:vAlign w:val="center"/>
          </w:tcPr>
          <w:p w14:paraId="780260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每间教室地面铺设防静电地板（不低于 80 平米）：防静电地板，600</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3198F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1CBDD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14:paraId="636316C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CFAC2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4ABE0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7C395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×600×35，陶瓷面，极限集中负荷&gt;1000kg 地板安装使用铜皮接地，</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42259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32BA3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F992BF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E4106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ED0FE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6AD2A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全部使用钢支架，墙边采用不锈钢包边处理,部分钢支架需按实际场</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1A51A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8C312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4D2DCDB">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90C42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64EA7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5A4A6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地要求定制，铜带接地铺设</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AB779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F76CA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621F6D2">
        <w:tblPrEx>
          <w:tblLayout w:type="fixed"/>
        </w:tblPrEx>
        <w:trPr>
          <w:trHeight w:val="1125"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0098A1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42" w:type="dxa"/>
            <w:tcBorders>
              <w:top w:val="single" w:color="000000" w:sz="4" w:space="0"/>
              <w:left w:val="single" w:color="000000" w:sz="4" w:space="0"/>
              <w:bottom w:val="single" w:color="000000" w:sz="4" w:space="0"/>
              <w:right w:val="single" w:color="000000" w:sz="4" w:space="0"/>
            </w:tcBorders>
            <w:vAlign w:val="center"/>
          </w:tcPr>
          <w:p w14:paraId="5E9B5E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综合布线</w:t>
            </w:r>
          </w:p>
        </w:tc>
        <w:tc>
          <w:tcPr>
            <w:tcW w:w="7620" w:type="dxa"/>
            <w:tcBorders>
              <w:top w:val="single" w:color="000000" w:sz="4" w:space="0"/>
              <w:left w:val="single" w:color="000000" w:sz="4" w:space="0"/>
              <w:bottom w:val="single" w:color="000000" w:sz="4" w:space="0"/>
              <w:right w:val="single" w:color="000000" w:sz="4" w:space="0"/>
            </w:tcBorders>
            <w:vAlign w:val="center"/>
          </w:tcPr>
          <w:p w14:paraId="29F23E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系统集成，配置电源线国标线材、国标超六类网线、RJ45。辅材（线槽采用壁厚≥1.0㎜不锈钢材质）。 网线接头超六类网线专用接线头标准:千兆网络接触铜片：三叉铜片厚度:3U (0.35mm) 水晶头孔径：1.2 MM 材质金属铁壳接口类型:RJ45，标准86盒双孔信息面板。配置16A总6-8孔二线三线混合制插板，插板数量根据数量配备 ，配套线材连接电源。</w:t>
            </w:r>
          </w:p>
        </w:tc>
        <w:tc>
          <w:tcPr>
            <w:tcW w:w="409" w:type="dxa"/>
            <w:tcBorders>
              <w:top w:val="single" w:color="000000" w:sz="4" w:space="0"/>
              <w:left w:val="single" w:color="000000" w:sz="4" w:space="0"/>
              <w:bottom w:val="single" w:color="000000" w:sz="4" w:space="0"/>
              <w:right w:val="single" w:color="000000" w:sz="4" w:space="0"/>
            </w:tcBorders>
            <w:vAlign w:val="center"/>
          </w:tcPr>
          <w:p w14:paraId="00D5F3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4146B1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r>
      <w:tr w14:paraId="6B134997">
        <w:tblPrEx>
          <w:tblLayout w:type="fixed"/>
        </w:tblPrEx>
        <w:trPr>
          <w:trHeight w:val="27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7C31E1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42" w:type="dxa"/>
            <w:tcBorders>
              <w:top w:val="single" w:color="000000" w:sz="4" w:space="0"/>
              <w:left w:val="single" w:color="000000" w:sz="4" w:space="0"/>
              <w:bottom w:val="single" w:color="000000" w:sz="4" w:space="0"/>
              <w:right w:val="single" w:color="000000" w:sz="4" w:space="0"/>
            </w:tcBorders>
            <w:vAlign w:val="center"/>
          </w:tcPr>
          <w:p w14:paraId="5E714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扩音设备</w:t>
            </w:r>
          </w:p>
        </w:tc>
        <w:tc>
          <w:tcPr>
            <w:tcW w:w="7620" w:type="dxa"/>
            <w:tcBorders>
              <w:top w:val="single" w:color="000000" w:sz="4" w:space="0"/>
              <w:left w:val="single" w:color="000000" w:sz="4" w:space="0"/>
              <w:bottom w:val="single" w:color="000000" w:sz="4" w:space="0"/>
              <w:right w:val="single" w:color="000000" w:sz="4" w:space="0"/>
            </w:tcBorders>
            <w:vAlign w:val="center"/>
          </w:tcPr>
          <w:p w14:paraId="77C988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鹅颈麦、功放（支持幻象电源）、音响*4</w:t>
            </w:r>
          </w:p>
        </w:tc>
        <w:tc>
          <w:tcPr>
            <w:tcW w:w="409" w:type="dxa"/>
            <w:tcBorders>
              <w:top w:val="single" w:color="000000" w:sz="4" w:space="0"/>
              <w:left w:val="single" w:color="000000" w:sz="4" w:space="0"/>
              <w:bottom w:val="single" w:color="000000" w:sz="4" w:space="0"/>
              <w:right w:val="single" w:color="000000" w:sz="4" w:space="0"/>
            </w:tcBorders>
            <w:vAlign w:val="center"/>
          </w:tcPr>
          <w:p w14:paraId="5866C1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tcBorders>
              <w:top w:val="single" w:color="000000" w:sz="4" w:space="0"/>
              <w:left w:val="single" w:color="000000" w:sz="4" w:space="0"/>
              <w:bottom w:val="single" w:color="000000" w:sz="4" w:space="0"/>
              <w:right w:val="single" w:color="000000" w:sz="4" w:space="0"/>
            </w:tcBorders>
            <w:vAlign w:val="center"/>
          </w:tcPr>
          <w:p w14:paraId="52F68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01428A5A">
        <w:tblPrEx>
          <w:tblLayout w:type="fixed"/>
        </w:tblPrEx>
        <w:trPr>
          <w:trHeight w:val="500" w:hRule="atLeast"/>
          <w:jc w:val="center"/>
        </w:trPr>
        <w:tc>
          <w:tcPr>
            <w:tcW w:w="9674" w:type="dxa"/>
            <w:gridSpan w:val="5"/>
            <w:tcBorders>
              <w:top w:val="single" w:color="000000" w:sz="4" w:space="0"/>
              <w:left w:val="single" w:color="000000" w:sz="4" w:space="0"/>
              <w:bottom w:val="single" w:color="000000" w:sz="4" w:space="0"/>
              <w:right w:val="single" w:color="000000" w:sz="4" w:space="0"/>
            </w:tcBorders>
            <w:vAlign w:val="center"/>
          </w:tcPr>
          <w:p w14:paraId="53DC0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仿宋_GB2312" w:hAnsi="仿宋_GB2312" w:eastAsia="仿宋_GB2312" w:cs="仿宋_GB2312"/>
                <w:b/>
                <w:bCs/>
                <w:i w:val="0"/>
                <w:iCs w:val="0"/>
                <w:color w:val="000000"/>
                <w:kern w:val="0"/>
                <w:sz w:val="32"/>
                <w:szCs w:val="32"/>
                <w:u w:val="none"/>
                <w:lang w:val="en-US" w:eastAsia="zh-CN" w:bidi="ar"/>
              </w:rPr>
              <w:t>七、塔职院四六级听力设备（需要配套一间放音室，初步计划为顶层电子阅览室旁边28㎡房间）</w:t>
            </w:r>
          </w:p>
        </w:tc>
      </w:tr>
      <w:tr w14:paraId="22672ABB">
        <w:tblPrEx>
          <w:tblLayout w:type="fixed"/>
        </w:tblPrEx>
        <w:trPr>
          <w:trHeight w:val="45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59834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0D523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室内发射主机30W</w:t>
            </w:r>
          </w:p>
        </w:tc>
        <w:tc>
          <w:tcPr>
            <w:tcW w:w="7620" w:type="dxa"/>
            <w:tcBorders>
              <w:top w:val="single" w:color="000000" w:sz="4" w:space="0"/>
              <w:left w:val="single" w:color="000000" w:sz="4" w:space="0"/>
              <w:bottom w:val="single" w:color="000000" w:sz="4" w:space="0"/>
              <w:right w:val="single" w:color="000000" w:sz="4" w:space="0"/>
            </w:tcBorders>
            <w:vAlign w:val="center"/>
          </w:tcPr>
          <w:p w14:paraId="59E7F3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1.★发射功率：30W±10%；（提供《无线电发射设备型号核准证》复印件或中华人民共和国工业和信息化部官网查询截图）</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508CB7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3FADA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5CACE1F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C325B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5B173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08AE1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2.供电电源：AC220V；</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A6724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825C0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4FDF8D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61A10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5DE1C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35651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3.频率容限±2000Hz；</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0C5B5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74B7E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EF0A69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F391C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BDF62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62343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4.占用带宽：≤256kHz；</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95CC1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5971D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D5B585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2F1A9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9DC09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39CA5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5.杂散发射限制:≤-60dB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46215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F83CA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EC0C5E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2B4B2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2E1FE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3073A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6.射频输出阻抗：50Ω±1Ω.</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889C0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84ECC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A80998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C7248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95593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C7440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7.发射频率：定制可调；</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A4352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26F71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B5B927">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81739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B630D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8EDCB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8.后面板不少于1路左右声道RCA（双莲花）模拟音频输入接口；（提供产品实物清晰照片并标记接口位置）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D4D1D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5C27F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C7F71E5">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5866E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36B73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3E87E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9.前面板具备不少于1路6.5MM话筒输入接口话筒音量调节旋钮；（提供产品实物清晰照片并标记接口及旋钮位置）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81E68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87CF9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BAC083E">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CE869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1EA54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EF8BB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10.前面板具备不少于1路6.5MM线路输入接口和音量调节旋钮，并且输入接口具备优先执行功能，接插后，可自动断开其他接入的音频信号。(提供证明材料）</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EC137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9F7FB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E5B1280">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63A0B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F3AAA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CE070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11.采用铝合金散热器散热，无散热风扇噪音；（提供产品实物照片并标记位置）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42790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F7920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17710D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E634F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F1E27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4535A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12.前后面板全中文界面，一键开机工作，无初使设置，冷启动无延时；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FF20E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2317C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1463D5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7D561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F115D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D663D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13.具备针孔式频率上下调节设计；（提供产品实物高清照片并标记位置）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B9775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60B55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59266E6">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BA85A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271DB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9582A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14.前面板须具备独立的频率显示窗口和左声道和右声道输出声音频率大小反馈窗口；（提供产品实物高清照片并标记位置）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7B8EE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D1502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6BA8594">
        <w:tblPrEx>
          <w:tblLayout w:type="fixed"/>
        </w:tblPrEx>
        <w:trPr>
          <w:trHeight w:val="538"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16E9D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E4331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D43E8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15.具备输入音频自动限幅功能和自动低频放大功能；(提供技术证明材料）</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5510A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011F0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AE4E386">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2AA5F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2A908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中继放大器</w:t>
            </w:r>
          </w:p>
        </w:tc>
        <w:tc>
          <w:tcPr>
            <w:tcW w:w="7620" w:type="dxa"/>
            <w:tcBorders>
              <w:top w:val="single" w:color="000000" w:sz="4" w:space="0"/>
              <w:left w:val="single" w:color="000000" w:sz="4" w:space="0"/>
              <w:bottom w:val="single" w:color="000000" w:sz="4" w:space="0"/>
              <w:right w:val="single" w:color="000000" w:sz="4" w:space="0"/>
            </w:tcBorders>
            <w:vAlign w:val="center"/>
          </w:tcPr>
          <w:p w14:paraId="65EED0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1.频率：与室内发射主机一致；</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3214F1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6B71E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r>
      <w:tr w14:paraId="2706F16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CE2E6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743A4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14E36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2.输入功率范围：≤4.5W ；</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CAADD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5A221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B255C7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382E2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D5616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B9B0C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3.可调增益范围：0~30dB；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793B5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CEB43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043ABE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0DB5F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266B2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1AA36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4.内部可调衰减值：0-30dB；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86C57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211C4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500108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52E92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F27ED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32036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5.输入、输出接口阻抗：50Ω±1Ω ；</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86347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0D89C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684558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9A07C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84E2D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09A58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7.射频接口：N/L16-50K ；</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8C2B4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7002F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A74ED5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DE7C2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19578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2807E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8.增益波动范围：≤±1db；</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6626C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1BDCC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510970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6E1C7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9251A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3B659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9.信噪比：≥60db ；</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22F23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001B5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CFB7B4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07D23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FB6CA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E6A5E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10.工作电压 AC220V ；</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68582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BA782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227CA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659B9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EDB7C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19C6B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11.传输线缆长度 400m-800m；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C559D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41DA1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A210F9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A6A1B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C24FB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D2F89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12.发射功率：0.1~30W 可调</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0573E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55272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ABA6D50">
        <w:tblPrEx>
          <w:tblLayout w:type="fixed"/>
        </w:tblPrEx>
        <w:trPr>
          <w:trHeight w:val="675"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5F6C4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AE993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C3439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13.根据现场施工情况，可加装自适应模块，就近取电，通过调节信号阈值，控制发射模块电源开关。并且自适应式和非自适应式可配合使用，实现全线通；</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7B61A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E800E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D7E1E3">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51949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A2832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43E58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14.内置可调衰减器，消除前端功放对后级输入的影响，保证系统中各级中级放大器的正常工作；</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40EC8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D7343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DA215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4C21E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C2C56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81167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15.输入输出采用对称结构双 N 型接口，保证信号高效率传输；</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64ACC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31297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CBD9120">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14F6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57764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专用漏泄电缆</w:t>
            </w:r>
          </w:p>
        </w:tc>
        <w:tc>
          <w:tcPr>
            <w:tcW w:w="7620" w:type="dxa"/>
            <w:tcBorders>
              <w:top w:val="single" w:color="000000" w:sz="4" w:space="0"/>
              <w:left w:val="single" w:color="000000" w:sz="4" w:space="0"/>
              <w:bottom w:val="single" w:color="000000" w:sz="4" w:space="0"/>
              <w:right w:val="single" w:color="000000" w:sz="4" w:space="0"/>
            </w:tcBorders>
            <w:vAlign w:val="center"/>
          </w:tcPr>
          <w:p w14:paraId="7B820C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1、需具备信号传输线和天线的双重功能；</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406D5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2701B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米</w:t>
            </w:r>
          </w:p>
        </w:tc>
      </w:tr>
      <w:tr w14:paraId="37993A1A">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031E8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13BCB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E0407C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2、衰减常数（61-150MHz）：≤ 60 dB/km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87588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95AEB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606E4A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EA839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68271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8C72B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3、使用频率：450MHz以下；</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C3097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C8411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6EB6C9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9F5AC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62F1F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92F17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4、使用环境温度：-25℃~70℃；</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AE524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53811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D4C5C2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CC96F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93F30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20727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5、敷设温度：不低于0℃；</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C4E24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D10AA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4F2F50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2ABEA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6727A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77AFD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6、弯曲半径：不小于电缆外径的15倍。</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05F10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B0765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81441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A3466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B68A3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DDBF3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7、具有低衰减、低驻波比及优异的水密性、气密性、阻燃性等特点。</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B1A8C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C5574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C1879C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534CB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1722F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83E55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8、圆铜线或铜包铝内导体：3.5mm±0.1mm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60924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45F8D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B12C0A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CDF53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4B6BC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9EEE8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9、物理发泡绝缘外径：8.8mm±0.3mm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67606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34724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710EF7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94A1D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F9537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A499D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10、铜线编织或疏绕铜线外导体：10mm±0.3mm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1669E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8F52C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3E94EE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3E123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E5637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BFE0E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11、黑色聚乙烯内护层：12.5mm±0.3mm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4B797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1D488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AEEABD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1EB31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F1CBE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CA424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12、黄色聚氯乙烯外护套:14.5mm±0.3mm；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AE821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8057A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7C235F4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C6A7D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261E3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BA1E2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13、耐电压（A.C）：≥1500/1  V/min；</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0A84F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F6B6B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52229F2">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AD210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58B44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46600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14、电压驻波比：60-450MHz 内≤ 1.3；</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2490A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F40F7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0A52671">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407393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3394B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F2144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15、绝缘电阻(20℃)：≥ 1000MΩ/km；</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0D64A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A8DBF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E21F8D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361AA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7CFF5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DB04E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16、特性阻抗：5 0 ± 3Ω；</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3CC41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799B4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392A720">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5FCCE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9D20C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364F7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17、耦合损耗（61-150MHz)：75 ± 10dB（150MHz）；</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9C521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84023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43F59EC">
        <w:tblPrEx>
          <w:tblLayout w:type="fixed"/>
        </w:tblPrEx>
        <w:trPr>
          <w:trHeight w:val="27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DEED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14D0C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w:t>
            </w:r>
          </w:p>
        </w:tc>
        <w:tc>
          <w:tcPr>
            <w:tcW w:w="7620" w:type="dxa"/>
            <w:tcBorders>
              <w:top w:val="single" w:color="000000" w:sz="4" w:space="0"/>
              <w:left w:val="single" w:color="000000" w:sz="4" w:space="0"/>
              <w:bottom w:val="single" w:color="000000" w:sz="4" w:space="0"/>
              <w:right w:val="single" w:color="000000" w:sz="4" w:space="0"/>
            </w:tcBorders>
            <w:vAlign w:val="center"/>
          </w:tcPr>
          <w:p w14:paraId="28D3AB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1、配置信创CPU，</w:t>
            </w:r>
            <w:r>
              <w:rPr>
                <w:rFonts w:hint="eastAsia" w:ascii="宋体" w:hAnsi="宋体" w:eastAsia="宋体" w:cs="宋体"/>
                <w:i w:val="0"/>
                <w:iCs w:val="0"/>
                <w:color w:val="000000"/>
                <w:kern w:val="0"/>
                <w:sz w:val="18"/>
                <w:szCs w:val="18"/>
                <w:u w:val="none"/>
                <w:lang w:val="en-US" w:eastAsia="zh-CN" w:bidi="ar"/>
              </w:rPr>
              <w:t>8核心16线程，主频≥3.0GHz。</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70D9B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339BCE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36C486E">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680A8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8A80F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145EC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2、配置内存容量≥16GB；本地存储容量≥512 GB（NVME SSD）</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57F25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753C7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1890AF7">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9E478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05A71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798E0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3、要求提供USB接口≥6个，千兆网口≥1个，VGA接口≥1个，HDMI接口≥1个。</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8C16E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53C6A1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910154C">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79674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DDA5A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BC762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4、配置≥2个内存扩展槽，配置≥2个硬盘扩展槽。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B93F6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6A7AF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7B53A3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0057F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62D6D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0C501A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5、支持高速光驱，带刻录功能。</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E14AC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DDFFA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CE7428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6515F9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254A5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4E17F6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6、需具备3C证书</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CC3FE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E33B3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374575E7">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CF877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62899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89F98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7、配置有线键盘鼠标1套。</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CE189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07D06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1E8A992">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0D8DA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B560B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1EC59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8、配置≥23.8英寸显示器1套，分辨率≥1920×1080，刷新率≥100Hz(HDMI)，VGA接口≥1个，HDMI接口≥1个。</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8BE5D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0F9142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DB1218C">
        <w:tblPrEx>
          <w:tblLayout w:type="fixed"/>
        </w:tblPrEx>
        <w:trPr>
          <w:trHeight w:val="45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1CCCCD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4205FA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无线远程控制开关</w:t>
            </w:r>
          </w:p>
        </w:tc>
        <w:tc>
          <w:tcPr>
            <w:tcW w:w="7620" w:type="dxa"/>
            <w:tcBorders>
              <w:top w:val="single" w:color="000000" w:sz="4" w:space="0"/>
              <w:left w:val="single" w:color="000000" w:sz="4" w:space="0"/>
              <w:bottom w:val="single" w:color="000000" w:sz="4" w:space="0"/>
              <w:right w:val="single" w:color="000000" w:sz="4" w:space="0"/>
            </w:tcBorders>
            <w:vAlign w:val="center"/>
          </w:tcPr>
          <w:p w14:paraId="7F1F0C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1.不受考场屏蔽器和其它干扰信号的影响，以系统自身信号作基础来控制电源。全自动无人值守控制单元，可实现智能化的全自动控制。</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67CB1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5EA88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r>
      <w:tr w14:paraId="7EA24CD0">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75E7C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52D089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30058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开启与关闭信号传输：可根据控制信号导通或切断射频信号通路，实现对信号传输的精确控制。</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B77C4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74867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E56A99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3E44D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EC6E6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1438C0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3.电源输入：100-240VAC         </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35EA3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E9798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13D2AED">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2722A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28805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5B7C99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4.工作电压：DC5V</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3A1699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8D4B1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20C1227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1AB5D1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6BE997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B10CF7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5.受控电源输出：10A/240VAC  </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1D3DC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BF2DD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6490866">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D4930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20091F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20B7E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6.最大受控负载：2400W</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6D8F85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98C96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AEC3753">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3A068E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98BB0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884826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7.输出接口形式：国标二三插</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C322B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0DB15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0376DB05">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5C2A7D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0097F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5C22C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8.工作频率范围：60MHz-99.9MHz</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14242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47777B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91EEEAD">
        <w:tblPrEx>
          <w:tblLayout w:type="fixed"/>
        </w:tblPrEx>
        <w:trPr>
          <w:trHeight w:val="270" w:hRule="atLeast"/>
          <w:jc w:val="center"/>
        </w:trPr>
        <w:tc>
          <w:tcPr>
            <w:tcW w:w="461" w:type="dxa"/>
            <w:tcBorders>
              <w:top w:val="single" w:color="000000" w:sz="4" w:space="0"/>
              <w:left w:val="single" w:color="000000" w:sz="4" w:space="0"/>
              <w:bottom w:val="single" w:color="000000" w:sz="4" w:space="0"/>
              <w:right w:val="single" w:color="000000" w:sz="4" w:space="0"/>
            </w:tcBorders>
            <w:vAlign w:val="center"/>
          </w:tcPr>
          <w:p w14:paraId="00117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42" w:type="dxa"/>
            <w:tcBorders>
              <w:top w:val="single" w:color="000000" w:sz="4" w:space="0"/>
              <w:left w:val="single" w:color="000000" w:sz="4" w:space="0"/>
              <w:bottom w:val="single" w:color="000000" w:sz="4" w:space="0"/>
              <w:right w:val="single" w:color="000000" w:sz="4" w:space="0"/>
            </w:tcBorders>
            <w:vAlign w:val="center"/>
          </w:tcPr>
          <w:p w14:paraId="452C8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集成费</w:t>
            </w:r>
          </w:p>
        </w:tc>
        <w:tc>
          <w:tcPr>
            <w:tcW w:w="7620" w:type="dxa"/>
            <w:tcBorders>
              <w:top w:val="single" w:color="000000" w:sz="4" w:space="0"/>
              <w:left w:val="single" w:color="000000" w:sz="4" w:space="0"/>
              <w:bottom w:val="single" w:color="000000" w:sz="4" w:space="0"/>
              <w:right w:val="single" w:color="000000" w:sz="4" w:space="0"/>
            </w:tcBorders>
            <w:vAlign w:val="center"/>
          </w:tcPr>
          <w:p w14:paraId="74793A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含馈线头、射频转接头、壁挂机柜、辅材、施工、等</w:t>
            </w:r>
          </w:p>
        </w:tc>
        <w:tc>
          <w:tcPr>
            <w:tcW w:w="409" w:type="dxa"/>
            <w:tcBorders>
              <w:top w:val="single" w:color="000000" w:sz="4" w:space="0"/>
              <w:left w:val="single" w:color="000000" w:sz="4" w:space="0"/>
              <w:bottom w:val="single" w:color="000000" w:sz="4" w:space="0"/>
              <w:right w:val="single" w:color="000000" w:sz="4" w:space="0"/>
            </w:tcBorders>
            <w:vAlign w:val="center"/>
          </w:tcPr>
          <w:p w14:paraId="44A17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tcBorders>
              <w:top w:val="single" w:color="000000" w:sz="4" w:space="0"/>
              <w:left w:val="single" w:color="000000" w:sz="4" w:space="0"/>
              <w:bottom w:val="single" w:color="000000" w:sz="4" w:space="0"/>
              <w:right w:val="single" w:color="000000" w:sz="4" w:space="0"/>
            </w:tcBorders>
            <w:vAlign w:val="center"/>
          </w:tcPr>
          <w:p w14:paraId="6B2C38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批</w:t>
            </w:r>
          </w:p>
        </w:tc>
      </w:tr>
      <w:tr w14:paraId="3BFFCE48">
        <w:tblPrEx>
          <w:tblLayout w:type="fixed"/>
        </w:tblPrEx>
        <w:trPr>
          <w:trHeight w:val="45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1E65FE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17A22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播音桌椅</w:t>
            </w:r>
          </w:p>
        </w:tc>
        <w:tc>
          <w:tcPr>
            <w:tcW w:w="7620" w:type="dxa"/>
            <w:tcBorders>
              <w:top w:val="single" w:color="000000" w:sz="4" w:space="0"/>
              <w:left w:val="single" w:color="000000" w:sz="4" w:space="0"/>
              <w:bottom w:val="single" w:color="000000" w:sz="4" w:space="0"/>
              <w:right w:val="single" w:color="000000" w:sz="4" w:space="0"/>
            </w:tcBorders>
            <w:vAlign w:val="center"/>
          </w:tcPr>
          <w:p w14:paraId="60FE68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1.SPCC优质冷轧钢，表面处理采用脱脂、酸洗磷化静电喷塑。桌面采用高密板，双层结构设计；</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45A274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11BCA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r>
      <w:tr w14:paraId="3EB9A13D">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4228E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6FB8B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3A055A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2.尺寸：底层1800MM*800MM*750MM，上层1300MM*350MM*200MM，允许±50MM误差；</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7BE188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A3ADA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4978AB44">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755C5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41C100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631650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3.桌子下部两边各带标准机柜位。上部分别有2列机柜位；带一个抽屉。</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9F8E6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106E86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41F5A83">
        <w:tblPrEx>
          <w:tblLayout w:type="fixed"/>
        </w:tblPrEx>
        <w:trPr>
          <w:trHeight w:val="450" w:hRule="atLeast"/>
          <w:jc w:val="center"/>
        </w:trPr>
        <w:tc>
          <w:tcPr>
            <w:tcW w:w="461" w:type="dxa"/>
            <w:vMerge w:val="restart"/>
            <w:tcBorders>
              <w:top w:val="single" w:color="000000" w:sz="4" w:space="0"/>
              <w:left w:val="single" w:color="000000" w:sz="4" w:space="0"/>
              <w:bottom w:val="single" w:color="000000" w:sz="4" w:space="0"/>
              <w:right w:val="single" w:color="000000" w:sz="4" w:space="0"/>
            </w:tcBorders>
            <w:vAlign w:val="center"/>
          </w:tcPr>
          <w:p w14:paraId="719906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42" w:type="dxa"/>
            <w:vMerge w:val="restart"/>
            <w:tcBorders>
              <w:top w:val="single" w:color="000000" w:sz="4" w:space="0"/>
              <w:left w:val="single" w:color="000000" w:sz="4" w:space="0"/>
              <w:bottom w:val="single" w:color="000000" w:sz="4" w:space="0"/>
              <w:right w:val="single" w:color="000000" w:sz="4" w:space="0"/>
            </w:tcBorders>
            <w:vAlign w:val="center"/>
          </w:tcPr>
          <w:p w14:paraId="3D9C1A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UPS不间断电源</w:t>
            </w:r>
          </w:p>
        </w:tc>
        <w:tc>
          <w:tcPr>
            <w:tcW w:w="7620" w:type="dxa"/>
            <w:tcBorders>
              <w:top w:val="single" w:color="000000" w:sz="4" w:space="0"/>
              <w:left w:val="single" w:color="000000" w:sz="4" w:space="0"/>
              <w:bottom w:val="single" w:color="000000" w:sz="4" w:space="0"/>
              <w:right w:val="single" w:color="000000" w:sz="4" w:space="0"/>
            </w:tcBorders>
            <w:vAlign w:val="center"/>
          </w:tcPr>
          <w:p w14:paraId="3EBB83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1、高频在线式 UPS 电源，单进单出220V/220V，KVA/2400W，电池电压DC96V；</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71D19C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42" w:type="dxa"/>
            <w:vMerge w:val="restart"/>
            <w:tcBorders>
              <w:top w:val="single" w:color="000000" w:sz="4" w:space="0"/>
              <w:left w:val="single" w:color="000000" w:sz="4" w:space="0"/>
              <w:bottom w:val="single" w:color="000000" w:sz="4" w:space="0"/>
              <w:right w:val="single" w:color="000000" w:sz="4" w:space="0"/>
            </w:tcBorders>
            <w:vAlign w:val="center"/>
          </w:tcPr>
          <w:p w14:paraId="31D07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r>
      <w:tr w14:paraId="6B2D81F9">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71648A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757E13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102D8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 极柱双重密封结构，确保电解液不会渗出。</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54A409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3FD232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6786F222">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5F3ED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14C099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2B7E2E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3.内置防爆虑酸片安全阀，具有精确的开闭阀压力及防爆、过滤酸雾功能，一旦过充，可释放出多余气体，不会使电池胀裂、酸雾逸出。</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008B61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2CA4C1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1320203C">
        <w:tblPrEx>
          <w:tblLayout w:type="fixed"/>
        </w:tblPrEx>
        <w:trPr>
          <w:trHeight w:val="45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0C1641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09619A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402AC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4.采用超纯原辅材料和添加剂、特殊配方的电解液，具有内阻小，高倍率特性好、充电接受能力强的特点。</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480728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7E7DC9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14:paraId="522FC65F">
        <w:tblPrEx>
          <w:tblLayout w:type="fixed"/>
        </w:tblPrEx>
        <w:trPr>
          <w:trHeight w:val="270" w:hRule="atLeast"/>
          <w:jc w:val="center"/>
        </w:trPr>
        <w:tc>
          <w:tcPr>
            <w:tcW w:w="461" w:type="dxa"/>
            <w:vMerge w:val="continue"/>
            <w:tcBorders>
              <w:top w:val="single" w:color="000000" w:sz="4" w:space="0"/>
              <w:left w:val="single" w:color="000000" w:sz="4" w:space="0"/>
              <w:bottom w:val="single" w:color="000000" w:sz="4" w:space="0"/>
              <w:right w:val="single" w:color="000000" w:sz="4" w:space="0"/>
            </w:tcBorders>
            <w:vAlign w:val="center"/>
          </w:tcPr>
          <w:p w14:paraId="21472D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42" w:type="dxa"/>
            <w:vMerge w:val="continue"/>
            <w:tcBorders>
              <w:top w:val="single" w:color="000000" w:sz="4" w:space="0"/>
              <w:left w:val="single" w:color="000000" w:sz="4" w:space="0"/>
              <w:bottom w:val="single" w:color="000000" w:sz="4" w:space="0"/>
              <w:right w:val="single" w:color="000000" w:sz="4" w:space="0"/>
            </w:tcBorders>
            <w:vAlign w:val="center"/>
          </w:tcPr>
          <w:p w14:paraId="3874E4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620" w:type="dxa"/>
            <w:tcBorders>
              <w:top w:val="single" w:color="000000" w:sz="4" w:space="0"/>
              <w:left w:val="single" w:color="000000" w:sz="4" w:space="0"/>
              <w:bottom w:val="single" w:color="000000" w:sz="4" w:space="0"/>
              <w:right w:val="single" w:color="000000" w:sz="4" w:space="0"/>
            </w:tcBorders>
            <w:vAlign w:val="center"/>
          </w:tcPr>
          <w:p w14:paraId="75BE2B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5.每节电池不少于38AH</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169D99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42" w:type="dxa"/>
            <w:vMerge w:val="continue"/>
            <w:tcBorders>
              <w:top w:val="single" w:color="000000" w:sz="4" w:space="0"/>
              <w:left w:val="single" w:color="000000" w:sz="4" w:space="0"/>
              <w:bottom w:val="single" w:color="000000" w:sz="4" w:space="0"/>
              <w:right w:val="single" w:color="000000" w:sz="4" w:space="0"/>
            </w:tcBorders>
            <w:vAlign w:val="center"/>
          </w:tcPr>
          <w:p w14:paraId="6669CB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bl>
    <w:p w14:paraId="41911C8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3.招标文件中要求提供的“产品彩页、功能截图、检测报告”等材料，仅用于证明技术响应真实性，不作为资格性审查条款。</w:t>
      </w:r>
    </w:p>
    <w:p w14:paraId="1223FB19">
      <w:pPr>
        <w:pStyle w:val="42"/>
        <w:jc w:val="left"/>
        <w:rPr>
          <w:rFonts w:hint="eastAsia"/>
          <w:b/>
          <w:color w:val="auto"/>
          <w:sz w:val="32"/>
          <w:szCs w:val="32"/>
          <w:lang w:val="en-US" w:eastAsia="zh-CN"/>
        </w:rPr>
      </w:pPr>
    </w:p>
    <w:p w14:paraId="425156B2">
      <w:pPr>
        <w:pStyle w:val="42"/>
        <w:jc w:val="center"/>
        <w:rPr>
          <w:rFonts w:hint="eastAsia"/>
          <w:b/>
          <w:color w:val="auto"/>
          <w:sz w:val="32"/>
          <w:szCs w:val="32"/>
        </w:rPr>
      </w:pPr>
      <w:r>
        <w:rPr>
          <w:rFonts w:hint="eastAsia"/>
          <w:b/>
          <w:color w:val="auto"/>
          <w:sz w:val="32"/>
          <w:szCs w:val="32"/>
        </w:rPr>
        <w:br w:type="page"/>
      </w:r>
      <w:r>
        <w:rPr>
          <w:rFonts w:hint="eastAsia"/>
          <w:b/>
          <w:color w:val="auto"/>
          <w:sz w:val="32"/>
          <w:szCs w:val="32"/>
        </w:rPr>
        <w:t>第五章</w:t>
      </w:r>
      <w:r>
        <w:rPr>
          <w:rFonts w:hint="eastAsia"/>
          <w:b/>
          <w:color w:val="auto"/>
          <w:sz w:val="32"/>
          <w:szCs w:val="32"/>
          <w:lang w:val="en-US" w:eastAsia="zh-CN"/>
        </w:rPr>
        <w:t xml:space="preserve"> </w:t>
      </w:r>
      <w:r>
        <w:rPr>
          <w:rFonts w:hint="eastAsia"/>
          <w:b/>
          <w:color w:val="auto"/>
          <w:sz w:val="32"/>
          <w:szCs w:val="32"/>
        </w:rPr>
        <w:t>评审内容</w:t>
      </w:r>
    </w:p>
    <w:p w14:paraId="71E746FE">
      <w:pPr>
        <w:pStyle w:val="42"/>
        <w:jc w:val="center"/>
        <w:rPr>
          <w:rFonts w:hint="eastAsia"/>
          <w:b/>
          <w:color w:val="auto"/>
          <w:sz w:val="32"/>
          <w:szCs w:val="32"/>
        </w:rPr>
      </w:pPr>
    </w:p>
    <w:p w14:paraId="542167F6">
      <w:pPr>
        <w:jc w:val="center"/>
        <w:rPr>
          <w:rFonts w:hint="eastAsia" w:ascii="宋体"/>
          <w:b/>
          <w:bCs/>
          <w:color w:val="auto"/>
          <w:sz w:val="24"/>
        </w:rPr>
      </w:pPr>
      <w:r>
        <w:rPr>
          <w:rFonts w:hint="eastAsia" w:ascii="宋体"/>
          <w:b/>
          <w:bCs/>
          <w:color w:val="auto"/>
          <w:sz w:val="24"/>
        </w:rPr>
        <w:t>一、投标人资格审查</w:t>
      </w:r>
    </w:p>
    <w:tbl>
      <w:tblPr>
        <w:tblStyle w:val="97"/>
        <w:tblW w:w="9999" w:type="dxa"/>
        <w:jc w:val="center"/>
        <w:tblInd w:w="0" w:type="dxa"/>
        <w:tblLayout w:type="fixed"/>
        <w:tblCellMar>
          <w:top w:w="0" w:type="dxa"/>
          <w:left w:w="0" w:type="dxa"/>
          <w:bottom w:w="0" w:type="dxa"/>
          <w:right w:w="0" w:type="dxa"/>
        </w:tblCellMar>
      </w:tblPr>
      <w:tblGrid>
        <w:gridCol w:w="509"/>
        <w:gridCol w:w="9490"/>
      </w:tblGrid>
      <w:tr w14:paraId="2FC139DA">
        <w:tblPrEx>
          <w:tblLayout w:type="fixed"/>
        </w:tblPrEx>
        <w:trPr>
          <w:trHeight w:val="902" w:hRule="atLeast"/>
          <w:jc w:val="center"/>
        </w:trPr>
        <w:tc>
          <w:tcPr>
            <w:tcW w:w="5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B3736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b/>
                <w:bCs/>
                <w:color w:val="000000"/>
                <w:sz w:val="24"/>
                <w:lang w:val="en-US" w:eastAsia="zh-CN"/>
              </w:rPr>
              <w:t>序号</w:t>
            </w:r>
          </w:p>
        </w:tc>
        <w:tc>
          <w:tcPr>
            <w:tcW w:w="94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8C7E8A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b/>
                <w:bCs/>
                <w:color w:val="000000"/>
                <w:sz w:val="24"/>
                <w:lang w:val="en-US" w:eastAsia="zh-CN"/>
              </w:rPr>
              <w:t>标  准</w:t>
            </w:r>
          </w:p>
        </w:tc>
      </w:tr>
      <w:tr w14:paraId="00E2FF3D">
        <w:tblPrEx>
          <w:tblLayout w:type="fixed"/>
        </w:tblPrEx>
        <w:trPr>
          <w:trHeight w:val="2139" w:hRule="atLeast"/>
          <w:jc w:val="center"/>
        </w:trPr>
        <w:tc>
          <w:tcPr>
            <w:tcW w:w="5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86B76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c>
          <w:tcPr>
            <w:tcW w:w="9490" w:type="dxa"/>
            <w:tcBorders>
              <w:top w:val="nil"/>
              <w:left w:val="nil"/>
              <w:bottom w:val="single" w:color="auto" w:sz="8" w:space="0"/>
              <w:right w:val="single" w:color="auto" w:sz="8" w:space="0"/>
            </w:tcBorders>
            <w:tcMar>
              <w:top w:w="0" w:type="dxa"/>
              <w:left w:w="108" w:type="dxa"/>
              <w:bottom w:w="0" w:type="dxa"/>
              <w:right w:w="108" w:type="dxa"/>
            </w:tcMar>
            <w:vAlign w:val="center"/>
          </w:tcPr>
          <w:p w14:paraId="0B171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具有独立承担民事责任的能力；【须提供：法人、其他组织投标须提供营业执照等证明文件，自然人投标须提供自然人的身份证明。】</w:t>
            </w:r>
          </w:p>
          <w:p w14:paraId="2981D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具有独立承担民事责任的能力：须提供：法人、其他组织投标须提供营业执照等证明文件，自然人投标须提供自然人的身份证明；分支机构投标的（仅限银行、保险、石油石化、电力、铁路、邮政、通信等特殊行业），须提供总公司和分公司营业执照扫描件，总公司出具给分支机构的授权。</w:t>
            </w:r>
          </w:p>
        </w:tc>
      </w:tr>
      <w:tr w14:paraId="1F4F37A9">
        <w:tblPrEx>
          <w:tblLayout w:type="fixed"/>
        </w:tblPrEx>
        <w:trPr>
          <w:trHeight w:val="1432" w:hRule="atLeast"/>
          <w:jc w:val="center"/>
        </w:trPr>
        <w:tc>
          <w:tcPr>
            <w:tcW w:w="5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07BFA2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9490" w:type="dxa"/>
            <w:tcBorders>
              <w:top w:val="nil"/>
              <w:left w:val="nil"/>
              <w:bottom w:val="single" w:color="auto" w:sz="8" w:space="0"/>
              <w:right w:val="single" w:color="auto" w:sz="8" w:space="0"/>
            </w:tcBorders>
            <w:tcMar>
              <w:top w:w="0" w:type="dxa"/>
              <w:left w:w="108" w:type="dxa"/>
              <w:bottom w:w="0" w:type="dxa"/>
              <w:right w:w="108" w:type="dxa"/>
            </w:tcMar>
            <w:vAlign w:val="center"/>
          </w:tcPr>
          <w:p w14:paraId="0A59C1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bookmarkStart w:id="5" w:name="OLE_LINK9"/>
            <w:r>
              <w:rPr>
                <w:rFonts w:hint="eastAsia" w:ascii="仿宋" w:hAnsi="仿宋" w:eastAsia="仿宋" w:cs="仿宋"/>
                <w:color w:val="000000"/>
                <w:sz w:val="24"/>
                <w:lang w:val="en-US" w:eastAsia="zh-CN"/>
              </w:rPr>
              <w:t>具有良好的商业信誉和健全的财务会计制度；</w:t>
            </w:r>
          </w:p>
          <w:p w14:paraId="498BED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①以开标截止时间点投标单位未列入“信用中国”&lt;www.creditchina.gov.cn&gt;网站的“失信被执行人”和“重大税收违法失信主体”（投标人为自然人时无需提供）及“中国政府采购网”&lt;www.ccgp.gov.cn&gt;网站的“政府采购严重违法失信行为记录名单”，开标截止时间点；②提供会计师事务所出具的2024年度财务审计报告复印件或银行在开标日前六个月内任意一个月的开具的资信证明。新成立企业仅需提供财务报表及财务制度（财务报表应至少包括资产负债表、利润表、现金流量表）（新成立企业：营业执照申领时间至今未满一年的企业）】</w:t>
            </w:r>
            <w:bookmarkEnd w:id="5"/>
            <w:r>
              <w:rPr>
                <w:rFonts w:hint="eastAsia" w:ascii="仿宋" w:hAnsi="仿宋" w:eastAsia="仿宋" w:cs="仿宋"/>
                <w:color w:val="000000"/>
                <w:sz w:val="24"/>
                <w:lang w:val="en-US" w:eastAsia="zh-CN"/>
              </w:rPr>
              <w:t>。</w:t>
            </w:r>
          </w:p>
        </w:tc>
      </w:tr>
      <w:tr w14:paraId="5B0F9EB2">
        <w:tblPrEx>
          <w:tblLayout w:type="fixed"/>
        </w:tblPrEx>
        <w:trPr>
          <w:trHeight w:val="90" w:hRule="atLeast"/>
          <w:jc w:val="center"/>
        </w:trPr>
        <w:tc>
          <w:tcPr>
            <w:tcW w:w="5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52AB9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9490" w:type="dxa"/>
            <w:tcBorders>
              <w:top w:val="nil"/>
              <w:left w:val="nil"/>
              <w:bottom w:val="single" w:color="auto" w:sz="8" w:space="0"/>
              <w:right w:val="single" w:color="auto" w:sz="8" w:space="0"/>
            </w:tcBorders>
            <w:tcMar>
              <w:top w:w="0" w:type="dxa"/>
              <w:left w:w="108" w:type="dxa"/>
              <w:bottom w:w="0" w:type="dxa"/>
              <w:right w:w="108" w:type="dxa"/>
            </w:tcMar>
            <w:vAlign w:val="center"/>
          </w:tcPr>
          <w:p w14:paraId="17D0D2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具有履行合同所必需的设备和专业技术能力（提供声明函）；</w:t>
            </w:r>
          </w:p>
        </w:tc>
      </w:tr>
      <w:tr w14:paraId="2369D0E2">
        <w:tblPrEx>
          <w:tblLayout w:type="fixed"/>
        </w:tblPrEx>
        <w:trPr>
          <w:trHeight w:val="461" w:hRule="atLeast"/>
          <w:jc w:val="center"/>
        </w:trPr>
        <w:tc>
          <w:tcPr>
            <w:tcW w:w="5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9FF3C7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9490" w:type="dxa"/>
            <w:tcBorders>
              <w:top w:val="nil"/>
              <w:left w:val="nil"/>
              <w:bottom w:val="single" w:color="auto" w:sz="8" w:space="0"/>
              <w:right w:val="single" w:color="auto" w:sz="8" w:space="0"/>
            </w:tcBorders>
            <w:tcMar>
              <w:top w:w="0" w:type="dxa"/>
              <w:left w:w="108" w:type="dxa"/>
              <w:bottom w:w="0" w:type="dxa"/>
              <w:right w:w="108" w:type="dxa"/>
            </w:tcMar>
            <w:vAlign w:val="center"/>
          </w:tcPr>
          <w:p w14:paraId="0B4B6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有依法缴纳税收和社会保障资金的良好记录；【须提供：（1）近6个月内任意1个月已依法缴纳税收的凭据；（2）近6个月内任意1个月已依法缴纳社会保险的凭据，依法免税或不需要缴纳社会保障资金的供应商，应提供相应证明文件，新成立企业无需提供】。</w:t>
            </w:r>
          </w:p>
        </w:tc>
      </w:tr>
      <w:tr w14:paraId="442C24D9">
        <w:tblPrEx>
          <w:tblLayout w:type="fixed"/>
        </w:tblPrEx>
        <w:trPr>
          <w:trHeight w:val="1079" w:hRule="atLeast"/>
          <w:jc w:val="center"/>
        </w:trPr>
        <w:tc>
          <w:tcPr>
            <w:tcW w:w="50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253E4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9490" w:type="dxa"/>
            <w:tcBorders>
              <w:top w:val="nil"/>
              <w:left w:val="nil"/>
              <w:bottom w:val="single" w:color="auto" w:sz="8" w:space="0"/>
              <w:right w:val="single" w:color="auto" w:sz="8" w:space="0"/>
            </w:tcBorders>
            <w:tcMar>
              <w:top w:w="0" w:type="dxa"/>
              <w:left w:w="108" w:type="dxa"/>
              <w:bottom w:w="0" w:type="dxa"/>
              <w:right w:w="108" w:type="dxa"/>
            </w:tcMar>
            <w:vAlign w:val="center"/>
          </w:tcPr>
          <w:p w14:paraId="5EE47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仿宋" w:hAnsi="仿宋" w:eastAsia="仿宋" w:cs="仿宋"/>
                <w:color w:val="000000"/>
                <w:sz w:val="24"/>
                <w:szCs w:val="22"/>
                <w:lang w:val="en-US" w:eastAsia="zh-CN" w:bidi="zh-CN"/>
              </w:rPr>
            </w:pPr>
            <w:r>
              <w:rPr>
                <w:rFonts w:hint="eastAsia" w:ascii="仿宋" w:hAnsi="仿宋" w:eastAsia="仿宋" w:cs="仿宋"/>
                <w:color w:val="000000"/>
                <w:sz w:val="24"/>
                <w:lang w:val="en-US" w:eastAsia="zh-CN"/>
              </w:rPr>
              <w:t>参加本次政府采购活动前三年内，在经营活动中没有重大违法记录；【须提供：书面承诺（供应商自行承诺并承担后果，声明不实的，按《中华人民共和国政府采购法》及相关法律法规中提供虚假材料的有关规定处理】。</w:t>
            </w:r>
          </w:p>
        </w:tc>
      </w:tr>
      <w:tr w14:paraId="36DF34C9">
        <w:tblPrEx>
          <w:tblLayout w:type="fixed"/>
        </w:tblPrEx>
        <w:trPr>
          <w:trHeight w:val="1362" w:hRule="atLeast"/>
          <w:jc w:val="center"/>
        </w:trPr>
        <w:tc>
          <w:tcPr>
            <w:tcW w:w="999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AC02FE">
            <w:pPr>
              <w:keepNext w:val="0"/>
              <w:keepLines w:val="0"/>
              <w:suppressLineNumbers w:val="0"/>
              <w:spacing w:before="0" w:beforeAutospacing="0" w:after="0" w:afterAutospacing="0" w:line="360" w:lineRule="auto"/>
              <w:ind w:left="0" w:right="0"/>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注：1、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14:paraId="5FF491DB">
      <w:pPr>
        <w:jc w:val="center"/>
        <w:rPr>
          <w:rFonts w:ascii="宋体"/>
          <w:b/>
          <w:color w:val="auto"/>
          <w:sz w:val="32"/>
          <w:szCs w:val="32"/>
        </w:rPr>
      </w:pPr>
    </w:p>
    <w:p w14:paraId="0A1355AA">
      <w:pPr>
        <w:spacing w:line="360" w:lineRule="auto"/>
        <w:ind w:firstLine="472"/>
        <w:jc w:val="left"/>
        <w:rPr>
          <w:rFonts w:hint="eastAsia" w:ascii="宋体" w:hAnsi="宋体"/>
          <w:color w:val="auto"/>
          <w:sz w:val="24"/>
        </w:rPr>
      </w:pPr>
      <w:r>
        <w:rPr>
          <w:rFonts w:hint="eastAsia" w:ascii="宋体" w:hAnsi="宋体" w:cs="仿宋"/>
          <w:color w:val="auto"/>
          <w:spacing w:val="-2"/>
          <w:sz w:val="24"/>
        </w:rPr>
        <w:t>注：符合要求用“√”表示，不符合用“×”表示，结论为“合格”或“不合格”，有任一项不符合要求，结论为不合格。</w:t>
      </w:r>
    </w:p>
    <w:p w14:paraId="141D0A9A">
      <w:pPr>
        <w:jc w:val="left"/>
        <w:rPr>
          <w:rFonts w:hint="eastAsia" w:ascii="宋体" w:hAnsi="宋体"/>
          <w:color w:val="auto"/>
          <w:sz w:val="24"/>
        </w:rPr>
      </w:pPr>
    </w:p>
    <w:p w14:paraId="0A19262A">
      <w:pPr>
        <w:jc w:val="left"/>
        <w:rPr>
          <w:rFonts w:ascii="宋体" w:hAnsi="宋体"/>
          <w:color w:val="auto"/>
          <w:sz w:val="24"/>
        </w:rPr>
      </w:pPr>
      <w:r>
        <w:rPr>
          <w:rFonts w:hint="eastAsia" w:ascii="宋体" w:hAnsi="宋体"/>
          <w:color w:val="auto"/>
          <w:sz w:val="24"/>
        </w:rPr>
        <w:t>二、投标文件符合性审查</w:t>
      </w:r>
    </w:p>
    <w:p w14:paraId="49229D79">
      <w:pPr>
        <w:pStyle w:val="16"/>
        <w:kinsoku w:val="0"/>
        <w:overflowPunct w:val="0"/>
        <w:spacing w:before="10"/>
        <w:rPr>
          <w:rFonts w:hAnsi="宋体"/>
          <w:b/>
          <w:bCs/>
          <w:color w:val="auto"/>
        </w:rPr>
      </w:pPr>
    </w:p>
    <w:tbl>
      <w:tblPr>
        <w:tblStyle w:val="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14:paraId="3451B79C">
        <w:tblPrEx>
          <w:tblLayout w:type="fixed"/>
        </w:tblPrEx>
        <w:tc>
          <w:tcPr>
            <w:tcW w:w="578" w:type="dxa"/>
            <w:vMerge w:val="restart"/>
            <w:vAlign w:val="bottom"/>
          </w:tcPr>
          <w:p w14:paraId="2B3823ED">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r>
              <w:rPr>
                <w:rFonts w:hint="eastAsia" w:ascii="宋体" w:hAnsi="宋体" w:cs="仿宋"/>
                <w:b/>
                <w:color w:val="auto"/>
                <w:spacing w:val="-2"/>
                <w:sz w:val="24"/>
                <w:highlight w:val="none"/>
              </w:rPr>
              <w:t>序号</w:t>
            </w:r>
          </w:p>
        </w:tc>
        <w:tc>
          <w:tcPr>
            <w:tcW w:w="6211" w:type="dxa"/>
            <w:vMerge w:val="restart"/>
            <w:vAlign w:val="bottom"/>
          </w:tcPr>
          <w:p w14:paraId="3E7E0321">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r>
              <w:rPr>
                <w:rFonts w:hint="eastAsia" w:ascii="宋体" w:hAnsi="宋体" w:cs="仿宋"/>
                <w:b/>
                <w:color w:val="auto"/>
                <w:spacing w:val="-2"/>
                <w:sz w:val="24"/>
                <w:highlight w:val="none"/>
              </w:rPr>
              <w:t>评审内容</w:t>
            </w:r>
          </w:p>
        </w:tc>
        <w:tc>
          <w:tcPr>
            <w:tcW w:w="2097" w:type="dxa"/>
            <w:gridSpan w:val="3"/>
            <w:vAlign w:val="bottom"/>
          </w:tcPr>
          <w:p w14:paraId="717D8E5C">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r>
              <w:rPr>
                <w:rFonts w:hint="eastAsia" w:ascii="宋体" w:hAnsi="宋体" w:cs="仿宋"/>
                <w:b/>
                <w:color w:val="auto"/>
                <w:spacing w:val="-2"/>
                <w:sz w:val="24"/>
                <w:highlight w:val="none"/>
                <w:lang w:eastAsia="zh-CN"/>
              </w:rPr>
              <w:t>投标人</w:t>
            </w:r>
            <w:r>
              <w:rPr>
                <w:rFonts w:hint="eastAsia" w:ascii="宋体" w:hAnsi="宋体" w:cs="仿宋"/>
                <w:b/>
                <w:color w:val="auto"/>
                <w:spacing w:val="-2"/>
                <w:sz w:val="24"/>
                <w:highlight w:val="none"/>
              </w:rPr>
              <w:t>名称</w:t>
            </w:r>
          </w:p>
        </w:tc>
      </w:tr>
      <w:tr w14:paraId="7FDEE0B0">
        <w:tblPrEx>
          <w:tblLayout w:type="fixed"/>
        </w:tblPrEx>
        <w:tc>
          <w:tcPr>
            <w:tcW w:w="578" w:type="dxa"/>
            <w:vMerge w:val="continue"/>
            <w:vAlign w:val="bottom"/>
          </w:tcPr>
          <w:p w14:paraId="76E126D3">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211" w:type="dxa"/>
            <w:vMerge w:val="continue"/>
            <w:vAlign w:val="bottom"/>
          </w:tcPr>
          <w:p w14:paraId="1F938FF7">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99" w:type="dxa"/>
            <w:vAlign w:val="bottom"/>
          </w:tcPr>
          <w:p w14:paraId="5352D9FC">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99" w:type="dxa"/>
            <w:vAlign w:val="top"/>
          </w:tcPr>
          <w:p w14:paraId="6F27D734">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c>
          <w:tcPr>
            <w:tcW w:w="699" w:type="dxa"/>
            <w:vAlign w:val="top"/>
          </w:tcPr>
          <w:p w14:paraId="2824F9BD">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highlight w:val="none"/>
              </w:rPr>
            </w:pPr>
          </w:p>
        </w:tc>
      </w:tr>
      <w:tr w14:paraId="1EFEE7D0">
        <w:tblPrEx>
          <w:tblLayout w:type="fixed"/>
        </w:tblPrEx>
        <w:tc>
          <w:tcPr>
            <w:tcW w:w="578" w:type="dxa"/>
            <w:vAlign w:val="center"/>
          </w:tcPr>
          <w:p w14:paraId="75A76C16">
            <w:pPr>
              <w:pStyle w:val="32"/>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1</w:t>
            </w:r>
          </w:p>
        </w:tc>
        <w:tc>
          <w:tcPr>
            <w:tcW w:w="6211" w:type="dxa"/>
            <w:vAlign w:val="center"/>
          </w:tcPr>
          <w:p w14:paraId="28EF5874">
            <w:pPr>
              <w:keepNext w:val="0"/>
              <w:keepLines w:val="0"/>
              <w:suppressLineNumbers w:val="0"/>
              <w:spacing w:before="0"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cs="仿宋"/>
                <w:color w:val="auto"/>
                <w:sz w:val="24"/>
                <w:highlight w:val="none"/>
              </w:rPr>
              <w:t>投标函</w:t>
            </w:r>
            <w:r>
              <w:rPr>
                <w:rFonts w:hint="eastAsia" w:ascii="宋体" w:hAnsi="宋体" w:cs="仿宋"/>
                <w:color w:val="auto"/>
                <w:sz w:val="24"/>
                <w:highlight w:val="none"/>
                <w:lang w:eastAsia="zh-CN"/>
              </w:rPr>
              <w:t>内容是否完整</w:t>
            </w:r>
            <w:r>
              <w:rPr>
                <w:rFonts w:hint="eastAsia" w:ascii="宋体" w:hAnsi="宋体" w:cs="仿宋"/>
                <w:color w:val="auto"/>
                <w:sz w:val="24"/>
                <w:highlight w:val="none"/>
              </w:rPr>
              <w:t>有单位盖章及法定代表人或法定代表人授权的代理人签字或盖章；</w:t>
            </w:r>
          </w:p>
        </w:tc>
        <w:tc>
          <w:tcPr>
            <w:tcW w:w="699" w:type="dxa"/>
            <w:vAlign w:val="top"/>
          </w:tcPr>
          <w:p w14:paraId="12DA6552">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5FC8E2FF">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39E3DF68">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2A13EAD6">
        <w:tblPrEx>
          <w:tblLayout w:type="fixed"/>
        </w:tblPrEx>
        <w:tc>
          <w:tcPr>
            <w:tcW w:w="578" w:type="dxa"/>
            <w:vAlign w:val="center"/>
          </w:tcPr>
          <w:p w14:paraId="3A2EAD10">
            <w:pPr>
              <w:pStyle w:val="32"/>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2</w:t>
            </w:r>
          </w:p>
        </w:tc>
        <w:tc>
          <w:tcPr>
            <w:tcW w:w="6211" w:type="dxa"/>
            <w:vAlign w:val="center"/>
          </w:tcPr>
          <w:p w14:paraId="2F541752">
            <w:pPr>
              <w:keepNext w:val="0"/>
              <w:keepLines w:val="0"/>
              <w:suppressLineNumbers w:val="0"/>
              <w:spacing w:before="0" w:beforeAutospacing="0" w:after="0" w:afterAutospacing="0" w:line="360" w:lineRule="auto"/>
              <w:ind w:left="0" w:right="0"/>
              <w:jc w:val="left"/>
              <w:rPr>
                <w:rFonts w:hint="eastAsia" w:ascii="宋体" w:hAnsi="宋体" w:eastAsia="宋体" w:cs="Times New Roman"/>
                <w:color w:val="auto"/>
                <w:szCs w:val="24"/>
                <w:highlight w:val="none"/>
              </w:rPr>
            </w:pPr>
            <w:r>
              <w:rPr>
                <w:rFonts w:hint="default" w:ascii="宋体" w:hAnsi="宋体" w:eastAsia="宋体" w:cs="仿宋"/>
                <w:color w:val="auto"/>
                <w:sz w:val="24"/>
                <w:highlight w:val="none"/>
              </w:rPr>
              <w:t>按</w:t>
            </w:r>
            <w:r>
              <w:rPr>
                <w:rFonts w:hint="eastAsia" w:ascii="宋体" w:hAnsi="宋体" w:eastAsia="宋体" w:cs="仿宋"/>
                <w:color w:val="auto"/>
                <w:sz w:val="24"/>
                <w:highlight w:val="none"/>
              </w:rPr>
              <w:t>招标</w:t>
            </w:r>
            <w:r>
              <w:rPr>
                <w:rFonts w:hint="default" w:ascii="宋体" w:hAnsi="宋体" w:eastAsia="宋体" w:cs="仿宋"/>
                <w:color w:val="auto"/>
                <w:sz w:val="24"/>
                <w:highlight w:val="none"/>
              </w:rPr>
              <w:t>文件规定</w:t>
            </w:r>
            <w:r>
              <w:rPr>
                <w:rFonts w:hint="eastAsia" w:ascii="宋体" w:hAnsi="宋体" w:eastAsia="宋体" w:cs="仿宋"/>
                <w:color w:val="auto"/>
                <w:sz w:val="24"/>
                <w:highlight w:val="none"/>
                <w:lang w:eastAsia="zh-CN"/>
              </w:rPr>
              <w:t>提供有效的法定代表人身份证明书，附完整的</w:t>
            </w:r>
            <w:r>
              <w:rPr>
                <w:rFonts w:hint="default" w:ascii="宋体" w:hAnsi="宋体" w:eastAsia="宋体" w:cs="仿宋"/>
                <w:color w:val="auto"/>
                <w:sz w:val="24"/>
                <w:highlight w:val="none"/>
              </w:rPr>
              <w:t>法定代表人身份证复印件</w:t>
            </w:r>
            <w:r>
              <w:rPr>
                <w:rFonts w:hint="eastAsia" w:ascii="宋体" w:hAnsi="宋体" w:eastAsia="宋体" w:cs="仿宋"/>
                <w:color w:val="auto"/>
                <w:sz w:val="24"/>
                <w:highlight w:val="none"/>
                <w:lang w:eastAsia="zh-CN"/>
              </w:rPr>
              <w:t>或法定代表人授权委托书</w:t>
            </w:r>
            <w:r>
              <w:rPr>
                <w:rFonts w:hint="default" w:ascii="宋体" w:hAnsi="宋体" w:eastAsia="宋体" w:cs="仿宋"/>
                <w:color w:val="auto"/>
                <w:sz w:val="24"/>
                <w:highlight w:val="none"/>
              </w:rPr>
              <w:t>附完整的法定代表人身份证复印件、被授权人身份证复印件，</w:t>
            </w:r>
            <w:r>
              <w:rPr>
                <w:rFonts w:hint="eastAsia" w:ascii="宋体" w:hAnsi="宋体" w:eastAsia="宋体" w:cs="仿宋"/>
                <w:color w:val="auto"/>
                <w:sz w:val="24"/>
                <w:highlight w:val="none"/>
                <w:lang w:eastAsia="zh-CN"/>
              </w:rPr>
              <w:t>并</w:t>
            </w:r>
            <w:r>
              <w:rPr>
                <w:rFonts w:hint="default" w:ascii="宋体" w:hAnsi="宋体" w:eastAsia="宋体" w:cs="仿宋"/>
                <w:color w:val="auto"/>
                <w:sz w:val="24"/>
                <w:highlight w:val="none"/>
              </w:rPr>
              <w:t>加盖公章；</w:t>
            </w:r>
            <w:r>
              <w:rPr>
                <w:rFonts w:hint="eastAsia" w:ascii="宋体" w:hAnsi="宋体" w:cs="仿宋"/>
                <w:color w:val="auto"/>
                <w:spacing w:val="-2"/>
                <w:sz w:val="24"/>
                <w:highlight w:val="none"/>
              </w:rPr>
              <w:t>（格式自拟）</w:t>
            </w:r>
          </w:p>
        </w:tc>
        <w:tc>
          <w:tcPr>
            <w:tcW w:w="699" w:type="dxa"/>
            <w:vAlign w:val="top"/>
          </w:tcPr>
          <w:p w14:paraId="222F5978">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77227066">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09296E21">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1509BE14">
        <w:tblPrEx>
          <w:tblLayout w:type="fixed"/>
        </w:tblPrEx>
        <w:tc>
          <w:tcPr>
            <w:tcW w:w="578" w:type="dxa"/>
            <w:vAlign w:val="center"/>
          </w:tcPr>
          <w:p w14:paraId="332B6BEC">
            <w:pPr>
              <w:pStyle w:val="32"/>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3</w:t>
            </w:r>
          </w:p>
        </w:tc>
        <w:tc>
          <w:tcPr>
            <w:tcW w:w="6211" w:type="dxa"/>
            <w:vAlign w:val="center"/>
          </w:tcPr>
          <w:p w14:paraId="674DC606">
            <w:pPr>
              <w:pStyle w:val="32"/>
              <w:keepNext w:val="0"/>
              <w:keepLines w:val="0"/>
              <w:suppressLineNumbers w:val="0"/>
              <w:spacing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eastAsia="宋体" w:cs="仿宋"/>
                <w:color w:val="auto"/>
                <w:szCs w:val="24"/>
                <w:highlight w:val="none"/>
                <w:lang w:eastAsia="zh-CN"/>
              </w:rPr>
              <w:t>投标文件</w:t>
            </w:r>
            <w:r>
              <w:rPr>
                <w:rFonts w:hint="eastAsia" w:ascii="宋体" w:hAnsi="宋体" w:eastAsia="宋体" w:cs="仿宋"/>
                <w:color w:val="auto"/>
                <w:szCs w:val="24"/>
                <w:highlight w:val="none"/>
              </w:rPr>
              <w:t>按招标文件</w:t>
            </w:r>
            <w:r>
              <w:rPr>
                <w:rFonts w:hint="eastAsia" w:ascii="宋体" w:hAnsi="宋体" w:eastAsia="宋体" w:cs="仿宋"/>
                <w:color w:val="auto"/>
                <w:szCs w:val="24"/>
                <w:highlight w:val="none"/>
                <w:lang w:eastAsia="zh-CN"/>
              </w:rPr>
              <w:t>的</w:t>
            </w:r>
            <w:r>
              <w:rPr>
                <w:rFonts w:hint="eastAsia" w:ascii="宋体" w:hAnsi="宋体" w:eastAsia="宋体" w:cs="仿宋"/>
                <w:color w:val="auto"/>
                <w:szCs w:val="24"/>
                <w:highlight w:val="none"/>
              </w:rPr>
              <w:t>规定要求签署、盖章的；</w:t>
            </w:r>
          </w:p>
        </w:tc>
        <w:tc>
          <w:tcPr>
            <w:tcW w:w="699" w:type="dxa"/>
            <w:vAlign w:val="top"/>
          </w:tcPr>
          <w:p w14:paraId="08083354">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09B0E6B2">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457D3D15">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6B34073C">
        <w:tblPrEx>
          <w:tblLayout w:type="fixed"/>
        </w:tblPrEx>
        <w:tc>
          <w:tcPr>
            <w:tcW w:w="578" w:type="dxa"/>
            <w:vAlign w:val="center"/>
          </w:tcPr>
          <w:p w14:paraId="1386F25F">
            <w:pPr>
              <w:pStyle w:val="32"/>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4</w:t>
            </w:r>
          </w:p>
        </w:tc>
        <w:tc>
          <w:tcPr>
            <w:tcW w:w="6211" w:type="dxa"/>
            <w:vAlign w:val="center"/>
          </w:tcPr>
          <w:p w14:paraId="6BC551F2">
            <w:pPr>
              <w:keepNext w:val="0"/>
              <w:keepLines w:val="0"/>
              <w:suppressLineNumbers w:val="0"/>
              <w:spacing w:before="0"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cs="Times New Roman"/>
                <w:color w:val="auto"/>
                <w:sz w:val="24"/>
                <w:highlight w:val="none"/>
              </w:rPr>
              <w:t>按规定的格式填写，没有内容不全或关键字迹模糊、无法辨认的；</w:t>
            </w:r>
          </w:p>
        </w:tc>
        <w:tc>
          <w:tcPr>
            <w:tcW w:w="699" w:type="dxa"/>
            <w:vAlign w:val="top"/>
          </w:tcPr>
          <w:p w14:paraId="58E56DD0">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6E90E8FB">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0B9E561B">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79066072">
        <w:tblPrEx>
          <w:tblLayout w:type="fixed"/>
        </w:tblPrEx>
        <w:tc>
          <w:tcPr>
            <w:tcW w:w="578" w:type="dxa"/>
            <w:vAlign w:val="center"/>
          </w:tcPr>
          <w:p w14:paraId="0773A29C">
            <w:pPr>
              <w:pStyle w:val="32"/>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5</w:t>
            </w:r>
          </w:p>
        </w:tc>
        <w:tc>
          <w:tcPr>
            <w:tcW w:w="6211" w:type="dxa"/>
            <w:vAlign w:val="center"/>
          </w:tcPr>
          <w:p w14:paraId="7B03CC17">
            <w:pPr>
              <w:keepNext w:val="0"/>
              <w:keepLines w:val="0"/>
              <w:suppressLineNumbers w:val="0"/>
              <w:spacing w:before="0" w:beforeAutospacing="0" w:after="0" w:afterAutospacing="0" w:line="360" w:lineRule="auto"/>
              <w:ind w:left="0" w:right="0"/>
              <w:jc w:val="both"/>
              <w:rPr>
                <w:rFonts w:hint="eastAsia" w:ascii="宋体" w:hAnsi="宋体" w:eastAsia="宋体" w:cs="仿宋"/>
                <w:color w:val="auto"/>
                <w:szCs w:val="24"/>
                <w:highlight w:val="none"/>
              </w:rPr>
            </w:pPr>
            <w:r>
              <w:rPr>
                <w:rFonts w:hint="eastAsia" w:ascii="宋体" w:hAnsi="宋体" w:cs="Times New Roman"/>
                <w:color w:val="auto"/>
                <w:sz w:val="24"/>
                <w:highlight w:val="none"/>
                <w:lang w:eastAsia="zh-CN"/>
              </w:rPr>
              <w:t>交货及完成期</w:t>
            </w:r>
            <w:r>
              <w:rPr>
                <w:rFonts w:hint="eastAsia" w:ascii="宋体" w:hAnsi="宋体" w:cs="Times New Roman"/>
                <w:color w:val="auto"/>
                <w:sz w:val="24"/>
                <w:highlight w:val="none"/>
              </w:rPr>
              <w:t>满足招标文件规定的；</w:t>
            </w:r>
          </w:p>
        </w:tc>
        <w:tc>
          <w:tcPr>
            <w:tcW w:w="699" w:type="dxa"/>
            <w:vAlign w:val="top"/>
          </w:tcPr>
          <w:p w14:paraId="2EFBB571">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637487FC">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6A661F5C">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09242D59">
        <w:tblPrEx>
          <w:tblLayout w:type="fixed"/>
        </w:tblPrEx>
        <w:tc>
          <w:tcPr>
            <w:tcW w:w="578" w:type="dxa"/>
            <w:vAlign w:val="center"/>
          </w:tcPr>
          <w:p w14:paraId="62BE6D64">
            <w:pPr>
              <w:pStyle w:val="32"/>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6</w:t>
            </w:r>
          </w:p>
        </w:tc>
        <w:tc>
          <w:tcPr>
            <w:tcW w:w="6211" w:type="dxa"/>
            <w:vAlign w:val="center"/>
          </w:tcPr>
          <w:p w14:paraId="4DD4873D">
            <w:pPr>
              <w:keepNext w:val="0"/>
              <w:keepLines w:val="0"/>
              <w:suppressLineNumbers w:val="0"/>
              <w:spacing w:before="0"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cs="仿宋"/>
                <w:color w:val="auto"/>
                <w:sz w:val="24"/>
                <w:highlight w:val="none"/>
              </w:rPr>
              <w:t>投标报价</w:t>
            </w:r>
            <w:r>
              <w:rPr>
                <w:rFonts w:hint="eastAsia" w:ascii="宋体" w:hAnsi="宋体" w:cs="仿宋"/>
                <w:color w:val="auto"/>
                <w:sz w:val="24"/>
                <w:highlight w:val="none"/>
                <w:lang w:eastAsia="zh-CN"/>
              </w:rPr>
              <w:t>单价均</w:t>
            </w:r>
            <w:r>
              <w:rPr>
                <w:rFonts w:hint="eastAsia" w:ascii="宋体" w:hAnsi="宋体" w:cs="仿宋"/>
                <w:color w:val="auto"/>
                <w:sz w:val="24"/>
                <w:highlight w:val="none"/>
              </w:rPr>
              <w:t>未超过最高限价的；</w:t>
            </w:r>
          </w:p>
        </w:tc>
        <w:tc>
          <w:tcPr>
            <w:tcW w:w="699" w:type="dxa"/>
            <w:vAlign w:val="top"/>
          </w:tcPr>
          <w:p w14:paraId="1AA86CCE">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2A09BBA7">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54410F9F">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4C737C9F">
        <w:tblPrEx>
          <w:tblLayout w:type="fixed"/>
        </w:tblPrEx>
        <w:tc>
          <w:tcPr>
            <w:tcW w:w="578" w:type="dxa"/>
            <w:vAlign w:val="center"/>
          </w:tcPr>
          <w:p w14:paraId="3E7425A1">
            <w:pPr>
              <w:pStyle w:val="32"/>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7</w:t>
            </w:r>
          </w:p>
        </w:tc>
        <w:tc>
          <w:tcPr>
            <w:tcW w:w="6211" w:type="dxa"/>
            <w:vAlign w:val="center"/>
          </w:tcPr>
          <w:p w14:paraId="104435FC">
            <w:pPr>
              <w:pStyle w:val="32"/>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仿宋"/>
                <w:color w:val="auto"/>
                <w:szCs w:val="24"/>
                <w:highlight w:val="none"/>
              </w:rPr>
              <w:t>投标</w:t>
            </w:r>
            <w:r>
              <w:rPr>
                <w:rFonts w:hint="default" w:ascii="宋体" w:hAnsi="宋体" w:eastAsia="宋体" w:cs="仿宋"/>
                <w:color w:val="auto"/>
                <w:szCs w:val="24"/>
                <w:highlight w:val="none"/>
              </w:rPr>
              <w:t>有效期满足</w:t>
            </w:r>
            <w:r>
              <w:rPr>
                <w:rFonts w:hint="eastAsia" w:ascii="宋体" w:hAnsi="宋体" w:eastAsia="宋体" w:cs="仿宋"/>
                <w:color w:val="auto"/>
                <w:szCs w:val="24"/>
                <w:highlight w:val="none"/>
              </w:rPr>
              <w:t>招标文件</w:t>
            </w:r>
            <w:r>
              <w:rPr>
                <w:rFonts w:hint="default" w:ascii="宋体" w:hAnsi="宋体" w:eastAsia="宋体" w:cs="仿宋"/>
                <w:color w:val="auto"/>
                <w:szCs w:val="24"/>
                <w:highlight w:val="none"/>
              </w:rPr>
              <w:t>要求</w:t>
            </w:r>
            <w:r>
              <w:rPr>
                <w:rFonts w:hint="eastAsia" w:ascii="宋体" w:hAnsi="宋体" w:eastAsia="宋体" w:cs="仿宋"/>
                <w:color w:val="auto"/>
                <w:szCs w:val="24"/>
                <w:highlight w:val="none"/>
              </w:rPr>
              <w:t>；</w:t>
            </w:r>
          </w:p>
        </w:tc>
        <w:tc>
          <w:tcPr>
            <w:tcW w:w="699" w:type="dxa"/>
            <w:vAlign w:val="top"/>
          </w:tcPr>
          <w:p w14:paraId="4C63F38A">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0DF79137">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625BBA17">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6953037F">
        <w:tblPrEx>
          <w:tblLayout w:type="fixed"/>
        </w:tblPrEx>
        <w:tc>
          <w:tcPr>
            <w:tcW w:w="578" w:type="dxa"/>
            <w:vAlign w:val="center"/>
          </w:tcPr>
          <w:p w14:paraId="27D56ED8">
            <w:pPr>
              <w:pStyle w:val="32"/>
              <w:keepNext w:val="0"/>
              <w:keepLines w:val="0"/>
              <w:suppressLineNumbers w:val="0"/>
              <w:spacing w:beforeAutospacing="0" w:after="0" w:afterAutospacing="0" w:line="360" w:lineRule="auto"/>
              <w:ind w:left="0" w:right="0"/>
              <w:jc w:val="both"/>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8</w:t>
            </w:r>
          </w:p>
        </w:tc>
        <w:tc>
          <w:tcPr>
            <w:tcW w:w="6211" w:type="dxa"/>
            <w:vAlign w:val="center"/>
          </w:tcPr>
          <w:p w14:paraId="5AE58624">
            <w:pPr>
              <w:pStyle w:val="32"/>
              <w:keepNext w:val="0"/>
              <w:keepLines w:val="0"/>
              <w:suppressLineNumbers w:val="0"/>
              <w:spacing w:beforeAutospacing="0" w:after="0" w:afterAutospacing="0" w:line="360" w:lineRule="auto"/>
              <w:ind w:left="0" w:right="0"/>
              <w:jc w:val="both"/>
              <w:rPr>
                <w:rFonts w:hint="eastAsia" w:ascii="宋体" w:hAnsi="宋体" w:cs="仿宋"/>
                <w:color w:val="auto"/>
                <w:sz w:val="24"/>
                <w:highlight w:val="none"/>
              </w:rPr>
            </w:pPr>
            <w:r>
              <w:rPr>
                <w:rFonts w:hint="eastAsia" w:ascii="宋体" w:hAnsi="宋体" w:eastAsia="宋体" w:cs="仿宋"/>
                <w:color w:val="auto"/>
                <w:szCs w:val="24"/>
                <w:highlight w:val="none"/>
              </w:rPr>
              <w:t>符合招标文件中规定的</w:t>
            </w:r>
            <w:r>
              <w:rPr>
                <w:rFonts w:hint="eastAsia" w:ascii="宋体" w:hAnsi="宋体" w:eastAsia="宋体" w:cs="仿宋"/>
                <w:color w:val="auto"/>
                <w:szCs w:val="24"/>
                <w:highlight w:val="none"/>
                <w:lang w:eastAsia="zh-CN"/>
              </w:rPr>
              <w:t>其它</w:t>
            </w:r>
            <w:r>
              <w:rPr>
                <w:rFonts w:hint="eastAsia" w:ascii="宋体" w:hAnsi="宋体" w:eastAsia="宋体" w:cs="仿宋"/>
                <w:color w:val="auto"/>
                <w:szCs w:val="24"/>
                <w:highlight w:val="none"/>
              </w:rPr>
              <w:t>实质性要求的；</w:t>
            </w:r>
          </w:p>
        </w:tc>
        <w:tc>
          <w:tcPr>
            <w:tcW w:w="699" w:type="dxa"/>
            <w:vAlign w:val="top"/>
          </w:tcPr>
          <w:p w14:paraId="73DEC810">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432923D2">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33B4DF21">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0D0B82EB">
        <w:tblPrEx>
          <w:tblLayout w:type="fixed"/>
        </w:tblPrEx>
        <w:tc>
          <w:tcPr>
            <w:tcW w:w="578" w:type="dxa"/>
            <w:vAlign w:val="center"/>
          </w:tcPr>
          <w:p w14:paraId="643E5DDC">
            <w:pPr>
              <w:pStyle w:val="32"/>
              <w:keepNext w:val="0"/>
              <w:keepLines w:val="0"/>
              <w:suppressLineNumbers w:val="0"/>
              <w:spacing w:beforeAutospacing="0" w:after="0" w:afterAutospacing="0" w:line="360" w:lineRule="auto"/>
              <w:ind w:left="0" w:right="0"/>
              <w:jc w:val="both"/>
              <w:rPr>
                <w:rFonts w:hint="default" w:ascii="宋体" w:hAnsi="宋体" w:eastAsia="宋体" w:cs="Times New Roman"/>
                <w:color w:val="auto"/>
                <w:szCs w:val="24"/>
                <w:highlight w:val="none"/>
              </w:rPr>
            </w:pPr>
            <w:r>
              <w:rPr>
                <w:rFonts w:hint="eastAsia" w:ascii="宋体" w:hAnsi="宋体" w:eastAsia="宋体" w:cs="Times New Roman"/>
                <w:color w:val="auto"/>
                <w:szCs w:val="24"/>
                <w:highlight w:val="none"/>
                <w:lang w:val="en-US" w:eastAsia="zh-CN"/>
              </w:rPr>
              <w:t>9</w:t>
            </w:r>
          </w:p>
        </w:tc>
        <w:tc>
          <w:tcPr>
            <w:tcW w:w="6211" w:type="dxa"/>
            <w:vAlign w:val="center"/>
          </w:tcPr>
          <w:p w14:paraId="682DB3F6">
            <w:pPr>
              <w:pStyle w:val="32"/>
              <w:keepNext w:val="0"/>
              <w:keepLines w:val="0"/>
              <w:suppressLineNumbers w:val="0"/>
              <w:spacing w:beforeAutospacing="0" w:after="0" w:afterAutospacing="0" w:line="360" w:lineRule="auto"/>
              <w:ind w:left="0" w:right="0"/>
              <w:jc w:val="both"/>
              <w:rPr>
                <w:rFonts w:hint="default" w:ascii="宋体" w:hAnsi="宋体" w:cs="仿宋"/>
                <w:color w:val="auto"/>
                <w:sz w:val="24"/>
                <w:highlight w:val="none"/>
              </w:rPr>
            </w:pPr>
            <w:r>
              <w:rPr>
                <w:rFonts w:hint="eastAsia" w:ascii="宋体" w:hAnsi="宋体" w:eastAsia="宋体" w:cs="仿宋"/>
                <w:color w:val="auto"/>
                <w:szCs w:val="24"/>
                <w:highlight w:val="none"/>
              </w:rPr>
              <w:t>投标文件</w:t>
            </w:r>
            <w:r>
              <w:rPr>
                <w:rFonts w:hint="eastAsia" w:ascii="宋体" w:hAnsi="宋体" w:eastAsia="宋体" w:cs="仿宋"/>
                <w:color w:val="auto"/>
                <w:szCs w:val="24"/>
                <w:highlight w:val="none"/>
                <w:lang w:eastAsia="zh-CN"/>
              </w:rPr>
              <w:t>中</w:t>
            </w:r>
            <w:r>
              <w:rPr>
                <w:rFonts w:hint="eastAsia" w:ascii="宋体" w:hAnsi="宋体" w:eastAsia="宋体" w:cs="仿宋"/>
                <w:color w:val="auto"/>
                <w:szCs w:val="24"/>
                <w:highlight w:val="none"/>
              </w:rPr>
              <w:t>未</w:t>
            </w:r>
            <w:r>
              <w:rPr>
                <w:rFonts w:hint="eastAsia" w:ascii="宋体" w:hAnsi="宋体" w:eastAsia="宋体" w:cs="仿宋"/>
                <w:color w:val="auto"/>
                <w:szCs w:val="24"/>
                <w:highlight w:val="none"/>
                <w:lang w:eastAsia="zh-CN"/>
              </w:rPr>
              <w:t>附</w:t>
            </w:r>
            <w:r>
              <w:rPr>
                <w:rFonts w:hint="eastAsia" w:ascii="宋体" w:hAnsi="宋体" w:eastAsia="宋体" w:cs="仿宋"/>
                <w:color w:val="auto"/>
                <w:szCs w:val="24"/>
                <w:highlight w:val="none"/>
              </w:rPr>
              <w:t>有招标人不能接受的附加条件的；</w:t>
            </w:r>
          </w:p>
        </w:tc>
        <w:tc>
          <w:tcPr>
            <w:tcW w:w="699" w:type="dxa"/>
            <w:vAlign w:val="top"/>
          </w:tcPr>
          <w:p w14:paraId="1E3644E4">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5D2C10BC">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0B539559">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r w14:paraId="3B1B12DC">
        <w:tblPrEx>
          <w:tblLayout w:type="fixed"/>
        </w:tblPrEx>
        <w:tc>
          <w:tcPr>
            <w:tcW w:w="578" w:type="dxa"/>
            <w:vAlign w:val="top"/>
          </w:tcPr>
          <w:p w14:paraId="520CD387">
            <w:pPr>
              <w:pStyle w:val="32"/>
              <w:keepNext w:val="0"/>
              <w:keepLines w:val="0"/>
              <w:suppressLineNumbers w:val="0"/>
              <w:spacing w:beforeAutospacing="0" w:after="0" w:afterAutospacing="0" w:line="360" w:lineRule="auto"/>
              <w:ind w:left="0" w:right="0"/>
              <w:rPr>
                <w:rFonts w:hint="eastAsia" w:ascii="宋体" w:hAnsi="宋体" w:eastAsia="宋体" w:cs="Times New Roman"/>
                <w:color w:val="auto"/>
                <w:szCs w:val="24"/>
                <w:highlight w:val="none"/>
              </w:rPr>
            </w:pPr>
          </w:p>
        </w:tc>
        <w:tc>
          <w:tcPr>
            <w:tcW w:w="6211" w:type="dxa"/>
            <w:vAlign w:val="top"/>
          </w:tcPr>
          <w:p w14:paraId="62384F56">
            <w:pPr>
              <w:pStyle w:val="32"/>
              <w:keepNext w:val="0"/>
              <w:keepLines w:val="0"/>
              <w:suppressLineNumbers w:val="0"/>
              <w:spacing w:beforeAutospacing="0" w:after="0" w:afterAutospacing="0" w:line="360" w:lineRule="auto"/>
              <w:ind w:left="0" w:right="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结论</w:t>
            </w:r>
          </w:p>
        </w:tc>
        <w:tc>
          <w:tcPr>
            <w:tcW w:w="699" w:type="dxa"/>
            <w:vAlign w:val="top"/>
          </w:tcPr>
          <w:p w14:paraId="7988E22B">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2AA71820">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c>
          <w:tcPr>
            <w:tcW w:w="699" w:type="dxa"/>
            <w:vAlign w:val="top"/>
          </w:tcPr>
          <w:p w14:paraId="6495E934">
            <w:pPr>
              <w:pStyle w:val="32"/>
              <w:keepNext w:val="0"/>
              <w:keepLines w:val="0"/>
              <w:suppressLineNumbers w:val="0"/>
              <w:spacing w:beforeAutospacing="0" w:after="0" w:afterAutospacing="0"/>
              <w:ind w:left="0" w:right="0"/>
              <w:rPr>
                <w:rFonts w:hint="eastAsia" w:ascii="宋体" w:hAnsi="宋体" w:eastAsia="宋体" w:cs="Times New Roman"/>
                <w:color w:val="auto"/>
                <w:szCs w:val="24"/>
                <w:highlight w:val="none"/>
              </w:rPr>
            </w:pPr>
          </w:p>
        </w:tc>
      </w:tr>
    </w:tbl>
    <w:p w14:paraId="0BC82976">
      <w:pPr>
        <w:spacing w:line="360" w:lineRule="auto"/>
        <w:ind w:firstLine="472"/>
        <w:jc w:val="left"/>
        <w:rPr>
          <w:rFonts w:hint="eastAsia" w:ascii="宋体" w:hAnsi="宋体"/>
          <w:bCs/>
          <w:color w:val="auto"/>
          <w:sz w:val="24"/>
        </w:rPr>
      </w:pPr>
      <w:r>
        <w:rPr>
          <w:rFonts w:hint="eastAsia" w:ascii="宋体" w:hAnsi="宋体" w:cs="仿宋"/>
          <w:color w:val="auto"/>
          <w:spacing w:val="-2"/>
          <w:sz w:val="24"/>
        </w:rPr>
        <w:t>注：符合要求用“√”表示，不符合用“×”表示，结论为“合格”或“不合格”，有任一项不符合要求，结论为不合格。</w:t>
      </w:r>
    </w:p>
    <w:p w14:paraId="4A621A76">
      <w:pPr>
        <w:pStyle w:val="419"/>
        <w:spacing w:line="360" w:lineRule="auto"/>
        <w:jc w:val="center"/>
        <w:rPr>
          <w:rFonts w:hint="eastAsia" w:ascii="宋体" w:hAnsi="宋体"/>
          <w:bCs/>
          <w:color w:val="auto"/>
          <w:sz w:val="32"/>
          <w:szCs w:val="32"/>
        </w:rPr>
      </w:pPr>
      <w:r>
        <w:rPr>
          <w:rFonts w:hint="eastAsia" w:ascii="宋体" w:hAnsi="宋体"/>
          <w:bCs/>
          <w:color w:val="auto"/>
          <w:sz w:val="24"/>
        </w:rPr>
        <w:br w:type="page"/>
      </w:r>
      <w:r>
        <w:rPr>
          <w:rFonts w:hint="eastAsia" w:ascii="宋体" w:hAnsi="宋体"/>
          <w:b/>
          <w:bCs w:val="0"/>
          <w:color w:val="auto"/>
          <w:sz w:val="32"/>
          <w:szCs w:val="32"/>
        </w:rPr>
        <w:t>评分标准</w:t>
      </w:r>
    </w:p>
    <w:p w14:paraId="7B78F73C">
      <w:pPr>
        <w:spacing w:line="360" w:lineRule="auto"/>
        <w:jc w:val="center"/>
        <w:rPr>
          <w:rFonts w:hint="eastAsia" w:ascii="宋体" w:hAnsi="宋体"/>
          <w:b/>
          <w:color w:val="auto"/>
          <w:spacing w:val="-2"/>
          <w:sz w:val="24"/>
        </w:rPr>
      </w:pPr>
      <w:r>
        <w:rPr>
          <w:rFonts w:hint="eastAsia" w:ascii="宋体" w:hAnsi="宋体"/>
          <w:b/>
          <w:color w:val="auto"/>
          <w:spacing w:val="-2"/>
          <w:sz w:val="30"/>
          <w:szCs w:val="30"/>
        </w:rPr>
        <w:t>报价部分</w:t>
      </w:r>
      <w:r>
        <w:rPr>
          <w:rFonts w:hint="eastAsia" w:ascii="宋体" w:hAnsi="宋体"/>
          <w:b/>
          <w:color w:val="auto"/>
          <w:spacing w:val="-2"/>
          <w:sz w:val="24"/>
        </w:rPr>
        <w:t>（占总分值的30%）</w:t>
      </w:r>
    </w:p>
    <w:tbl>
      <w:tblPr>
        <w:tblStyle w:val="97"/>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40"/>
        <w:gridCol w:w="6957"/>
      </w:tblGrid>
      <w:tr w14:paraId="55C28385">
        <w:tblPrEx>
          <w:tblLayout w:type="fixed"/>
        </w:tblPrEx>
        <w:tc>
          <w:tcPr>
            <w:tcW w:w="709" w:type="dxa"/>
            <w:vAlign w:val="center"/>
          </w:tcPr>
          <w:p w14:paraId="72B1231A">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序</w:t>
            </w:r>
          </w:p>
          <w:p w14:paraId="464CB16B">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号</w:t>
            </w:r>
          </w:p>
        </w:tc>
        <w:tc>
          <w:tcPr>
            <w:tcW w:w="1134" w:type="dxa"/>
            <w:vAlign w:val="center"/>
          </w:tcPr>
          <w:p w14:paraId="253E192A">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评审项目</w:t>
            </w:r>
          </w:p>
        </w:tc>
        <w:tc>
          <w:tcPr>
            <w:tcW w:w="840" w:type="dxa"/>
            <w:vAlign w:val="center"/>
          </w:tcPr>
          <w:p w14:paraId="011BCBD1">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分值</w:t>
            </w:r>
          </w:p>
        </w:tc>
        <w:tc>
          <w:tcPr>
            <w:tcW w:w="6957" w:type="dxa"/>
            <w:vAlign w:val="center"/>
          </w:tcPr>
          <w:p w14:paraId="7AA243E1">
            <w:pPr>
              <w:keepNext w:val="0"/>
              <w:keepLines w:val="0"/>
              <w:suppressLineNumbers w:val="0"/>
              <w:spacing w:before="0" w:beforeAutospacing="0" w:after="0" w:afterAutospacing="0" w:line="360" w:lineRule="auto"/>
              <w:ind w:left="0" w:right="0"/>
              <w:jc w:val="center"/>
              <w:rPr>
                <w:rFonts w:hint="eastAsia" w:ascii="宋体" w:hAnsi="宋体" w:cs="仿宋"/>
                <w:b/>
                <w:color w:val="auto"/>
                <w:spacing w:val="-2"/>
                <w:sz w:val="24"/>
              </w:rPr>
            </w:pPr>
            <w:r>
              <w:rPr>
                <w:rFonts w:hint="eastAsia" w:ascii="宋体" w:hAnsi="宋体" w:cs="仿宋"/>
                <w:b/>
                <w:color w:val="auto"/>
                <w:spacing w:val="-2"/>
                <w:sz w:val="24"/>
              </w:rPr>
              <w:t>评分标准</w:t>
            </w:r>
          </w:p>
        </w:tc>
      </w:tr>
      <w:tr w14:paraId="706CFE78">
        <w:tblPrEx>
          <w:tblLayout w:type="fixed"/>
        </w:tblPrEx>
        <w:trPr>
          <w:trHeight w:val="90" w:hRule="atLeast"/>
        </w:trPr>
        <w:tc>
          <w:tcPr>
            <w:tcW w:w="709" w:type="dxa"/>
            <w:vAlign w:val="center"/>
          </w:tcPr>
          <w:p w14:paraId="54C2EB93">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1</w:t>
            </w:r>
          </w:p>
        </w:tc>
        <w:tc>
          <w:tcPr>
            <w:tcW w:w="1134" w:type="dxa"/>
            <w:vAlign w:val="center"/>
          </w:tcPr>
          <w:p w14:paraId="0E17137C">
            <w:pPr>
              <w:keepNext w:val="0"/>
              <w:keepLines w:val="0"/>
              <w:suppressLineNumbers w:val="0"/>
              <w:spacing w:before="0" w:beforeAutospacing="0" w:after="0" w:afterAutospacing="0" w:line="360" w:lineRule="auto"/>
              <w:ind w:left="0" w:right="0"/>
              <w:jc w:val="center"/>
              <w:rPr>
                <w:rFonts w:hint="eastAsia" w:ascii="宋体" w:hAnsi="宋体" w:cs="宋体"/>
                <w:b/>
                <w:bCs/>
                <w:color w:val="auto"/>
                <w:kern w:val="0"/>
                <w:sz w:val="24"/>
              </w:rPr>
            </w:pPr>
            <w:r>
              <w:rPr>
                <w:rFonts w:hint="eastAsia" w:ascii="宋体" w:hAnsi="宋体" w:cs="宋体"/>
                <w:color w:val="auto"/>
                <w:kern w:val="0"/>
                <w:sz w:val="24"/>
              </w:rPr>
              <w:t>经济部分</w:t>
            </w:r>
          </w:p>
        </w:tc>
        <w:tc>
          <w:tcPr>
            <w:tcW w:w="840" w:type="dxa"/>
            <w:vAlign w:val="center"/>
          </w:tcPr>
          <w:p w14:paraId="6E6EF765">
            <w:pPr>
              <w:keepNext w:val="0"/>
              <w:keepLines w:val="0"/>
              <w:suppressLineNumbers w:val="0"/>
              <w:spacing w:before="0" w:beforeAutospacing="0" w:after="0" w:afterAutospacing="0" w:line="360" w:lineRule="auto"/>
              <w:ind w:left="0" w:right="0"/>
              <w:rPr>
                <w:rFonts w:hint="default" w:ascii="宋体" w:hAnsi="宋体" w:cs="宋体"/>
                <w:color w:val="auto"/>
                <w:kern w:val="0"/>
                <w:sz w:val="24"/>
              </w:rPr>
            </w:pPr>
            <w:r>
              <w:rPr>
                <w:rFonts w:hint="eastAsia" w:ascii="宋体" w:hAnsi="宋体" w:cs="宋体"/>
                <w:color w:val="auto"/>
                <w:kern w:val="0"/>
                <w:sz w:val="24"/>
              </w:rPr>
              <w:t>30分</w:t>
            </w:r>
          </w:p>
        </w:tc>
        <w:tc>
          <w:tcPr>
            <w:tcW w:w="6957" w:type="dxa"/>
            <w:vAlign w:val="center"/>
          </w:tcPr>
          <w:p w14:paraId="07390CAD">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价格分采用低价优先法计算，即满足本招标文件要求的最低</w:t>
            </w:r>
          </w:p>
          <w:p w14:paraId="013231AB">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投标报价为评标基准价，其价格分为满分，其它供应商的价</w:t>
            </w:r>
          </w:p>
          <w:p w14:paraId="77AE0934">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格分统一按照下列公式计算：</w:t>
            </w:r>
          </w:p>
          <w:p w14:paraId="794D3C8E">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投标报价得分=（评标基准价／投标报价）×价格分分值（精</w:t>
            </w:r>
          </w:p>
          <w:p w14:paraId="64338962">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确到小数点后两位）。</w:t>
            </w:r>
          </w:p>
          <w:p w14:paraId="2369DCF0">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rPr>
              <w:t>超过了采购项目预算或最高限价的，为无效投标。</w:t>
            </w:r>
          </w:p>
          <w:p w14:paraId="14A1FB36">
            <w:pPr>
              <w:keepNext w:val="0"/>
              <w:keepLines w:val="0"/>
              <w:suppressLineNumbers w:val="0"/>
              <w:spacing w:before="0" w:beforeAutospacing="0" w:after="0" w:afterAutospacing="0" w:line="360" w:lineRule="auto"/>
              <w:ind w:left="0" w:right="0"/>
              <w:rPr>
                <w:rFonts w:hint="eastAsia" w:ascii="宋体" w:hAnsi="宋体" w:cs="宋体"/>
                <w:color w:val="auto"/>
                <w:kern w:val="0"/>
                <w:sz w:val="24"/>
              </w:rPr>
            </w:pPr>
            <w:r>
              <w:rPr>
                <w:rFonts w:hint="eastAsia" w:ascii="宋体" w:hAnsi="宋体" w:cs="宋体"/>
                <w:color w:val="auto"/>
                <w:kern w:val="0"/>
                <w:sz w:val="24"/>
                <w:lang w:val="en-US" w:eastAsia="zh-CN"/>
              </w:rPr>
              <w:t>投标人所投货物全部由小型或微型企业生产的，将评审报价给予10%的扣除</w:t>
            </w:r>
          </w:p>
        </w:tc>
      </w:tr>
    </w:tbl>
    <w:p w14:paraId="297193BB">
      <w:pPr>
        <w:pStyle w:val="42"/>
        <w:rPr>
          <w:rFonts w:hint="eastAsia" w:hAnsi="宋体"/>
          <w:b/>
          <w:color w:val="auto"/>
          <w:spacing w:val="-2"/>
          <w:sz w:val="30"/>
          <w:szCs w:val="30"/>
        </w:rPr>
      </w:pPr>
    </w:p>
    <w:p w14:paraId="3B8B4925">
      <w:pPr>
        <w:pStyle w:val="42"/>
        <w:rPr>
          <w:rFonts w:hint="eastAsia" w:hAnsi="宋体"/>
          <w:b/>
          <w:color w:val="auto"/>
          <w:spacing w:val="-2"/>
          <w:sz w:val="30"/>
          <w:szCs w:val="30"/>
        </w:rPr>
      </w:pPr>
    </w:p>
    <w:p w14:paraId="72F3C8F2">
      <w:pPr>
        <w:spacing w:line="360" w:lineRule="auto"/>
        <w:jc w:val="center"/>
        <w:rPr>
          <w:rFonts w:hint="eastAsia" w:ascii="宋体" w:hAnsi="宋体" w:cs="宋体"/>
          <w:b/>
          <w:color w:val="auto"/>
          <w:spacing w:val="-2"/>
          <w:sz w:val="24"/>
        </w:rPr>
      </w:pPr>
      <w:r>
        <w:rPr>
          <w:rFonts w:hint="eastAsia" w:ascii="宋体" w:hAnsi="宋体" w:cs="宋体"/>
          <w:b/>
          <w:color w:val="auto"/>
          <w:spacing w:val="-2"/>
          <w:sz w:val="30"/>
          <w:szCs w:val="30"/>
        </w:rPr>
        <w:t>商务技术部分</w:t>
      </w:r>
      <w:r>
        <w:rPr>
          <w:rFonts w:hint="eastAsia" w:ascii="宋体" w:hAnsi="宋体" w:cs="宋体"/>
          <w:b/>
          <w:color w:val="auto"/>
          <w:spacing w:val="-2"/>
          <w:sz w:val="24"/>
        </w:rPr>
        <w:t>（占总分值的70%）</w:t>
      </w:r>
    </w:p>
    <w:tbl>
      <w:tblPr>
        <w:tblStyle w:val="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02"/>
        <w:gridCol w:w="765"/>
        <w:gridCol w:w="6799"/>
      </w:tblGrid>
      <w:tr w14:paraId="2225FF36">
        <w:tblPrEx>
          <w:tblLayout w:type="fixed"/>
        </w:tblPrEx>
        <w:trPr>
          <w:trHeight w:val="641" w:hRule="atLeast"/>
        </w:trPr>
        <w:tc>
          <w:tcPr>
            <w:tcW w:w="675" w:type="dxa"/>
            <w:vAlign w:val="center"/>
          </w:tcPr>
          <w:p w14:paraId="5E536FBB">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序</w:t>
            </w:r>
          </w:p>
          <w:p w14:paraId="0D81B0FC">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号</w:t>
            </w:r>
          </w:p>
        </w:tc>
        <w:tc>
          <w:tcPr>
            <w:tcW w:w="1502" w:type="dxa"/>
            <w:vAlign w:val="center"/>
          </w:tcPr>
          <w:p w14:paraId="55233C56">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评审项目</w:t>
            </w:r>
          </w:p>
        </w:tc>
        <w:tc>
          <w:tcPr>
            <w:tcW w:w="765" w:type="dxa"/>
            <w:vAlign w:val="center"/>
          </w:tcPr>
          <w:p w14:paraId="407FAE2A">
            <w:pPr>
              <w:keepNext w:val="0"/>
              <w:keepLines w:val="0"/>
              <w:suppressLineNumbers w:val="0"/>
              <w:spacing w:before="0" w:beforeAutospacing="0" w:after="0" w:afterAutospacing="0" w:line="360" w:lineRule="auto"/>
              <w:ind w:left="0" w:right="0"/>
              <w:jc w:val="center"/>
              <w:rPr>
                <w:rFonts w:hint="eastAsia" w:ascii="宋体" w:hAnsi="宋体" w:cs="宋体"/>
                <w:b/>
                <w:color w:val="auto"/>
                <w:spacing w:val="-2"/>
                <w:sz w:val="24"/>
              </w:rPr>
            </w:pPr>
            <w:r>
              <w:rPr>
                <w:rFonts w:hint="eastAsia" w:ascii="宋体" w:hAnsi="宋体" w:cs="宋体"/>
                <w:b/>
                <w:color w:val="auto"/>
                <w:spacing w:val="-2"/>
                <w:sz w:val="24"/>
              </w:rPr>
              <w:t>分值</w:t>
            </w:r>
          </w:p>
        </w:tc>
        <w:tc>
          <w:tcPr>
            <w:tcW w:w="6799" w:type="dxa"/>
            <w:vAlign w:val="center"/>
          </w:tcPr>
          <w:p w14:paraId="62F93C4D">
            <w:pPr>
              <w:keepNext w:val="0"/>
              <w:keepLines w:val="0"/>
              <w:suppressLineNumbers w:val="0"/>
              <w:spacing w:before="0" w:beforeAutospacing="0" w:after="0" w:afterAutospacing="0" w:line="360" w:lineRule="auto"/>
              <w:ind w:left="0" w:right="0"/>
              <w:jc w:val="center"/>
              <w:rPr>
                <w:rFonts w:hint="eastAsia" w:ascii="宋体" w:hAnsi="宋体" w:cs="宋体"/>
                <w:color w:val="auto"/>
                <w:spacing w:val="-2"/>
                <w:sz w:val="24"/>
              </w:rPr>
            </w:pPr>
            <w:r>
              <w:rPr>
                <w:rFonts w:hint="eastAsia" w:ascii="宋体" w:hAnsi="宋体" w:cs="宋体"/>
                <w:b/>
                <w:color w:val="auto"/>
                <w:spacing w:val="-2"/>
                <w:sz w:val="24"/>
              </w:rPr>
              <w:t>评分标准</w:t>
            </w:r>
          </w:p>
        </w:tc>
      </w:tr>
      <w:tr w14:paraId="485FF0CB">
        <w:tblPrEx>
          <w:tblLayout w:type="fixed"/>
        </w:tblPrEx>
        <w:trPr>
          <w:trHeight w:val="1239" w:hRule="atLeast"/>
        </w:trPr>
        <w:tc>
          <w:tcPr>
            <w:tcW w:w="675" w:type="dxa"/>
            <w:vAlign w:val="center"/>
          </w:tcPr>
          <w:p w14:paraId="0571A8C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1</w:t>
            </w:r>
          </w:p>
        </w:tc>
        <w:tc>
          <w:tcPr>
            <w:tcW w:w="1502" w:type="dxa"/>
            <w:vAlign w:val="center"/>
          </w:tcPr>
          <w:p w14:paraId="1790F96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相关项目</w:t>
            </w:r>
          </w:p>
          <w:p w14:paraId="781529B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业绩</w:t>
            </w:r>
          </w:p>
        </w:tc>
        <w:tc>
          <w:tcPr>
            <w:tcW w:w="765" w:type="dxa"/>
            <w:vAlign w:val="center"/>
          </w:tcPr>
          <w:p w14:paraId="4F1F68C3">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分</w:t>
            </w:r>
          </w:p>
        </w:tc>
        <w:tc>
          <w:tcPr>
            <w:tcW w:w="6799" w:type="dxa"/>
            <w:vAlign w:val="center"/>
          </w:tcPr>
          <w:p w14:paraId="262AC804">
            <w:pPr>
              <w:keepNext w:val="0"/>
              <w:keepLines w:val="0"/>
              <w:suppressLineNumbers w:val="0"/>
              <w:spacing w:before="0" w:beforeAutospacing="0" w:after="0" w:afterAutospacing="0" w:line="360" w:lineRule="auto"/>
              <w:ind w:left="0" w:right="0"/>
              <w:jc w:val="left"/>
              <w:rPr>
                <w:rFonts w:hint="default" w:ascii="宋体" w:hAnsi="宋体" w:cs="宋体"/>
                <w:b/>
                <w:color w:val="auto"/>
                <w:sz w:val="24"/>
              </w:rPr>
            </w:pPr>
            <w:r>
              <w:rPr>
                <w:rFonts w:hint="eastAsia" w:ascii="宋体" w:hAnsi="宋体" w:cs="宋体"/>
                <w:color w:val="auto"/>
                <w:sz w:val="24"/>
              </w:rPr>
              <w:t>须提供</w:t>
            </w:r>
            <w:r>
              <w:rPr>
                <w:rFonts w:hint="eastAsia" w:ascii="宋体" w:hAnsi="宋体" w:cs="宋体"/>
                <w:color w:val="auto"/>
                <w:sz w:val="24"/>
                <w:lang w:eastAsia="zh-CN"/>
              </w:rPr>
              <w:t>投标人具有</w:t>
            </w:r>
            <w:r>
              <w:rPr>
                <w:rFonts w:hint="eastAsia" w:ascii="宋体" w:hAnsi="宋体" w:cs="宋体"/>
                <w:color w:val="auto"/>
                <w:sz w:val="24"/>
              </w:rPr>
              <w:t>根据投标文件所</w:t>
            </w:r>
            <w:r>
              <w:rPr>
                <w:rFonts w:hint="eastAsia" w:ascii="宋体" w:hAnsi="宋体" w:cs="宋体"/>
                <w:color w:val="auto"/>
                <w:sz w:val="24"/>
                <w:lang w:val="en-US" w:eastAsia="zh-CN"/>
              </w:rPr>
              <w:t>要求</w:t>
            </w:r>
            <w:r>
              <w:rPr>
                <w:rFonts w:hint="eastAsia" w:ascii="宋体" w:hAnsi="宋体" w:cs="宋体"/>
                <w:color w:val="auto"/>
                <w:sz w:val="24"/>
              </w:rPr>
              <w:t>投标截止日前三年内的</w:t>
            </w:r>
            <w:r>
              <w:rPr>
                <w:rFonts w:hint="eastAsia" w:ascii="宋体" w:hAnsi="宋体" w:cs="宋体"/>
                <w:color w:val="auto"/>
                <w:sz w:val="24"/>
                <w:lang w:eastAsia="zh-CN"/>
              </w:rPr>
              <w:t>类似</w:t>
            </w:r>
            <w:r>
              <w:rPr>
                <w:rFonts w:hint="eastAsia" w:ascii="宋体" w:hAnsi="宋体" w:cs="宋体"/>
                <w:color w:val="auto"/>
                <w:sz w:val="24"/>
              </w:rPr>
              <w:t>项目业绩：（附合同或中标（成交）通知书，每一份合同或中标（成交）通知书</w:t>
            </w:r>
            <w:r>
              <w:rPr>
                <w:rFonts w:hint="eastAsia" w:ascii="宋体" w:hAnsi="宋体" w:cs="宋体"/>
                <w:color w:val="auto"/>
                <w:sz w:val="24"/>
                <w:lang w:val="en-US" w:eastAsia="zh-CN"/>
              </w:rPr>
              <w:t>得2</w:t>
            </w:r>
            <w:r>
              <w:rPr>
                <w:rFonts w:hint="eastAsia" w:ascii="宋体" w:hAnsi="宋体" w:cs="宋体"/>
                <w:color w:val="auto"/>
                <w:sz w:val="24"/>
              </w:rPr>
              <w:t>分，</w:t>
            </w:r>
            <w:r>
              <w:rPr>
                <w:rFonts w:hint="eastAsia" w:ascii="宋体" w:hAnsi="宋体" w:cs="宋体"/>
                <w:color w:val="auto"/>
                <w:sz w:val="24"/>
                <w:lang w:val="en-US" w:eastAsia="zh-CN"/>
              </w:rPr>
              <w:t>最高得6</w:t>
            </w:r>
            <w:r>
              <w:rPr>
                <w:rFonts w:hint="eastAsia" w:ascii="宋体" w:hAnsi="宋体" w:cs="宋体"/>
                <w:color w:val="auto"/>
                <w:sz w:val="24"/>
              </w:rPr>
              <w:t>分。未提供不得分。</w:t>
            </w:r>
          </w:p>
        </w:tc>
      </w:tr>
      <w:tr w14:paraId="5662C582">
        <w:tblPrEx>
          <w:tblLayout w:type="fixed"/>
        </w:tblPrEx>
        <w:trPr>
          <w:trHeight w:val="476" w:hRule="atLeast"/>
        </w:trPr>
        <w:tc>
          <w:tcPr>
            <w:tcW w:w="675" w:type="dxa"/>
            <w:vAlign w:val="center"/>
          </w:tcPr>
          <w:p w14:paraId="3342E49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2</w:t>
            </w:r>
          </w:p>
        </w:tc>
        <w:tc>
          <w:tcPr>
            <w:tcW w:w="1502" w:type="dxa"/>
            <w:vAlign w:val="center"/>
          </w:tcPr>
          <w:p w14:paraId="320BA6EB">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产品性能指标</w:t>
            </w:r>
          </w:p>
        </w:tc>
        <w:tc>
          <w:tcPr>
            <w:tcW w:w="765" w:type="dxa"/>
            <w:vAlign w:val="center"/>
          </w:tcPr>
          <w:p w14:paraId="4A93BC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44分</w:t>
            </w:r>
          </w:p>
        </w:tc>
        <w:tc>
          <w:tcPr>
            <w:tcW w:w="6799" w:type="dxa"/>
            <w:vAlign w:val="center"/>
          </w:tcPr>
          <w:p w14:paraId="04E30A69">
            <w:pPr>
              <w:keepNext w:val="0"/>
              <w:keepLines w:val="0"/>
              <w:numPr>
                <w:ilvl w:val="0"/>
                <w:numId w:val="32"/>
              </w:numPr>
              <w:suppressLineNumbers w:val="0"/>
              <w:spacing w:before="0" w:beforeAutospacing="0" w:after="0" w:afterAutospacing="0" w:line="360" w:lineRule="auto"/>
              <w:ind w:left="0" w:right="0"/>
              <w:jc w:val="left"/>
              <w:rPr>
                <w:rFonts w:hint="default" w:ascii="宋体" w:hAnsi="宋体" w:eastAsia="宋体" w:cs="宋体"/>
                <w:color w:val="FF0000"/>
                <w:kern w:val="2"/>
                <w:sz w:val="24"/>
                <w:szCs w:val="24"/>
                <w:highlight w:val="none"/>
                <w:lang w:val="en-US" w:eastAsia="zh-CN"/>
              </w:rPr>
            </w:pPr>
            <w:r>
              <w:rPr>
                <w:rFonts w:hint="default" w:ascii="宋体" w:hAnsi="宋体" w:eastAsia="宋体" w:cs="宋体"/>
                <w:color w:val="FF0000"/>
                <w:kern w:val="2"/>
                <w:sz w:val="24"/>
                <w:szCs w:val="24"/>
                <w:highlight w:val="none"/>
                <w:lang w:val="en-US" w:eastAsia="zh-CN"/>
              </w:rPr>
              <w:t>核心指标响应（30分）：评标委员会根据投标文件对招标文件第四章采购需求中标注“★”的核心技术参数的响应情况进行评审。完全满足或优于的，得30分。每有一项“★”指标不满足（即负偏离），扣3分，扣完为止。不提供有效证明材料（如检测报告、产品彩页等）的，视为不满足。</w:t>
            </w:r>
          </w:p>
          <w:p w14:paraId="51EFE49F">
            <w:pPr>
              <w:keepNext w:val="0"/>
              <w:keepLines w:val="0"/>
              <w:numPr>
                <w:ilvl w:val="0"/>
                <w:numId w:val="32"/>
              </w:numPr>
              <w:suppressLineNumbers w:val="0"/>
              <w:spacing w:before="0" w:beforeAutospacing="0" w:after="0" w:afterAutospacing="0" w:line="360" w:lineRule="auto"/>
              <w:ind w:left="0" w:right="0"/>
              <w:jc w:val="left"/>
              <w:rPr>
                <w:rFonts w:hint="default" w:ascii="宋体" w:hAnsi="宋体" w:eastAsia="宋体" w:cs="宋体"/>
                <w:color w:val="FF0000"/>
                <w:kern w:val="2"/>
                <w:sz w:val="24"/>
                <w:szCs w:val="24"/>
                <w:highlight w:val="none"/>
                <w:lang w:val="en-US" w:eastAsia="zh-CN"/>
              </w:rPr>
            </w:pPr>
            <w:r>
              <w:rPr>
                <w:rFonts w:hint="default" w:ascii="宋体" w:hAnsi="宋体" w:eastAsia="宋体" w:cs="宋体"/>
                <w:color w:val="FF0000"/>
                <w:kern w:val="2"/>
                <w:sz w:val="24"/>
                <w:szCs w:val="24"/>
                <w:highlight w:val="none"/>
                <w:lang w:val="en-US" w:eastAsia="zh-CN"/>
              </w:rPr>
              <w:t>一般指标响应（1</w:t>
            </w:r>
            <w:r>
              <w:rPr>
                <w:rFonts w:hint="default" w:ascii="宋体" w:hAnsi="宋体" w:eastAsia="宋体" w:cs="宋体"/>
                <w:color w:val="FF0000"/>
                <w:kern w:val="2"/>
                <w:sz w:val="24"/>
                <w:szCs w:val="24"/>
                <w:highlight w:val="none"/>
                <w:lang w:val="en-US" w:eastAsia="zh-CN"/>
              </w:rPr>
              <w:t>4分）： 完全满足第四章中所有非“★”的技术参数的，得14分。每有一项一般指标负偏离，扣0.5分，扣完为止。”</w:t>
            </w:r>
          </w:p>
          <w:p w14:paraId="14E3C75A">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注：带</w:t>
            </w:r>
            <w:r>
              <w:rPr>
                <w:rFonts w:hint="eastAsia" w:ascii="宋体" w:hAnsi="宋体" w:eastAsia="宋体" w:cs="宋体"/>
                <w:kern w:val="2"/>
                <w:sz w:val="24"/>
                <w:szCs w:val="24"/>
                <w:highlight w:val="none"/>
                <w:lang w:val="en-US" w:eastAsia="zh-CN"/>
              </w:rPr>
              <w:t>★</w:t>
            </w:r>
            <w:r>
              <w:rPr>
                <w:rFonts w:hint="default" w:ascii="宋体" w:hAnsi="宋体" w:eastAsia="宋体" w:cs="宋体"/>
                <w:kern w:val="2"/>
                <w:sz w:val="24"/>
                <w:szCs w:val="24"/>
                <w:highlight w:val="none"/>
                <w:lang w:val="en-US" w:eastAsia="zh-CN"/>
              </w:rPr>
              <w:t>技术参数指标需提供相关证明材料(产品的检测报</w:t>
            </w:r>
          </w:p>
          <w:p w14:paraId="5F314D81">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告或软件截图或说明书或彩页并加盖原厂商公章），不提供</w:t>
            </w:r>
          </w:p>
          <w:p w14:paraId="4BDD9495">
            <w:pPr>
              <w:keepNext w:val="0"/>
              <w:keepLines w:val="0"/>
              <w:suppressLineNumbers w:val="0"/>
              <w:spacing w:before="0" w:beforeAutospacing="0" w:after="0" w:afterAutospacing="0" w:line="360" w:lineRule="auto"/>
              <w:ind w:left="0" w:right="0"/>
              <w:jc w:val="left"/>
              <w:rPr>
                <w:rFonts w:hint="default" w:ascii="宋体" w:hAnsi="宋体" w:eastAsia="宋体" w:cs="宋体"/>
                <w:kern w:val="2"/>
                <w:sz w:val="24"/>
                <w:szCs w:val="24"/>
                <w:highlight w:val="none"/>
                <w:lang w:val="en-US" w:eastAsia="zh-CN"/>
              </w:rPr>
            </w:pPr>
            <w:r>
              <w:rPr>
                <w:rFonts w:hint="default" w:ascii="宋体" w:hAnsi="宋体" w:eastAsia="宋体" w:cs="宋体"/>
                <w:kern w:val="2"/>
                <w:sz w:val="24"/>
                <w:szCs w:val="24"/>
                <w:highlight w:val="none"/>
                <w:lang w:val="en-US" w:eastAsia="zh-CN"/>
              </w:rPr>
              <w:t>性能指标证明材料的，此项指标视为负偏离。</w:t>
            </w:r>
          </w:p>
        </w:tc>
      </w:tr>
      <w:tr w14:paraId="3F752A7B">
        <w:tblPrEx>
          <w:tblLayout w:type="fixed"/>
        </w:tblPrEx>
        <w:trPr>
          <w:trHeight w:val="2597" w:hRule="atLeast"/>
        </w:trPr>
        <w:tc>
          <w:tcPr>
            <w:tcW w:w="675" w:type="dxa"/>
            <w:vAlign w:val="center"/>
          </w:tcPr>
          <w:p w14:paraId="172A1B2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3</w:t>
            </w:r>
          </w:p>
        </w:tc>
        <w:tc>
          <w:tcPr>
            <w:tcW w:w="1502" w:type="dxa"/>
            <w:vAlign w:val="center"/>
          </w:tcPr>
          <w:p w14:paraId="65206BE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default" w:ascii="宋体" w:hAnsi="宋体" w:cs="宋体"/>
                <w:color w:val="000000"/>
                <w:sz w:val="24"/>
              </w:rPr>
              <w:t>实施方案</w:t>
            </w:r>
          </w:p>
        </w:tc>
        <w:tc>
          <w:tcPr>
            <w:tcW w:w="765" w:type="dxa"/>
            <w:vAlign w:val="center"/>
          </w:tcPr>
          <w:p w14:paraId="35561FDC">
            <w:pPr>
              <w:keepNext w:val="0"/>
              <w:keepLines w:val="0"/>
              <w:suppressLineNumbers w:val="0"/>
              <w:spacing w:before="0" w:beforeAutospacing="0" w:after="0" w:afterAutospacing="0" w:line="360" w:lineRule="auto"/>
              <w:ind w:left="0" w:right="0"/>
              <w:jc w:val="left"/>
              <w:rPr>
                <w:rFonts w:hint="eastAsia"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分</w:t>
            </w:r>
          </w:p>
        </w:tc>
        <w:tc>
          <w:tcPr>
            <w:tcW w:w="6799" w:type="dxa"/>
            <w:vAlign w:val="center"/>
          </w:tcPr>
          <w:p w14:paraId="18AAD8C0">
            <w:pPr>
              <w:keepNext w:val="0"/>
              <w:keepLines w:val="0"/>
              <w:suppressLineNumbers w:val="0"/>
              <w:spacing w:before="0" w:beforeAutospacing="0" w:after="0" w:afterAutospacing="0" w:line="360" w:lineRule="auto"/>
              <w:ind w:left="0" w:right="0"/>
              <w:jc w:val="left"/>
              <w:rPr>
                <w:rFonts w:hint="default" w:ascii="宋体" w:hAnsi="宋体" w:cs="宋体"/>
                <w:color w:val="FF0000"/>
                <w:sz w:val="24"/>
              </w:rPr>
            </w:pPr>
            <w:r>
              <w:rPr>
                <w:rFonts w:hint="default" w:ascii="宋体" w:hAnsi="宋体" w:cs="宋体"/>
                <w:color w:val="FF0000"/>
                <w:sz w:val="24"/>
              </w:rPr>
              <w:t>评审供应商提供的项目实施方案，根据其内容完整性、逻辑合理性和与本项目的关联性进行评分。</w:t>
            </w:r>
          </w:p>
          <w:p w14:paraId="72159105">
            <w:pPr>
              <w:keepNext w:val="0"/>
              <w:keepLines w:val="0"/>
              <w:suppressLineNumbers w:val="0"/>
              <w:spacing w:before="0" w:beforeAutospacing="0" w:after="0" w:afterAutospacing="0" w:line="360" w:lineRule="auto"/>
              <w:ind w:left="0" w:right="0"/>
              <w:jc w:val="left"/>
              <w:rPr>
                <w:rFonts w:hint="default" w:ascii="宋体" w:hAnsi="宋体" w:cs="宋体"/>
                <w:color w:val="FF0000"/>
                <w:sz w:val="24"/>
              </w:rPr>
            </w:pPr>
            <w:r>
              <w:rPr>
                <w:rFonts w:hint="default" w:ascii="宋体" w:hAnsi="宋体" w:cs="宋体"/>
                <w:color w:val="FF0000"/>
                <w:sz w:val="24"/>
              </w:rPr>
              <w:t>方案完整覆盖质量保证、交货安装、应急预案三方面内容，且内容详实、逻辑清晰、完全针对本项目需求、无明显缺陷或遗漏，得6分；</w:t>
            </w:r>
          </w:p>
          <w:p w14:paraId="22D30207">
            <w:pPr>
              <w:keepNext w:val="0"/>
              <w:keepLines w:val="0"/>
              <w:suppressLineNumbers w:val="0"/>
              <w:spacing w:before="0" w:beforeAutospacing="0" w:after="0" w:afterAutospacing="0" w:line="360" w:lineRule="auto"/>
              <w:ind w:left="0" w:right="0"/>
              <w:jc w:val="left"/>
              <w:rPr>
                <w:rFonts w:hint="default" w:ascii="宋体" w:hAnsi="宋体" w:cs="宋体"/>
                <w:color w:val="FF0000"/>
                <w:sz w:val="24"/>
              </w:rPr>
            </w:pPr>
            <w:r>
              <w:rPr>
                <w:rFonts w:hint="default" w:ascii="宋体" w:hAnsi="宋体" w:cs="宋体"/>
                <w:color w:val="FF0000"/>
                <w:sz w:val="24"/>
              </w:rPr>
              <w:t>方案覆盖上述三方面内容，但存在1-2处非实质性缺陷（如个别细节不完善但不影响整体执行），得4分；</w:t>
            </w:r>
          </w:p>
          <w:p w14:paraId="34B1771B">
            <w:pPr>
              <w:keepNext w:val="0"/>
              <w:keepLines w:val="0"/>
              <w:suppressLineNumbers w:val="0"/>
              <w:spacing w:before="0" w:beforeAutospacing="0" w:after="0" w:afterAutospacing="0" w:line="360" w:lineRule="auto"/>
              <w:ind w:left="0" w:right="0"/>
              <w:jc w:val="left"/>
              <w:rPr>
                <w:rFonts w:hint="default" w:ascii="宋体" w:hAnsi="宋体" w:cs="宋体"/>
                <w:color w:val="FF0000"/>
                <w:sz w:val="24"/>
              </w:rPr>
            </w:pPr>
            <w:r>
              <w:rPr>
                <w:rFonts w:hint="default" w:ascii="宋体" w:hAnsi="宋体" w:cs="宋体"/>
                <w:color w:val="FF0000"/>
                <w:sz w:val="24"/>
              </w:rPr>
              <w:t>方案未完整覆盖上述三方面内容，或存在多处缺陷，得2分；</w:t>
            </w:r>
          </w:p>
          <w:p w14:paraId="55ECA3ED">
            <w:pPr>
              <w:keepNext w:val="0"/>
              <w:keepLines w:val="0"/>
              <w:suppressLineNumbers w:val="0"/>
              <w:spacing w:before="0" w:beforeAutospacing="0" w:after="0" w:afterAutospacing="0" w:line="360" w:lineRule="auto"/>
              <w:ind w:left="0" w:right="0"/>
              <w:jc w:val="left"/>
              <w:rPr>
                <w:rFonts w:hint="default" w:ascii="宋体" w:hAnsi="宋体" w:cs="宋体"/>
                <w:color w:val="FF0000"/>
                <w:sz w:val="24"/>
              </w:rPr>
            </w:pPr>
            <w:r>
              <w:rPr>
                <w:rFonts w:hint="default" w:ascii="宋体" w:hAnsi="宋体" w:cs="宋体"/>
                <w:color w:val="FF0000"/>
                <w:sz w:val="24"/>
              </w:rPr>
              <w:t>未提供方案，得0分。</w:t>
            </w:r>
          </w:p>
          <w:p w14:paraId="1D6CF23E">
            <w:pPr>
              <w:keepNext w:val="0"/>
              <w:keepLines w:val="0"/>
              <w:suppressLineNumbers w:val="0"/>
              <w:spacing w:before="0" w:beforeAutospacing="0" w:after="0" w:afterAutospacing="0" w:line="360" w:lineRule="auto"/>
              <w:ind w:left="0" w:right="0"/>
              <w:jc w:val="left"/>
              <w:rPr>
                <w:rFonts w:hint="eastAsia" w:ascii="宋体" w:hAnsi="宋体" w:cs="宋体"/>
                <w:color w:val="auto"/>
                <w:sz w:val="24"/>
                <w:lang w:val="en-US" w:eastAsia="zh-CN"/>
              </w:rPr>
            </w:pPr>
            <w:r>
              <w:rPr>
                <w:rFonts w:hint="default" w:ascii="宋体" w:hAnsi="宋体" w:cs="宋体"/>
                <w:color w:val="FF0000"/>
                <w:sz w:val="24"/>
              </w:rPr>
              <w:t>（注：缺陷指方案内容与本项目无直接关联、缺乏可操作性或存在明显逻辑错误。）”</w:t>
            </w:r>
          </w:p>
        </w:tc>
      </w:tr>
      <w:tr w14:paraId="69922237">
        <w:tblPrEx>
          <w:tblLayout w:type="fixed"/>
        </w:tblPrEx>
        <w:trPr>
          <w:trHeight w:val="545" w:hRule="atLeast"/>
        </w:trPr>
        <w:tc>
          <w:tcPr>
            <w:tcW w:w="675" w:type="dxa"/>
            <w:vAlign w:val="center"/>
          </w:tcPr>
          <w:p w14:paraId="6320F2B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4</w:t>
            </w:r>
          </w:p>
        </w:tc>
        <w:tc>
          <w:tcPr>
            <w:tcW w:w="1502" w:type="dxa"/>
            <w:vAlign w:val="center"/>
          </w:tcPr>
          <w:p w14:paraId="3BB88C1E">
            <w:pPr>
              <w:keepNext w:val="0"/>
              <w:keepLines w:val="0"/>
              <w:suppressLineNumbers w:val="0"/>
              <w:spacing w:before="0" w:beforeAutospacing="0" w:after="0" w:afterAutospacing="0" w:line="360" w:lineRule="auto"/>
              <w:ind w:left="0" w:right="0" w:firstLine="240" w:firstLineChars="100"/>
              <w:rPr>
                <w:rFonts w:hint="eastAsia" w:ascii="宋体" w:hAnsi="宋体" w:cs="宋体"/>
                <w:color w:val="auto"/>
                <w:sz w:val="24"/>
              </w:rPr>
            </w:pPr>
            <w:r>
              <w:rPr>
                <w:rFonts w:hint="eastAsia" w:ascii="宋体" w:hAnsi="宋体" w:cs="宋体"/>
                <w:color w:val="000000"/>
                <w:sz w:val="24"/>
              </w:rPr>
              <w:t>技术培训</w:t>
            </w:r>
          </w:p>
        </w:tc>
        <w:tc>
          <w:tcPr>
            <w:tcW w:w="765" w:type="dxa"/>
            <w:vAlign w:val="center"/>
          </w:tcPr>
          <w:p w14:paraId="42D7BE10">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分</w:t>
            </w:r>
          </w:p>
          <w:p w14:paraId="0B03BAD6">
            <w:pPr>
              <w:keepNext w:val="0"/>
              <w:keepLines w:val="0"/>
              <w:suppressLineNumbers w:val="0"/>
              <w:spacing w:before="0" w:beforeAutospacing="0" w:after="0" w:afterAutospacing="0" w:line="360" w:lineRule="auto"/>
              <w:ind w:left="0" w:right="0"/>
              <w:jc w:val="center"/>
              <w:rPr>
                <w:rFonts w:hint="default" w:ascii="宋体" w:hAnsi="宋体" w:cs="宋体"/>
                <w:color w:val="auto"/>
                <w:sz w:val="24"/>
              </w:rPr>
            </w:pPr>
          </w:p>
        </w:tc>
        <w:tc>
          <w:tcPr>
            <w:tcW w:w="6799" w:type="dxa"/>
            <w:vAlign w:val="center"/>
          </w:tcPr>
          <w:p w14:paraId="7699B9AF">
            <w:pPr>
              <w:keepNext w:val="0"/>
              <w:keepLines w:val="0"/>
              <w:suppressLineNumbers w:val="0"/>
              <w:spacing w:before="0" w:beforeAutospacing="0" w:after="0" w:afterAutospacing="0" w:line="360" w:lineRule="auto"/>
              <w:ind w:left="0" w:right="0" w:firstLine="0" w:firstLineChars="0"/>
              <w:jc w:val="left"/>
              <w:rPr>
                <w:rFonts w:hint="default" w:ascii="宋体" w:hAnsi="宋体" w:eastAsia="宋体" w:cs="宋体"/>
                <w:color w:val="000000"/>
                <w:sz w:val="24"/>
                <w:szCs w:val="24"/>
              </w:rPr>
            </w:pPr>
            <w:r>
              <w:rPr>
                <w:rFonts w:hint="default" w:ascii="宋体" w:hAnsi="宋体" w:eastAsia="宋体" w:cs="宋体"/>
                <w:color w:val="000000"/>
                <w:sz w:val="24"/>
                <w:szCs w:val="24"/>
              </w:rPr>
              <w:t>投标人提供的培训方案，包括1.培训计划及培训时间安排；</w:t>
            </w:r>
            <w:r>
              <w:rPr>
                <w:rFonts w:hint="default" w:ascii="宋体" w:hAnsi="宋体" w:eastAsia="宋体" w:cs="宋体"/>
                <w:color w:val="000000"/>
                <w:sz w:val="24"/>
                <w:szCs w:val="24"/>
                <w:lang w:val="en-US"/>
              </w:rPr>
              <w:t>2</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培训人员配置</w:t>
            </w:r>
            <w:r>
              <w:rPr>
                <w:rFonts w:hint="eastAsia" w:ascii="宋体" w:hAnsi="宋体" w:eastAsia="宋体" w:cs="宋体"/>
                <w:color w:val="000000"/>
                <w:sz w:val="24"/>
                <w:szCs w:val="24"/>
                <w:lang w:val="en-US" w:eastAsia="zh-CN"/>
              </w:rPr>
              <w:t>（含人员基本信息、工作履约和工作分工）</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3</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设备设施</w:t>
            </w:r>
            <w:r>
              <w:rPr>
                <w:rFonts w:hint="default" w:ascii="宋体" w:hAnsi="宋体" w:eastAsia="宋体" w:cs="宋体"/>
                <w:color w:val="000000"/>
                <w:sz w:val="24"/>
                <w:szCs w:val="24"/>
              </w:rPr>
              <w:t>使用方法培训安排；</w:t>
            </w:r>
            <w:r>
              <w:rPr>
                <w:rFonts w:hint="default" w:ascii="宋体" w:hAnsi="宋体" w:eastAsia="宋体" w:cs="宋体"/>
                <w:color w:val="000000"/>
                <w:sz w:val="24"/>
                <w:szCs w:val="24"/>
                <w:lang w:val="en-US"/>
              </w:rPr>
              <w:t>4</w:t>
            </w:r>
            <w:r>
              <w:rPr>
                <w:rFonts w:hint="default" w:ascii="宋体" w:hAnsi="宋体" w:eastAsia="宋体" w:cs="宋体"/>
                <w:color w:val="000000"/>
                <w:sz w:val="24"/>
                <w:szCs w:val="24"/>
              </w:rPr>
              <w:t>.</w:t>
            </w:r>
            <w:r>
              <w:rPr>
                <w:rFonts w:hint="default" w:ascii="宋体" w:hAnsi="宋体" w:eastAsia="宋体" w:cs="宋体"/>
                <w:color w:val="000000"/>
                <w:sz w:val="24"/>
                <w:szCs w:val="24"/>
                <w:lang w:val="en-US"/>
              </w:rPr>
              <w:t>设备日常</w:t>
            </w:r>
            <w:r>
              <w:rPr>
                <w:rFonts w:hint="default" w:ascii="宋体" w:hAnsi="宋体" w:eastAsia="宋体" w:cs="宋体"/>
                <w:color w:val="000000"/>
                <w:sz w:val="24"/>
                <w:szCs w:val="24"/>
              </w:rPr>
              <w:t>维护保养及</w:t>
            </w:r>
            <w:r>
              <w:rPr>
                <w:rFonts w:hint="default" w:ascii="宋体" w:hAnsi="宋体" w:eastAsia="宋体" w:cs="宋体"/>
                <w:color w:val="000000"/>
                <w:sz w:val="24"/>
                <w:szCs w:val="24"/>
                <w:lang w:val="en-US"/>
              </w:rPr>
              <w:t>设备</w:t>
            </w:r>
            <w:r>
              <w:rPr>
                <w:rFonts w:hint="default" w:ascii="宋体" w:hAnsi="宋体" w:eastAsia="宋体" w:cs="宋体"/>
                <w:color w:val="000000"/>
                <w:sz w:val="24"/>
                <w:szCs w:val="24"/>
              </w:rPr>
              <w:t>常见故障</w:t>
            </w:r>
            <w:r>
              <w:rPr>
                <w:rFonts w:hint="default" w:ascii="宋体" w:hAnsi="宋体" w:eastAsia="宋体" w:cs="宋体"/>
                <w:color w:val="000000"/>
                <w:sz w:val="24"/>
                <w:szCs w:val="24"/>
                <w:lang w:val="en-US"/>
              </w:rPr>
              <w:t>排查及简单</w:t>
            </w:r>
            <w:r>
              <w:rPr>
                <w:rFonts w:hint="default" w:ascii="宋体" w:hAnsi="宋体" w:eastAsia="宋体" w:cs="宋体"/>
                <w:color w:val="000000"/>
                <w:sz w:val="24"/>
                <w:szCs w:val="24"/>
              </w:rPr>
              <w:t>维修</w:t>
            </w:r>
            <w:r>
              <w:rPr>
                <w:rFonts w:hint="eastAsia" w:ascii="宋体" w:hAnsi="宋体" w:eastAsia="宋体" w:cs="宋体"/>
                <w:color w:val="000000"/>
                <w:sz w:val="24"/>
                <w:szCs w:val="24"/>
                <w:lang w:eastAsia="zh-CN"/>
              </w:rPr>
              <w:t>的培训安排</w:t>
            </w:r>
            <w:r>
              <w:rPr>
                <w:rFonts w:hint="default" w:ascii="宋体" w:hAnsi="宋体" w:eastAsia="宋体" w:cs="宋体"/>
                <w:color w:val="000000"/>
                <w:sz w:val="24"/>
                <w:szCs w:val="24"/>
              </w:rPr>
              <w:t>。</w:t>
            </w:r>
          </w:p>
          <w:p w14:paraId="759DFF42">
            <w:pPr>
              <w:keepNext w:val="0"/>
              <w:keepLines w:val="0"/>
              <w:suppressLineNumbers w:val="0"/>
              <w:spacing w:before="0" w:beforeAutospacing="0" w:after="0" w:afterAutospacing="0" w:line="360" w:lineRule="auto"/>
              <w:ind w:left="0" w:right="0" w:firstLine="0" w:firstLineChars="0"/>
              <w:jc w:val="left"/>
              <w:rPr>
                <w:rFonts w:hint="default" w:ascii="宋体" w:hAnsi="宋体" w:eastAsia="宋体" w:cs="宋体"/>
                <w:color w:val="000000"/>
                <w:sz w:val="24"/>
                <w:szCs w:val="24"/>
              </w:rPr>
            </w:pPr>
            <w:r>
              <w:rPr>
                <w:rFonts w:hint="eastAsia" w:ascii="宋体" w:hAnsi="宋体" w:cs="宋体"/>
                <w:color w:val="000000"/>
                <w:sz w:val="24"/>
              </w:rPr>
              <w:t>提供上述方案且无缺</w:t>
            </w:r>
            <w:r>
              <w:rPr>
                <w:rFonts w:hint="eastAsia" w:ascii="宋体" w:hAnsi="宋体" w:eastAsia="宋体" w:cs="宋体"/>
                <w:color w:val="000000"/>
                <w:kern w:val="0"/>
                <w:sz w:val="24"/>
                <w:lang w:bidi="ar"/>
              </w:rPr>
              <w:t>陷</w:t>
            </w:r>
            <w:r>
              <w:rPr>
                <w:rFonts w:hint="eastAsia" w:ascii="宋体" w:hAnsi="宋体" w:eastAsia="宋体" w:cs="宋体"/>
                <w:color w:val="000000"/>
                <w:sz w:val="24"/>
                <w:szCs w:val="24"/>
                <w:lang w:eastAsia="zh-CN"/>
              </w:rPr>
              <w:t>得</w:t>
            </w:r>
            <w:r>
              <w:rPr>
                <w:rFonts w:hint="eastAsia" w:ascii="宋体" w:hAnsi="宋体" w:eastAsia="宋体" w:cs="宋体"/>
                <w:color w:val="000000"/>
                <w:sz w:val="24"/>
                <w:szCs w:val="24"/>
                <w:lang w:val="en-US" w:eastAsia="zh-CN"/>
              </w:rPr>
              <w:t>8</w:t>
            </w:r>
            <w:r>
              <w:rPr>
                <w:rFonts w:hint="default" w:ascii="宋体" w:hAnsi="宋体" w:eastAsia="宋体" w:cs="宋体"/>
                <w:color w:val="000000"/>
                <w:sz w:val="24"/>
                <w:szCs w:val="24"/>
              </w:rPr>
              <w:t>分，每缺一项扣</w:t>
            </w:r>
            <w:r>
              <w:rPr>
                <w:rFonts w:hint="eastAsia" w:ascii="宋体" w:hAnsi="宋体" w:eastAsia="宋体" w:cs="宋体"/>
                <w:color w:val="000000"/>
                <w:sz w:val="24"/>
                <w:szCs w:val="24"/>
                <w:lang w:val="en-US" w:eastAsia="zh-CN"/>
              </w:rPr>
              <w:t>2</w:t>
            </w:r>
            <w:r>
              <w:rPr>
                <w:rFonts w:hint="default" w:ascii="宋体" w:hAnsi="宋体" w:eastAsia="宋体" w:cs="宋体"/>
                <w:color w:val="000000"/>
                <w:sz w:val="24"/>
                <w:szCs w:val="24"/>
              </w:rPr>
              <w:t>分。每有一项内容有缺陷扣</w:t>
            </w:r>
            <w:r>
              <w:rPr>
                <w:rFonts w:hint="eastAsia" w:ascii="宋体" w:hAnsi="宋体" w:eastAsia="宋体" w:cs="宋体"/>
                <w:color w:val="000000"/>
                <w:sz w:val="24"/>
                <w:szCs w:val="24"/>
                <w:lang w:val="en-US" w:eastAsia="zh-CN"/>
              </w:rPr>
              <w:t>1</w:t>
            </w:r>
            <w:r>
              <w:rPr>
                <w:rFonts w:hint="default" w:ascii="宋体" w:hAnsi="宋体" w:eastAsia="宋体" w:cs="宋体"/>
                <w:color w:val="000000"/>
                <w:sz w:val="24"/>
                <w:szCs w:val="24"/>
              </w:rPr>
              <w:t>分。（扣完为止）</w:t>
            </w:r>
          </w:p>
          <w:p w14:paraId="4B0668E2">
            <w:pPr>
              <w:keepNext w:val="0"/>
              <w:keepLines w:val="0"/>
              <w:suppressLineNumbers w:val="0"/>
              <w:spacing w:before="0" w:beforeAutospacing="0" w:after="0" w:afterAutospacing="0" w:line="360" w:lineRule="auto"/>
              <w:ind w:left="0" w:right="0"/>
              <w:jc w:val="left"/>
              <w:rPr>
                <w:rFonts w:hint="eastAsia" w:ascii="宋体" w:hAnsi="宋体" w:cs="宋体"/>
                <w:color w:val="auto"/>
                <w:sz w:val="24"/>
                <w:lang w:val="en-US" w:eastAsia="zh-CN"/>
              </w:rPr>
            </w:pPr>
            <w:r>
              <w:rPr>
                <w:rFonts w:hint="default" w:ascii="宋体" w:hAnsi="宋体" w:eastAsia="宋体" w:cs="宋体"/>
                <w:color w:val="000000"/>
                <w:sz w:val="24"/>
                <w:szCs w:val="24"/>
                <w:lang w:val="en-US"/>
              </w:rPr>
              <w:t>(缺陷是指：</w:t>
            </w:r>
            <w:r>
              <w:rPr>
                <w:rFonts w:hint="eastAsia" w:ascii="宋体" w:hAnsi="宋体" w:cs="宋体"/>
                <w:color w:val="000000"/>
                <w:sz w:val="24"/>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lang w:bidi="ar"/>
              </w:rPr>
              <w:t>)</w:t>
            </w:r>
          </w:p>
        </w:tc>
      </w:tr>
      <w:tr w14:paraId="30D43CBA">
        <w:tblPrEx>
          <w:tblLayout w:type="fixed"/>
        </w:tblPrEx>
        <w:trPr>
          <w:trHeight w:val="545" w:hRule="atLeast"/>
        </w:trPr>
        <w:tc>
          <w:tcPr>
            <w:tcW w:w="675" w:type="dxa"/>
            <w:vAlign w:val="center"/>
          </w:tcPr>
          <w:p w14:paraId="66C73A7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p>
        </w:tc>
        <w:tc>
          <w:tcPr>
            <w:tcW w:w="1502" w:type="dxa"/>
            <w:vAlign w:val="center"/>
          </w:tcPr>
          <w:p w14:paraId="78AD622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售后服务方案</w:t>
            </w:r>
          </w:p>
        </w:tc>
        <w:tc>
          <w:tcPr>
            <w:tcW w:w="765" w:type="dxa"/>
            <w:vAlign w:val="center"/>
          </w:tcPr>
          <w:p w14:paraId="384ED278">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5分</w:t>
            </w:r>
          </w:p>
        </w:tc>
        <w:tc>
          <w:tcPr>
            <w:tcW w:w="6799" w:type="dxa"/>
            <w:vAlign w:val="center"/>
          </w:tcPr>
          <w:p w14:paraId="71BDE785">
            <w:pPr>
              <w:keepNext w:val="0"/>
              <w:keepLines w:val="0"/>
              <w:suppressLineNumbers w:val="0"/>
              <w:spacing w:before="0" w:beforeAutospacing="0" w:after="0" w:afterAutospacing="0" w:line="360" w:lineRule="auto"/>
              <w:ind w:left="0" w:right="0"/>
              <w:jc w:val="left"/>
              <w:rPr>
                <w:rFonts w:hint="default" w:ascii="宋体" w:hAnsi="宋体" w:eastAsia="宋体" w:cs="宋体"/>
                <w:color w:val="000000"/>
                <w:sz w:val="24"/>
              </w:rPr>
            </w:pPr>
            <w:r>
              <w:rPr>
                <w:rFonts w:hint="default" w:ascii="宋体" w:hAnsi="宋体" w:eastAsia="宋体" w:cs="宋体"/>
                <w:color w:val="000000"/>
                <w:sz w:val="24"/>
              </w:rPr>
              <w:t>满足招标文件要求的质保期（保修期）前提下，售后服务方案制定完善，包括（1）售后服务流程方案（包括但不限于质保期内、质保期结束后）；（2）产品保修服务方案(免费退换货或返修方案)；（3）设备维护方案；（4）售后人员配置方案（售后服务团队配置有符合项目要求的售后人员和售后团队机构图，其他售后人员职责分工明确，有售后人员联系方式和工作履历）；</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lang w:eastAsia="zh-CN"/>
              </w:rPr>
              <w:t>）设备保修期后的维保计划和优惠等。</w:t>
            </w:r>
            <w:r>
              <w:rPr>
                <w:rFonts w:hint="default" w:ascii="宋体" w:hAnsi="宋体" w:eastAsia="宋体" w:cs="宋体"/>
                <w:color w:val="000000"/>
                <w:sz w:val="24"/>
              </w:rPr>
              <w:t>所有要素齐全且完全满足项目要求得</w:t>
            </w:r>
            <w:r>
              <w:rPr>
                <w:rFonts w:hint="eastAsia" w:ascii="宋体" w:hAnsi="宋体" w:eastAsia="宋体" w:cs="宋体"/>
                <w:color w:val="000000"/>
                <w:sz w:val="24"/>
                <w:lang w:val="en-US" w:eastAsia="zh-CN"/>
              </w:rPr>
              <w:t>5</w:t>
            </w:r>
            <w:r>
              <w:rPr>
                <w:rFonts w:hint="default" w:ascii="宋体" w:hAnsi="宋体" w:eastAsia="宋体" w:cs="宋体"/>
                <w:color w:val="000000"/>
                <w:sz w:val="24"/>
              </w:rPr>
              <w:t>分，每缺一项扣</w:t>
            </w:r>
            <w:r>
              <w:rPr>
                <w:rFonts w:hint="eastAsia" w:ascii="宋体" w:hAnsi="宋体" w:eastAsia="宋体" w:cs="宋体"/>
                <w:color w:val="000000"/>
                <w:sz w:val="24"/>
                <w:lang w:val="en-US" w:eastAsia="zh-CN"/>
              </w:rPr>
              <w:t>1</w:t>
            </w:r>
            <w:r>
              <w:rPr>
                <w:rFonts w:hint="default" w:ascii="宋体" w:hAnsi="宋体" w:eastAsia="宋体" w:cs="宋体"/>
                <w:color w:val="000000"/>
                <w:sz w:val="24"/>
              </w:rPr>
              <w:t>分</w:t>
            </w:r>
            <w:r>
              <w:rPr>
                <w:rFonts w:hint="eastAsia" w:ascii="宋体" w:hAnsi="宋体" w:eastAsia="宋体" w:cs="宋体"/>
                <w:color w:val="000000"/>
                <w:sz w:val="24"/>
                <w:lang w:eastAsia="zh-CN"/>
              </w:rPr>
              <w:t>，</w:t>
            </w:r>
            <w:r>
              <w:rPr>
                <w:rFonts w:hint="default" w:ascii="宋体" w:hAnsi="宋体" w:eastAsia="宋体" w:cs="宋体"/>
                <w:color w:val="000000"/>
                <w:sz w:val="24"/>
              </w:rPr>
              <w:t>每有一项内容有缺陷的扣</w:t>
            </w:r>
            <w:r>
              <w:rPr>
                <w:rFonts w:hint="eastAsia" w:ascii="宋体" w:hAnsi="宋体" w:eastAsia="宋体" w:cs="宋体"/>
                <w:color w:val="000000"/>
                <w:sz w:val="24"/>
                <w:lang w:val="en-US" w:eastAsia="zh-CN"/>
              </w:rPr>
              <w:t>0.5</w:t>
            </w:r>
            <w:r>
              <w:rPr>
                <w:rFonts w:hint="default" w:ascii="宋体" w:hAnsi="宋体" w:eastAsia="宋体" w:cs="宋体"/>
                <w:color w:val="000000"/>
                <w:sz w:val="24"/>
              </w:rPr>
              <w:t>分。（扣完为止）</w:t>
            </w:r>
          </w:p>
          <w:p w14:paraId="6FD469F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default" w:ascii="宋体" w:hAnsi="宋体" w:eastAsia="宋体" w:cs="宋体"/>
                <w:color w:val="000000"/>
                <w:sz w:val="24"/>
              </w:rPr>
              <w:t>(缺陷是指：</w:t>
            </w:r>
            <w:r>
              <w:rPr>
                <w:rFonts w:hint="eastAsia" w:ascii="宋体" w:hAnsi="宋体" w:cs="宋体"/>
                <w:color w:val="000000"/>
                <w:sz w:val="24"/>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lang w:bidi="ar"/>
              </w:rPr>
              <w:t>)</w:t>
            </w:r>
          </w:p>
        </w:tc>
      </w:tr>
      <w:tr w14:paraId="029C59ED">
        <w:tblPrEx>
          <w:tblLayout w:type="fixed"/>
        </w:tblPrEx>
        <w:trPr>
          <w:trHeight w:val="545" w:hRule="atLeast"/>
        </w:trPr>
        <w:tc>
          <w:tcPr>
            <w:tcW w:w="675" w:type="dxa"/>
            <w:vAlign w:val="center"/>
          </w:tcPr>
          <w:p w14:paraId="0540AFAD">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w:t>
            </w:r>
          </w:p>
        </w:tc>
        <w:tc>
          <w:tcPr>
            <w:tcW w:w="1502" w:type="dxa"/>
            <w:vAlign w:val="center"/>
          </w:tcPr>
          <w:p w14:paraId="2623756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lang w:val="en-US" w:eastAsia="zh-CN"/>
              </w:rPr>
            </w:pPr>
            <w:r>
              <w:rPr>
                <w:rFonts w:hint="eastAsia" w:ascii="宋体" w:hAnsi="宋体" w:cs="宋体"/>
                <w:color w:val="000000"/>
                <w:sz w:val="24"/>
                <w:lang w:val="en-US" w:eastAsia="zh-CN"/>
              </w:rPr>
              <w:t>质保承诺</w:t>
            </w:r>
          </w:p>
        </w:tc>
        <w:tc>
          <w:tcPr>
            <w:tcW w:w="765" w:type="dxa"/>
            <w:vAlign w:val="center"/>
          </w:tcPr>
          <w:p w14:paraId="2A8F80FF">
            <w:pPr>
              <w:keepNext w:val="0"/>
              <w:keepLines w:val="0"/>
              <w:suppressLineNumbers w:val="0"/>
              <w:spacing w:before="0" w:beforeAutospacing="0" w:after="0" w:afterAutospacing="0" w:line="360" w:lineRule="auto"/>
              <w:ind w:left="0" w:right="0"/>
              <w:jc w:val="left"/>
              <w:rPr>
                <w:rFonts w:hint="default" w:ascii="宋体" w:hAnsi="宋体" w:eastAsia="宋体" w:cs="宋体"/>
                <w:color w:val="auto"/>
                <w:sz w:val="24"/>
                <w:lang w:val="en-US" w:eastAsia="zh-CN"/>
              </w:rPr>
            </w:pP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分</w:t>
            </w:r>
          </w:p>
        </w:tc>
        <w:tc>
          <w:tcPr>
            <w:tcW w:w="6799" w:type="dxa"/>
            <w:vAlign w:val="center"/>
          </w:tcPr>
          <w:p w14:paraId="285CD588">
            <w:pPr>
              <w:keepNext w:val="0"/>
              <w:keepLines w:val="0"/>
              <w:suppressLineNumbers w:val="0"/>
              <w:spacing w:before="0" w:beforeAutospacing="0" w:after="0" w:afterAutospacing="0" w:line="360" w:lineRule="auto"/>
              <w:ind w:left="0" w:right="0"/>
              <w:jc w:val="left"/>
              <w:rPr>
                <w:rFonts w:hint="default" w:ascii="宋体" w:hAnsi="宋体" w:eastAsia="宋体" w:cs="宋体"/>
                <w:color w:val="000000"/>
                <w:sz w:val="24"/>
              </w:rPr>
            </w:pPr>
            <w:r>
              <w:rPr>
                <w:rFonts w:hint="eastAsia" w:ascii="宋体" w:hAnsi="宋体" w:cs="宋体"/>
                <w:color w:val="000000"/>
                <w:sz w:val="24"/>
              </w:rPr>
              <w:t>满足本项目质保</w:t>
            </w:r>
            <w:r>
              <w:rPr>
                <w:rFonts w:hint="eastAsia" w:ascii="宋体" w:hAnsi="宋体" w:cs="宋体"/>
                <w:color w:val="000000"/>
                <w:sz w:val="24"/>
                <w:lang w:val="en-US" w:eastAsia="zh-CN"/>
              </w:rPr>
              <w:t>期要求</w:t>
            </w:r>
            <w:r>
              <w:rPr>
                <w:rFonts w:hint="eastAsia" w:ascii="宋体" w:hAnsi="宋体" w:cs="宋体"/>
                <w:color w:val="000000"/>
                <w:sz w:val="24"/>
              </w:rPr>
              <w:t>前提下，</w:t>
            </w:r>
            <w:r>
              <w:rPr>
                <w:rFonts w:hint="eastAsia"/>
                <w:b w:val="0"/>
                <w:bCs w:val="0"/>
                <w:color w:val="FF0000"/>
                <w:sz w:val="24"/>
                <w:highlight w:val="none"/>
                <w:lang w:val="en-US" w:eastAsia="zh-CN"/>
              </w:rPr>
              <w:t>每延长1年加0.5分，满分1分</w:t>
            </w:r>
            <w:r>
              <w:rPr>
                <w:rFonts w:hint="eastAsia" w:ascii="宋体" w:hAnsi="宋体" w:cs="宋体"/>
                <w:color w:val="000000"/>
                <w:sz w:val="24"/>
              </w:rPr>
              <w:t>，须提供承诺函并加盖公章，不提供不得分。</w:t>
            </w:r>
          </w:p>
        </w:tc>
      </w:tr>
      <w:tr w14:paraId="050A6306">
        <w:tblPrEx>
          <w:tblLayout w:type="fixed"/>
        </w:tblPrEx>
        <w:trPr>
          <w:trHeight w:val="415" w:hRule="atLeast"/>
        </w:trPr>
        <w:tc>
          <w:tcPr>
            <w:tcW w:w="2942" w:type="dxa"/>
            <w:gridSpan w:val="3"/>
            <w:vAlign w:val="center"/>
          </w:tcPr>
          <w:p w14:paraId="4BDE1AF7">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小计</w:t>
            </w:r>
          </w:p>
        </w:tc>
        <w:tc>
          <w:tcPr>
            <w:tcW w:w="6799" w:type="dxa"/>
            <w:vAlign w:val="center"/>
          </w:tcPr>
          <w:p w14:paraId="367332EE">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70分</w:t>
            </w:r>
          </w:p>
        </w:tc>
      </w:tr>
    </w:tbl>
    <w:p w14:paraId="30503582">
      <w:pPr>
        <w:spacing w:line="360" w:lineRule="auto"/>
        <w:jc w:val="center"/>
        <w:rPr>
          <w:rFonts w:hint="eastAsia" w:ascii="宋体" w:hAnsi="宋体"/>
          <w:b/>
          <w:color w:val="auto"/>
          <w:spacing w:val="-2"/>
          <w:sz w:val="24"/>
        </w:rPr>
      </w:pPr>
    </w:p>
    <w:p w14:paraId="31663043">
      <w:pPr>
        <w:tabs>
          <w:tab w:val="left" w:pos="3850"/>
        </w:tabs>
        <w:spacing w:line="360" w:lineRule="auto"/>
        <w:rPr>
          <w:rFonts w:hint="eastAsia" w:ascii="宋体" w:hAnsi="宋体" w:eastAsia="宋体"/>
          <w:b/>
          <w:color w:val="auto"/>
          <w:sz w:val="24"/>
          <w:lang w:eastAsia="zh-CN"/>
        </w:rPr>
      </w:pPr>
      <w:r>
        <w:rPr>
          <w:rFonts w:hint="eastAsia" w:ascii="宋体" w:hAnsi="宋体"/>
          <w:b/>
          <w:color w:val="auto"/>
          <w:sz w:val="24"/>
        </w:rPr>
        <w:t>计算综合评分时，如有小数，应保留两位小数。</w:t>
      </w:r>
    </w:p>
    <w:p w14:paraId="1A146E6D">
      <w:pPr>
        <w:pStyle w:val="419"/>
        <w:spacing w:line="360" w:lineRule="auto"/>
        <w:rPr>
          <w:rFonts w:hint="eastAsia" w:ascii="宋体" w:hAnsi="宋体"/>
          <w:bCs/>
          <w:sz w:val="24"/>
        </w:rPr>
      </w:pPr>
      <w:bookmarkStart w:id="6" w:name="_Toc501639726"/>
      <w:r>
        <w:rPr>
          <w:rFonts w:hint="eastAsia" w:ascii="宋体" w:hAnsi="宋体"/>
          <w:bCs/>
          <w:sz w:val="24"/>
        </w:rPr>
        <w:t>注：</w:t>
      </w:r>
      <w:r>
        <w:rPr>
          <w:rFonts w:ascii="宋体" w:hAnsi="宋体"/>
          <w:bCs/>
          <w:sz w:val="24"/>
        </w:rPr>
        <w:t>1.</w:t>
      </w:r>
      <w:r>
        <w:rPr>
          <w:rFonts w:hint="eastAsia" w:ascii="宋体" w:hAnsi="宋体"/>
          <w:bCs/>
          <w:sz w:val="24"/>
        </w:rPr>
        <w:t>根据《政府采购促进中小企业发展管理办法》（财库〔2020〕46号）、《财政部司法部关于政府采购支持监狱企业发展有关问题的通知》（财库〔</w:t>
      </w:r>
      <w:r>
        <w:rPr>
          <w:rFonts w:ascii="宋体" w:hAnsi="宋体"/>
          <w:bCs/>
          <w:sz w:val="24"/>
        </w:rPr>
        <w:t>2014</w:t>
      </w:r>
      <w:r>
        <w:rPr>
          <w:rFonts w:hint="eastAsia" w:ascii="宋体" w:hAnsi="宋体"/>
          <w:bCs/>
          <w:sz w:val="24"/>
        </w:rPr>
        <w:t>〕</w:t>
      </w:r>
      <w:r>
        <w:rPr>
          <w:rFonts w:ascii="宋体" w:hAnsi="宋体"/>
          <w:bCs/>
          <w:sz w:val="24"/>
        </w:rPr>
        <w:t>68</w:t>
      </w:r>
      <w:r>
        <w:rPr>
          <w:rFonts w:hint="eastAsia" w:ascii="宋体" w:hAnsi="宋体"/>
          <w:bCs/>
          <w:sz w:val="24"/>
        </w:rPr>
        <w:t>号）和《三部门联合发布关于促进残疾人就业政府采购政策的通知》（财库〔</w:t>
      </w:r>
      <w:r>
        <w:rPr>
          <w:rFonts w:ascii="宋体" w:hAnsi="宋体"/>
          <w:bCs/>
          <w:sz w:val="24"/>
        </w:rPr>
        <w:t>2017</w:t>
      </w:r>
      <w:r>
        <w:rPr>
          <w:rFonts w:hint="eastAsia" w:ascii="宋体" w:hAnsi="宋体"/>
          <w:bCs/>
          <w:sz w:val="24"/>
        </w:rPr>
        <w:t>〕</w:t>
      </w:r>
      <w:r>
        <w:rPr>
          <w:rFonts w:ascii="宋体" w:hAnsi="宋体"/>
          <w:bCs/>
          <w:sz w:val="24"/>
        </w:rPr>
        <w:t>141</w:t>
      </w:r>
      <w:r>
        <w:rPr>
          <w:rFonts w:hint="eastAsia" w:ascii="宋体" w:hAnsi="宋体"/>
          <w:bCs/>
          <w:sz w:val="24"/>
        </w:rPr>
        <w:t>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bCs/>
          <w:sz w:val="24"/>
          <w:u w:val="single"/>
        </w:rPr>
        <w:t>10%</w:t>
      </w:r>
      <w:r>
        <w:rPr>
          <w:rFonts w:hint="eastAsia" w:ascii="宋体" w:hAnsi="宋体"/>
          <w:bCs/>
          <w:sz w:val="24"/>
        </w:rPr>
        <w:t>后参与评审。对于同时属于小微企业、监狱企业或残疾人福利性单位的，不重复进行投标报价扣除。</w:t>
      </w:r>
    </w:p>
    <w:p w14:paraId="57F50A01">
      <w:pPr>
        <w:spacing w:line="360" w:lineRule="auto"/>
        <w:rPr>
          <w:rFonts w:hint="eastAsia" w:ascii="宋体" w:hAnsi="宋体"/>
          <w:bCs/>
          <w:sz w:val="24"/>
        </w:rPr>
      </w:pPr>
      <w:r>
        <w:rPr>
          <w:rFonts w:hint="eastAsia" w:ascii="宋体" w:hAnsi="宋体" w:eastAsia="宋体" w:cs="Times New Roman"/>
          <w:bCs/>
          <w:color w:val="auto"/>
          <w:kern w:val="2"/>
          <w:sz w:val="24"/>
          <w:szCs w:val="24"/>
          <w:highlight w:val="none"/>
          <w:lang w:val="en-US" w:eastAsia="zh-CN" w:bidi="ar-SA"/>
        </w:rPr>
        <w:t>2.根据</w:t>
      </w:r>
      <w:r>
        <w:rPr>
          <w:rFonts w:hint="eastAsia" w:ascii="宋体" w:hAnsi="宋体" w:eastAsia="宋体" w:cs="Times New Roman"/>
          <w:bCs/>
          <w:kern w:val="2"/>
          <w:sz w:val="24"/>
          <w:szCs w:val="24"/>
          <w:lang w:val="en-US" w:eastAsia="zh-CN" w:bidi="ar-SA"/>
        </w:rPr>
        <w:t>《国务院办公厅关于在政府采购中实施本国产品标准及相关政策的通知》（国办发〔2025〕34号)</w:t>
      </w:r>
      <w:r>
        <w:rPr>
          <w:rFonts w:hint="eastAsia" w:ascii="宋体" w:hAnsi="宋体" w:eastAsia="宋体" w:cs="Times New Roman"/>
          <w:bCs/>
          <w:color w:val="auto"/>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883F3AC">
      <w:pPr>
        <w:pStyle w:val="419"/>
        <w:spacing w:line="360" w:lineRule="auto"/>
        <w:rPr>
          <w:rFonts w:ascii="宋体" w:hAnsi="宋体"/>
          <w:bCs/>
          <w:sz w:val="24"/>
        </w:rPr>
      </w:pPr>
      <w:r>
        <w:rPr>
          <w:rFonts w:hint="eastAsia" w:ascii="宋体" w:hAnsi="宋体"/>
          <w:bCs/>
          <w:sz w:val="24"/>
          <w:lang w:val="en-US" w:eastAsia="zh-CN"/>
        </w:rPr>
        <w:t>3</w:t>
      </w:r>
      <w:r>
        <w:rPr>
          <w:rFonts w:ascii="宋体" w:hAnsi="宋体"/>
          <w:bCs/>
          <w:sz w:val="24"/>
        </w:rPr>
        <w:t>.</w:t>
      </w:r>
      <w:r>
        <w:rPr>
          <w:rFonts w:hint="eastAsia" w:ascii="宋体" w:hAnsi="宋体"/>
          <w:bCs/>
          <w:sz w:val="24"/>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14A30813">
      <w:pPr>
        <w:pStyle w:val="419"/>
        <w:spacing w:line="360" w:lineRule="auto"/>
        <w:rPr>
          <w:rFonts w:hint="eastAsia" w:ascii="宋体" w:hAnsi="宋体"/>
          <w:bCs/>
          <w:sz w:val="24"/>
        </w:rPr>
      </w:pPr>
      <w:r>
        <w:rPr>
          <w:rFonts w:hint="eastAsia" w:ascii="宋体" w:hAnsi="宋体"/>
          <w:bCs/>
          <w:sz w:val="24"/>
          <w:lang w:val="en-US" w:eastAsia="zh-CN"/>
        </w:rPr>
        <w:t>4</w:t>
      </w:r>
      <w:r>
        <w:rPr>
          <w:rFonts w:ascii="宋体" w:hAnsi="宋体"/>
          <w:bCs/>
          <w:sz w:val="24"/>
        </w:rPr>
        <w:t>.</w:t>
      </w:r>
      <w:r>
        <w:rPr>
          <w:rFonts w:hint="eastAsia" w:ascii="宋体" w:hAnsi="宋体"/>
          <w:bCs/>
          <w:sz w:val="24"/>
        </w:rPr>
        <w:t>投标人的投标货物属于节能产品、环境标志产品品目清单范围内，且投标人所投产品具有节能产品、环境标志产品认证证书，在评标时予以优先采购。</w:t>
      </w:r>
    </w:p>
    <w:p w14:paraId="4A9866C0">
      <w:pPr>
        <w:pStyle w:val="419"/>
        <w:spacing w:line="360" w:lineRule="auto"/>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如采购人所采购产品为政府强制采购的节能产品，投标人所投产品的品牌及型号必须为清单中有效期内产品并提供证明文件，否则其投标将作为无效投标被拒绝。</w:t>
      </w:r>
    </w:p>
    <w:p w14:paraId="7F13DA36">
      <w:pPr>
        <w:pStyle w:val="419"/>
        <w:spacing w:line="360" w:lineRule="auto"/>
        <w:rPr>
          <w:rFonts w:hint="eastAsia" w:ascii="宋体" w:hAnsi="宋体"/>
          <w:bCs/>
          <w:sz w:val="24"/>
        </w:rPr>
      </w:pPr>
      <w:r>
        <w:rPr>
          <w:rFonts w:hint="eastAsia" w:ascii="宋体" w:hAnsi="宋体"/>
          <w:bCs/>
          <w:sz w:val="24"/>
          <w:lang w:val="en-US" w:eastAsia="zh-CN"/>
        </w:rPr>
        <w:t>6</w:t>
      </w:r>
      <w:r>
        <w:rPr>
          <w:rFonts w:ascii="宋体" w:hAnsi="宋体"/>
          <w:bCs/>
          <w:sz w:val="24"/>
        </w:rPr>
        <w:t>.</w:t>
      </w:r>
      <w:r>
        <w:rPr>
          <w:rFonts w:hint="eastAsia" w:ascii="宋体" w:hAnsi="宋体"/>
          <w:bCs/>
          <w:sz w:val="24"/>
        </w:rPr>
        <w:t>同品牌处理办法：提供相同品牌产品且通过资格审查、符合性审查的不同投标人，按一家投标人计算，评审后得分最高的同品牌投标人获得中标人推荐资格；评审得分相同的则投标报价最低优先，如报价相同则技术部分得分最高优先。</w:t>
      </w:r>
    </w:p>
    <w:p w14:paraId="096BF04E">
      <w:pPr>
        <w:pStyle w:val="419"/>
        <w:spacing w:line="360" w:lineRule="auto"/>
        <w:rPr>
          <w:rFonts w:ascii="宋体" w:hAnsi="宋体"/>
          <w:bCs/>
          <w:sz w:val="24"/>
        </w:rPr>
        <w:sectPr>
          <w:headerReference r:id="rId5" w:type="default"/>
          <w:footerReference r:id="rId6" w:type="default"/>
          <w:pgSz w:w="11911" w:h="16838"/>
          <w:pgMar w:top="1134" w:right="1134" w:bottom="1140" w:left="1457" w:header="851" w:footer="952" w:gutter="0"/>
          <w:cols w:space="720" w:num="1"/>
          <w:docGrid w:linePitch="286" w:charSpace="0"/>
        </w:sectPr>
      </w:pPr>
      <w:r>
        <w:rPr>
          <w:rFonts w:hint="eastAsia" w:ascii="宋体" w:hAnsi="宋体"/>
          <w:bCs/>
          <w:sz w:val="24"/>
          <w:lang w:val="en-US" w:eastAsia="zh-CN"/>
        </w:rPr>
        <w:t>7</w:t>
      </w:r>
      <w:r>
        <w:rPr>
          <w:rFonts w:ascii="宋体" w:hAnsi="宋体"/>
          <w:bCs/>
          <w:sz w:val="24"/>
        </w:rPr>
        <w:t>.</w:t>
      </w:r>
      <w:r>
        <w:rPr>
          <w:rFonts w:hint="eastAsia" w:ascii="宋体" w:hAnsi="宋体"/>
          <w:bCs/>
          <w:sz w:val="24"/>
        </w:rPr>
        <w:t>中标候选人并列式时的处理方式：投标报价最低优先，如报价相同则技术部分得分最高优先，投标报价相同且技术部分得分也相同的，由评标委员会推荐，经采购人确定。</w:t>
      </w:r>
    </w:p>
    <w:p w14:paraId="4D38F2FF">
      <w:pPr>
        <w:pStyle w:val="2"/>
        <w:spacing w:before="0" w:after="0"/>
        <w:ind w:firstLine="3213" w:firstLineChars="1000"/>
        <w:rPr>
          <w:color w:val="auto"/>
          <w:kern w:val="2"/>
          <w:sz w:val="24"/>
          <w:szCs w:val="24"/>
        </w:rPr>
      </w:pPr>
      <w:r>
        <w:rPr>
          <w:color w:val="auto"/>
          <w:sz w:val="32"/>
          <w:szCs w:val="32"/>
        </w:rPr>
        <w:t>第六章</w:t>
      </w:r>
      <w:r>
        <w:rPr>
          <w:rFonts w:hint="eastAsia"/>
          <w:color w:val="auto"/>
          <w:sz w:val="32"/>
          <w:szCs w:val="32"/>
          <w:lang w:val="en-US" w:eastAsia="zh-CN"/>
        </w:rPr>
        <w:t xml:space="preserve"> </w:t>
      </w:r>
      <w:r>
        <w:rPr>
          <w:color w:val="auto"/>
          <w:sz w:val="32"/>
          <w:szCs w:val="32"/>
        </w:rPr>
        <w:t>合同条款</w:t>
      </w:r>
      <w:bookmarkEnd w:id="6"/>
      <w:bookmarkStart w:id="7" w:name="_Toc380404622"/>
      <w:bookmarkStart w:id="8" w:name="_Toc497666658"/>
      <w:r>
        <w:rPr>
          <w:color w:val="auto"/>
          <w:sz w:val="32"/>
          <w:szCs w:val="32"/>
        </w:rPr>
        <w:t>草案</w:t>
      </w:r>
    </w:p>
    <w:bookmarkEnd w:id="7"/>
    <w:bookmarkEnd w:id="8"/>
    <w:p w14:paraId="708C991F">
      <w:pPr>
        <w:rPr>
          <w:rFonts w:hint="eastAsia" w:ascii="宋体" w:hAnsi="宋体" w:cs="宋体"/>
          <w:b/>
          <w:color w:val="auto"/>
          <w:sz w:val="24"/>
        </w:rPr>
      </w:pPr>
      <w:r>
        <w:rPr>
          <w:rFonts w:hint="eastAsia" w:ascii="宋体" w:hAnsi="宋体" w:cs="宋体"/>
          <w:b/>
          <w:color w:val="auto"/>
          <w:sz w:val="24"/>
        </w:rPr>
        <w:t>1、定义</w:t>
      </w:r>
    </w:p>
    <w:p w14:paraId="00F3EA7B">
      <w:pPr>
        <w:spacing w:line="360" w:lineRule="auto"/>
        <w:ind w:firstLine="480" w:firstLineChars="200"/>
        <w:rPr>
          <w:rFonts w:hint="eastAsia" w:ascii="宋体" w:hAnsi="宋体" w:cs="宋体"/>
          <w:color w:val="auto"/>
          <w:sz w:val="24"/>
        </w:rPr>
      </w:pPr>
      <w:r>
        <w:rPr>
          <w:rFonts w:hint="eastAsia" w:ascii="宋体" w:hAnsi="宋体" w:cs="宋体"/>
          <w:color w:val="auto"/>
          <w:sz w:val="24"/>
        </w:rPr>
        <w:t>1.1“合同”系指买方和卖方（以下简称合同双方）已达成的协议，即由双方签订的合同格式文件，包括所有的招标文件、投标文件、招标答疑纪录、澄清说明、附件、附录和组成合同的所有其他文件。</w:t>
      </w:r>
    </w:p>
    <w:p w14:paraId="11D9F90C">
      <w:pPr>
        <w:spacing w:line="360" w:lineRule="auto"/>
        <w:ind w:firstLine="480" w:firstLineChars="200"/>
        <w:rPr>
          <w:rFonts w:hint="eastAsia" w:ascii="宋体" w:hAnsi="宋体" w:cs="宋体"/>
          <w:color w:val="auto"/>
          <w:sz w:val="24"/>
        </w:rPr>
      </w:pPr>
      <w:r>
        <w:rPr>
          <w:rFonts w:hint="eastAsia" w:ascii="宋体" w:hAnsi="宋体" w:cs="宋体"/>
          <w:color w:val="auto"/>
          <w:sz w:val="24"/>
        </w:rPr>
        <w:t>1.2“合同价格”系指根据合同规定，在卖方全面正确地履行合同义务时，买方应支付给卖方的款项。</w:t>
      </w:r>
    </w:p>
    <w:p w14:paraId="2EB7C808">
      <w:pPr>
        <w:spacing w:line="360" w:lineRule="auto"/>
        <w:ind w:firstLine="480" w:firstLineChars="200"/>
        <w:rPr>
          <w:rFonts w:hint="eastAsia" w:ascii="宋体" w:hAnsi="宋体" w:cs="宋体"/>
          <w:color w:val="auto"/>
          <w:sz w:val="24"/>
        </w:rPr>
      </w:pPr>
      <w:r>
        <w:rPr>
          <w:rFonts w:hint="eastAsia" w:ascii="宋体" w:hAnsi="宋体" w:cs="宋体"/>
          <w:color w:val="auto"/>
          <w:sz w:val="24"/>
        </w:rPr>
        <w:t>1.3“货物”系指卖方按合同要求，须向买方提供的一切设备、机械、仪器仪表、备品备件、工具、手册、其它技术资料和其它材料。</w:t>
      </w:r>
    </w:p>
    <w:p w14:paraId="1BBB45E5">
      <w:pPr>
        <w:spacing w:line="360" w:lineRule="auto"/>
        <w:ind w:firstLine="480" w:firstLineChars="200"/>
        <w:rPr>
          <w:rFonts w:hint="eastAsia" w:ascii="宋体" w:hAnsi="宋体" w:cs="宋体"/>
          <w:color w:val="auto"/>
          <w:sz w:val="24"/>
        </w:rPr>
      </w:pPr>
      <w:r>
        <w:rPr>
          <w:rFonts w:hint="eastAsia" w:ascii="宋体" w:hAnsi="宋体" w:cs="宋体"/>
          <w:color w:val="auto"/>
          <w:sz w:val="24"/>
        </w:rPr>
        <w:t>1.4“服务”系指合同规定卖方必须承担的安装、调试、技术协助及其他类似义务。</w:t>
      </w:r>
    </w:p>
    <w:p w14:paraId="35C636C0">
      <w:pPr>
        <w:spacing w:line="360" w:lineRule="auto"/>
        <w:ind w:firstLine="480" w:firstLineChars="200"/>
        <w:rPr>
          <w:rFonts w:hint="eastAsia" w:ascii="宋体" w:hAnsi="宋体" w:cs="宋体"/>
          <w:color w:val="auto"/>
          <w:sz w:val="24"/>
        </w:rPr>
      </w:pPr>
      <w:r>
        <w:rPr>
          <w:rFonts w:hint="eastAsia" w:ascii="宋体" w:hAnsi="宋体" w:cs="宋体"/>
          <w:color w:val="auto"/>
          <w:sz w:val="24"/>
        </w:rPr>
        <w:t>1.5“甲方”、“买方”、“采购人”均系指通过招标采购，接受合同货物及服务的各行政事业单位、社会团体(采购单位)及社会代理机构。</w:t>
      </w:r>
    </w:p>
    <w:p w14:paraId="410D984E">
      <w:pPr>
        <w:spacing w:line="360" w:lineRule="auto"/>
        <w:ind w:firstLine="480" w:firstLineChars="200"/>
        <w:rPr>
          <w:rFonts w:hint="eastAsia" w:ascii="宋体" w:hAnsi="宋体" w:cs="宋体"/>
          <w:color w:val="auto"/>
          <w:sz w:val="24"/>
        </w:rPr>
      </w:pPr>
      <w:r>
        <w:rPr>
          <w:rFonts w:hint="eastAsia" w:ascii="宋体" w:hAnsi="宋体" w:cs="宋体"/>
          <w:color w:val="auto"/>
          <w:sz w:val="24"/>
        </w:rPr>
        <w:t>1.6“乙方”、“卖方”系指中标后提供合同货物和服务的经济实体。</w:t>
      </w:r>
    </w:p>
    <w:p w14:paraId="076A6FD7">
      <w:pPr>
        <w:spacing w:line="360" w:lineRule="auto"/>
        <w:ind w:firstLine="480" w:firstLineChars="200"/>
        <w:rPr>
          <w:rFonts w:hint="eastAsia" w:ascii="宋体" w:hAnsi="宋体" w:cs="宋体"/>
          <w:color w:val="auto"/>
          <w:sz w:val="24"/>
        </w:rPr>
      </w:pPr>
      <w:r>
        <w:rPr>
          <w:rFonts w:hint="eastAsia" w:ascii="宋体" w:hAnsi="宋体" w:cs="宋体"/>
          <w:color w:val="auto"/>
          <w:sz w:val="24"/>
        </w:rPr>
        <w:t>1.7“现场”系指将要进行货物安装和运转的地点。</w:t>
      </w:r>
    </w:p>
    <w:p w14:paraId="5659077C">
      <w:pPr>
        <w:spacing w:line="360" w:lineRule="auto"/>
        <w:ind w:firstLine="480" w:firstLineChars="200"/>
        <w:rPr>
          <w:rFonts w:hint="eastAsia" w:ascii="宋体" w:hAnsi="宋体" w:cs="宋体"/>
          <w:color w:val="auto"/>
          <w:sz w:val="24"/>
        </w:rPr>
      </w:pPr>
      <w:r>
        <w:rPr>
          <w:rFonts w:hint="eastAsia" w:ascii="宋体" w:hAnsi="宋体" w:cs="宋体"/>
          <w:color w:val="auto"/>
          <w:sz w:val="24"/>
        </w:rPr>
        <w:t>1.8“验收”系指买方依据国家技术规范及本合同的约定，对内技术规格规定接受合同货物所依据的程序和条件。</w:t>
      </w:r>
    </w:p>
    <w:p w14:paraId="6CD6E8F2">
      <w:pPr>
        <w:ind w:firstLine="482" w:firstLineChars="200"/>
        <w:rPr>
          <w:rFonts w:hint="eastAsia" w:ascii="宋体" w:hAnsi="宋体" w:cs="宋体"/>
          <w:b/>
          <w:color w:val="auto"/>
          <w:sz w:val="24"/>
        </w:rPr>
      </w:pPr>
      <w:r>
        <w:rPr>
          <w:rFonts w:hint="eastAsia" w:ascii="宋体" w:hAnsi="宋体" w:cs="宋体"/>
          <w:b/>
          <w:color w:val="auto"/>
          <w:sz w:val="24"/>
        </w:rPr>
        <w:t>2、适用范围</w:t>
      </w:r>
    </w:p>
    <w:p w14:paraId="49A02AB2">
      <w:pPr>
        <w:spacing w:line="360" w:lineRule="auto"/>
        <w:ind w:firstLine="480" w:firstLineChars="200"/>
        <w:rPr>
          <w:rFonts w:hint="eastAsia" w:ascii="宋体" w:hAnsi="宋体" w:cs="宋体"/>
          <w:color w:val="auto"/>
          <w:sz w:val="24"/>
        </w:rPr>
      </w:pPr>
      <w:r>
        <w:rPr>
          <w:rFonts w:hint="eastAsia" w:ascii="宋体" w:hAnsi="宋体" w:cs="宋体"/>
          <w:color w:val="auto"/>
          <w:sz w:val="24"/>
        </w:rPr>
        <w:t>2.1本合同条款仅适用于本次招标活动。</w:t>
      </w:r>
    </w:p>
    <w:p w14:paraId="285BD2D1">
      <w:pPr>
        <w:ind w:firstLine="482" w:firstLineChars="200"/>
        <w:rPr>
          <w:rFonts w:hint="eastAsia" w:ascii="宋体" w:hAnsi="宋体" w:cs="宋体"/>
          <w:b/>
          <w:color w:val="auto"/>
          <w:sz w:val="24"/>
        </w:rPr>
      </w:pPr>
      <w:r>
        <w:rPr>
          <w:rFonts w:hint="eastAsia" w:ascii="宋体" w:hAnsi="宋体" w:cs="宋体"/>
          <w:b/>
          <w:color w:val="auto"/>
          <w:sz w:val="24"/>
        </w:rPr>
        <w:t>3、原产地</w:t>
      </w:r>
      <w:r>
        <w:rPr>
          <w:rFonts w:hint="eastAsia" w:ascii="宋体" w:hAnsi="宋体" w:cs="宋体"/>
          <w:color w:val="auto"/>
          <w:sz w:val="24"/>
        </w:rPr>
        <w:t>：系指货物的生产地，或提供辅助服务的来源地。</w:t>
      </w:r>
    </w:p>
    <w:p w14:paraId="60F4F693">
      <w:pPr>
        <w:spacing w:line="360" w:lineRule="auto"/>
        <w:ind w:firstLine="480" w:firstLineChars="200"/>
        <w:rPr>
          <w:rFonts w:hint="eastAsia" w:ascii="宋体" w:hAnsi="宋体" w:cs="宋体"/>
          <w:color w:val="auto"/>
          <w:sz w:val="24"/>
        </w:rPr>
      </w:pPr>
      <w:r>
        <w:rPr>
          <w:rFonts w:hint="eastAsia" w:ascii="宋体" w:hAnsi="宋体" w:cs="宋体"/>
          <w:color w:val="auto"/>
          <w:sz w:val="24"/>
        </w:rPr>
        <w:t>4、</w:t>
      </w:r>
      <w:r>
        <w:rPr>
          <w:rFonts w:hint="eastAsia" w:ascii="宋体" w:hAnsi="宋体" w:cs="宋体"/>
          <w:b/>
          <w:color w:val="auto"/>
          <w:sz w:val="24"/>
        </w:rPr>
        <w:t>技术规格和标准</w:t>
      </w:r>
    </w:p>
    <w:p w14:paraId="2B5D6FF9">
      <w:pPr>
        <w:spacing w:line="360" w:lineRule="auto"/>
        <w:ind w:firstLine="480" w:firstLineChars="200"/>
        <w:rPr>
          <w:rFonts w:hint="eastAsia" w:ascii="宋体" w:hAnsi="宋体" w:cs="宋体"/>
          <w:color w:val="auto"/>
          <w:sz w:val="24"/>
        </w:rPr>
      </w:pPr>
      <w:r>
        <w:rPr>
          <w:rFonts w:hint="eastAsia" w:ascii="宋体" w:hAnsi="宋体" w:cs="宋体"/>
          <w:color w:val="auto"/>
          <w:sz w:val="24"/>
        </w:rPr>
        <w:t>4.1本合同项下所供货物的技术规格应与本招标文件技术规格规定的标准相一致。若技术规格中无相应规定，货物则应符合相应的国家标准或有关权威部门最新颁布的相应的正式标准。</w:t>
      </w:r>
    </w:p>
    <w:p w14:paraId="7E84B231">
      <w:pPr>
        <w:ind w:firstLine="482" w:firstLineChars="200"/>
        <w:rPr>
          <w:rFonts w:hint="eastAsia" w:ascii="宋体" w:hAnsi="宋体" w:cs="宋体"/>
          <w:b/>
          <w:color w:val="auto"/>
          <w:sz w:val="24"/>
        </w:rPr>
      </w:pPr>
      <w:r>
        <w:rPr>
          <w:rFonts w:hint="eastAsia" w:ascii="宋体" w:hAnsi="宋体" w:cs="宋体"/>
          <w:b/>
          <w:color w:val="auto"/>
          <w:sz w:val="24"/>
        </w:rPr>
        <w:t>5、专利权</w:t>
      </w:r>
    </w:p>
    <w:p w14:paraId="65EE3B0C">
      <w:pPr>
        <w:spacing w:line="360" w:lineRule="auto"/>
        <w:ind w:firstLine="480" w:firstLineChars="200"/>
        <w:rPr>
          <w:rFonts w:hint="eastAsia" w:ascii="宋体" w:hAnsi="宋体" w:cs="宋体"/>
          <w:color w:val="auto"/>
          <w:sz w:val="24"/>
        </w:rPr>
      </w:pPr>
      <w:r>
        <w:rPr>
          <w:rFonts w:hint="eastAsia" w:ascii="宋体" w:hAnsi="宋体" w:cs="宋体"/>
          <w:color w:val="auto"/>
          <w:sz w:val="24"/>
        </w:rPr>
        <w:t>5.1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14:paraId="6FC7EF83">
      <w:pPr>
        <w:rPr>
          <w:rFonts w:hint="eastAsia" w:ascii="宋体" w:hAnsi="宋体" w:cs="宋体"/>
          <w:b/>
          <w:color w:val="auto"/>
          <w:sz w:val="24"/>
        </w:rPr>
      </w:pPr>
      <w:r>
        <w:rPr>
          <w:rFonts w:hint="eastAsia" w:ascii="宋体" w:hAnsi="宋体" w:cs="宋体"/>
          <w:b/>
          <w:color w:val="auto"/>
          <w:sz w:val="24"/>
        </w:rPr>
        <w:t>6、包装</w:t>
      </w:r>
    </w:p>
    <w:p w14:paraId="0EC86229">
      <w:pPr>
        <w:spacing w:line="360" w:lineRule="auto"/>
        <w:ind w:firstLine="480" w:firstLineChars="200"/>
        <w:rPr>
          <w:rFonts w:hint="eastAsia" w:ascii="宋体" w:hAnsi="宋体" w:cs="宋体"/>
          <w:color w:val="auto"/>
          <w:sz w:val="24"/>
        </w:rPr>
      </w:pPr>
      <w:r>
        <w:rPr>
          <w:rFonts w:hint="eastAsia" w:ascii="宋体" w:hAnsi="宋体" w:cs="宋体"/>
          <w:color w:val="auto"/>
          <w:sz w:val="24"/>
        </w:rPr>
        <w:t>6.1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14:paraId="0CEE68D0">
      <w:pPr>
        <w:spacing w:line="360" w:lineRule="auto"/>
        <w:ind w:firstLine="480" w:firstLineChars="200"/>
        <w:rPr>
          <w:rFonts w:hint="eastAsia" w:ascii="宋体" w:hAnsi="宋体" w:cs="宋体"/>
          <w:color w:val="auto"/>
          <w:sz w:val="24"/>
        </w:rPr>
      </w:pPr>
      <w:r>
        <w:rPr>
          <w:rFonts w:hint="eastAsia" w:ascii="宋体" w:hAnsi="宋体" w:cs="宋体"/>
          <w:color w:val="auto"/>
          <w:sz w:val="24"/>
        </w:rPr>
        <w:t>6.2每件包装应附有详细装箱单和质量证书各两套，一套在包装箱里，一套在包装箱外。</w:t>
      </w:r>
    </w:p>
    <w:p w14:paraId="5F291211">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7、运输标记</w:t>
      </w:r>
    </w:p>
    <w:p w14:paraId="65ADA57F">
      <w:pPr>
        <w:spacing w:line="360" w:lineRule="auto"/>
        <w:ind w:firstLine="480" w:firstLineChars="200"/>
        <w:rPr>
          <w:rFonts w:hint="eastAsia" w:ascii="宋体" w:hAnsi="宋体" w:cs="宋体"/>
          <w:color w:val="auto"/>
          <w:sz w:val="24"/>
        </w:rPr>
      </w:pPr>
      <w:r>
        <w:rPr>
          <w:rFonts w:hint="eastAsia" w:ascii="宋体" w:hAnsi="宋体" w:cs="宋体"/>
          <w:color w:val="auto"/>
          <w:sz w:val="24"/>
        </w:rPr>
        <w:t>7.1卖方应在每一包装箱侧面用不易褪色的油漆以醒目的中文印刷字体标明：收货人、合同号、收货人代号、目的地、货物的名称、品名号、箱数、毛重／净重(公斤)、尺寸(长x宽x高，以厘米计)等信息。</w:t>
      </w:r>
    </w:p>
    <w:p w14:paraId="6EACE984">
      <w:pPr>
        <w:ind w:firstLine="482" w:firstLineChars="200"/>
        <w:rPr>
          <w:rFonts w:hint="eastAsia" w:ascii="宋体" w:hAnsi="宋体" w:cs="宋体"/>
          <w:b/>
          <w:color w:val="auto"/>
          <w:sz w:val="24"/>
        </w:rPr>
      </w:pPr>
      <w:r>
        <w:rPr>
          <w:rFonts w:hint="eastAsia" w:ascii="宋体" w:hAnsi="宋体" w:cs="宋体"/>
          <w:b/>
          <w:color w:val="auto"/>
          <w:sz w:val="24"/>
        </w:rPr>
        <w:t>8、卖方的交货价</w:t>
      </w:r>
    </w:p>
    <w:p w14:paraId="04E0B351">
      <w:pPr>
        <w:spacing w:line="360" w:lineRule="auto"/>
        <w:ind w:firstLine="480" w:firstLineChars="200"/>
        <w:rPr>
          <w:rFonts w:hint="eastAsia" w:ascii="宋体" w:hAnsi="宋体" w:cs="宋体"/>
          <w:color w:val="auto"/>
          <w:sz w:val="24"/>
        </w:rPr>
      </w:pPr>
      <w:r>
        <w:rPr>
          <w:rFonts w:hint="eastAsia" w:ascii="宋体" w:hAnsi="宋体" w:cs="宋体"/>
          <w:color w:val="auto"/>
          <w:sz w:val="24"/>
        </w:rPr>
        <w:t>8.1卖方应在合同规定的交货期前天以电话等方式通知买方合同号、货物名称、数量、包装件数、总毛重、总体积(立方米)和备妥待运日期。同时，卖方应以挂号信寄给买方详细交货清单一式五份，包括合同号、货物名称、规格、数量、总重、总体积(立方米)和每一包装箱的尺寸(长x宽x高)、单价和总价、备妥待运日期，以及货物在运输和仓储中的特殊要求和注意事项。</w:t>
      </w:r>
    </w:p>
    <w:p w14:paraId="08CD390B">
      <w:pPr>
        <w:spacing w:line="360" w:lineRule="auto"/>
        <w:ind w:firstLine="480" w:firstLineChars="200"/>
        <w:rPr>
          <w:rFonts w:hint="eastAsia" w:ascii="宋体" w:hAnsi="宋体" w:cs="宋体"/>
          <w:color w:val="auto"/>
          <w:sz w:val="24"/>
        </w:rPr>
      </w:pPr>
      <w:r>
        <w:rPr>
          <w:rFonts w:hint="eastAsia" w:ascii="宋体" w:hAnsi="宋体" w:cs="宋体"/>
          <w:color w:val="auto"/>
          <w:sz w:val="24"/>
        </w:rPr>
        <w:t>8.2卖方负责安排自发运地至买方现场的运输，费用包含在合同总价中。</w:t>
      </w:r>
    </w:p>
    <w:p w14:paraId="07D2270F">
      <w:pPr>
        <w:spacing w:line="360" w:lineRule="auto"/>
        <w:ind w:firstLine="480" w:firstLineChars="200"/>
        <w:rPr>
          <w:rFonts w:hint="eastAsia" w:ascii="宋体" w:hAnsi="宋体" w:cs="宋体"/>
          <w:color w:val="auto"/>
          <w:sz w:val="24"/>
        </w:rPr>
      </w:pPr>
      <w:r>
        <w:rPr>
          <w:rFonts w:hint="eastAsia" w:ascii="宋体" w:hAnsi="宋体" w:cs="宋体"/>
          <w:color w:val="auto"/>
          <w:sz w:val="24"/>
        </w:rPr>
        <w:t>8.3交货日期以货物到达买方现场为准。</w:t>
      </w:r>
    </w:p>
    <w:p w14:paraId="3FD26FBF">
      <w:pPr>
        <w:spacing w:line="360" w:lineRule="auto"/>
        <w:ind w:firstLine="480" w:firstLineChars="200"/>
        <w:rPr>
          <w:rFonts w:hint="eastAsia" w:ascii="宋体" w:hAnsi="宋体" w:cs="宋体"/>
          <w:color w:val="auto"/>
          <w:sz w:val="24"/>
        </w:rPr>
      </w:pPr>
      <w:r>
        <w:rPr>
          <w:rFonts w:hint="eastAsia" w:ascii="宋体" w:hAnsi="宋体" w:cs="宋体"/>
          <w:color w:val="auto"/>
          <w:sz w:val="24"/>
        </w:rPr>
        <w:t>8.4卖方装运的货物必须符合合同规定的货物名称、型号规格、数量或重量，否则，一切后果均由卖方承担。</w:t>
      </w:r>
    </w:p>
    <w:p w14:paraId="39D0C0F4">
      <w:pPr>
        <w:ind w:firstLine="482" w:firstLineChars="200"/>
        <w:rPr>
          <w:rFonts w:hint="eastAsia" w:ascii="宋体" w:hAnsi="宋体" w:cs="宋体"/>
          <w:b/>
          <w:color w:val="auto"/>
          <w:sz w:val="24"/>
        </w:rPr>
      </w:pPr>
      <w:r>
        <w:rPr>
          <w:rFonts w:hint="eastAsia" w:ascii="宋体" w:hAnsi="宋体" w:cs="宋体"/>
          <w:b/>
          <w:color w:val="auto"/>
          <w:sz w:val="24"/>
        </w:rPr>
        <w:t>9、装运通知</w:t>
      </w:r>
    </w:p>
    <w:p w14:paraId="332EA7CE">
      <w:pPr>
        <w:spacing w:line="360" w:lineRule="auto"/>
        <w:ind w:firstLine="480" w:firstLineChars="200"/>
        <w:rPr>
          <w:rFonts w:hint="eastAsia" w:ascii="宋体" w:hAnsi="宋体" w:cs="宋体"/>
          <w:color w:val="auto"/>
          <w:sz w:val="24"/>
        </w:rPr>
      </w:pPr>
      <w:r>
        <w:rPr>
          <w:rFonts w:hint="eastAsia" w:ascii="宋体" w:hAnsi="宋体" w:cs="宋体"/>
          <w:color w:val="auto"/>
          <w:sz w:val="24"/>
        </w:rPr>
        <w:t>9.1卖方应在货物装运完成24小时内以电话通知买方，如果包装件重量超过20吨或尺寸达到或超过12米长、2．7米宽和3米高，卖方应将其重量或尺寸通知买方。若货物中有易燃品或危险品，卖方也须将详细情况通知买方。</w:t>
      </w:r>
    </w:p>
    <w:p w14:paraId="284C5331">
      <w:pPr>
        <w:ind w:firstLine="482" w:firstLineChars="200"/>
        <w:rPr>
          <w:rFonts w:hint="eastAsia" w:ascii="宋体" w:hAnsi="宋体" w:cs="宋体"/>
          <w:b/>
          <w:color w:val="auto"/>
          <w:sz w:val="24"/>
        </w:rPr>
      </w:pPr>
      <w:r>
        <w:rPr>
          <w:rFonts w:hint="eastAsia" w:ascii="宋体" w:hAnsi="宋体" w:cs="宋体"/>
          <w:b/>
          <w:color w:val="auto"/>
          <w:sz w:val="24"/>
        </w:rPr>
        <w:t>10、保险</w:t>
      </w:r>
    </w:p>
    <w:p w14:paraId="43B1D7E9">
      <w:pPr>
        <w:spacing w:line="360" w:lineRule="auto"/>
        <w:ind w:firstLine="480" w:firstLineChars="200"/>
        <w:rPr>
          <w:rFonts w:hint="eastAsia" w:ascii="宋体" w:hAnsi="宋体" w:cs="宋体"/>
          <w:color w:val="auto"/>
          <w:sz w:val="24"/>
        </w:rPr>
      </w:pPr>
      <w:r>
        <w:rPr>
          <w:rFonts w:hint="eastAsia" w:ascii="宋体" w:hAnsi="宋体" w:cs="宋体"/>
          <w:color w:val="auto"/>
          <w:sz w:val="24"/>
        </w:rPr>
        <w:t>10.1在合同价条件下，由卖方负责办理保险。</w:t>
      </w:r>
    </w:p>
    <w:p w14:paraId="161E03C8">
      <w:pPr>
        <w:rPr>
          <w:rFonts w:hint="eastAsia" w:ascii="宋体" w:hAnsi="宋体" w:cs="宋体"/>
          <w:b/>
          <w:color w:val="auto"/>
          <w:sz w:val="24"/>
        </w:rPr>
      </w:pPr>
      <w:r>
        <w:rPr>
          <w:rFonts w:hint="eastAsia" w:ascii="宋体" w:hAnsi="宋体" w:cs="宋体"/>
          <w:b/>
          <w:color w:val="auto"/>
          <w:sz w:val="24"/>
        </w:rPr>
        <w:t>11、合同价款的支付方式</w:t>
      </w:r>
    </w:p>
    <w:p w14:paraId="5F66F249">
      <w:pPr>
        <w:spacing w:line="360" w:lineRule="auto"/>
        <w:ind w:firstLine="480" w:firstLineChars="200"/>
        <w:rPr>
          <w:rFonts w:hint="eastAsia" w:ascii="宋体" w:hAnsi="宋体" w:cs="宋体"/>
          <w:color w:val="auto"/>
          <w:sz w:val="24"/>
        </w:rPr>
      </w:pPr>
      <w:r>
        <w:rPr>
          <w:rFonts w:hint="eastAsia" w:ascii="宋体" w:hAnsi="宋体" w:cs="宋体"/>
          <w:color w:val="auto"/>
          <w:sz w:val="24"/>
        </w:rPr>
        <w:t>11.1除另有规定者外，货款均由采购人直接向卖方支付。</w:t>
      </w:r>
    </w:p>
    <w:p w14:paraId="0996D5B9">
      <w:pPr>
        <w:ind w:firstLine="422" w:firstLineChars="175"/>
        <w:rPr>
          <w:rFonts w:hint="eastAsia" w:ascii="宋体" w:hAnsi="宋体" w:cs="宋体"/>
          <w:b/>
          <w:color w:val="auto"/>
          <w:sz w:val="24"/>
        </w:rPr>
      </w:pPr>
      <w:r>
        <w:rPr>
          <w:rFonts w:hint="eastAsia" w:ascii="宋体" w:hAnsi="宋体" w:cs="宋体"/>
          <w:b/>
          <w:color w:val="auto"/>
          <w:sz w:val="24"/>
        </w:rPr>
        <w:t>12、技术资料</w:t>
      </w:r>
      <w:r>
        <w:rPr>
          <w:rFonts w:hint="eastAsia" w:ascii="宋体" w:hAnsi="宋体" w:cs="宋体"/>
          <w:b/>
          <w:color w:val="auto"/>
          <w:sz w:val="24"/>
        </w:rPr>
        <w:tab/>
      </w:r>
    </w:p>
    <w:p w14:paraId="09F2A67F">
      <w:pPr>
        <w:spacing w:line="360" w:lineRule="auto"/>
        <w:ind w:firstLine="480" w:firstLineChars="200"/>
        <w:rPr>
          <w:rFonts w:hint="eastAsia" w:ascii="宋体" w:hAnsi="宋体" w:cs="宋体"/>
          <w:color w:val="auto"/>
          <w:sz w:val="24"/>
        </w:rPr>
      </w:pPr>
      <w:r>
        <w:rPr>
          <w:rFonts w:hint="eastAsia" w:ascii="宋体" w:hAnsi="宋体" w:cs="宋体"/>
          <w:color w:val="auto"/>
          <w:sz w:val="24"/>
        </w:rPr>
        <w:t>12.1除招标文件的技术规范书中另有规定的外，卖方应准备与合同设备或仪器相符的中文技术资料，并随同设备同时到达买方，如样本、图纸、操作手册、使用说明、维修指南或服务手册等。如本条款所述资料寄送不完整或丢失，卖方应在收到买方通知后立即免费另寄。</w:t>
      </w:r>
    </w:p>
    <w:p w14:paraId="310889AD">
      <w:pPr>
        <w:spacing w:line="360" w:lineRule="auto"/>
        <w:rPr>
          <w:rFonts w:hint="eastAsia" w:ascii="宋体" w:hAnsi="宋体" w:cs="宋体"/>
          <w:color w:val="auto"/>
          <w:sz w:val="24"/>
        </w:rPr>
      </w:pPr>
      <w:r>
        <w:rPr>
          <w:rFonts w:hint="eastAsia" w:ascii="宋体" w:hAnsi="宋体" w:cs="宋体"/>
          <w:color w:val="auto"/>
          <w:sz w:val="24"/>
        </w:rPr>
        <w:t>12.2上述一套完整的资料应包装好随每批货物一起发运。</w:t>
      </w:r>
    </w:p>
    <w:p w14:paraId="143E5630">
      <w:pPr>
        <w:ind w:firstLine="482" w:firstLineChars="200"/>
        <w:rPr>
          <w:rFonts w:hint="eastAsia" w:ascii="宋体" w:hAnsi="宋体" w:cs="宋体"/>
          <w:b/>
          <w:color w:val="auto"/>
          <w:sz w:val="24"/>
        </w:rPr>
      </w:pPr>
      <w:r>
        <w:rPr>
          <w:rFonts w:hint="eastAsia" w:ascii="宋体" w:hAnsi="宋体" w:cs="宋体"/>
          <w:b/>
          <w:color w:val="auto"/>
          <w:sz w:val="24"/>
        </w:rPr>
        <w:t>13、价格</w:t>
      </w:r>
    </w:p>
    <w:p w14:paraId="6EB5E8E7">
      <w:pPr>
        <w:spacing w:line="360" w:lineRule="auto"/>
        <w:ind w:firstLine="480" w:firstLineChars="200"/>
        <w:rPr>
          <w:rFonts w:hint="eastAsia" w:ascii="宋体" w:hAnsi="宋体" w:cs="宋体"/>
          <w:color w:val="auto"/>
          <w:sz w:val="24"/>
        </w:rPr>
      </w:pPr>
      <w:r>
        <w:rPr>
          <w:rFonts w:hint="eastAsia" w:ascii="宋体" w:hAnsi="宋体" w:cs="宋体"/>
          <w:color w:val="auto"/>
          <w:sz w:val="24"/>
        </w:rPr>
        <w:t>13.1除合同中另有规定者外，卖方为其所供货物和服务而要求买方支付的金额应与其投标报价一致。</w:t>
      </w:r>
    </w:p>
    <w:p w14:paraId="42099E71">
      <w:pPr>
        <w:ind w:firstLine="482" w:firstLineChars="200"/>
        <w:rPr>
          <w:rFonts w:hint="eastAsia" w:ascii="宋体" w:hAnsi="宋体" w:cs="宋体"/>
          <w:b/>
          <w:color w:val="auto"/>
          <w:sz w:val="24"/>
        </w:rPr>
      </w:pPr>
      <w:r>
        <w:rPr>
          <w:rFonts w:hint="eastAsia" w:ascii="宋体" w:hAnsi="宋体" w:cs="宋体"/>
          <w:b/>
          <w:color w:val="auto"/>
          <w:sz w:val="24"/>
        </w:rPr>
        <w:t>14、质量保证</w:t>
      </w:r>
    </w:p>
    <w:p w14:paraId="2CB3CE15">
      <w:pPr>
        <w:spacing w:line="360" w:lineRule="auto"/>
        <w:ind w:firstLine="480" w:firstLineChars="200"/>
        <w:rPr>
          <w:rFonts w:hint="eastAsia" w:ascii="宋体" w:hAnsi="宋体" w:cs="宋体"/>
          <w:color w:val="auto"/>
          <w:sz w:val="24"/>
        </w:rPr>
      </w:pPr>
      <w:r>
        <w:rPr>
          <w:rFonts w:hint="eastAsia" w:ascii="宋体" w:hAnsi="宋体" w:cs="宋体"/>
          <w:color w:val="auto"/>
          <w:sz w:val="24"/>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整体。对造成的损失买方保留索赔的权利。</w:t>
      </w:r>
    </w:p>
    <w:p w14:paraId="16541FEF">
      <w:pPr>
        <w:spacing w:line="360" w:lineRule="auto"/>
        <w:ind w:firstLine="480" w:firstLineChars="200"/>
        <w:rPr>
          <w:rFonts w:hint="eastAsia" w:ascii="宋体" w:hAnsi="宋体" w:cs="宋体"/>
          <w:color w:val="auto"/>
          <w:sz w:val="24"/>
        </w:rPr>
      </w:pPr>
      <w:r>
        <w:rPr>
          <w:rFonts w:hint="eastAsia" w:ascii="宋体" w:hAnsi="宋体" w:cs="宋体"/>
          <w:color w:val="auto"/>
          <w:sz w:val="24"/>
        </w:rPr>
        <w:t>14.2、除合同中另有规定者外，合同项下货物的质量保证期为：</w:t>
      </w:r>
      <w:r>
        <w:rPr>
          <w:rFonts w:hint="eastAsia" w:ascii="宋体" w:hAnsi="宋体" w:cs="宋体"/>
          <w:color w:val="auto"/>
          <w:sz w:val="24"/>
          <w:u w:val="single"/>
        </w:rPr>
        <w:t>详见须知前附表</w:t>
      </w:r>
      <w:r>
        <w:rPr>
          <w:rFonts w:hint="eastAsia" w:ascii="宋体" w:hAnsi="宋体" w:cs="宋体"/>
          <w:color w:val="auto"/>
          <w:sz w:val="24"/>
        </w:rPr>
        <w:t>。</w:t>
      </w:r>
    </w:p>
    <w:p w14:paraId="28D115E2">
      <w:pPr>
        <w:ind w:firstLine="482" w:firstLineChars="200"/>
        <w:rPr>
          <w:rFonts w:hint="eastAsia" w:ascii="宋体" w:hAnsi="宋体" w:cs="宋体"/>
          <w:b/>
          <w:color w:val="auto"/>
          <w:sz w:val="24"/>
        </w:rPr>
      </w:pPr>
      <w:r>
        <w:rPr>
          <w:rFonts w:hint="eastAsia" w:ascii="宋体" w:hAnsi="宋体" w:cs="宋体"/>
          <w:b/>
          <w:color w:val="auto"/>
          <w:sz w:val="24"/>
        </w:rPr>
        <w:t>15、履约保证金</w:t>
      </w:r>
    </w:p>
    <w:p w14:paraId="09BC6CF4">
      <w:pPr>
        <w:spacing w:line="360" w:lineRule="auto"/>
        <w:ind w:firstLine="480" w:firstLineChars="200"/>
        <w:rPr>
          <w:rFonts w:hint="eastAsia" w:ascii="宋体" w:hAnsi="宋体" w:cs="宋体"/>
          <w:color w:val="auto"/>
          <w:sz w:val="24"/>
        </w:rPr>
      </w:pPr>
      <w:r>
        <w:rPr>
          <w:rFonts w:hint="eastAsia" w:ascii="宋体" w:hAnsi="宋体" w:cs="宋体"/>
          <w:color w:val="auto"/>
          <w:sz w:val="24"/>
        </w:rPr>
        <w:t>15.1中标人在收到中标通知书后7天内，合同签订前，卖方须提供</w:t>
      </w:r>
      <w:r>
        <w:rPr>
          <w:rFonts w:hint="eastAsia" w:ascii="宋体" w:hAnsi="宋体" w:cs="宋体"/>
          <w:color w:val="auto"/>
          <w:sz w:val="24"/>
          <w:u w:val="single"/>
        </w:rPr>
        <w:t>/</w:t>
      </w:r>
      <w:r>
        <w:rPr>
          <w:rFonts w:hint="eastAsia" w:ascii="宋体" w:hAnsi="宋体" w:cs="宋体"/>
          <w:color w:val="auto"/>
          <w:sz w:val="24"/>
        </w:rPr>
        <w:t>％的履约保证金。</w:t>
      </w:r>
    </w:p>
    <w:p w14:paraId="28647B42">
      <w:pPr>
        <w:spacing w:line="360" w:lineRule="auto"/>
        <w:ind w:firstLine="480" w:firstLineChars="200"/>
        <w:rPr>
          <w:rFonts w:hint="eastAsia" w:ascii="宋体" w:hAnsi="宋体" w:cs="宋体"/>
          <w:color w:val="auto"/>
          <w:sz w:val="24"/>
        </w:rPr>
      </w:pPr>
      <w:r>
        <w:rPr>
          <w:rFonts w:hint="eastAsia" w:ascii="宋体" w:hAnsi="宋体" w:cs="宋体"/>
          <w:color w:val="auto"/>
          <w:sz w:val="24"/>
        </w:rPr>
        <w:t>15.2采购人在收到货物验收合格并能正常投入使用的报告后，招标人在7个工作日无息退还履约保证金。</w:t>
      </w:r>
    </w:p>
    <w:p w14:paraId="155956AE">
      <w:pPr>
        <w:spacing w:line="360" w:lineRule="auto"/>
        <w:ind w:firstLine="480" w:firstLineChars="200"/>
        <w:rPr>
          <w:rFonts w:hint="eastAsia" w:ascii="宋体" w:hAnsi="宋体" w:cs="宋体"/>
          <w:color w:val="auto"/>
          <w:sz w:val="24"/>
        </w:rPr>
      </w:pPr>
      <w:r>
        <w:rPr>
          <w:rFonts w:hint="eastAsia" w:ascii="宋体" w:hAnsi="宋体" w:cs="宋体"/>
          <w:color w:val="auto"/>
          <w:sz w:val="24"/>
        </w:rPr>
        <w:t>15.3履约保证金的有效期到供方提供的服务之日止。</w:t>
      </w:r>
    </w:p>
    <w:p w14:paraId="15D55616">
      <w:pPr>
        <w:ind w:firstLine="482" w:firstLineChars="200"/>
        <w:rPr>
          <w:rFonts w:hint="eastAsia" w:ascii="宋体" w:hAnsi="宋体" w:cs="宋体"/>
          <w:b/>
          <w:color w:val="auto"/>
          <w:sz w:val="24"/>
        </w:rPr>
      </w:pPr>
      <w:r>
        <w:rPr>
          <w:rFonts w:hint="eastAsia" w:ascii="宋体" w:hAnsi="宋体" w:cs="宋体"/>
          <w:b/>
          <w:color w:val="auto"/>
          <w:sz w:val="24"/>
        </w:rPr>
        <w:t>16、检验</w:t>
      </w:r>
    </w:p>
    <w:p w14:paraId="6585FB53">
      <w:pPr>
        <w:spacing w:line="360" w:lineRule="auto"/>
        <w:ind w:firstLine="480" w:firstLineChars="200"/>
        <w:rPr>
          <w:rFonts w:hint="eastAsia" w:ascii="宋体" w:hAnsi="宋体" w:cs="宋体"/>
          <w:color w:val="auto"/>
          <w:sz w:val="24"/>
        </w:rPr>
      </w:pPr>
      <w:r>
        <w:rPr>
          <w:rFonts w:hint="eastAsia" w:ascii="宋体" w:hAnsi="宋体" w:cs="宋体"/>
          <w:color w:val="auto"/>
          <w:sz w:val="24"/>
        </w:rPr>
        <w:t>16.1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14:paraId="582FAC72">
      <w:pPr>
        <w:spacing w:line="360" w:lineRule="auto"/>
        <w:ind w:firstLine="480" w:firstLineChars="200"/>
        <w:rPr>
          <w:rFonts w:hint="eastAsia" w:ascii="宋体" w:hAnsi="宋体" w:cs="宋体"/>
          <w:color w:val="auto"/>
          <w:sz w:val="24"/>
        </w:rPr>
      </w:pPr>
      <w:r>
        <w:rPr>
          <w:rFonts w:hint="eastAsia" w:ascii="宋体" w:hAnsi="宋体" w:cs="宋体"/>
          <w:color w:val="auto"/>
          <w:sz w:val="24"/>
        </w:rPr>
        <w:t>16.2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14:paraId="176D126B">
      <w:pPr>
        <w:ind w:firstLine="482" w:firstLineChars="200"/>
        <w:rPr>
          <w:rFonts w:hint="eastAsia" w:ascii="宋体" w:hAnsi="宋体" w:eastAsia="宋体" w:cs="宋体"/>
          <w:b/>
          <w:color w:val="auto"/>
          <w:sz w:val="24"/>
          <w:lang w:eastAsia="zh-CN"/>
        </w:rPr>
      </w:pPr>
      <w:r>
        <w:rPr>
          <w:rFonts w:hint="eastAsia" w:ascii="宋体" w:hAnsi="宋体" w:cs="宋体"/>
          <w:b/>
          <w:color w:val="auto"/>
          <w:sz w:val="24"/>
        </w:rPr>
        <w:t>17、索赔</w:t>
      </w:r>
    </w:p>
    <w:p w14:paraId="49389657">
      <w:pPr>
        <w:spacing w:line="360" w:lineRule="auto"/>
        <w:ind w:firstLine="480" w:firstLineChars="200"/>
        <w:rPr>
          <w:rFonts w:hint="eastAsia" w:ascii="宋体" w:hAnsi="宋体" w:cs="宋体"/>
          <w:color w:val="auto"/>
          <w:sz w:val="24"/>
        </w:rPr>
      </w:pPr>
      <w:r>
        <w:rPr>
          <w:rFonts w:hint="eastAsia" w:ascii="宋体" w:hAnsi="宋体" w:cs="宋体"/>
          <w:color w:val="auto"/>
          <w:sz w:val="24"/>
        </w:rPr>
        <w:t>17.1卖方对所供货物与合同约定相一致负完全责任。在买方已于规定的检验、安装、调试和验收测试期限内提出索赔时，卖方应按买方同意的下述一种或多种方法解决索赔事宜：</w:t>
      </w:r>
    </w:p>
    <w:p w14:paraId="11CABB6D">
      <w:pPr>
        <w:spacing w:line="360" w:lineRule="auto"/>
        <w:ind w:firstLine="480" w:firstLineChars="200"/>
        <w:rPr>
          <w:rFonts w:hint="eastAsia" w:ascii="宋体" w:hAnsi="宋体" w:cs="宋体"/>
          <w:color w:val="auto"/>
          <w:sz w:val="24"/>
        </w:rPr>
      </w:pPr>
      <w:r>
        <w:rPr>
          <w:rFonts w:hint="eastAsia" w:ascii="宋体" w:hAnsi="宋体" w:cs="宋体"/>
          <w:color w:val="auto"/>
          <w:sz w:val="24"/>
        </w:rPr>
        <w:t>(1)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14:paraId="3268F8F2">
      <w:pPr>
        <w:spacing w:line="360" w:lineRule="auto"/>
        <w:ind w:firstLine="480" w:firstLineChars="200"/>
        <w:rPr>
          <w:rFonts w:hint="eastAsia" w:ascii="宋体" w:hAnsi="宋体" w:cs="宋体"/>
          <w:color w:val="auto"/>
          <w:sz w:val="24"/>
        </w:rPr>
      </w:pPr>
      <w:r>
        <w:rPr>
          <w:rFonts w:hint="eastAsia" w:ascii="宋体" w:hAnsi="宋体" w:cs="宋体"/>
          <w:color w:val="auto"/>
          <w:sz w:val="24"/>
        </w:rPr>
        <w:t>(2)根据货物的疵劣和受损程度以及买方遭受损失的金额，经双方同意降低货价。</w:t>
      </w:r>
    </w:p>
    <w:p w14:paraId="33BDBC52">
      <w:pPr>
        <w:spacing w:line="360" w:lineRule="auto"/>
        <w:ind w:firstLine="480" w:firstLineChars="200"/>
        <w:rPr>
          <w:rFonts w:hint="eastAsia" w:ascii="宋体" w:hAnsi="宋体" w:cs="宋体"/>
          <w:color w:val="auto"/>
          <w:sz w:val="24"/>
        </w:rPr>
      </w:pPr>
      <w:r>
        <w:rPr>
          <w:rFonts w:hint="eastAsia" w:ascii="宋体" w:hAnsi="宋体" w:cs="宋体"/>
          <w:color w:val="auto"/>
          <w:sz w:val="24"/>
        </w:rPr>
        <w:t>(3)更换有缺陷的零件、部件和设备，或修理缺陷部分，以达到合同规定的规格、质量和性能，卖方承担一切费用和风险并负担买方遭受的一切直接费用。同时卖方应相应延长被更换货物的质量保证期。</w:t>
      </w:r>
    </w:p>
    <w:p w14:paraId="59D3BF7B">
      <w:pPr>
        <w:spacing w:line="360" w:lineRule="auto"/>
        <w:ind w:firstLine="480" w:firstLineChars="200"/>
        <w:rPr>
          <w:rFonts w:hint="eastAsia" w:ascii="宋体" w:hAnsi="宋体" w:cs="宋体"/>
          <w:color w:val="FF0000"/>
          <w:sz w:val="24"/>
        </w:rPr>
      </w:pPr>
      <w:r>
        <w:rPr>
          <w:rFonts w:hint="eastAsia" w:ascii="宋体" w:hAnsi="宋体" w:cs="宋体"/>
          <w:color w:val="auto"/>
          <w:sz w:val="24"/>
        </w:rPr>
        <w:t>17.2</w:t>
      </w:r>
      <w:r>
        <w:rPr>
          <w:rFonts w:hint="eastAsia" w:ascii="宋体" w:hAnsi="宋体" w:cs="宋体"/>
          <w:color w:val="FF0000"/>
          <w:sz w:val="24"/>
        </w:rPr>
        <w:t>“若卖方未能在买方发出书面索赔通知后的15天内响应或处理，卖方应向买方支付违约部分货物金额的20% 作为违约金。违约金不足以弥补买方损失的，买方保留继续索赔的权利。”</w:t>
      </w:r>
    </w:p>
    <w:p w14:paraId="40311478">
      <w:pPr>
        <w:ind w:firstLine="482" w:firstLineChars="200"/>
        <w:rPr>
          <w:rFonts w:hint="eastAsia" w:ascii="宋体" w:hAnsi="宋体" w:cs="宋体"/>
          <w:b/>
          <w:color w:val="FF0000"/>
          <w:sz w:val="24"/>
        </w:rPr>
      </w:pPr>
      <w:r>
        <w:rPr>
          <w:rFonts w:hint="eastAsia" w:ascii="宋体" w:hAnsi="宋体" w:cs="宋体"/>
          <w:b/>
          <w:color w:val="FF0000"/>
          <w:sz w:val="24"/>
        </w:rPr>
        <w:t>18、延期交货</w:t>
      </w:r>
    </w:p>
    <w:p w14:paraId="0142B2D6">
      <w:pPr>
        <w:spacing w:line="360" w:lineRule="auto"/>
        <w:ind w:firstLine="480" w:firstLineChars="200"/>
        <w:rPr>
          <w:rFonts w:hint="eastAsia" w:ascii="宋体" w:hAnsi="宋体" w:cs="宋体"/>
          <w:color w:val="FF0000"/>
          <w:sz w:val="24"/>
        </w:rPr>
      </w:pPr>
      <w:r>
        <w:rPr>
          <w:rFonts w:hint="eastAsia" w:ascii="宋体" w:hAnsi="宋体" w:cs="宋体"/>
          <w:color w:val="FF0000"/>
          <w:sz w:val="24"/>
        </w:rPr>
        <w:t>18.1“除不可抗力因素外，如果卖方未能按合同规定的交货期按期交货，每逾期一日，卖方应按合同总价款的千分之三向买方支付违约金。逾期交货超过30日的，买方有权单方解除合同，并要求卖方支付合同总价款20% 的违约金。”</w:t>
      </w:r>
    </w:p>
    <w:p w14:paraId="70705BDF">
      <w:pPr>
        <w:ind w:firstLine="482" w:firstLineChars="200"/>
        <w:rPr>
          <w:rFonts w:hint="eastAsia" w:ascii="宋体" w:hAnsi="宋体" w:cs="宋体"/>
          <w:b/>
          <w:color w:val="auto"/>
          <w:sz w:val="24"/>
        </w:rPr>
      </w:pPr>
      <w:r>
        <w:rPr>
          <w:rFonts w:hint="eastAsia" w:ascii="宋体" w:hAnsi="宋体" w:cs="宋体"/>
          <w:b/>
          <w:color w:val="auto"/>
          <w:sz w:val="24"/>
        </w:rPr>
        <w:t>19、不可抗力</w:t>
      </w:r>
    </w:p>
    <w:p w14:paraId="76DE6626">
      <w:pPr>
        <w:spacing w:line="360" w:lineRule="auto"/>
        <w:ind w:firstLine="480" w:firstLineChars="200"/>
        <w:rPr>
          <w:rFonts w:hint="eastAsia" w:ascii="宋体" w:hAnsi="宋体" w:cs="宋体"/>
          <w:color w:val="auto"/>
          <w:sz w:val="24"/>
        </w:rPr>
      </w:pPr>
      <w:r>
        <w:rPr>
          <w:rFonts w:hint="eastAsia" w:ascii="宋体" w:hAnsi="宋体" w:cs="宋体"/>
          <w:color w:val="auto"/>
          <w:sz w:val="24"/>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14:paraId="0BBFC887">
      <w:pPr>
        <w:spacing w:line="360" w:lineRule="auto"/>
        <w:ind w:firstLine="480" w:firstLineChars="200"/>
        <w:rPr>
          <w:rFonts w:hint="eastAsia" w:ascii="宋体" w:hAnsi="宋体" w:cs="宋体"/>
          <w:color w:val="auto"/>
          <w:sz w:val="24"/>
        </w:rPr>
      </w:pPr>
      <w:r>
        <w:rPr>
          <w:rFonts w:hint="eastAsia" w:ascii="宋体" w:hAnsi="宋体" w:cs="宋体"/>
          <w:color w:val="auto"/>
          <w:sz w:val="24"/>
        </w:rPr>
        <w:t>19.2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14:paraId="27D37841">
      <w:pPr>
        <w:ind w:firstLine="482" w:firstLineChars="200"/>
        <w:rPr>
          <w:rFonts w:hint="eastAsia" w:ascii="宋体" w:hAnsi="宋体" w:cs="宋体"/>
          <w:b/>
          <w:color w:val="auto"/>
          <w:sz w:val="24"/>
        </w:rPr>
      </w:pPr>
      <w:r>
        <w:rPr>
          <w:rFonts w:hint="eastAsia" w:ascii="宋体" w:hAnsi="宋体" w:cs="宋体"/>
          <w:b/>
          <w:color w:val="auto"/>
          <w:sz w:val="24"/>
        </w:rPr>
        <w:t>20、仲裁</w:t>
      </w:r>
    </w:p>
    <w:p w14:paraId="06D05C92">
      <w:pPr>
        <w:spacing w:line="360" w:lineRule="auto"/>
        <w:ind w:firstLine="480" w:firstLineChars="200"/>
        <w:rPr>
          <w:rFonts w:hint="eastAsia" w:ascii="宋体" w:hAnsi="宋体" w:cs="宋体"/>
          <w:color w:val="auto"/>
          <w:sz w:val="24"/>
        </w:rPr>
      </w:pPr>
      <w:r>
        <w:rPr>
          <w:rFonts w:hint="eastAsia" w:ascii="宋体" w:hAnsi="宋体" w:cs="宋体"/>
          <w:color w:val="auto"/>
          <w:sz w:val="24"/>
        </w:rPr>
        <w:t>20.1在执行本合同中发生的或与本合同有关的争端，双方应通过友好协商解决，经协商在30天内不能达成协议时，应提交仲裁。</w:t>
      </w:r>
    </w:p>
    <w:p w14:paraId="08A47D9C">
      <w:pPr>
        <w:spacing w:line="360" w:lineRule="auto"/>
        <w:ind w:firstLine="480" w:firstLineChars="200"/>
        <w:rPr>
          <w:rFonts w:hint="eastAsia" w:ascii="宋体" w:hAnsi="宋体" w:cs="宋体"/>
          <w:color w:val="auto"/>
          <w:sz w:val="24"/>
        </w:rPr>
      </w:pPr>
      <w:r>
        <w:rPr>
          <w:rFonts w:hint="eastAsia" w:ascii="宋体" w:hAnsi="宋体" w:cs="宋体"/>
          <w:color w:val="auto"/>
          <w:sz w:val="24"/>
        </w:rPr>
        <w:t>20.2仲裁应由买方所在地仲裁机构，根据其仲裁程序和规则进行。</w:t>
      </w:r>
    </w:p>
    <w:p w14:paraId="7F4C91E2">
      <w:pPr>
        <w:spacing w:line="360" w:lineRule="auto"/>
        <w:ind w:firstLine="480" w:firstLineChars="200"/>
        <w:rPr>
          <w:rFonts w:hint="eastAsia" w:ascii="宋体" w:hAnsi="宋体" w:cs="宋体"/>
          <w:color w:val="auto"/>
          <w:sz w:val="24"/>
        </w:rPr>
      </w:pPr>
      <w:r>
        <w:rPr>
          <w:rFonts w:hint="eastAsia" w:ascii="宋体" w:hAnsi="宋体" w:cs="宋体"/>
          <w:color w:val="auto"/>
          <w:sz w:val="24"/>
        </w:rPr>
        <w:t>20.3仲裁裁决为最终决定，并对双方具有约束力。</w:t>
      </w:r>
    </w:p>
    <w:p w14:paraId="3B3BEAB8">
      <w:pPr>
        <w:spacing w:line="360" w:lineRule="auto"/>
        <w:ind w:firstLine="480" w:firstLineChars="200"/>
        <w:rPr>
          <w:rFonts w:hint="eastAsia" w:ascii="宋体" w:hAnsi="宋体" w:cs="宋体"/>
          <w:color w:val="auto"/>
          <w:sz w:val="24"/>
        </w:rPr>
      </w:pPr>
      <w:r>
        <w:rPr>
          <w:rFonts w:hint="eastAsia" w:ascii="宋体" w:hAnsi="宋体" w:cs="宋体"/>
          <w:color w:val="auto"/>
          <w:sz w:val="24"/>
        </w:rPr>
        <w:t>20.4除另有裁决外，仲裁费应由败诉方负担。</w:t>
      </w:r>
    </w:p>
    <w:p w14:paraId="296A3FC7">
      <w:pPr>
        <w:spacing w:line="360" w:lineRule="auto"/>
        <w:ind w:firstLine="480" w:firstLineChars="200"/>
        <w:rPr>
          <w:rFonts w:hint="eastAsia" w:ascii="宋体" w:hAnsi="宋体" w:cs="宋体"/>
          <w:color w:val="auto"/>
          <w:sz w:val="24"/>
        </w:rPr>
      </w:pPr>
      <w:r>
        <w:rPr>
          <w:rFonts w:hint="eastAsia" w:ascii="宋体" w:hAnsi="宋体" w:cs="宋体"/>
          <w:color w:val="auto"/>
          <w:sz w:val="24"/>
        </w:rPr>
        <w:t>20.5在仲裁期间，除正在进行的仲裁部分外，合同其它部分继续执行。</w:t>
      </w:r>
    </w:p>
    <w:p w14:paraId="63A7E297">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21、违约终止合同</w:t>
      </w:r>
    </w:p>
    <w:p w14:paraId="6623500F">
      <w:pPr>
        <w:spacing w:line="360" w:lineRule="auto"/>
        <w:ind w:firstLine="480" w:firstLineChars="200"/>
        <w:rPr>
          <w:rFonts w:hint="eastAsia" w:ascii="宋体" w:hAnsi="宋体" w:cs="宋体"/>
          <w:color w:val="auto"/>
          <w:sz w:val="24"/>
        </w:rPr>
      </w:pPr>
      <w:r>
        <w:rPr>
          <w:rFonts w:hint="eastAsia" w:ascii="宋体" w:hAnsi="宋体" w:cs="宋体"/>
          <w:color w:val="auto"/>
          <w:sz w:val="24"/>
        </w:rPr>
        <w:t>21.1在补救违约而采取的任何其他措施未能实现的情况下，即在卖方收到买方发出的违约通知后30日内(或经买方书面确认的更长时间内)仍未纠正其下述任何一种违约行为，买方可向卖方发出书面违约通知，终止全部或部分合同：</w:t>
      </w:r>
    </w:p>
    <w:p w14:paraId="07C65F27">
      <w:pPr>
        <w:spacing w:line="360" w:lineRule="auto"/>
        <w:ind w:firstLine="480" w:firstLineChars="200"/>
        <w:rPr>
          <w:rFonts w:hint="eastAsia" w:ascii="宋体" w:hAnsi="宋体" w:cs="宋体"/>
          <w:color w:val="auto"/>
          <w:sz w:val="24"/>
        </w:rPr>
      </w:pPr>
      <w:r>
        <w:rPr>
          <w:rFonts w:hint="eastAsia" w:ascii="宋体" w:hAnsi="宋体" w:cs="宋体"/>
          <w:color w:val="auto"/>
          <w:sz w:val="24"/>
        </w:rPr>
        <w:t>(1)如果卖方未能在合同规定的期限内或买方准许的任何延期内交付部分或全部货物。</w:t>
      </w:r>
    </w:p>
    <w:p w14:paraId="00D03C67">
      <w:pPr>
        <w:spacing w:line="360" w:lineRule="auto"/>
        <w:ind w:firstLine="480" w:firstLineChars="200"/>
        <w:rPr>
          <w:rFonts w:hint="eastAsia" w:ascii="宋体" w:hAnsi="宋体" w:cs="宋体"/>
          <w:color w:val="auto"/>
          <w:sz w:val="24"/>
        </w:rPr>
      </w:pPr>
      <w:r>
        <w:rPr>
          <w:rFonts w:hint="eastAsia" w:ascii="宋体" w:hAnsi="宋体" w:cs="宋体"/>
          <w:color w:val="auto"/>
          <w:sz w:val="24"/>
        </w:rPr>
        <w:t>(2)卖方未能履行合同项下的其它义务。</w:t>
      </w:r>
    </w:p>
    <w:p w14:paraId="200D060F">
      <w:pPr>
        <w:spacing w:line="360" w:lineRule="auto"/>
        <w:ind w:firstLine="480" w:firstLineChars="200"/>
        <w:rPr>
          <w:rFonts w:hint="eastAsia" w:ascii="宋体" w:hAnsi="宋体" w:cs="宋体"/>
          <w:color w:val="auto"/>
          <w:sz w:val="24"/>
        </w:rPr>
      </w:pPr>
      <w:r>
        <w:rPr>
          <w:rFonts w:hint="eastAsia" w:ascii="宋体" w:hAnsi="宋体" w:cs="宋体"/>
          <w:color w:val="auto"/>
          <w:sz w:val="24"/>
        </w:rPr>
        <w:t>21.2一旦买方根据第21.1款终止部分或全部合同，买方可以按其认为适当的条件和方式采购类似未交付部分的货物。卖方应承担买方购买类似货物的价格差及额外费用。但是，卖方应继续履行合同中未终止的部分。</w:t>
      </w:r>
    </w:p>
    <w:p w14:paraId="0915D649">
      <w:pPr>
        <w:ind w:firstLine="482" w:firstLineChars="200"/>
        <w:rPr>
          <w:rFonts w:hint="eastAsia" w:ascii="宋体" w:hAnsi="宋体" w:cs="宋体"/>
          <w:b/>
          <w:color w:val="auto"/>
          <w:sz w:val="24"/>
        </w:rPr>
      </w:pPr>
      <w:r>
        <w:rPr>
          <w:rFonts w:hint="eastAsia" w:ascii="宋体" w:hAnsi="宋体" w:cs="宋体"/>
          <w:b/>
          <w:color w:val="auto"/>
          <w:sz w:val="24"/>
        </w:rPr>
        <w:t>22、变更指示</w:t>
      </w:r>
    </w:p>
    <w:p w14:paraId="403DC161">
      <w:pPr>
        <w:spacing w:line="360" w:lineRule="auto"/>
        <w:ind w:firstLine="480" w:firstLineChars="200"/>
        <w:rPr>
          <w:rFonts w:hint="eastAsia" w:ascii="宋体" w:hAnsi="宋体" w:cs="宋体"/>
          <w:color w:val="auto"/>
          <w:sz w:val="24"/>
        </w:rPr>
      </w:pPr>
      <w:r>
        <w:rPr>
          <w:rFonts w:hint="eastAsia" w:ascii="宋体" w:hAnsi="宋体" w:cs="宋体"/>
          <w:color w:val="auto"/>
          <w:sz w:val="24"/>
        </w:rPr>
        <w:t>22.1买卖双方经友好协商可对某些条款作出更改和调整，但不得对招投标内容做出实质性更改，且需以书面形式确认变更内容。</w:t>
      </w:r>
    </w:p>
    <w:p w14:paraId="2893D226">
      <w:pPr>
        <w:spacing w:line="360" w:lineRule="auto"/>
        <w:ind w:firstLine="480" w:firstLineChars="200"/>
        <w:rPr>
          <w:rFonts w:hint="eastAsia" w:ascii="宋体" w:hAnsi="宋体" w:cs="宋体"/>
          <w:color w:val="auto"/>
          <w:sz w:val="24"/>
        </w:rPr>
      </w:pPr>
      <w:r>
        <w:rPr>
          <w:rFonts w:hint="eastAsia" w:ascii="宋体" w:hAnsi="宋体" w:cs="宋体"/>
          <w:color w:val="auto"/>
          <w:sz w:val="24"/>
        </w:rPr>
        <w:t>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14:paraId="42541FD0">
      <w:pPr>
        <w:ind w:firstLine="482" w:firstLineChars="200"/>
        <w:rPr>
          <w:rFonts w:hint="eastAsia" w:ascii="宋体" w:hAnsi="宋体" w:cs="宋体"/>
          <w:b/>
          <w:color w:val="auto"/>
          <w:sz w:val="24"/>
        </w:rPr>
      </w:pPr>
      <w:r>
        <w:rPr>
          <w:rFonts w:hint="eastAsia" w:ascii="宋体" w:hAnsi="宋体" w:cs="宋体"/>
          <w:b/>
          <w:color w:val="auto"/>
          <w:sz w:val="24"/>
        </w:rPr>
        <w:t>23、合同修改</w:t>
      </w:r>
    </w:p>
    <w:p w14:paraId="509D3D94">
      <w:pPr>
        <w:spacing w:line="360" w:lineRule="auto"/>
        <w:rPr>
          <w:rFonts w:hint="eastAsia" w:ascii="宋体" w:hAnsi="宋体" w:cs="宋体"/>
          <w:color w:val="auto"/>
          <w:sz w:val="24"/>
        </w:rPr>
      </w:pPr>
      <w:r>
        <w:rPr>
          <w:rFonts w:hint="eastAsia" w:ascii="宋体" w:hAnsi="宋体" w:cs="宋体"/>
          <w:color w:val="auto"/>
          <w:sz w:val="24"/>
        </w:rPr>
        <w:t>23.1欲对合同条款做出任何改动或偏离，均须由买卖双方签署书面的合同修改书。</w:t>
      </w:r>
    </w:p>
    <w:p w14:paraId="6DEA3BBE">
      <w:pPr>
        <w:ind w:firstLine="482" w:firstLineChars="200"/>
        <w:rPr>
          <w:rFonts w:hint="eastAsia" w:ascii="宋体" w:hAnsi="宋体" w:cs="宋体"/>
          <w:b/>
          <w:color w:val="auto"/>
          <w:sz w:val="24"/>
        </w:rPr>
      </w:pPr>
      <w:r>
        <w:rPr>
          <w:rFonts w:hint="eastAsia" w:ascii="宋体" w:hAnsi="宋体" w:cs="宋体"/>
          <w:b/>
          <w:color w:val="auto"/>
          <w:sz w:val="24"/>
        </w:rPr>
        <w:t>24、转让与分包</w:t>
      </w:r>
    </w:p>
    <w:p w14:paraId="67D6187F">
      <w:pPr>
        <w:spacing w:line="360" w:lineRule="auto"/>
        <w:ind w:firstLine="480" w:firstLineChars="200"/>
        <w:rPr>
          <w:rFonts w:hint="eastAsia" w:ascii="宋体" w:hAnsi="宋体" w:cs="宋体"/>
          <w:color w:val="auto"/>
          <w:sz w:val="24"/>
        </w:rPr>
      </w:pPr>
      <w:r>
        <w:rPr>
          <w:rFonts w:hint="eastAsia" w:ascii="宋体" w:hAnsi="宋体" w:cs="宋体"/>
          <w:color w:val="auto"/>
          <w:sz w:val="24"/>
        </w:rPr>
        <w:t>24.1除买方事先同意外，卖方不得部分转让或全部转让其应履行的合同项下的义务。</w:t>
      </w:r>
    </w:p>
    <w:p w14:paraId="5ABEC3D8">
      <w:pPr>
        <w:spacing w:line="360" w:lineRule="auto"/>
        <w:ind w:firstLine="480" w:firstLineChars="200"/>
        <w:rPr>
          <w:rFonts w:hint="eastAsia" w:ascii="宋体" w:hAnsi="宋体" w:cs="宋体"/>
          <w:color w:val="auto"/>
          <w:sz w:val="24"/>
        </w:rPr>
      </w:pPr>
      <w:r>
        <w:rPr>
          <w:rFonts w:hint="eastAsia" w:ascii="宋体" w:hAnsi="宋体" w:cs="宋体"/>
          <w:color w:val="auto"/>
          <w:sz w:val="24"/>
        </w:rPr>
        <w:t>24.2卖方应书面通知买方本合同项下所授予的所有分包合同。但该通知不解除卖方承担的本合同项下的任何责任或义务。</w:t>
      </w:r>
    </w:p>
    <w:p w14:paraId="4D6AFBD9">
      <w:pPr>
        <w:ind w:firstLine="482" w:firstLineChars="200"/>
        <w:rPr>
          <w:rFonts w:hint="eastAsia" w:ascii="宋体" w:hAnsi="宋体" w:cs="宋体"/>
          <w:b/>
          <w:color w:val="auto"/>
          <w:sz w:val="24"/>
        </w:rPr>
      </w:pPr>
      <w:r>
        <w:rPr>
          <w:rFonts w:hint="eastAsia" w:ascii="宋体" w:hAnsi="宋体" w:cs="宋体"/>
          <w:b/>
          <w:color w:val="auto"/>
          <w:sz w:val="24"/>
        </w:rPr>
        <w:t>25、适用法律</w:t>
      </w:r>
    </w:p>
    <w:p w14:paraId="58F1DB57">
      <w:pPr>
        <w:spacing w:line="360" w:lineRule="auto"/>
        <w:ind w:firstLine="480" w:firstLineChars="200"/>
        <w:rPr>
          <w:rFonts w:hint="eastAsia" w:ascii="宋体" w:hAnsi="宋体" w:cs="宋体"/>
          <w:color w:val="auto"/>
          <w:sz w:val="24"/>
        </w:rPr>
      </w:pPr>
      <w:r>
        <w:rPr>
          <w:rFonts w:hint="eastAsia" w:ascii="宋体" w:hAnsi="宋体" w:cs="宋体"/>
          <w:color w:val="auto"/>
          <w:sz w:val="24"/>
        </w:rPr>
        <w:t>25.1本合同应按中华人民共和国的相关法律解释。</w:t>
      </w:r>
    </w:p>
    <w:p w14:paraId="77F6CCF4">
      <w:pPr>
        <w:ind w:firstLine="482" w:firstLineChars="200"/>
        <w:rPr>
          <w:rFonts w:hint="eastAsia" w:ascii="宋体" w:hAnsi="宋体" w:cs="宋体"/>
          <w:b/>
          <w:color w:val="auto"/>
          <w:sz w:val="24"/>
        </w:rPr>
      </w:pPr>
      <w:r>
        <w:rPr>
          <w:rFonts w:hint="eastAsia" w:ascii="宋体" w:hAnsi="宋体" w:cs="宋体"/>
          <w:b/>
          <w:color w:val="auto"/>
          <w:sz w:val="24"/>
        </w:rPr>
        <w:t>26、通知</w:t>
      </w:r>
    </w:p>
    <w:p w14:paraId="04EC30A7">
      <w:pPr>
        <w:spacing w:line="360" w:lineRule="auto"/>
        <w:ind w:firstLine="480" w:firstLineChars="200"/>
        <w:rPr>
          <w:rFonts w:hint="eastAsia" w:ascii="宋体" w:hAnsi="宋体" w:cs="宋体"/>
          <w:color w:val="auto"/>
          <w:sz w:val="24"/>
        </w:rPr>
      </w:pPr>
      <w:r>
        <w:rPr>
          <w:rFonts w:hint="eastAsia" w:ascii="宋体" w:hAnsi="宋体" w:cs="宋体"/>
          <w:color w:val="auto"/>
          <w:sz w:val="24"/>
        </w:rPr>
        <w:t>26.1本合同任何一方给另一方的通知都应以书面或电传、电报、传真的形式发送，而另一方应以书面形式确认并发送到对方明确的地址。</w:t>
      </w:r>
    </w:p>
    <w:p w14:paraId="78A26419">
      <w:pPr>
        <w:ind w:firstLine="482" w:firstLineChars="200"/>
        <w:rPr>
          <w:rFonts w:hint="eastAsia" w:ascii="宋体" w:hAnsi="宋体" w:cs="宋体"/>
          <w:b/>
          <w:color w:val="auto"/>
          <w:sz w:val="24"/>
        </w:rPr>
      </w:pPr>
      <w:r>
        <w:rPr>
          <w:rFonts w:hint="eastAsia" w:ascii="宋体" w:hAnsi="宋体" w:cs="宋体"/>
          <w:b/>
          <w:color w:val="auto"/>
          <w:sz w:val="24"/>
        </w:rPr>
        <w:t>27、合同文件及资料的使用</w:t>
      </w:r>
    </w:p>
    <w:p w14:paraId="1750BE5F">
      <w:pPr>
        <w:spacing w:line="360" w:lineRule="auto"/>
        <w:ind w:firstLine="480" w:firstLineChars="200"/>
        <w:rPr>
          <w:rFonts w:hint="eastAsia" w:ascii="宋体" w:hAnsi="宋体" w:cs="宋体"/>
          <w:color w:val="auto"/>
          <w:sz w:val="24"/>
        </w:rPr>
      </w:pPr>
      <w:r>
        <w:rPr>
          <w:rFonts w:hint="eastAsia" w:ascii="宋体" w:hAnsi="宋体" w:cs="宋体"/>
          <w:color w:val="auto"/>
          <w:sz w:val="24"/>
        </w:rPr>
        <w:t>27.1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14:paraId="041B69CC">
      <w:pPr>
        <w:spacing w:line="360" w:lineRule="auto"/>
        <w:ind w:firstLine="480" w:firstLineChars="200"/>
        <w:rPr>
          <w:rFonts w:hint="eastAsia" w:ascii="宋体" w:hAnsi="宋体" w:cs="宋体"/>
          <w:color w:val="auto"/>
          <w:sz w:val="24"/>
        </w:rPr>
      </w:pPr>
      <w:r>
        <w:rPr>
          <w:rFonts w:hint="eastAsia" w:ascii="宋体" w:hAnsi="宋体" w:cs="宋体"/>
          <w:color w:val="auto"/>
          <w:sz w:val="24"/>
        </w:rPr>
        <w:t>27.2除非执行合同需要，在事先末得到买、卖方同意的情况下，买、卖方不得将与本合同有关的任何文件和资料给第三方使用。</w:t>
      </w:r>
    </w:p>
    <w:p w14:paraId="7E77F9EC">
      <w:pPr>
        <w:spacing w:line="360" w:lineRule="auto"/>
        <w:ind w:firstLine="480" w:firstLineChars="200"/>
        <w:rPr>
          <w:rFonts w:hint="eastAsia" w:ascii="宋体" w:hAnsi="宋体" w:cs="宋体"/>
          <w:color w:val="auto"/>
          <w:sz w:val="24"/>
        </w:rPr>
      </w:pPr>
      <w:r>
        <w:rPr>
          <w:rFonts w:hint="eastAsia" w:ascii="宋体" w:hAnsi="宋体" w:cs="宋体"/>
          <w:color w:val="auto"/>
          <w:sz w:val="24"/>
        </w:rPr>
        <w:t>27．3除合同本身以外，若买方要求，卖方应于其合同义务履行完毕以后将这些资料(包括所有副本)退还买方。</w:t>
      </w:r>
    </w:p>
    <w:p w14:paraId="6A0C13DE">
      <w:pPr>
        <w:ind w:firstLine="482" w:firstLineChars="200"/>
        <w:rPr>
          <w:rFonts w:hint="eastAsia" w:ascii="宋体" w:hAnsi="宋体" w:cs="宋体"/>
          <w:color w:val="auto"/>
          <w:sz w:val="24"/>
        </w:rPr>
      </w:pPr>
      <w:r>
        <w:rPr>
          <w:rFonts w:hint="eastAsia" w:ascii="宋体" w:hAnsi="宋体" w:cs="宋体"/>
          <w:b/>
          <w:color w:val="auto"/>
          <w:sz w:val="24"/>
        </w:rPr>
        <w:t>28、合同生效及其他</w:t>
      </w:r>
    </w:p>
    <w:p w14:paraId="66647379">
      <w:pPr>
        <w:spacing w:line="360" w:lineRule="auto"/>
        <w:ind w:firstLine="480" w:firstLineChars="200"/>
        <w:rPr>
          <w:rFonts w:hint="eastAsia" w:ascii="宋体" w:hAnsi="宋体" w:cs="宋体"/>
          <w:color w:val="auto"/>
          <w:sz w:val="24"/>
        </w:rPr>
      </w:pPr>
      <w:r>
        <w:rPr>
          <w:rFonts w:hint="eastAsia" w:ascii="宋体" w:hAnsi="宋体" w:cs="宋体"/>
          <w:color w:val="auto"/>
          <w:sz w:val="24"/>
        </w:rPr>
        <w:t>28.1本合同应在买方和卖方签字盖章后生效。</w:t>
      </w:r>
    </w:p>
    <w:p w14:paraId="08D081FD">
      <w:pPr>
        <w:spacing w:line="360" w:lineRule="auto"/>
        <w:ind w:firstLine="480" w:firstLineChars="200"/>
        <w:rPr>
          <w:rFonts w:hint="eastAsia" w:ascii="宋体" w:hAnsi="宋体" w:cs="宋体"/>
          <w:color w:val="auto"/>
          <w:sz w:val="24"/>
        </w:rPr>
      </w:pPr>
      <w:r>
        <w:rPr>
          <w:rFonts w:hint="eastAsia" w:ascii="宋体" w:hAnsi="宋体" w:cs="宋体"/>
          <w:color w:val="auto"/>
          <w:sz w:val="24"/>
        </w:rPr>
        <w:t>28.2卖方须按技术规格中的规定，向买方提供与合同项下货物有关的现场安装调试、技术服务、培训等其他相关服务。</w:t>
      </w:r>
    </w:p>
    <w:p w14:paraId="2910AA44">
      <w:pPr>
        <w:spacing w:line="360" w:lineRule="auto"/>
        <w:ind w:firstLine="480" w:firstLineChars="200"/>
        <w:rPr>
          <w:rFonts w:hint="eastAsia" w:ascii="宋体" w:hAnsi="宋体" w:cs="宋体"/>
          <w:color w:val="auto"/>
          <w:sz w:val="24"/>
        </w:rPr>
      </w:pPr>
      <w:r>
        <w:rPr>
          <w:rFonts w:hint="eastAsia" w:ascii="宋体" w:hAnsi="宋体" w:cs="宋体"/>
          <w:color w:val="auto"/>
          <w:sz w:val="24"/>
        </w:rPr>
        <w:t>28.3商务合同应包括买方最后确认的价格条款和付款方式。</w:t>
      </w:r>
    </w:p>
    <w:p w14:paraId="400CD0E7">
      <w:pPr>
        <w:spacing w:line="360" w:lineRule="auto"/>
        <w:ind w:firstLine="480" w:firstLineChars="200"/>
        <w:rPr>
          <w:rFonts w:hint="eastAsia" w:ascii="宋体" w:hAnsi="宋体" w:cs="宋体"/>
          <w:color w:val="auto"/>
          <w:sz w:val="24"/>
        </w:rPr>
      </w:pPr>
      <w:r>
        <w:rPr>
          <w:rFonts w:hint="eastAsia" w:ascii="宋体" w:hAnsi="宋体" w:cs="宋体"/>
          <w:color w:val="auto"/>
          <w:sz w:val="24"/>
        </w:rPr>
        <w:t>28.4下述文件将作为合同附件，为本合同不可分割的组成部分并与本合具有同等效力：</w:t>
      </w:r>
    </w:p>
    <w:p w14:paraId="0FF4808A">
      <w:pPr>
        <w:spacing w:line="360" w:lineRule="auto"/>
        <w:ind w:firstLine="480" w:firstLineChars="200"/>
        <w:rPr>
          <w:rFonts w:hint="eastAsia" w:ascii="宋体" w:hAnsi="宋体" w:cs="宋体"/>
          <w:color w:val="auto"/>
          <w:sz w:val="24"/>
        </w:rPr>
      </w:pPr>
      <w:r>
        <w:rPr>
          <w:rFonts w:hint="eastAsia" w:ascii="宋体" w:hAnsi="宋体" w:cs="宋体"/>
          <w:color w:val="auto"/>
          <w:sz w:val="24"/>
        </w:rPr>
        <w:t>(1)招标文件；</w:t>
      </w:r>
    </w:p>
    <w:p w14:paraId="3A964FE4">
      <w:pPr>
        <w:spacing w:line="360" w:lineRule="auto"/>
        <w:ind w:firstLine="480" w:firstLineChars="200"/>
        <w:rPr>
          <w:rFonts w:hint="eastAsia" w:ascii="宋体" w:hAnsi="宋体" w:cs="宋体"/>
          <w:color w:val="auto"/>
          <w:sz w:val="24"/>
        </w:rPr>
      </w:pPr>
      <w:r>
        <w:rPr>
          <w:rFonts w:hint="eastAsia" w:ascii="宋体" w:hAnsi="宋体" w:cs="宋体"/>
          <w:color w:val="auto"/>
          <w:sz w:val="24"/>
        </w:rPr>
        <w:t>(2)中标通知书；</w:t>
      </w:r>
    </w:p>
    <w:p w14:paraId="5A24A0BE">
      <w:pPr>
        <w:spacing w:line="360" w:lineRule="auto"/>
        <w:ind w:firstLine="480" w:firstLineChars="200"/>
        <w:rPr>
          <w:rFonts w:hint="eastAsia" w:ascii="宋体" w:hAnsi="宋体" w:cs="宋体"/>
          <w:color w:val="auto"/>
          <w:sz w:val="24"/>
        </w:rPr>
      </w:pPr>
      <w:r>
        <w:rPr>
          <w:rFonts w:hint="eastAsia" w:ascii="宋体" w:hAnsi="宋体" w:cs="宋体"/>
          <w:color w:val="auto"/>
          <w:sz w:val="24"/>
        </w:rPr>
        <w:t>(3)中标人的投标文件及询标过程中的书面答疑记录。</w:t>
      </w:r>
    </w:p>
    <w:p w14:paraId="1B8372C2">
      <w:pPr>
        <w:ind w:firstLine="2891" w:firstLineChars="1200"/>
        <w:jc w:val="both"/>
        <w:rPr>
          <w:rFonts w:hint="eastAsia" w:ascii="宋体" w:hAnsi="宋体" w:cs="宋体"/>
          <w:b/>
          <w:color w:val="auto"/>
          <w:sz w:val="24"/>
        </w:rPr>
      </w:pPr>
      <w:bookmarkStart w:id="9" w:name="_Toc497666659"/>
      <w:bookmarkStart w:id="10" w:name="_Toc380404623"/>
      <w:r>
        <w:rPr>
          <w:rFonts w:hint="eastAsia" w:ascii="宋体" w:hAnsi="宋体" w:cs="宋体"/>
          <w:b/>
          <w:color w:val="auto"/>
          <w:sz w:val="24"/>
        </w:rPr>
        <w:t>二、合同特殊条款</w:t>
      </w:r>
      <w:bookmarkEnd w:id="9"/>
      <w:bookmarkEnd w:id="10"/>
    </w:p>
    <w:p w14:paraId="0A5FC425">
      <w:pPr>
        <w:spacing w:line="360" w:lineRule="auto"/>
        <w:ind w:firstLine="480" w:firstLineChars="200"/>
        <w:rPr>
          <w:rFonts w:hint="eastAsia" w:ascii="宋体" w:hAnsi="宋体" w:cs="宋体"/>
          <w:color w:val="auto"/>
          <w:sz w:val="24"/>
        </w:rPr>
      </w:pPr>
      <w:r>
        <w:rPr>
          <w:rFonts w:hint="eastAsia" w:ascii="宋体" w:hAnsi="宋体" w:cs="宋体"/>
          <w:color w:val="auto"/>
          <w:sz w:val="24"/>
        </w:rPr>
        <w:t>合同特殊条款是对合同一般条款的补充和修改，如果两者之间有不一致之处时，应以特殊条款为准。</w:t>
      </w:r>
    </w:p>
    <w:p w14:paraId="686C27D1">
      <w:pPr>
        <w:spacing w:line="360" w:lineRule="auto"/>
        <w:ind w:firstLine="482" w:firstLineChars="200"/>
        <w:rPr>
          <w:rFonts w:hint="eastAsia" w:ascii="宋体" w:hAnsi="宋体"/>
          <w:b/>
          <w:color w:val="auto"/>
          <w:sz w:val="24"/>
        </w:rPr>
      </w:pPr>
      <w:r>
        <w:rPr>
          <w:rFonts w:hint="eastAsia" w:ascii="宋体" w:hAnsi="宋体"/>
          <w:b/>
          <w:color w:val="auto"/>
          <w:sz w:val="24"/>
        </w:rPr>
        <w:t>1.培训</w:t>
      </w:r>
    </w:p>
    <w:p w14:paraId="3372C8CB">
      <w:pPr>
        <w:pStyle w:val="26"/>
        <w:spacing w:line="360" w:lineRule="auto"/>
        <w:ind w:firstLine="480"/>
        <w:rPr>
          <w:rFonts w:hint="eastAsia" w:ascii="宋体" w:hAnsi="宋体"/>
          <w:color w:val="auto"/>
          <w:sz w:val="24"/>
        </w:rPr>
      </w:pPr>
      <w:r>
        <w:rPr>
          <w:rFonts w:hint="eastAsia" w:ascii="宋体" w:hAnsi="宋体"/>
          <w:color w:val="auto"/>
          <w:sz w:val="24"/>
        </w:rPr>
        <w:t>1.1卖方的安装调试人员有义务对买方的设备维修人员及使用人员进行培训，使维修人员能对设备进行日常维护和一般性故障的查找及故障的排除，使用人员能够熟练掌握设备的各项功能和操作。所有的维修图纸、维修手册免费提供。</w:t>
      </w:r>
    </w:p>
    <w:p w14:paraId="1DD37E68">
      <w:pPr>
        <w:pStyle w:val="26"/>
        <w:spacing w:line="360" w:lineRule="auto"/>
        <w:ind w:firstLine="480"/>
        <w:rPr>
          <w:rFonts w:hint="eastAsia" w:ascii="宋体" w:hAnsi="宋体"/>
          <w:color w:val="auto"/>
          <w:sz w:val="24"/>
        </w:rPr>
      </w:pPr>
      <w:r>
        <w:rPr>
          <w:rFonts w:hint="eastAsia" w:ascii="宋体" w:hAnsi="宋体"/>
          <w:color w:val="auto"/>
          <w:sz w:val="24"/>
        </w:rPr>
        <w:t>1.2中标人应对采购人的操作人员、诊断人员进行培训，直到用户熟练或满意为止。</w:t>
      </w:r>
    </w:p>
    <w:p w14:paraId="4F253B9A">
      <w:pPr>
        <w:spacing w:line="360" w:lineRule="auto"/>
        <w:ind w:firstLine="480" w:firstLineChars="200"/>
        <w:rPr>
          <w:rFonts w:hint="eastAsia"/>
          <w:color w:val="auto"/>
        </w:rPr>
      </w:pPr>
      <w:r>
        <w:rPr>
          <w:rFonts w:hint="eastAsia" w:ascii="宋体" w:hAnsi="宋体"/>
          <w:color w:val="auto"/>
          <w:sz w:val="24"/>
        </w:rPr>
        <w:t>1.3投标人对上述内容的实现方式、地点、人数、时间在投标文件中应详细说明。</w:t>
      </w:r>
    </w:p>
    <w:p w14:paraId="0653F79A">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2.检验</w:t>
      </w:r>
    </w:p>
    <w:p w14:paraId="6FC77D78">
      <w:pPr>
        <w:spacing w:line="360" w:lineRule="auto"/>
        <w:ind w:firstLine="480" w:firstLineChars="200"/>
        <w:rPr>
          <w:rFonts w:hint="eastAsia" w:ascii="宋体" w:hAnsi="宋体" w:cs="宋体"/>
          <w:color w:val="auto"/>
          <w:sz w:val="24"/>
        </w:rPr>
      </w:pPr>
      <w:r>
        <w:rPr>
          <w:rFonts w:hint="eastAsia" w:ascii="宋体" w:hAnsi="宋体" w:cs="宋体"/>
          <w:color w:val="auto"/>
          <w:sz w:val="24"/>
        </w:rPr>
        <w:t>2.1卖方提供的所有货物应符合国际及国内通行的标准，并应附有相应的测试报告和合同证书。</w:t>
      </w:r>
    </w:p>
    <w:p w14:paraId="10056AB4">
      <w:pPr>
        <w:spacing w:line="360" w:lineRule="auto"/>
        <w:ind w:firstLine="480" w:firstLineChars="200"/>
        <w:rPr>
          <w:rFonts w:hint="eastAsia" w:ascii="宋体" w:hAnsi="宋体" w:cs="宋体"/>
          <w:color w:val="auto"/>
          <w:sz w:val="24"/>
        </w:rPr>
      </w:pPr>
      <w:r>
        <w:rPr>
          <w:rFonts w:hint="eastAsia" w:ascii="宋体" w:hAnsi="宋体" w:cs="宋体"/>
          <w:color w:val="auto"/>
          <w:sz w:val="24"/>
        </w:rPr>
        <w:t>2.2对于卖方提供的所有货物,买方可按货物的一定比例委托自治区质量监督部门进行抽检，验收合格后，所产生的费用由买方承担，经检验不合格时，所产生的费用由卖方承担。</w:t>
      </w:r>
    </w:p>
    <w:p w14:paraId="441AF20C">
      <w:pPr>
        <w:spacing w:line="360" w:lineRule="auto"/>
        <w:ind w:firstLine="480" w:firstLineChars="200"/>
        <w:rPr>
          <w:rFonts w:hint="eastAsia" w:ascii="宋体" w:hAnsi="宋体" w:cs="宋体"/>
          <w:color w:val="auto"/>
          <w:sz w:val="24"/>
        </w:rPr>
      </w:pPr>
      <w:r>
        <w:rPr>
          <w:rFonts w:hint="eastAsia" w:ascii="宋体" w:hAnsi="宋体" w:cs="宋体"/>
          <w:color w:val="auto"/>
          <w:sz w:val="24"/>
        </w:rPr>
        <w:t>2.3具体的国际或国内检验标准按卖方在投标文件中承诺的并经买方确认的规定执行。</w:t>
      </w:r>
    </w:p>
    <w:p w14:paraId="49FDBD07">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3.质量保证</w:t>
      </w:r>
    </w:p>
    <w:p w14:paraId="2FFE47C6">
      <w:pPr>
        <w:spacing w:line="360" w:lineRule="auto"/>
        <w:ind w:firstLine="480" w:firstLineChars="200"/>
        <w:rPr>
          <w:rFonts w:hint="eastAsia" w:ascii="宋体" w:hAnsi="宋体" w:cs="宋体"/>
          <w:color w:val="auto"/>
          <w:sz w:val="24"/>
        </w:rPr>
      </w:pPr>
      <w:r>
        <w:rPr>
          <w:rFonts w:hint="eastAsia" w:ascii="宋体" w:hAnsi="宋体" w:cs="宋体"/>
          <w:color w:val="auto"/>
          <w:sz w:val="24"/>
        </w:rPr>
        <w:t>3.1因卖方原因造成买方不能按时使用（根据合同有关条款）所购买货物（设备）时，卖方应根据合同规定向买方做出赔偿。</w:t>
      </w:r>
    </w:p>
    <w:p w14:paraId="487BF4A2">
      <w:pPr>
        <w:spacing w:line="360" w:lineRule="auto"/>
        <w:ind w:firstLine="480" w:firstLineChars="200"/>
        <w:rPr>
          <w:rFonts w:hint="eastAsia" w:ascii="宋体" w:hAnsi="宋体" w:cs="宋体"/>
          <w:color w:val="auto"/>
          <w:sz w:val="24"/>
        </w:rPr>
      </w:pPr>
      <w:r>
        <w:rPr>
          <w:rFonts w:hint="eastAsia" w:ascii="宋体" w:hAnsi="宋体" w:cs="宋体"/>
          <w:color w:val="auto"/>
          <w:sz w:val="24"/>
        </w:rPr>
        <w:t>3.2卖方对合同项下的设备提</w:t>
      </w:r>
      <w:r>
        <w:rPr>
          <w:rFonts w:hint="eastAsia" w:ascii="宋体" w:hAnsi="宋体" w:cs="宋体"/>
          <w:color w:val="auto"/>
          <w:sz w:val="24"/>
          <w:highlight w:val="none"/>
        </w:rPr>
        <w:t>供为期的保</w:t>
      </w:r>
      <w:r>
        <w:rPr>
          <w:rFonts w:hint="eastAsia" w:ascii="宋体" w:hAnsi="宋体" w:cs="宋体"/>
          <w:color w:val="auto"/>
          <w:sz w:val="24"/>
        </w:rPr>
        <w:t>修服务，保修期自验收合格双方签字时算起。在保修期内，卖方需提供免费的维修零配件。</w:t>
      </w:r>
    </w:p>
    <w:p w14:paraId="1C526132">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4.售后服务</w:t>
      </w:r>
    </w:p>
    <w:p w14:paraId="3AB3847B">
      <w:pPr>
        <w:spacing w:line="360" w:lineRule="auto"/>
        <w:ind w:firstLine="480" w:firstLineChars="200"/>
        <w:rPr>
          <w:rFonts w:hint="eastAsia" w:ascii="宋体" w:hAnsi="宋体" w:cs="宋体"/>
          <w:color w:val="auto"/>
          <w:sz w:val="24"/>
        </w:rPr>
      </w:pPr>
      <w:r>
        <w:rPr>
          <w:rFonts w:hint="eastAsia" w:ascii="宋体" w:hAnsi="宋体" w:cs="宋体"/>
          <w:color w:val="auto"/>
          <w:sz w:val="24"/>
        </w:rPr>
        <w:t>4.1提供给买方详细的设备清单及相应的使用、维修。</w:t>
      </w:r>
    </w:p>
    <w:p w14:paraId="2EAB68CE">
      <w:pPr>
        <w:spacing w:line="360" w:lineRule="auto"/>
        <w:ind w:firstLine="480" w:firstLineChars="200"/>
        <w:rPr>
          <w:rFonts w:hint="eastAsia" w:ascii="宋体" w:hAnsi="宋体" w:cs="宋体"/>
          <w:color w:val="auto"/>
          <w:sz w:val="24"/>
        </w:rPr>
      </w:pPr>
      <w:r>
        <w:rPr>
          <w:rFonts w:hint="eastAsia" w:ascii="宋体" w:hAnsi="宋体" w:cs="宋体"/>
          <w:color w:val="auto"/>
          <w:sz w:val="24"/>
        </w:rPr>
        <w:t>4.2在买方发出要求服务通知的小时内，卖方指派的服务人员必须到达买方现场，对出现的较大问题，解决时间不应超过个日历日。</w:t>
      </w:r>
    </w:p>
    <w:p w14:paraId="456EEF50">
      <w:pPr>
        <w:spacing w:line="360" w:lineRule="auto"/>
        <w:ind w:firstLine="480" w:firstLineChars="200"/>
        <w:rPr>
          <w:rFonts w:hint="eastAsia" w:ascii="宋体" w:hAnsi="宋体" w:cs="宋体"/>
          <w:color w:val="auto"/>
          <w:sz w:val="24"/>
        </w:rPr>
      </w:pPr>
      <w:r>
        <w:rPr>
          <w:rFonts w:hint="eastAsia" w:ascii="宋体" w:hAnsi="宋体" w:cs="宋体"/>
          <w:color w:val="auto"/>
          <w:sz w:val="24"/>
        </w:rPr>
        <w:t>4.3在保修期内，如设备出现故障，必须在个日历日内完成维修工作，否则更换。</w:t>
      </w:r>
    </w:p>
    <w:p w14:paraId="479A0617">
      <w:pPr>
        <w:spacing w:line="360" w:lineRule="auto"/>
        <w:ind w:firstLine="480" w:firstLineChars="200"/>
        <w:rPr>
          <w:rFonts w:hint="eastAsia" w:ascii="宋体" w:hAnsi="宋体" w:cs="宋体"/>
          <w:color w:val="auto"/>
          <w:sz w:val="24"/>
        </w:rPr>
      </w:pPr>
      <w:r>
        <w:rPr>
          <w:rFonts w:hint="eastAsia" w:ascii="宋体" w:hAnsi="宋体" w:cs="宋体"/>
          <w:color w:val="auto"/>
          <w:sz w:val="24"/>
        </w:rPr>
        <w:t>4.4提供相应的售后服务承诺（需要设备生产企业协助的部分，须由该生产企业做出相应的服务承诺），并附在投标文件中。</w:t>
      </w:r>
    </w:p>
    <w:p w14:paraId="2A2C033E">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5.其他</w:t>
      </w:r>
    </w:p>
    <w:p w14:paraId="586052FF">
      <w:pPr>
        <w:spacing w:line="360" w:lineRule="auto"/>
        <w:ind w:firstLine="480" w:firstLineChars="200"/>
        <w:rPr>
          <w:rFonts w:hint="eastAsia" w:ascii="宋体" w:hAnsi="宋体" w:cs="宋体"/>
          <w:color w:val="auto"/>
          <w:sz w:val="24"/>
        </w:rPr>
      </w:pPr>
      <w:r>
        <w:rPr>
          <w:rFonts w:hint="eastAsia" w:ascii="宋体" w:hAnsi="宋体" w:cs="宋体"/>
          <w:color w:val="auto"/>
          <w:sz w:val="24"/>
        </w:rPr>
        <w:t>5.1投标报价：详见中标通知书。</w:t>
      </w:r>
    </w:p>
    <w:p w14:paraId="4E1CADDB">
      <w:pPr>
        <w:spacing w:line="360" w:lineRule="auto"/>
        <w:ind w:firstLine="480" w:firstLineChars="200"/>
        <w:rPr>
          <w:rFonts w:hint="eastAsia" w:ascii="宋体" w:hAnsi="宋体" w:cs="宋体"/>
          <w:color w:val="auto"/>
          <w:sz w:val="24"/>
        </w:rPr>
      </w:pPr>
      <w:r>
        <w:rPr>
          <w:rFonts w:hint="eastAsia" w:ascii="宋体" w:hAnsi="宋体" w:cs="宋体"/>
          <w:color w:val="auto"/>
          <w:sz w:val="24"/>
        </w:rPr>
        <w:t>5.2投标货币：人民币</w:t>
      </w:r>
    </w:p>
    <w:p w14:paraId="3D303D43">
      <w:pPr>
        <w:spacing w:line="360" w:lineRule="auto"/>
        <w:ind w:firstLine="480" w:firstLineChars="200"/>
        <w:rPr>
          <w:rFonts w:hint="eastAsia" w:ascii="宋体" w:hAnsi="宋体" w:cs="宋体"/>
          <w:color w:val="auto"/>
          <w:sz w:val="24"/>
        </w:rPr>
      </w:pPr>
      <w:r>
        <w:rPr>
          <w:rFonts w:hint="eastAsia" w:ascii="宋体" w:hAnsi="宋体" w:cs="宋体"/>
          <w:color w:val="auto"/>
          <w:sz w:val="24"/>
        </w:rPr>
        <w:t>5.3列出详细的易损件、专用工具的清单，并分项报价（应包括在总价内）。清单内容应包括：名称、数量、单价、总价。</w:t>
      </w:r>
    </w:p>
    <w:p w14:paraId="66AFAB98">
      <w:pPr>
        <w:spacing w:line="360" w:lineRule="auto"/>
        <w:ind w:firstLine="480" w:firstLineChars="200"/>
        <w:rPr>
          <w:rFonts w:hint="eastAsia" w:ascii="宋体" w:hAnsi="宋体" w:cs="宋体"/>
          <w:color w:val="auto"/>
          <w:sz w:val="24"/>
        </w:rPr>
      </w:pPr>
      <w:r>
        <w:rPr>
          <w:rFonts w:hint="eastAsia" w:ascii="宋体" w:hAnsi="宋体" w:cs="宋体"/>
          <w:color w:val="auto"/>
          <w:sz w:val="24"/>
        </w:rPr>
        <w:t>5.4交货时间：见投标人须知前附表。</w:t>
      </w:r>
    </w:p>
    <w:p w14:paraId="120D3131">
      <w:pPr>
        <w:spacing w:line="360" w:lineRule="auto"/>
        <w:ind w:firstLine="480" w:firstLineChars="200"/>
        <w:rPr>
          <w:rFonts w:hint="eastAsia" w:ascii="宋体" w:hAnsi="宋体" w:cs="宋体"/>
          <w:color w:val="auto"/>
          <w:sz w:val="24"/>
        </w:rPr>
      </w:pPr>
      <w:r>
        <w:rPr>
          <w:rFonts w:hint="eastAsia" w:ascii="宋体" w:hAnsi="宋体" w:cs="宋体"/>
          <w:color w:val="auto"/>
          <w:sz w:val="24"/>
        </w:rPr>
        <w:t>5.5交货地点：采购人指定地点。</w:t>
      </w:r>
    </w:p>
    <w:p w14:paraId="4D044FFD">
      <w:pPr>
        <w:spacing w:line="360" w:lineRule="auto"/>
        <w:ind w:firstLine="480" w:firstLineChars="200"/>
        <w:rPr>
          <w:rFonts w:hint="eastAsia" w:ascii="宋体" w:hAnsi="宋体" w:cs="宋体"/>
          <w:color w:val="auto"/>
          <w:sz w:val="24"/>
        </w:rPr>
      </w:pPr>
      <w:r>
        <w:rPr>
          <w:rFonts w:hint="eastAsia" w:ascii="宋体" w:hAnsi="宋体" w:cs="宋体"/>
          <w:color w:val="auto"/>
          <w:sz w:val="24"/>
        </w:rPr>
        <w:t>甲方：乙方：</w:t>
      </w:r>
    </w:p>
    <w:p w14:paraId="6F9962D6">
      <w:pPr>
        <w:spacing w:line="360" w:lineRule="auto"/>
        <w:ind w:firstLine="480" w:firstLineChars="200"/>
        <w:rPr>
          <w:rFonts w:hint="eastAsia" w:ascii="宋体" w:hAnsi="宋体" w:cs="宋体"/>
          <w:color w:val="auto"/>
          <w:sz w:val="24"/>
        </w:rPr>
      </w:pPr>
      <w:r>
        <w:rPr>
          <w:rFonts w:hint="eastAsia" w:ascii="宋体" w:hAnsi="宋体" w:cs="宋体"/>
          <w:color w:val="auto"/>
          <w:sz w:val="24"/>
        </w:rPr>
        <w:t>盖章：盖章：</w:t>
      </w:r>
    </w:p>
    <w:p w14:paraId="1F377E1A">
      <w:pPr>
        <w:spacing w:line="360" w:lineRule="auto"/>
        <w:ind w:firstLine="480" w:firstLineChars="200"/>
        <w:rPr>
          <w:rFonts w:hint="eastAsia" w:ascii="宋体" w:hAnsi="宋体" w:cs="宋体"/>
          <w:color w:val="auto"/>
          <w:sz w:val="24"/>
        </w:rPr>
      </w:pPr>
      <w:r>
        <w:rPr>
          <w:rFonts w:hint="eastAsia" w:ascii="宋体" w:hAnsi="宋体" w:cs="宋体"/>
          <w:color w:val="auto"/>
          <w:sz w:val="24"/>
        </w:rPr>
        <w:t>代表签章：代表签章：</w:t>
      </w:r>
    </w:p>
    <w:p w14:paraId="09C9BF15">
      <w:pPr>
        <w:spacing w:line="360" w:lineRule="auto"/>
        <w:ind w:firstLine="480" w:firstLineChars="200"/>
        <w:rPr>
          <w:rFonts w:hint="eastAsia" w:ascii="宋体" w:hAnsi="宋体" w:cs="宋体"/>
          <w:color w:val="auto"/>
          <w:sz w:val="24"/>
        </w:rPr>
      </w:pPr>
      <w:r>
        <w:rPr>
          <w:rFonts w:hint="eastAsia" w:ascii="宋体" w:hAnsi="宋体" w:cs="宋体"/>
          <w:color w:val="auto"/>
          <w:sz w:val="24"/>
        </w:rPr>
        <w:t>时间：时间：</w:t>
      </w:r>
    </w:p>
    <w:p w14:paraId="764BAE5D">
      <w:pPr>
        <w:spacing w:line="360" w:lineRule="auto"/>
        <w:ind w:firstLine="480" w:firstLineChars="200"/>
        <w:rPr>
          <w:rFonts w:hint="eastAsia" w:ascii="宋体" w:hAnsi="宋体" w:cs="宋体"/>
          <w:color w:val="auto"/>
          <w:sz w:val="24"/>
        </w:rPr>
      </w:pPr>
      <w:r>
        <w:rPr>
          <w:rFonts w:hint="eastAsia" w:ascii="宋体" w:hAnsi="宋体" w:cs="宋体"/>
          <w:color w:val="auto"/>
          <w:sz w:val="24"/>
        </w:rPr>
        <w:t>地址：地址：</w:t>
      </w:r>
    </w:p>
    <w:p w14:paraId="02AF030A">
      <w:pPr>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备注：最终合同</w:t>
      </w:r>
      <w:r>
        <w:rPr>
          <w:rFonts w:hint="eastAsia" w:ascii="宋体" w:hAnsi="宋体" w:cs="宋体"/>
          <w:b/>
          <w:bCs/>
          <w:color w:val="auto"/>
          <w:sz w:val="24"/>
          <w:lang w:eastAsia="zh-CN"/>
        </w:rPr>
        <w:t>以</w:t>
      </w:r>
      <w:r>
        <w:rPr>
          <w:rFonts w:hint="eastAsia" w:ascii="宋体" w:hAnsi="宋体" w:cs="宋体"/>
          <w:b/>
          <w:bCs/>
          <w:color w:val="auto"/>
          <w:sz w:val="24"/>
        </w:rPr>
        <w:t>与甲方签订合同为准。</w:t>
      </w:r>
    </w:p>
    <w:p w14:paraId="17804610">
      <w:pPr>
        <w:pStyle w:val="42"/>
        <w:spacing w:line="360" w:lineRule="auto"/>
        <w:rPr>
          <w:rFonts w:hint="eastAsia"/>
          <w:color w:val="auto"/>
        </w:rPr>
      </w:pPr>
    </w:p>
    <w:p w14:paraId="0BCE8E96">
      <w:pPr>
        <w:pStyle w:val="42"/>
        <w:spacing w:line="360" w:lineRule="auto"/>
        <w:rPr>
          <w:rFonts w:hint="eastAsia"/>
          <w:color w:val="auto"/>
        </w:rPr>
      </w:pPr>
    </w:p>
    <w:p w14:paraId="638BCDEB">
      <w:pPr>
        <w:pStyle w:val="42"/>
        <w:spacing w:line="360" w:lineRule="auto"/>
        <w:rPr>
          <w:rFonts w:hint="eastAsia"/>
          <w:color w:val="auto"/>
        </w:rPr>
      </w:pPr>
    </w:p>
    <w:p w14:paraId="070A58ED">
      <w:pPr>
        <w:spacing w:line="360" w:lineRule="auto"/>
        <w:ind w:firstLine="2891" w:firstLineChars="900"/>
        <w:rPr>
          <w:rFonts w:ascii="宋体" w:hAnsi="宋体" w:cs="宋体"/>
          <w:b/>
          <w:sz w:val="32"/>
          <w:szCs w:val="32"/>
        </w:rPr>
      </w:pPr>
      <w:r>
        <w:rPr>
          <w:rFonts w:hint="eastAsia" w:ascii="宋体" w:hAnsi="宋体" w:cs="宋体"/>
          <w:b/>
          <w:sz w:val="32"/>
          <w:szCs w:val="32"/>
        </w:rPr>
        <w:br w:type="page"/>
      </w:r>
      <w:r>
        <w:rPr>
          <w:rFonts w:hint="eastAsia" w:ascii="宋体" w:hAnsi="宋体" w:cs="宋体"/>
          <w:b/>
          <w:color w:val="auto"/>
          <w:sz w:val="24"/>
          <w:lang w:val="en-US" w:eastAsia="zh-CN"/>
        </w:rPr>
        <w:t>三、</w:t>
      </w:r>
      <w:r>
        <w:rPr>
          <w:rFonts w:hint="eastAsia" w:ascii="宋体" w:hAnsi="宋体" w:cs="宋体"/>
          <w:b/>
          <w:color w:val="auto"/>
          <w:sz w:val="24"/>
        </w:rPr>
        <w:t>售后服务承诺</w:t>
      </w:r>
    </w:p>
    <w:p w14:paraId="2685B870">
      <w:pPr>
        <w:shd w:val="clear" w:color="auto" w:fill="FFFFFF"/>
        <w:spacing w:line="440" w:lineRule="exact"/>
        <w:ind w:firstLine="475" w:firstLineChars="198"/>
        <w:rPr>
          <w:rFonts w:ascii="宋体" w:hAnsi="宋体" w:cs="宋体"/>
          <w:kern w:val="0"/>
          <w:sz w:val="24"/>
        </w:rPr>
      </w:pPr>
      <w:r>
        <w:rPr>
          <w:rFonts w:hint="eastAsia" w:ascii="宋体" w:hAnsi="宋体" w:cs="宋体"/>
          <w:kern w:val="0"/>
          <w:sz w:val="24"/>
        </w:rPr>
        <w:t>售后服务：报价供应商必须按提交的售后服务承诺书，提供售后服务。</w:t>
      </w:r>
    </w:p>
    <w:p w14:paraId="59C1B256">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一、拟提供售后服务的项目：</w:t>
      </w:r>
    </w:p>
    <w:p w14:paraId="05D0C70D">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二、所维修产品的维保期限：</w:t>
      </w:r>
    </w:p>
    <w:p w14:paraId="51BC1466">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三、售后免费服务期限：</w:t>
      </w:r>
    </w:p>
    <w:p w14:paraId="55C7DDF7">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四、免费维保期限，如维修是否收取材料费：</w:t>
      </w:r>
    </w:p>
    <w:p w14:paraId="7292B30A">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五、免费维保期限，如维修是否收取服务费：</w:t>
      </w:r>
    </w:p>
    <w:p w14:paraId="030BD578">
      <w:pPr>
        <w:spacing w:line="440" w:lineRule="exact"/>
        <w:ind w:firstLine="480" w:firstLineChars="200"/>
        <w:jc w:val="left"/>
        <w:rPr>
          <w:rFonts w:ascii="宋体" w:hAnsi="宋体" w:cs="宋体"/>
          <w:sz w:val="24"/>
        </w:rPr>
      </w:pPr>
      <w:r>
        <w:rPr>
          <w:rFonts w:hint="eastAsia" w:ascii="宋体" w:hAnsi="宋体" w:cs="宋体"/>
          <w:kern w:val="0"/>
          <w:sz w:val="24"/>
        </w:rPr>
        <w:t>六、维保拟提供的</w:t>
      </w:r>
      <w:r>
        <w:rPr>
          <w:rFonts w:hint="eastAsia" w:ascii="宋体" w:hAnsi="宋体" w:cs="宋体"/>
          <w:sz w:val="24"/>
        </w:rPr>
        <w:t>服务方案或项目实施方案计划</w:t>
      </w:r>
      <w:r>
        <w:rPr>
          <w:rFonts w:hint="eastAsia" w:ascii="宋体" w:hAnsi="宋体" w:cs="宋体"/>
          <w:kern w:val="0"/>
          <w:sz w:val="24"/>
        </w:rPr>
        <w:t>（内容包含：</w:t>
      </w:r>
      <w:r>
        <w:rPr>
          <w:rFonts w:hint="eastAsia" w:ascii="宋体" w:hAnsi="宋体" w:cs="宋体"/>
          <w:sz w:val="24"/>
        </w:rPr>
        <w:t>服务方案</w:t>
      </w:r>
      <w:r>
        <w:rPr>
          <w:rFonts w:hint="eastAsia" w:ascii="宋体" w:hAnsi="宋体" w:cs="宋体"/>
          <w:kern w:val="0"/>
          <w:sz w:val="24"/>
        </w:rPr>
        <w:t>、</w:t>
      </w:r>
      <w:r>
        <w:rPr>
          <w:rFonts w:hint="eastAsia" w:ascii="宋体" w:hAnsi="宋体" w:cs="宋体"/>
          <w:sz w:val="24"/>
        </w:rPr>
        <w:t>实施方案</w:t>
      </w:r>
      <w:r>
        <w:rPr>
          <w:rFonts w:hint="eastAsia" w:ascii="宋体" w:hAnsi="宋体" w:cs="宋体"/>
          <w:kern w:val="0"/>
          <w:sz w:val="24"/>
        </w:rPr>
        <w:t>、人员安排，是否能承诺按用户要求到指定地点维修保养产品，验收方案）</w:t>
      </w:r>
    </w:p>
    <w:p w14:paraId="07691C80">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七、售后服务响应及到达现场的时间：</w:t>
      </w:r>
    </w:p>
    <w:p w14:paraId="05DD4199">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八、售后服务机构及联系方式：</w:t>
      </w:r>
      <w:r>
        <w:rPr>
          <w:rFonts w:hint="eastAsia" w:ascii="宋体" w:hAnsi="宋体" w:cs="宋体"/>
          <w:kern w:val="0"/>
          <w:sz w:val="24"/>
          <w:u w:val="single"/>
        </w:rPr>
        <w:t>（后附相关房产证明等证明材料）</w:t>
      </w:r>
    </w:p>
    <w:p w14:paraId="264016CB">
      <w:pPr>
        <w:shd w:val="clear" w:color="auto" w:fill="FFFFFF"/>
        <w:spacing w:line="440" w:lineRule="exact"/>
        <w:ind w:firstLine="480" w:firstLineChars="200"/>
        <w:jc w:val="left"/>
        <w:rPr>
          <w:rFonts w:ascii="宋体" w:hAnsi="宋体" w:cs="宋体"/>
          <w:kern w:val="0"/>
          <w:sz w:val="24"/>
          <w:u w:val="single"/>
        </w:rPr>
      </w:pPr>
      <w:r>
        <w:rPr>
          <w:rFonts w:hint="eastAsia" w:ascii="宋体" w:hAnsi="宋体" w:cs="宋体"/>
          <w:kern w:val="0"/>
          <w:sz w:val="24"/>
        </w:rPr>
        <w:t>九、报价供应商的其他服务承诺及优惠条件：</w:t>
      </w:r>
    </w:p>
    <w:p w14:paraId="1F1764A6">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公司法人代表(盖章或签字)：</w:t>
      </w:r>
    </w:p>
    <w:p w14:paraId="786A89BD">
      <w:pPr>
        <w:widowControl/>
        <w:spacing w:before="100" w:beforeAutospacing="1" w:after="100" w:afterAutospacing="1" w:line="440" w:lineRule="exact"/>
        <w:ind w:firstLine="899"/>
        <w:jc w:val="left"/>
        <w:rPr>
          <w:rFonts w:ascii="宋体" w:hAnsi="宋体" w:cs="宋体"/>
          <w:kern w:val="0"/>
          <w:sz w:val="24"/>
        </w:rPr>
      </w:pPr>
      <w:r>
        <w:rPr>
          <w:rFonts w:hint="eastAsia" w:ascii="宋体" w:hAnsi="宋体" w:cs="宋体"/>
          <w:kern w:val="0"/>
          <w:sz w:val="24"/>
        </w:rPr>
        <w:t>法人授权代表(盖章或签字)：</w:t>
      </w:r>
    </w:p>
    <w:p w14:paraId="60B65279">
      <w:pPr>
        <w:widowControl/>
        <w:spacing w:before="100" w:beforeAutospacing="1" w:after="100" w:afterAutospacing="1" w:line="440" w:lineRule="exact"/>
        <w:ind w:firstLine="897"/>
        <w:jc w:val="left"/>
        <w:rPr>
          <w:rFonts w:ascii="宋体" w:hAnsi="宋体" w:cs="宋体"/>
          <w:kern w:val="0"/>
          <w:sz w:val="24"/>
        </w:rPr>
      </w:pPr>
      <w:r>
        <w:rPr>
          <w:rFonts w:hint="eastAsia" w:ascii="宋体" w:hAnsi="宋体" w:cs="宋体"/>
          <w:kern w:val="0"/>
          <w:sz w:val="24"/>
        </w:rPr>
        <w:t>项目经办人(盖章或签字)：</w:t>
      </w:r>
    </w:p>
    <w:p w14:paraId="7C23DAC6">
      <w:pPr>
        <w:widowControl/>
        <w:adjustRightInd w:val="0"/>
        <w:spacing w:line="440" w:lineRule="exact"/>
        <w:jc w:val="left"/>
        <w:rPr>
          <w:rFonts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20年月日</w:t>
      </w:r>
    </w:p>
    <w:p w14:paraId="0AF46C62">
      <w:pPr>
        <w:pStyle w:val="42"/>
        <w:spacing w:line="360" w:lineRule="auto"/>
        <w:rPr>
          <w:rFonts w:hint="eastAsia"/>
          <w:color w:val="auto"/>
        </w:rPr>
      </w:pPr>
    </w:p>
    <w:p w14:paraId="652DC2BC">
      <w:pPr>
        <w:pStyle w:val="42"/>
        <w:spacing w:line="360" w:lineRule="auto"/>
        <w:rPr>
          <w:rFonts w:hint="eastAsia"/>
          <w:color w:val="auto"/>
        </w:rPr>
      </w:pPr>
    </w:p>
    <w:p w14:paraId="72D07707">
      <w:pPr>
        <w:pStyle w:val="42"/>
        <w:spacing w:line="360" w:lineRule="auto"/>
        <w:rPr>
          <w:rFonts w:hint="eastAsia"/>
          <w:color w:val="auto"/>
        </w:rPr>
      </w:pPr>
    </w:p>
    <w:p w14:paraId="19E06BD8">
      <w:pPr>
        <w:pStyle w:val="42"/>
        <w:spacing w:line="360" w:lineRule="auto"/>
        <w:rPr>
          <w:rFonts w:hint="eastAsia"/>
          <w:color w:val="auto"/>
        </w:rPr>
      </w:pPr>
    </w:p>
    <w:p w14:paraId="5B82471E">
      <w:pPr>
        <w:pStyle w:val="42"/>
        <w:spacing w:line="360" w:lineRule="auto"/>
        <w:rPr>
          <w:rFonts w:hint="eastAsia"/>
          <w:color w:val="auto"/>
        </w:rPr>
      </w:pPr>
    </w:p>
    <w:p w14:paraId="48F73036">
      <w:pPr>
        <w:pStyle w:val="42"/>
        <w:spacing w:line="360" w:lineRule="auto"/>
        <w:rPr>
          <w:rFonts w:hint="eastAsia"/>
          <w:color w:val="auto"/>
        </w:rPr>
      </w:pPr>
    </w:p>
    <w:p w14:paraId="7F91B951">
      <w:pPr>
        <w:pStyle w:val="42"/>
        <w:spacing w:line="360" w:lineRule="auto"/>
        <w:rPr>
          <w:rFonts w:hint="eastAsia"/>
          <w:color w:val="auto"/>
        </w:rPr>
      </w:pPr>
    </w:p>
    <w:p w14:paraId="53870FAB">
      <w:pPr>
        <w:pStyle w:val="42"/>
        <w:spacing w:line="360" w:lineRule="auto"/>
        <w:rPr>
          <w:rFonts w:hint="eastAsia"/>
          <w:color w:val="auto"/>
        </w:rPr>
      </w:pPr>
    </w:p>
    <w:p w14:paraId="167A9865">
      <w:pPr>
        <w:pStyle w:val="42"/>
        <w:spacing w:line="360" w:lineRule="auto"/>
        <w:rPr>
          <w:rFonts w:hint="eastAsia"/>
          <w:color w:val="auto"/>
        </w:rPr>
      </w:pPr>
    </w:p>
    <w:p w14:paraId="15E48818">
      <w:pPr>
        <w:pStyle w:val="42"/>
        <w:spacing w:line="360" w:lineRule="auto"/>
        <w:rPr>
          <w:rFonts w:hint="eastAsia"/>
          <w:color w:val="auto"/>
        </w:rPr>
      </w:pPr>
    </w:p>
    <w:p w14:paraId="3F7BF809">
      <w:pPr>
        <w:pStyle w:val="42"/>
        <w:spacing w:line="360" w:lineRule="auto"/>
        <w:rPr>
          <w:rFonts w:hint="eastAsia"/>
          <w:color w:val="auto"/>
        </w:rPr>
      </w:pPr>
    </w:p>
    <w:p w14:paraId="42EA5105">
      <w:pPr>
        <w:pStyle w:val="42"/>
        <w:spacing w:line="360" w:lineRule="auto"/>
        <w:rPr>
          <w:rFonts w:hint="eastAsia"/>
          <w:color w:val="auto"/>
        </w:rPr>
      </w:pPr>
    </w:p>
    <w:p w14:paraId="6926F4E6">
      <w:pPr>
        <w:pStyle w:val="42"/>
        <w:spacing w:line="360" w:lineRule="auto"/>
        <w:rPr>
          <w:rFonts w:hint="eastAsia"/>
          <w:color w:val="auto"/>
        </w:rPr>
      </w:pPr>
    </w:p>
    <w:p w14:paraId="66D31EDE">
      <w:pPr>
        <w:pStyle w:val="42"/>
        <w:spacing w:line="360" w:lineRule="auto"/>
        <w:rPr>
          <w:rFonts w:hint="eastAsia"/>
          <w:color w:val="auto"/>
        </w:rPr>
      </w:pPr>
    </w:p>
    <w:p w14:paraId="1439BE11">
      <w:pPr>
        <w:pStyle w:val="42"/>
        <w:spacing w:line="360" w:lineRule="auto"/>
        <w:rPr>
          <w:rFonts w:hint="eastAsia"/>
          <w:color w:val="auto"/>
        </w:rPr>
      </w:pPr>
    </w:p>
    <w:p w14:paraId="1EBCF782">
      <w:pPr>
        <w:pStyle w:val="42"/>
        <w:spacing w:line="360" w:lineRule="auto"/>
        <w:rPr>
          <w:rFonts w:hint="eastAsia"/>
          <w:color w:val="auto"/>
        </w:rPr>
      </w:pPr>
    </w:p>
    <w:p w14:paraId="38F496C5">
      <w:pPr>
        <w:pStyle w:val="2"/>
        <w:spacing w:before="0" w:after="0"/>
        <w:ind w:firstLine="3213" w:firstLineChars="1000"/>
        <w:jc w:val="both"/>
        <w:rPr>
          <w:color w:val="auto"/>
          <w:sz w:val="32"/>
          <w:szCs w:val="32"/>
        </w:rPr>
      </w:pPr>
      <w:r>
        <w:rPr>
          <w:color w:val="auto"/>
          <w:sz w:val="32"/>
          <w:szCs w:val="32"/>
        </w:rPr>
        <w:t>第七章</w:t>
      </w:r>
      <w:r>
        <w:rPr>
          <w:rFonts w:hint="eastAsia"/>
          <w:color w:val="auto"/>
          <w:sz w:val="32"/>
          <w:szCs w:val="32"/>
          <w:lang w:val="en-US" w:eastAsia="zh-CN"/>
        </w:rPr>
        <w:t xml:space="preserve"> </w:t>
      </w:r>
      <w:r>
        <w:rPr>
          <w:color w:val="auto"/>
          <w:sz w:val="32"/>
          <w:szCs w:val="32"/>
        </w:rPr>
        <w:t>投标文件格式</w:t>
      </w:r>
    </w:p>
    <w:p w14:paraId="00E2D255">
      <w:pPr>
        <w:jc w:val="right"/>
        <w:rPr>
          <w:rFonts w:hint="eastAsia" w:ascii="宋体"/>
          <w:b/>
          <w:color w:val="auto"/>
          <w:sz w:val="30"/>
          <w:szCs w:val="30"/>
        </w:rPr>
      </w:pPr>
      <w:r>
        <w:rPr>
          <w:rFonts w:hint="eastAsia" w:ascii="宋体"/>
          <w:b/>
          <w:color w:val="auto"/>
          <w:sz w:val="30"/>
          <w:szCs w:val="30"/>
        </w:rPr>
        <mc:AlternateContent>
          <mc:Choice Requires="wps">
            <w:drawing>
              <wp:anchor distT="0" distB="0" distL="114300" distR="114300" simplePos="0" relativeHeight="251659264" behindDoc="0" locked="0" layoutInCell="1" allowOverlap="1">
                <wp:simplePos x="0" y="0"/>
                <wp:positionH relativeFrom="column">
                  <wp:posOffset>4742180</wp:posOffset>
                </wp:positionH>
                <wp:positionV relativeFrom="paragraph">
                  <wp:posOffset>226695</wp:posOffset>
                </wp:positionV>
                <wp:extent cx="1085850" cy="428625"/>
                <wp:effectExtent l="7620" t="7620" r="11430" b="11430"/>
                <wp:wrapNone/>
                <wp:docPr id="1" name="文本框 3"/>
                <wp:cNvGraphicFramePr/>
                <a:graphic xmlns:a="http://schemas.openxmlformats.org/drawingml/2006/main">
                  <a:graphicData uri="http://schemas.microsoft.com/office/word/2010/wordprocessingShape">
                    <wps:wsp>
                      <wps:cNvSpPr txBox="1"/>
                      <wps:spPr>
                        <a:xfrm>
                          <a:off x="0" y="0"/>
                          <a:ext cx="1085850" cy="428625"/>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14:paraId="5A814CD9">
                            <w:pPr>
                              <w:jc w:val="center"/>
                              <w:rPr>
                                <w:b/>
                                <w:sz w:val="28"/>
                                <w:szCs w:val="28"/>
                              </w:rPr>
                            </w:pPr>
                            <w:r>
                              <w:rPr>
                                <w:rFonts w:hint="eastAsia"/>
                                <w:b/>
                                <w:sz w:val="28"/>
                                <w:szCs w:val="28"/>
                              </w:rPr>
                              <w:t>正本/副本</w:t>
                            </w:r>
                          </w:p>
                        </w:txbxContent>
                      </wps:txbx>
                      <wps:bodyPr wrap="square" upright="1"/>
                    </wps:wsp>
                  </a:graphicData>
                </a:graphic>
              </wp:anchor>
            </w:drawing>
          </mc:Choice>
          <mc:Fallback>
            <w:pict>
              <v:shape id="文本框 3" o:spid="_x0000_s1026" o:spt="202" type="#_x0000_t202" style="position:absolute;left:0pt;margin-left:373.4pt;margin-top:17.85pt;height:33.75pt;width:85.5pt;z-index:251659264;mso-width-relative:page;mso-height-relative:page;" fillcolor="#FFFFFF" filled="t" stroked="t" coordsize="21600,21600" o:gfxdata="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qDEsY2QAAAAoBAAAPAAAAAAAAAAEAIAAAACIAAABkcnMvZG93bnJl&#10;di54bWxQSwECFAAUAAAACACHTuJAg0MQUjUCAAB+BAAADgAAAAAAAAABACAAAAAoAQAAZHJzL2Uy&#10;b0RvYy54bWxQSwUGAAAAAAYABgBZAQAAzwUAAAAA&#10;">
                <v:fill type="gradient" on="t" color2="#FFFFFF" angle="90" focus="100%" focussize="0f,0f" focusposition="0f,0f">
                  <o:fill type="gradientUnscaled" v:ext="backwardCompatible"/>
                </v:fill>
                <v:stroke weight="1.25pt" color="#739CC3" joinstyle="miter"/>
                <v:imagedata o:title=""/>
                <o:lock v:ext="edit" aspectratio="f"/>
                <v:textbox>
                  <w:txbxContent>
                    <w:p w14:paraId="5A814CD9">
                      <w:pPr>
                        <w:jc w:val="center"/>
                        <w:rPr>
                          <w:b/>
                          <w:sz w:val="28"/>
                          <w:szCs w:val="28"/>
                        </w:rPr>
                      </w:pPr>
                      <w:r>
                        <w:rPr>
                          <w:rFonts w:hint="eastAsia"/>
                          <w:b/>
                          <w:sz w:val="28"/>
                          <w:szCs w:val="28"/>
                        </w:rPr>
                        <w:t>正本/副本</w:t>
                      </w:r>
                    </w:p>
                  </w:txbxContent>
                </v:textbox>
              </v:shape>
            </w:pict>
          </mc:Fallback>
        </mc:AlternateContent>
      </w:r>
    </w:p>
    <w:p w14:paraId="69D26355">
      <w:pPr>
        <w:rPr>
          <w:rFonts w:hint="eastAsia" w:ascii="宋体"/>
          <w:b/>
          <w:color w:val="auto"/>
          <w:sz w:val="30"/>
          <w:szCs w:val="30"/>
        </w:rPr>
      </w:pPr>
    </w:p>
    <w:p w14:paraId="043C1E74">
      <w:pPr>
        <w:spacing w:line="360" w:lineRule="auto"/>
        <w:jc w:val="center"/>
        <w:rPr>
          <w:rFonts w:hint="eastAsia" w:ascii="宋体" w:hAnsi="宋体"/>
          <w:b/>
          <w:color w:val="auto"/>
          <w:sz w:val="44"/>
          <w:szCs w:val="44"/>
        </w:rPr>
      </w:pPr>
    </w:p>
    <w:p w14:paraId="3CB28169">
      <w:pPr>
        <w:spacing w:line="360" w:lineRule="auto"/>
        <w:jc w:val="center"/>
        <w:rPr>
          <w:rFonts w:hint="eastAsia" w:ascii="宋体"/>
          <w:b/>
          <w:bCs/>
          <w:color w:val="auto"/>
          <w:sz w:val="44"/>
          <w:lang w:eastAsia="zh-CN"/>
        </w:rPr>
      </w:pPr>
      <w:r>
        <w:rPr>
          <w:rFonts w:hint="eastAsia" w:ascii="宋体"/>
          <w:b/>
          <w:bCs/>
          <w:color w:val="auto"/>
          <w:sz w:val="44"/>
          <w:lang w:eastAsia="zh-CN"/>
        </w:rPr>
        <w:t>xxxxxxx</w:t>
      </w:r>
    </w:p>
    <w:p w14:paraId="5934A7B1">
      <w:pPr>
        <w:spacing w:line="360" w:lineRule="auto"/>
        <w:jc w:val="center"/>
        <w:rPr>
          <w:rFonts w:hint="eastAsia" w:ascii="宋体"/>
          <w:b/>
          <w:bCs/>
          <w:color w:val="auto"/>
          <w:sz w:val="44"/>
          <w:lang w:eastAsia="zh-CN"/>
        </w:rPr>
      </w:pPr>
    </w:p>
    <w:p w14:paraId="444AE639">
      <w:pPr>
        <w:spacing w:line="360" w:lineRule="auto"/>
        <w:jc w:val="center"/>
        <w:rPr>
          <w:rFonts w:hint="eastAsia" w:ascii="宋体"/>
          <w:b/>
          <w:color w:val="auto"/>
          <w:sz w:val="84"/>
          <w:szCs w:val="84"/>
        </w:rPr>
      </w:pPr>
      <w:r>
        <w:rPr>
          <w:rFonts w:hint="eastAsia" w:ascii="宋体"/>
          <w:b/>
          <w:color w:val="auto"/>
          <w:sz w:val="84"/>
          <w:szCs w:val="84"/>
        </w:rPr>
        <w:t>投标文件</w:t>
      </w:r>
    </w:p>
    <w:p w14:paraId="672104F4">
      <w:pPr>
        <w:jc w:val="center"/>
        <w:rPr>
          <w:rFonts w:hint="eastAsia" w:ascii="宋体" w:eastAsia="宋体"/>
          <w:b/>
          <w:color w:val="auto"/>
          <w:sz w:val="30"/>
          <w:szCs w:val="30"/>
          <w:lang w:eastAsia="zh-CN"/>
        </w:rPr>
      </w:pPr>
      <w:r>
        <w:rPr>
          <w:rFonts w:hint="eastAsia" w:ascii="宋体"/>
          <w:b/>
          <w:color w:val="auto"/>
          <w:sz w:val="30"/>
          <w:szCs w:val="30"/>
        </w:rPr>
        <w:t>项目编号：</w:t>
      </w:r>
      <w:r>
        <w:rPr>
          <w:rFonts w:hint="eastAsia" w:ascii="宋体"/>
          <w:b/>
          <w:color w:val="auto"/>
          <w:sz w:val="30"/>
          <w:szCs w:val="30"/>
          <w:lang w:val="en-US" w:eastAsia="zh-CN"/>
        </w:rPr>
        <w:t>x x x</w:t>
      </w:r>
    </w:p>
    <w:p w14:paraId="04F3973A">
      <w:pPr>
        <w:rPr>
          <w:rFonts w:hint="eastAsia" w:ascii="宋体"/>
          <w:b/>
          <w:color w:val="auto"/>
          <w:sz w:val="30"/>
          <w:szCs w:val="30"/>
        </w:rPr>
      </w:pPr>
    </w:p>
    <w:p w14:paraId="7456D9DF">
      <w:pPr>
        <w:rPr>
          <w:rFonts w:hint="eastAsia" w:ascii="宋体"/>
          <w:b/>
          <w:color w:val="auto"/>
          <w:sz w:val="30"/>
          <w:szCs w:val="30"/>
        </w:rPr>
      </w:pPr>
    </w:p>
    <w:p w14:paraId="40E7887E">
      <w:pPr>
        <w:rPr>
          <w:rFonts w:hint="eastAsia" w:ascii="宋体"/>
          <w:b/>
          <w:color w:val="auto"/>
          <w:sz w:val="30"/>
          <w:szCs w:val="30"/>
        </w:rPr>
      </w:pPr>
    </w:p>
    <w:p w14:paraId="22591E52">
      <w:pPr>
        <w:spacing w:line="600" w:lineRule="auto"/>
        <w:rPr>
          <w:rFonts w:hint="eastAsia" w:ascii="宋体"/>
          <w:b/>
          <w:color w:val="auto"/>
          <w:sz w:val="30"/>
          <w:szCs w:val="30"/>
        </w:rPr>
      </w:pPr>
      <w:r>
        <w:rPr>
          <w:rFonts w:hint="eastAsia" w:ascii="宋体"/>
          <w:b/>
          <w:color w:val="auto"/>
          <w:sz w:val="30"/>
          <w:szCs w:val="30"/>
        </w:rPr>
        <w:t>投标人单位名称：（盖公章）</w:t>
      </w:r>
    </w:p>
    <w:p w14:paraId="30E85F33">
      <w:pPr>
        <w:spacing w:line="600" w:lineRule="auto"/>
        <w:rPr>
          <w:rFonts w:hint="eastAsia" w:ascii="宋体"/>
          <w:b/>
          <w:color w:val="auto"/>
          <w:sz w:val="30"/>
          <w:szCs w:val="30"/>
        </w:rPr>
      </w:pPr>
      <w:r>
        <w:rPr>
          <w:rFonts w:hint="eastAsia" w:ascii="宋体"/>
          <w:b/>
          <w:color w:val="auto"/>
          <w:sz w:val="30"/>
          <w:szCs w:val="30"/>
        </w:rPr>
        <w:t>法定代表人或委托代理人：（签字或盖章）</w:t>
      </w:r>
    </w:p>
    <w:p w14:paraId="02831F45">
      <w:pPr>
        <w:pStyle w:val="16"/>
        <w:rPr>
          <w:rFonts w:hint="eastAsia" w:eastAsia="宋体"/>
          <w:b/>
          <w:color w:val="auto"/>
          <w:sz w:val="30"/>
          <w:szCs w:val="30"/>
          <w:lang w:eastAsia="zh-CN"/>
        </w:rPr>
      </w:pPr>
      <w:r>
        <w:rPr>
          <w:rFonts w:hint="eastAsia"/>
          <w:b/>
          <w:color w:val="auto"/>
          <w:sz w:val="30"/>
          <w:szCs w:val="30"/>
        </w:rPr>
        <w:t>联系人及联系电话：</w:t>
      </w:r>
    </w:p>
    <w:p w14:paraId="49FCD289">
      <w:pPr>
        <w:spacing w:line="360" w:lineRule="auto"/>
        <w:jc w:val="center"/>
        <w:rPr>
          <w:rFonts w:hint="eastAsia" w:ascii="宋体"/>
          <w:b/>
          <w:color w:val="auto"/>
          <w:sz w:val="30"/>
          <w:szCs w:val="30"/>
        </w:rPr>
      </w:pPr>
    </w:p>
    <w:p w14:paraId="5DE65161">
      <w:pPr>
        <w:spacing w:line="360" w:lineRule="auto"/>
        <w:jc w:val="center"/>
        <w:rPr>
          <w:rFonts w:hint="eastAsia" w:ascii="宋体"/>
          <w:b/>
          <w:color w:val="auto"/>
          <w:sz w:val="30"/>
          <w:szCs w:val="30"/>
        </w:rPr>
      </w:pPr>
      <w:r>
        <w:rPr>
          <w:rFonts w:hint="eastAsia" w:ascii="宋体"/>
          <w:b/>
          <w:color w:val="auto"/>
          <w:sz w:val="30"/>
          <w:szCs w:val="30"/>
          <w:lang w:eastAsia="zh-CN"/>
        </w:rPr>
        <w:t>二〇二六</w:t>
      </w:r>
      <w:r>
        <w:rPr>
          <w:rFonts w:hint="eastAsia" w:ascii="宋体"/>
          <w:b/>
          <w:color w:val="auto"/>
          <w:sz w:val="30"/>
          <w:szCs w:val="30"/>
        </w:rPr>
        <w:t>年月日</w:t>
      </w:r>
    </w:p>
    <w:p w14:paraId="144F3346">
      <w:pPr>
        <w:pStyle w:val="42"/>
        <w:rPr>
          <w:rFonts w:hint="eastAsia"/>
          <w:color w:val="auto"/>
        </w:rPr>
      </w:pPr>
    </w:p>
    <w:p w14:paraId="3078439F">
      <w:pPr>
        <w:pStyle w:val="42"/>
        <w:rPr>
          <w:rFonts w:hint="eastAsia" w:eastAsia="宋体"/>
          <w:b/>
          <w:color w:val="auto"/>
          <w:sz w:val="30"/>
          <w:szCs w:val="30"/>
          <w:lang w:eastAsia="zh-CN"/>
        </w:rPr>
      </w:pPr>
      <w:r>
        <w:rPr>
          <w:rFonts w:hint="eastAsia"/>
          <w:b/>
          <w:color w:val="auto"/>
          <w:sz w:val="30"/>
          <w:szCs w:val="30"/>
        </w:rPr>
        <w:br w:type="page"/>
      </w:r>
      <w:r>
        <w:rPr>
          <w:rFonts w:hint="eastAsia"/>
          <w:b/>
          <w:color w:val="auto"/>
          <w:sz w:val="30"/>
          <w:szCs w:val="30"/>
        </w:rPr>
        <w:t>附件一</w:t>
      </w:r>
    </w:p>
    <w:p w14:paraId="3BADCE4E">
      <w:pPr>
        <w:spacing w:line="360" w:lineRule="auto"/>
        <w:jc w:val="center"/>
        <w:rPr>
          <w:rFonts w:hint="eastAsia" w:ascii="宋体"/>
          <w:b/>
          <w:color w:val="auto"/>
          <w:sz w:val="30"/>
          <w:szCs w:val="30"/>
        </w:rPr>
      </w:pPr>
      <w:r>
        <w:rPr>
          <w:rFonts w:hint="eastAsia" w:ascii="宋体"/>
          <w:b/>
          <w:color w:val="auto"/>
          <w:sz w:val="30"/>
          <w:szCs w:val="30"/>
        </w:rPr>
        <w:t>投标函</w:t>
      </w:r>
    </w:p>
    <w:p w14:paraId="3AF88DC4">
      <w:pPr>
        <w:spacing w:line="360" w:lineRule="auto"/>
        <w:rPr>
          <w:rFonts w:hint="eastAsia" w:ascii="宋体"/>
          <w:color w:val="auto"/>
          <w:sz w:val="24"/>
          <w:u w:val="single"/>
        </w:rPr>
      </w:pPr>
      <w:r>
        <w:rPr>
          <w:rFonts w:hint="eastAsia" w:ascii="宋体" w:hAnsi="宋体"/>
          <w:color w:val="auto"/>
          <w:sz w:val="24"/>
          <w:u w:val="single"/>
          <w:lang w:eastAsia="zh-CN"/>
        </w:rPr>
        <w:t>XXXXXX</w:t>
      </w:r>
      <w:r>
        <w:rPr>
          <w:rFonts w:hint="eastAsia" w:ascii="宋体"/>
          <w:color w:val="auto"/>
          <w:sz w:val="24"/>
          <w:u w:val="single"/>
        </w:rPr>
        <w:t>：</w:t>
      </w:r>
    </w:p>
    <w:p w14:paraId="772B9F3B">
      <w:pPr>
        <w:spacing w:line="360" w:lineRule="auto"/>
        <w:ind w:firstLine="480" w:firstLineChars="200"/>
        <w:rPr>
          <w:rFonts w:hint="eastAsia" w:ascii="宋体" w:hAnsi="宋体"/>
          <w:color w:val="auto"/>
          <w:sz w:val="24"/>
        </w:rPr>
      </w:pPr>
      <w:r>
        <w:rPr>
          <w:rFonts w:hint="eastAsia" w:ascii="宋体" w:hAnsi="宋体"/>
          <w:color w:val="auto"/>
          <w:sz w:val="24"/>
        </w:rPr>
        <w:t>我方收到贵方（项目名称、项目编号）的招标文件，经仔细阅读和研究，我方决定参加投标。</w:t>
      </w:r>
    </w:p>
    <w:p w14:paraId="15F1FD70">
      <w:pPr>
        <w:spacing w:line="360" w:lineRule="auto"/>
        <w:ind w:firstLine="480" w:firstLineChars="200"/>
        <w:rPr>
          <w:rFonts w:hint="eastAsia" w:ascii="宋体" w:hAnsi="宋体"/>
          <w:color w:val="auto"/>
          <w:sz w:val="24"/>
        </w:rPr>
      </w:pPr>
      <w:r>
        <w:rPr>
          <w:rFonts w:hint="eastAsia" w:ascii="宋体" w:hAnsi="宋体"/>
          <w:color w:val="auto"/>
          <w:sz w:val="24"/>
        </w:rPr>
        <w:t>l、我方愿意按照招标文件的一切要求，提供以上货物和服务，同时负责税金、运输、材料搬运、垃圾运输、保险费用、售后服务质保及其他发生的与本项目相关需计入投标成本的等一切相关费用，总价格及明细见《报价表》。</w:t>
      </w:r>
    </w:p>
    <w:p w14:paraId="3E60C32D">
      <w:pPr>
        <w:spacing w:line="360" w:lineRule="auto"/>
        <w:ind w:firstLine="480" w:firstLineChars="200"/>
        <w:rPr>
          <w:rFonts w:hint="eastAsia" w:ascii="宋体" w:hAnsi="宋体"/>
          <w:color w:val="auto"/>
          <w:sz w:val="24"/>
        </w:rPr>
      </w:pPr>
      <w:r>
        <w:rPr>
          <w:rFonts w:hint="eastAsia" w:ascii="宋体" w:hAnsi="宋体"/>
          <w:color w:val="auto"/>
          <w:sz w:val="24"/>
        </w:rPr>
        <w:t>2、如果我方的投标文件被接受，我方将严格履行招标文件中规定的每一项要求，按期、按质、按量履行供货义务。</w:t>
      </w:r>
    </w:p>
    <w:p w14:paraId="457FBC38">
      <w:pPr>
        <w:spacing w:line="360" w:lineRule="auto"/>
        <w:ind w:firstLine="480" w:firstLineChars="200"/>
        <w:rPr>
          <w:rFonts w:hAnsi="宋体"/>
          <w:color w:val="auto"/>
          <w:sz w:val="24"/>
        </w:rPr>
      </w:pPr>
      <w:r>
        <w:rPr>
          <w:rFonts w:hint="eastAsia" w:ascii="宋体" w:hAnsi="宋体"/>
          <w:color w:val="auto"/>
          <w:sz w:val="24"/>
        </w:rPr>
        <w:t>3、</w:t>
      </w:r>
      <w:r>
        <w:rPr>
          <w:rFonts w:hint="eastAsia" w:hAnsi="宋体"/>
          <w:color w:val="auto"/>
          <w:sz w:val="24"/>
        </w:rPr>
        <w:t>投标人已详细审查全部招标文件，包括所有补充通知。我们完全理解并同意放弃对这方面有不明、误解和质疑的权力。</w:t>
      </w:r>
    </w:p>
    <w:p w14:paraId="370110CE">
      <w:pPr>
        <w:spacing w:line="360" w:lineRule="auto"/>
        <w:ind w:firstLine="600" w:firstLineChars="250"/>
        <w:rPr>
          <w:rFonts w:hint="eastAsia" w:ascii="宋体" w:hAnsi="宋体"/>
          <w:color w:val="auto"/>
          <w:sz w:val="24"/>
        </w:rPr>
      </w:pPr>
      <w:r>
        <w:rPr>
          <w:rFonts w:hint="eastAsia" w:ascii="宋体" w:hAnsi="宋体"/>
          <w:color w:val="auto"/>
          <w:sz w:val="24"/>
        </w:rPr>
        <w:t>4、我方同意按招标文件中的规定，本投标文件的有效期为自投标截止之日起个日历日，遵守本投标文件中的承诺且在此期满之前均具有约束力。</w:t>
      </w:r>
    </w:p>
    <w:p w14:paraId="67FC14CA">
      <w:pPr>
        <w:spacing w:line="360" w:lineRule="auto"/>
        <w:ind w:firstLine="600" w:firstLineChars="250"/>
        <w:rPr>
          <w:rFonts w:hint="eastAsia" w:ascii="宋体" w:hAnsi="宋体"/>
          <w:color w:val="auto"/>
          <w:sz w:val="24"/>
        </w:rPr>
      </w:pPr>
      <w:r>
        <w:rPr>
          <w:rFonts w:hint="eastAsia" w:ascii="宋体" w:hAnsi="宋体"/>
          <w:color w:val="auto"/>
          <w:sz w:val="24"/>
        </w:rPr>
        <w:t>5、我方将按招标文件的规定履行合同责任和义务。</w:t>
      </w:r>
    </w:p>
    <w:p w14:paraId="3EBECFAC">
      <w:pPr>
        <w:spacing w:line="360" w:lineRule="auto"/>
        <w:ind w:firstLine="600" w:firstLineChars="250"/>
        <w:rPr>
          <w:rFonts w:hint="eastAsia" w:ascii="宋体" w:hAnsi="宋体"/>
          <w:color w:val="auto"/>
          <w:sz w:val="24"/>
        </w:rPr>
      </w:pPr>
      <w:r>
        <w:rPr>
          <w:rFonts w:hint="eastAsia" w:ascii="宋体" w:hAnsi="宋体"/>
          <w:color w:val="auto"/>
          <w:sz w:val="24"/>
        </w:rPr>
        <w:t>6、在规定的开标时间后，如果在投标有效期内撤回投标，同意投标保证金将被贵方没收。</w:t>
      </w:r>
    </w:p>
    <w:p w14:paraId="5CCAA30B">
      <w:pPr>
        <w:spacing w:line="360" w:lineRule="auto"/>
        <w:ind w:firstLine="600" w:firstLineChars="250"/>
        <w:rPr>
          <w:rFonts w:hint="eastAsia" w:ascii="宋体" w:hAnsi="宋体"/>
          <w:color w:val="auto"/>
          <w:sz w:val="24"/>
        </w:rPr>
      </w:pPr>
      <w:r>
        <w:rPr>
          <w:rFonts w:hint="eastAsia" w:ascii="宋体" w:hAnsi="宋体"/>
          <w:color w:val="auto"/>
          <w:sz w:val="24"/>
        </w:rPr>
        <w:t>7、投标人同意提供按照贵方可能要求的与其投标有关的一切数据或资料，完全理解贵方不一定接受最低报价的投标或收到的任何投标的约定。</w:t>
      </w:r>
    </w:p>
    <w:p w14:paraId="6A859F9D">
      <w:pPr>
        <w:spacing w:line="360" w:lineRule="auto"/>
        <w:ind w:firstLine="600" w:firstLineChars="250"/>
        <w:rPr>
          <w:rFonts w:hint="eastAsia" w:ascii="宋体" w:hAnsi="宋体"/>
          <w:color w:val="auto"/>
          <w:sz w:val="24"/>
        </w:rPr>
      </w:pPr>
      <w:r>
        <w:rPr>
          <w:rFonts w:hint="eastAsia" w:ascii="宋体" w:hAnsi="宋体"/>
          <w:color w:val="auto"/>
          <w:sz w:val="24"/>
        </w:rPr>
        <w:t>8、我方在投标文件和投标中所作的承诺在开标后保持有效，不作任何更改和变动。</w:t>
      </w:r>
    </w:p>
    <w:p w14:paraId="7F325F1F">
      <w:pPr>
        <w:spacing w:line="360" w:lineRule="auto"/>
        <w:ind w:firstLine="600" w:firstLineChars="250"/>
        <w:rPr>
          <w:rFonts w:hint="eastAsia" w:ascii="宋体" w:hAnsi="宋体"/>
          <w:color w:val="auto"/>
          <w:sz w:val="24"/>
        </w:rPr>
      </w:pPr>
      <w:r>
        <w:rPr>
          <w:rFonts w:hint="eastAsia" w:ascii="宋体" w:hAnsi="宋体"/>
          <w:color w:val="auto"/>
          <w:sz w:val="24"/>
        </w:rPr>
        <w:t>9、我方承诺投标文件中的证明材料真实、合法、有效。</w:t>
      </w:r>
    </w:p>
    <w:p w14:paraId="00666DFC">
      <w:pPr>
        <w:spacing w:line="360" w:lineRule="auto"/>
        <w:ind w:firstLine="600" w:firstLineChars="250"/>
        <w:rPr>
          <w:rFonts w:hint="eastAsia" w:ascii="宋体" w:hAnsi="宋体"/>
          <w:color w:val="auto"/>
          <w:sz w:val="24"/>
        </w:rPr>
      </w:pPr>
      <w:r>
        <w:rPr>
          <w:rFonts w:hint="eastAsia" w:ascii="宋体" w:hAnsi="宋体"/>
          <w:color w:val="auto"/>
          <w:sz w:val="24"/>
        </w:rPr>
        <w:t>10、若我方获得中标，我方保证按有关规定向贵方支付服务费。我方承诺接受招标文件及澄清修改部分的全部条款（包括投标文件递交截止时间、保证金、资格评审条件、中标标准以及采购需求等其他所有条款）且无任何异议，现向贵公司提出承诺报价。</w:t>
      </w:r>
    </w:p>
    <w:p w14:paraId="15E2D703">
      <w:pPr>
        <w:spacing w:line="360" w:lineRule="auto"/>
        <w:ind w:firstLine="480" w:firstLineChars="200"/>
        <w:rPr>
          <w:rFonts w:hint="eastAsia"/>
          <w:color w:val="auto"/>
        </w:rPr>
      </w:pPr>
      <w:r>
        <w:rPr>
          <w:rFonts w:hint="eastAsia" w:ascii="宋体" w:hAnsi="宋体"/>
          <w:color w:val="auto"/>
          <w:sz w:val="24"/>
        </w:rPr>
        <w:t>所有有关标书的函电，请按下列地址联系：</w:t>
      </w:r>
    </w:p>
    <w:p w14:paraId="742B45FC">
      <w:pPr>
        <w:spacing w:line="360" w:lineRule="auto"/>
        <w:rPr>
          <w:rFonts w:hint="eastAsia" w:ascii="宋体" w:hAnsi="宋体" w:eastAsia="宋体"/>
          <w:color w:val="auto"/>
          <w:sz w:val="24"/>
          <w:lang w:eastAsia="zh-CN"/>
        </w:rPr>
      </w:pPr>
      <w:r>
        <w:rPr>
          <w:rFonts w:hint="eastAsia" w:ascii="宋体" w:hAnsi="宋体"/>
          <w:color w:val="auto"/>
          <w:sz w:val="24"/>
        </w:rPr>
        <w:t>地址：</w:t>
      </w:r>
    </w:p>
    <w:p w14:paraId="70B52709">
      <w:pPr>
        <w:spacing w:line="360" w:lineRule="auto"/>
        <w:rPr>
          <w:rFonts w:hint="eastAsia" w:ascii="宋体" w:hAnsi="宋体" w:eastAsia="宋体"/>
          <w:color w:val="auto"/>
          <w:sz w:val="24"/>
          <w:lang w:eastAsia="zh-CN"/>
        </w:rPr>
      </w:pPr>
      <w:r>
        <w:rPr>
          <w:rFonts w:hint="eastAsia" w:ascii="宋体" w:hAnsi="宋体"/>
          <w:color w:val="auto"/>
          <w:sz w:val="24"/>
        </w:rPr>
        <w:t>电话：</w:t>
      </w:r>
    </w:p>
    <w:p w14:paraId="257CE591">
      <w:pPr>
        <w:spacing w:line="360" w:lineRule="auto"/>
        <w:rPr>
          <w:rFonts w:hint="eastAsia" w:ascii="宋体" w:hAnsi="宋体" w:eastAsia="宋体"/>
          <w:color w:val="auto"/>
          <w:sz w:val="24"/>
          <w:u w:val="single"/>
          <w:lang w:eastAsia="zh-CN"/>
        </w:rPr>
      </w:pPr>
      <w:r>
        <w:rPr>
          <w:rFonts w:hint="eastAsia" w:ascii="宋体" w:hAnsi="宋体"/>
          <w:color w:val="auto"/>
          <w:sz w:val="24"/>
        </w:rPr>
        <w:t>投标人名称（盖章）</w:t>
      </w:r>
    </w:p>
    <w:p w14:paraId="74DB1426">
      <w:pPr>
        <w:spacing w:line="360" w:lineRule="auto"/>
        <w:jc w:val="left"/>
        <w:rPr>
          <w:rFonts w:hint="eastAsia" w:ascii="宋体" w:hAnsi="宋体" w:eastAsia="宋体"/>
          <w:color w:val="auto"/>
          <w:sz w:val="24"/>
          <w:lang w:eastAsia="zh-CN"/>
        </w:rPr>
      </w:pPr>
      <w:r>
        <w:rPr>
          <w:rFonts w:hint="eastAsia" w:ascii="宋体" w:hAnsi="宋体"/>
          <w:color w:val="auto"/>
          <w:kern w:val="0"/>
          <w:sz w:val="24"/>
        </w:rPr>
        <w:t>投标人授权代表（签字）</w:t>
      </w:r>
    </w:p>
    <w:p w14:paraId="7389D6E2">
      <w:pPr>
        <w:spacing w:line="360" w:lineRule="auto"/>
        <w:jc w:val="left"/>
        <w:rPr>
          <w:rFonts w:hint="eastAsia" w:ascii="宋体" w:eastAsia="宋体"/>
          <w:b/>
          <w:color w:val="auto"/>
          <w:sz w:val="30"/>
          <w:szCs w:val="30"/>
          <w:lang w:eastAsia="zh-CN"/>
        </w:rPr>
      </w:pPr>
      <w:r>
        <w:rPr>
          <w:rFonts w:hint="eastAsia" w:ascii="宋体" w:hAnsi="宋体"/>
          <w:color w:val="auto"/>
          <w:sz w:val="24"/>
        </w:rPr>
        <w:t>日期</w:t>
      </w:r>
    </w:p>
    <w:p w14:paraId="11154F25">
      <w:pPr>
        <w:spacing w:line="360" w:lineRule="auto"/>
        <w:rPr>
          <w:rFonts w:hint="eastAsia" w:ascii="宋体"/>
          <w:b/>
          <w:color w:val="auto"/>
          <w:sz w:val="30"/>
          <w:szCs w:val="30"/>
        </w:rPr>
      </w:pPr>
      <w:r>
        <w:rPr>
          <w:rFonts w:hint="eastAsia" w:ascii="宋体"/>
          <w:b/>
          <w:color w:val="auto"/>
          <w:sz w:val="30"/>
          <w:szCs w:val="30"/>
        </w:rPr>
        <w:br w:type="page"/>
      </w:r>
      <w:r>
        <w:rPr>
          <w:rFonts w:hint="eastAsia" w:ascii="宋体"/>
          <w:b/>
          <w:color w:val="auto"/>
          <w:sz w:val="30"/>
          <w:szCs w:val="30"/>
        </w:rPr>
        <w:t>附件二：</w:t>
      </w:r>
    </w:p>
    <w:p w14:paraId="7CCD885C">
      <w:pPr>
        <w:pStyle w:val="42"/>
        <w:rPr>
          <w:rFonts w:hint="eastAsia"/>
          <w:b/>
          <w:color w:val="auto"/>
          <w:sz w:val="30"/>
          <w:szCs w:val="30"/>
        </w:rPr>
      </w:pPr>
    </w:p>
    <w:p w14:paraId="1DEA7DFB">
      <w:pPr>
        <w:spacing w:line="360" w:lineRule="auto"/>
        <w:jc w:val="center"/>
        <w:rPr>
          <w:rFonts w:hint="eastAsia" w:ascii="宋体" w:eastAsia="宋体"/>
          <w:color w:val="auto"/>
          <w:sz w:val="24"/>
          <w:lang w:eastAsia="zh-CN"/>
        </w:rPr>
      </w:pPr>
      <w:r>
        <w:rPr>
          <w:rFonts w:hint="eastAsia" w:ascii="宋体"/>
          <w:b/>
          <w:color w:val="auto"/>
          <w:sz w:val="30"/>
          <w:szCs w:val="30"/>
        </w:rPr>
        <w:t>报价一览表</w:t>
      </w:r>
    </w:p>
    <w:p w14:paraId="71A82CD1">
      <w:pPr>
        <w:spacing w:line="360" w:lineRule="auto"/>
        <w:rPr>
          <w:rFonts w:hint="eastAsia" w:ascii="宋体" w:eastAsia="宋体"/>
          <w:color w:val="auto"/>
          <w:sz w:val="24"/>
          <w:u w:val="single"/>
          <w:lang w:eastAsia="zh-CN"/>
        </w:rPr>
      </w:pPr>
      <w:r>
        <w:rPr>
          <w:rFonts w:hint="eastAsia" w:ascii="宋体"/>
          <w:color w:val="auto"/>
          <w:sz w:val="24"/>
        </w:rPr>
        <w:t>项目名称：项目编号：</w:t>
      </w:r>
    </w:p>
    <w:tbl>
      <w:tblPr>
        <w:tblStyle w:val="97"/>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6471"/>
      </w:tblGrid>
      <w:tr w14:paraId="0628D39D">
        <w:tblPrEx>
          <w:tblLayout w:type="fixed"/>
        </w:tblPrEx>
        <w:trPr>
          <w:trHeight w:val="600" w:hRule="atLeast"/>
          <w:jc w:val="center"/>
        </w:trPr>
        <w:tc>
          <w:tcPr>
            <w:tcW w:w="3065" w:type="dxa"/>
            <w:vAlign w:val="center"/>
          </w:tcPr>
          <w:p w14:paraId="232A1031">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投标内容</w:t>
            </w:r>
          </w:p>
        </w:tc>
        <w:tc>
          <w:tcPr>
            <w:tcW w:w="6471" w:type="dxa"/>
            <w:vAlign w:val="center"/>
          </w:tcPr>
          <w:p w14:paraId="47415663">
            <w:pPr>
              <w:keepNext w:val="0"/>
              <w:keepLines w:val="0"/>
              <w:suppressLineNumbers w:val="0"/>
              <w:spacing w:before="0" w:beforeAutospacing="0" w:after="0" w:afterAutospacing="0" w:line="360" w:lineRule="auto"/>
              <w:ind w:left="0" w:right="0"/>
              <w:jc w:val="center"/>
              <w:rPr>
                <w:rFonts w:hint="default" w:ascii="宋体" w:hAnsi="Times New Roman" w:eastAsia="宋体" w:cs="Times New Roman"/>
                <w:color w:val="auto"/>
                <w:sz w:val="24"/>
                <w:lang w:val="en-US" w:eastAsia="zh-CN"/>
              </w:rPr>
            </w:pPr>
            <w:r>
              <w:rPr>
                <w:rFonts w:hint="eastAsia" w:ascii="宋体" w:hAnsi="Times New Roman" w:cs="Times New Roman"/>
                <w:color w:val="auto"/>
                <w:sz w:val="24"/>
                <w:lang w:val="en-US" w:eastAsia="zh-CN"/>
              </w:rPr>
              <w:t>单价合计</w:t>
            </w:r>
          </w:p>
        </w:tc>
      </w:tr>
      <w:tr w14:paraId="0B097274">
        <w:tblPrEx>
          <w:tblLayout w:type="fixed"/>
        </w:tblPrEx>
        <w:trPr>
          <w:trHeight w:val="1296" w:hRule="atLeast"/>
          <w:jc w:val="center"/>
        </w:trPr>
        <w:tc>
          <w:tcPr>
            <w:tcW w:w="3065" w:type="dxa"/>
            <w:vAlign w:val="center"/>
          </w:tcPr>
          <w:p w14:paraId="1AE36855">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p>
        </w:tc>
        <w:tc>
          <w:tcPr>
            <w:tcW w:w="6471" w:type="dxa"/>
            <w:vAlign w:val="center"/>
          </w:tcPr>
          <w:p w14:paraId="534E48B3">
            <w:pPr>
              <w:keepNext w:val="0"/>
              <w:keepLines w:val="0"/>
              <w:suppressLineNumbers w:val="0"/>
              <w:spacing w:before="0" w:beforeAutospacing="0" w:after="0" w:afterAutospacing="0" w:line="360" w:lineRule="auto"/>
              <w:ind w:left="0" w:right="0"/>
              <w:rPr>
                <w:rFonts w:hint="eastAsia" w:ascii="宋体" w:hAnsi="Times New Roman" w:eastAsia="宋体" w:cs="Times New Roman"/>
                <w:color w:val="auto"/>
                <w:sz w:val="24"/>
                <w:lang w:eastAsia="zh-CN"/>
              </w:rPr>
            </w:pPr>
            <w:r>
              <w:rPr>
                <w:rFonts w:hint="eastAsia" w:ascii="宋体" w:hAnsi="Times New Roman" w:cs="Times New Roman"/>
                <w:color w:val="auto"/>
                <w:sz w:val="24"/>
              </w:rPr>
              <w:t>小写：￥元</w:t>
            </w:r>
          </w:p>
          <w:p w14:paraId="2B3B7C73">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r>
              <w:rPr>
                <w:rFonts w:hint="eastAsia" w:ascii="宋体" w:hAnsi="Times New Roman" w:cs="Times New Roman"/>
                <w:color w:val="auto"/>
                <w:sz w:val="24"/>
              </w:rPr>
              <w:t>大写：元</w:t>
            </w:r>
          </w:p>
        </w:tc>
      </w:tr>
      <w:tr w14:paraId="597937F4">
        <w:tblPrEx>
          <w:tblLayout w:type="fixed"/>
        </w:tblPrEx>
        <w:trPr>
          <w:trHeight w:val="686" w:hRule="atLeast"/>
          <w:jc w:val="center"/>
        </w:trPr>
        <w:tc>
          <w:tcPr>
            <w:tcW w:w="3065" w:type="dxa"/>
            <w:vAlign w:val="center"/>
          </w:tcPr>
          <w:p w14:paraId="29904E14">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交货及完成期限：</w:t>
            </w:r>
          </w:p>
        </w:tc>
        <w:tc>
          <w:tcPr>
            <w:tcW w:w="6471" w:type="dxa"/>
            <w:vAlign w:val="center"/>
          </w:tcPr>
          <w:p w14:paraId="02CAE2DA">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p>
        </w:tc>
      </w:tr>
    </w:tbl>
    <w:p w14:paraId="081AEA7F">
      <w:pPr>
        <w:spacing w:line="360" w:lineRule="auto"/>
        <w:rPr>
          <w:rFonts w:hint="eastAsia" w:ascii="宋体"/>
          <w:color w:val="auto"/>
          <w:sz w:val="24"/>
        </w:rPr>
      </w:pPr>
    </w:p>
    <w:p w14:paraId="407F38D7">
      <w:pPr>
        <w:spacing w:line="360" w:lineRule="auto"/>
        <w:rPr>
          <w:rFonts w:hint="eastAsia" w:ascii="宋体"/>
          <w:color w:val="auto"/>
          <w:sz w:val="24"/>
        </w:rPr>
      </w:pPr>
      <w:r>
        <w:rPr>
          <w:rFonts w:hint="eastAsia" w:ascii="宋体"/>
          <w:color w:val="auto"/>
          <w:sz w:val="24"/>
        </w:rPr>
        <w:t>投标人名称（单位盖章）：</w:t>
      </w:r>
    </w:p>
    <w:p w14:paraId="3EF69651">
      <w:pPr>
        <w:spacing w:line="360" w:lineRule="auto"/>
        <w:rPr>
          <w:rFonts w:hint="eastAsia" w:ascii="宋体"/>
          <w:color w:val="auto"/>
          <w:sz w:val="24"/>
        </w:rPr>
      </w:pPr>
      <w:r>
        <w:rPr>
          <w:rFonts w:hint="eastAsia" w:ascii="宋体"/>
          <w:color w:val="auto"/>
          <w:sz w:val="24"/>
        </w:rPr>
        <w:t>法定代表人或授权委托人（签字）：</w:t>
      </w:r>
    </w:p>
    <w:p w14:paraId="16EDA073">
      <w:pPr>
        <w:spacing w:line="360" w:lineRule="auto"/>
        <w:ind w:firstLine="570"/>
        <w:jc w:val="center"/>
        <w:rPr>
          <w:rFonts w:hint="eastAsia" w:ascii="宋体" w:hAnsi="宋体"/>
          <w:color w:val="auto"/>
          <w:sz w:val="24"/>
        </w:rPr>
      </w:pPr>
      <w:r>
        <w:rPr>
          <w:rFonts w:hint="eastAsia" w:ascii="宋体" w:hAnsi="宋体"/>
          <w:color w:val="auto"/>
          <w:sz w:val="24"/>
        </w:rPr>
        <w:t>20年月日</w:t>
      </w:r>
    </w:p>
    <w:p w14:paraId="4DC54F56">
      <w:pPr>
        <w:pStyle w:val="419"/>
        <w:spacing w:line="360" w:lineRule="auto"/>
        <w:jc w:val="left"/>
        <w:rPr>
          <w:rFonts w:hint="eastAsia" w:ascii="宋体" w:hAnsi="宋体"/>
          <w:b/>
          <w:bCs/>
          <w:color w:val="auto"/>
          <w:sz w:val="24"/>
        </w:rPr>
      </w:pPr>
    </w:p>
    <w:p w14:paraId="5DF8A4B8">
      <w:pPr>
        <w:pStyle w:val="42"/>
        <w:rPr>
          <w:rFonts w:hint="eastAsia"/>
          <w:color w:val="auto"/>
        </w:rPr>
      </w:pPr>
    </w:p>
    <w:p w14:paraId="13038ABE">
      <w:pPr>
        <w:pStyle w:val="42"/>
        <w:rPr>
          <w:rFonts w:hint="eastAsia"/>
          <w:color w:val="auto"/>
        </w:rPr>
      </w:pPr>
    </w:p>
    <w:p w14:paraId="3E08B17D">
      <w:pPr>
        <w:pStyle w:val="42"/>
        <w:rPr>
          <w:rFonts w:hint="eastAsia"/>
          <w:color w:val="auto"/>
        </w:rPr>
      </w:pPr>
    </w:p>
    <w:p w14:paraId="1DD69A4A">
      <w:pPr>
        <w:pStyle w:val="42"/>
        <w:rPr>
          <w:rFonts w:hint="eastAsia"/>
          <w:color w:val="auto"/>
        </w:rPr>
      </w:pPr>
    </w:p>
    <w:p w14:paraId="5FF69425">
      <w:pPr>
        <w:pStyle w:val="42"/>
        <w:rPr>
          <w:rFonts w:hint="eastAsia"/>
          <w:color w:val="auto"/>
        </w:rPr>
      </w:pPr>
    </w:p>
    <w:p w14:paraId="371AEFCE">
      <w:pPr>
        <w:pStyle w:val="42"/>
        <w:rPr>
          <w:rFonts w:hint="eastAsia"/>
          <w:color w:val="auto"/>
        </w:rPr>
      </w:pPr>
    </w:p>
    <w:p w14:paraId="340F0838">
      <w:pPr>
        <w:pStyle w:val="42"/>
        <w:rPr>
          <w:rFonts w:hint="eastAsia"/>
          <w:color w:val="auto"/>
        </w:rPr>
      </w:pPr>
    </w:p>
    <w:p w14:paraId="7F3EDC2C">
      <w:pPr>
        <w:spacing w:line="360" w:lineRule="auto"/>
        <w:jc w:val="left"/>
        <w:rPr>
          <w:rFonts w:hint="eastAsia" w:ascii="宋体" w:hAnsi="宋体"/>
          <w:b/>
          <w:color w:val="auto"/>
          <w:sz w:val="30"/>
          <w:szCs w:val="30"/>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三：投标保证金证明</w:t>
      </w:r>
    </w:p>
    <w:p w14:paraId="02044CFA">
      <w:pPr>
        <w:spacing w:line="360" w:lineRule="auto"/>
        <w:jc w:val="left"/>
        <w:rPr>
          <w:rFonts w:hint="eastAsia" w:ascii="宋体" w:hAnsi="宋体"/>
          <w:b/>
          <w:color w:val="auto"/>
          <w:sz w:val="30"/>
          <w:szCs w:val="30"/>
        </w:rPr>
      </w:pPr>
    </w:p>
    <w:p w14:paraId="3FB1A6D7">
      <w:pPr>
        <w:spacing w:line="360" w:lineRule="auto"/>
        <w:jc w:val="left"/>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无</w:t>
      </w:r>
    </w:p>
    <w:p w14:paraId="70D649EB">
      <w:pPr>
        <w:spacing w:line="360" w:lineRule="auto"/>
        <w:jc w:val="left"/>
        <w:rPr>
          <w:rFonts w:hint="eastAsia" w:ascii="宋体" w:hAnsi="宋体"/>
          <w:b/>
          <w:color w:val="auto"/>
          <w:sz w:val="30"/>
          <w:szCs w:val="30"/>
        </w:rPr>
      </w:pPr>
    </w:p>
    <w:p w14:paraId="7C851665">
      <w:pPr>
        <w:spacing w:line="360" w:lineRule="auto"/>
        <w:jc w:val="left"/>
        <w:rPr>
          <w:rFonts w:hint="eastAsia" w:ascii="宋体" w:hAnsi="宋体"/>
          <w:b/>
          <w:color w:val="auto"/>
          <w:sz w:val="30"/>
          <w:szCs w:val="30"/>
        </w:rPr>
      </w:pPr>
    </w:p>
    <w:p w14:paraId="7D4A5502">
      <w:pPr>
        <w:spacing w:line="360" w:lineRule="auto"/>
        <w:jc w:val="left"/>
        <w:rPr>
          <w:rFonts w:hint="eastAsia" w:ascii="宋体" w:hAnsi="宋体"/>
          <w:b/>
          <w:color w:val="auto"/>
          <w:sz w:val="30"/>
          <w:szCs w:val="30"/>
        </w:rPr>
      </w:pPr>
    </w:p>
    <w:p w14:paraId="7A6E6CEC">
      <w:pPr>
        <w:spacing w:line="360" w:lineRule="auto"/>
        <w:jc w:val="left"/>
        <w:rPr>
          <w:rFonts w:hint="eastAsia" w:ascii="宋体" w:hAnsi="宋体"/>
          <w:b/>
          <w:color w:val="auto"/>
          <w:sz w:val="30"/>
          <w:szCs w:val="30"/>
        </w:rPr>
      </w:pPr>
    </w:p>
    <w:p w14:paraId="5DC0461B">
      <w:pPr>
        <w:spacing w:line="360" w:lineRule="auto"/>
        <w:jc w:val="left"/>
        <w:rPr>
          <w:rFonts w:hint="eastAsia" w:ascii="宋体" w:hAnsi="宋体"/>
          <w:b/>
          <w:color w:val="auto"/>
          <w:sz w:val="30"/>
          <w:szCs w:val="30"/>
        </w:rPr>
      </w:pPr>
    </w:p>
    <w:p w14:paraId="0545AB62">
      <w:pPr>
        <w:spacing w:line="360" w:lineRule="auto"/>
        <w:jc w:val="left"/>
        <w:rPr>
          <w:rFonts w:hint="eastAsia" w:ascii="宋体" w:hAnsi="宋体"/>
          <w:b/>
          <w:color w:val="auto"/>
          <w:sz w:val="30"/>
          <w:szCs w:val="30"/>
        </w:rPr>
      </w:pPr>
    </w:p>
    <w:p w14:paraId="140A4615">
      <w:pPr>
        <w:spacing w:line="360" w:lineRule="auto"/>
        <w:jc w:val="left"/>
        <w:rPr>
          <w:rFonts w:hint="eastAsia" w:ascii="宋体" w:hAnsi="宋体"/>
          <w:b/>
          <w:color w:val="auto"/>
          <w:sz w:val="30"/>
          <w:szCs w:val="30"/>
        </w:rPr>
      </w:pPr>
    </w:p>
    <w:p w14:paraId="1D924911">
      <w:pPr>
        <w:spacing w:line="360" w:lineRule="auto"/>
        <w:jc w:val="left"/>
        <w:rPr>
          <w:rFonts w:hint="eastAsia" w:ascii="宋体" w:hAnsi="宋体"/>
          <w:b/>
          <w:color w:val="auto"/>
          <w:sz w:val="30"/>
          <w:szCs w:val="30"/>
        </w:rPr>
      </w:pPr>
    </w:p>
    <w:p w14:paraId="13216068">
      <w:pPr>
        <w:spacing w:line="360" w:lineRule="auto"/>
        <w:jc w:val="left"/>
        <w:rPr>
          <w:rFonts w:hint="eastAsia" w:ascii="宋体" w:hAnsi="宋体"/>
          <w:b/>
          <w:color w:val="auto"/>
          <w:sz w:val="30"/>
          <w:szCs w:val="30"/>
        </w:rPr>
      </w:pPr>
    </w:p>
    <w:p w14:paraId="672B2647">
      <w:pPr>
        <w:spacing w:line="360" w:lineRule="auto"/>
        <w:jc w:val="left"/>
        <w:rPr>
          <w:rFonts w:hint="eastAsia" w:ascii="宋体" w:hAnsi="宋体"/>
          <w:b/>
          <w:color w:val="auto"/>
          <w:sz w:val="30"/>
          <w:szCs w:val="30"/>
        </w:rPr>
      </w:pPr>
    </w:p>
    <w:p w14:paraId="17990DC8">
      <w:pPr>
        <w:spacing w:line="360" w:lineRule="auto"/>
        <w:jc w:val="left"/>
        <w:rPr>
          <w:rFonts w:hint="eastAsia" w:ascii="宋体" w:hAnsi="宋体"/>
          <w:b/>
          <w:color w:val="auto"/>
          <w:sz w:val="30"/>
          <w:szCs w:val="30"/>
        </w:rPr>
      </w:pPr>
    </w:p>
    <w:p w14:paraId="6EC63F7F">
      <w:pPr>
        <w:spacing w:line="360" w:lineRule="auto"/>
        <w:jc w:val="left"/>
        <w:rPr>
          <w:rFonts w:hint="eastAsia" w:ascii="宋体" w:hAnsi="宋体"/>
          <w:b/>
          <w:color w:val="auto"/>
          <w:sz w:val="30"/>
          <w:szCs w:val="30"/>
        </w:rPr>
      </w:pPr>
    </w:p>
    <w:p w14:paraId="1506593A">
      <w:pPr>
        <w:spacing w:line="360" w:lineRule="auto"/>
        <w:jc w:val="left"/>
        <w:rPr>
          <w:rFonts w:hint="eastAsia" w:ascii="宋体" w:hAnsi="宋体"/>
          <w:b/>
          <w:color w:val="auto"/>
          <w:sz w:val="30"/>
          <w:szCs w:val="30"/>
        </w:rPr>
      </w:pPr>
    </w:p>
    <w:p w14:paraId="1535AEC9">
      <w:pPr>
        <w:spacing w:line="360" w:lineRule="auto"/>
        <w:jc w:val="left"/>
        <w:rPr>
          <w:rFonts w:hint="eastAsia" w:ascii="宋体" w:hAnsi="宋体"/>
          <w:b/>
          <w:color w:val="auto"/>
          <w:sz w:val="30"/>
          <w:szCs w:val="30"/>
        </w:rPr>
      </w:pPr>
    </w:p>
    <w:p w14:paraId="4EA07F5F">
      <w:pPr>
        <w:spacing w:line="360" w:lineRule="auto"/>
        <w:jc w:val="left"/>
        <w:rPr>
          <w:rFonts w:hint="eastAsia" w:ascii="宋体" w:hAnsi="宋体"/>
          <w:b/>
          <w:color w:val="auto"/>
          <w:sz w:val="30"/>
          <w:szCs w:val="30"/>
        </w:rPr>
      </w:pPr>
    </w:p>
    <w:p w14:paraId="4EC6EC20">
      <w:pPr>
        <w:spacing w:line="360" w:lineRule="auto"/>
        <w:jc w:val="left"/>
        <w:rPr>
          <w:rFonts w:hint="eastAsia" w:ascii="宋体" w:hAnsi="宋体"/>
          <w:b/>
          <w:color w:val="auto"/>
          <w:sz w:val="30"/>
          <w:szCs w:val="30"/>
        </w:rPr>
      </w:pPr>
    </w:p>
    <w:p w14:paraId="46D45BD1">
      <w:pPr>
        <w:spacing w:line="360" w:lineRule="auto"/>
        <w:jc w:val="left"/>
        <w:rPr>
          <w:rFonts w:hint="eastAsia" w:ascii="宋体" w:hAnsi="宋体"/>
          <w:b/>
          <w:color w:val="auto"/>
          <w:sz w:val="30"/>
          <w:szCs w:val="30"/>
        </w:rPr>
      </w:pPr>
    </w:p>
    <w:p w14:paraId="3A60B82F">
      <w:pPr>
        <w:spacing w:line="360" w:lineRule="auto"/>
        <w:jc w:val="left"/>
        <w:rPr>
          <w:rFonts w:hint="eastAsia" w:ascii="宋体" w:hAnsi="宋体"/>
          <w:b/>
          <w:color w:val="auto"/>
          <w:sz w:val="30"/>
          <w:szCs w:val="30"/>
        </w:rPr>
      </w:pPr>
    </w:p>
    <w:p w14:paraId="09C30A1D">
      <w:pPr>
        <w:pStyle w:val="41"/>
        <w:ind w:left="1060" w:hanging="640"/>
        <w:rPr>
          <w:rFonts w:hint="eastAsia"/>
          <w:color w:val="auto"/>
        </w:rPr>
      </w:pPr>
    </w:p>
    <w:p w14:paraId="17131789">
      <w:pPr>
        <w:pStyle w:val="42"/>
        <w:rPr>
          <w:rFonts w:hint="eastAsia"/>
          <w:color w:val="auto"/>
        </w:rPr>
      </w:pPr>
    </w:p>
    <w:p w14:paraId="7662660B">
      <w:pPr>
        <w:spacing w:line="360" w:lineRule="auto"/>
        <w:jc w:val="left"/>
        <w:rPr>
          <w:rFonts w:hint="eastAsia" w:ascii="宋体" w:hAnsi="宋体"/>
          <w:b/>
          <w:color w:val="auto"/>
          <w:sz w:val="30"/>
          <w:szCs w:val="30"/>
        </w:rPr>
      </w:pPr>
    </w:p>
    <w:p w14:paraId="1A59A77F">
      <w:pPr>
        <w:pStyle w:val="41"/>
        <w:ind w:left="1022" w:hanging="602"/>
        <w:rPr>
          <w:rFonts w:hint="eastAsia" w:ascii="宋体" w:hAnsi="宋体"/>
          <w:b/>
          <w:color w:val="auto"/>
          <w:sz w:val="30"/>
          <w:szCs w:val="30"/>
        </w:rPr>
      </w:pPr>
    </w:p>
    <w:p w14:paraId="1BC63528">
      <w:pPr>
        <w:spacing w:line="360" w:lineRule="auto"/>
        <w:jc w:val="left"/>
        <w:rPr>
          <w:rFonts w:hint="eastAsia" w:ascii="宋体" w:hAnsi="宋体" w:eastAsia="宋体"/>
          <w:b/>
          <w:color w:val="auto"/>
          <w:sz w:val="30"/>
          <w:szCs w:val="30"/>
          <w:lang w:eastAsia="zh-CN"/>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四：</w:t>
      </w:r>
    </w:p>
    <w:p w14:paraId="7D89284A">
      <w:pPr>
        <w:spacing w:line="360" w:lineRule="auto"/>
        <w:jc w:val="center"/>
        <w:rPr>
          <w:rFonts w:hint="eastAsia" w:ascii="宋体" w:hAnsi="宋体"/>
          <w:b/>
          <w:color w:val="auto"/>
          <w:sz w:val="30"/>
          <w:szCs w:val="30"/>
        </w:rPr>
      </w:pPr>
      <w:r>
        <w:rPr>
          <w:rFonts w:hint="eastAsia" w:ascii="宋体" w:hAnsi="宋体"/>
          <w:b/>
          <w:color w:val="auto"/>
          <w:sz w:val="30"/>
          <w:szCs w:val="30"/>
        </w:rPr>
        <w:t>投标报价明细表</w:t>
      </w:r>
    </w:p>
    <w:p w14:paraId="1B1547DF">
      <w:pPr>
        <w:spacing w:line="360" w:lineRule="auto"/>
        <w:rPr>
          <w:rFonts w:hint="eastAsia" w:ascii="宋体" w:eastAsia="宋体"/>
          <w:color w:val="auto"/>
          <w:sz w:val="24"/>
          <w:lang w:eastAsia="zh-CN"/>
        </w:rPr>
      </w:pPr>
      <w:r>
        <w:rPr>
          <w:rFonts w:hint="eastAsia" w:ascii="宋体"/>
          <w:color w:val="auto"/>
          <w:sz w:val="24"/>
        </w:rPr>
        <w:t>项目名称：项目编号/标项名称：</w:t>
      </w:r>
    </w:p>
    <w:tbl>
      <w:tblPr>
        <w:tblStyle w:val="9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1478"/>
        <w:gridCol w:w="870"/>
        <w:gridCol w:w="725"/>
        <w:gridCol w:w="1077"/>
        <w:gridCol w:w="900"/>
        <w:gridCol w:w="3920"/>
      </w:tblGrid>
      <w:tr w14:paraId="0EA4ED55">
        <w:tblPrEx>
          <w:tblLayout w:type="fixed"/>
        </w:tblPrEx>
        <w:trPr>
          <w:trHeight w:val="965" w:hRule="atLeast"/>
        </w:trPr>
        <w:tc>
          <w:tcPr>
            <w:tcW w:w="407" w:type="dxa"/>
            <w:tcBorders>
              <w:top w:val="single" w:color="auto" w:sz="4" w:space="0"/>
              <w:left w:val="single" w:color="auto" w:sz="4" w:space="0"/>
              <w:bottom w:val="single" w:color="auto" w:sz="4" w:space="0"/>
              <w:right w:val="single" w:color="auto" w:sz="4" w:space="0"/>
            </w:tcBorders>
            <w:vAlign w:val="center"/>
          </w:tcPr>
          <w:p w14:paraId="6969BB7B">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序号</w:t>
            </w:r>
          </w:p>
        </w:tc>
        <w:tc>
          <w:tcPr>
            <w:tcW w:w="1478" w:type="dxa"/>
            <w:tcBorders>
              <w:top w:val="single" w:color="auto" w:sz="4" w:space="0"/>
              <w:left w:val="single" w:color="auto" w:sz="4" w:space="0"/>
              <w:bottom w:val="single" w:color="auto" w:sz="4" w:space="0"/>
              <w:right w:val="single" w:color="auto" w:sz="4" w:space="0"/>
            </w:tcBorders>
            <w:vAlign w:val="center"/>
          </w:tcPr>
          <w:p w14:paraId="62C9B03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标的名称</w:t>
            </w:r>
          </w:p>
        </w:tc>
        <w:tc>
          <w:tcPr>
            <w:tcW w:w="870" w:type="dxa"/>
            <w:tcBorders>
              <w:top w:val="single" w:color="auto" w:sz="4" w:space="0"/>
              <w:left w:val="single" w:color="auto" w:sz="4" w:space="0"/>
              <w:bottom w:val="single" w:color="auto" w:sz="4" w:space="0"/>
              <w:right w:val="single" w:color="auto" w:sz="4" w:space="0"/>
            </w:tcBorders>
            <w:vAlign w:val="center"/>
          </w:tcPr>
          <w:p w14:paraId="4FE34D5E">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规格型号</w:t>
            </w:r>
          </w:p>
        </w:tc>
        <w:tc>
          <w:tcPr>
            <w:tcW w:w="725" w:type="dxa"/>
            <w:tcBorders>
              <w:top w:val="single" w:color="auto" w:sz="4" w:space="0"/>
              <w:left w:val="single" w:color="auto" w:sz="4" w:space="0"/>
              <w:bottom w:val="single" w:color="auto" w:sz="4" w:space="0"/>
              <w:right w:val="single" w:color="auto" w:sz="4" w:space="0"/>
            </w:tcBorders>
            <w:vAlign w:val="center"/>
          </w:tcPr>
          <w:p w14:paraId="67F13C3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品牌</w:t>
            </w:r>
          </w:p>
        </w:tc>
        <w:tc>
          <w:tcPr>
            <w:tcW w:w="1077" w:type="dxa"/>
            <w:tcBorders>
              <w:top w:val="single" w:color="auto" w:sz="4" w:space="0"/>
              <w:left w:val="single" w:color="auto" w:sz="4" w:space="0"/>
              <w:bottom w:val="single" w:color="auto" w:sz="4" w:space="0"/>
              <w:right w:val="single" w:color="auto" w:sz="4" w:space="0"/>
            </w:tcBorders>
            <w:vAlign w:val="center"/>
          </w:tcPr>
          <w:p w14:paraId="231A592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数量</w:t>
            </w:r>
          </w:p>
        </w:tc>
        <w:tc>
          <w:tcPr>
            <w:tcW w:w="900" w:type="dxa"/>
            <w:tcBorders>
              <w:top w:val="single" w:color="auto" w:sz="4" w:space="0"/>
              <w:left w:val="single" w:color="auto" w:sz="4" w:space="0"/>
              <w:bottom w:val="single" w:color="auto" w:sz="4" w:space="0"/>
              <w:right w:val="single" w:color="auto" w:sz="4" w:space="0"/>
            </w:tcBorders>
            <w:vAlign w:val="center"/>
          </w:tcPr>
          <w:p w14:paraId="393D26E7">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单价</w:t>
            </w:r>
          </w:p>
        </w:tc>
        <w:tc>
          <w:tcPr>
            <w:tcW w:w="3920" w:type="dxa"/>
            <w:tcBorders>
              <w:top w:val="single" w:color="auto" w:sz="4" w:space="0"/>
              <w:left w:val="single" w:color="auto" w:sz="4" w:space="0"/>
              <w:bottom w:val="single" w:color="auto" w:sz="4" w:space="0"/>
              <w:right w:val="single" w:color="auto" w:sz="4" w:space="0"/>
            </w:tcBorders>
            <w:vAlign w:val="center"/>
          </w:tcPr>
          <w:p w14:paraId="214C0194">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p w14:paraId="18A9F4CC">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p w14:paraId="22E37B2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制造商是否为中小微企业（列明中型、小型、微型）</w:t>
            </w:r>
          </w:p>
        </w:tc>
      </w:tr>
      <w:tr w14:paraId="08A3A8BA">
        <w:tblPrEx>
          <w:tblLayout w:type="fixed"/>
        </w:tblPrEx>
        <w:trPr>
          <w:trHeight w:val="477" w:hRule="atLeast"/>
        </w:trPr>
        <w:tc>
          <w:tcPr>
            <w:tcW w:w="407" w:type="dxa"/>
            <w:tcBorders>
              <w:top w:val="single" w:color="auto" w:sz="4" w:space="0"/>
              <w:left w:val="single" w:color="auto" w:sz="4" w:space="0"/>
              <w:bottom w:val="single" w:color="auto" w:sz="4" w:space="0"/>
              <w:right w:val="single" w:color="auto" w:sz="4" w:space="0"/>
            </w:tcBorders>
            <w:vAlign w:val="center"/>
          </w:tcPr>
          <w:p w14:paraId="01414EE7">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1</w:t>
            </w:r>
          </w:p>
        </w:tc>
        <w:tc>
          <w:tcPr>
            <w:tcW w:w="1478" w:type="dxa"/>
            <w:tcBorders>
              <w:top w:val="single" w:color="auto" w:sz="4" w:space="0"/>
              <w:left w:val="single" w:color="auto" w:sz="4" w:space="0"/>
              <w:bottom w:val="single" w:color="auto" w:sz="4" w:space="0"/>
              <w:right w:val="single" w:color="auto" w:sz="4" w:space="0"/>
            </w:tcBorders>
            <w:vAlign w:val="center"/>
          </w:tcPr>
          <w:p w14:paraId="05C51291">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24CDB02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725" w:type="dxa"/>
            <w:tcBorders>
              <w:top w:val="single" w:color="auto" w:sz="4" w:space="0"/>
              <w:left w:val="single" w:color="auto" w:sz="4" w:space="0"/>
              <w:bottom w:val="single" w:color="auto" w:sz="4" w:space="0"/>
              <w:right w:val="single" w:color="auto" w:sz="4" w:space="0"/>
            </w:tcBorders>
            <w:vAlign w:val="center"/>
          </w:tcPr>
          <w:p w14:paraId="492DE5B3">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1077" w:type="dxa"/>
            <w:tcBorders>
              <w:top w:val="single" w:color="auto" w:sz="4" w:space="0"/>
              <w:left w:val="single" w:color="auto" w:sz="4" w:space="0"/>
              <w:bottom w:val="single" w:color="auto" w:sz="4" w:space="0"/>
              <w:right w:val="single" w:color="auto" w:sz="4" w:space="0"/>
            </w:tcBorders>
            <w:vAlign w:val="center"/>
          </w:tcPr>
          <w:p w14:paraId="5D9BFCC9">
            <w:pPr>
              <w:keepNext w:val="0"/>
              <w:keepLines w:val="0"/>
              <w:suppressLineNumbers w:val="0"/>
              <w:spacing w:before="0" w:beforeAutospacing="0" w:after="0" w:afterAutospacing="0" w:line="360" w:lineRule="auto"/>
              <w:ind w:left="0" w:right="0"/>
              <w:jc w:val="center"/>
              <w:rPr>
                <w:rFonts w:hint="eastAsia" w:ascii="宋体" w:hAnsi="Times New Roman" w:eastAsia="宋体" w:cs="Times New Roman"/>
                <w:color w:val="auto"/>
                <w:sz w:val="24"/>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06FC2FF2">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vAlign w:val="center"/>
          </w:tcPr>
          <w:p w14:paraId="0AA907DF">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4A06DF59">
        <w:tblPrEx>
          <w:tblLayout w:type="fixed"/>
        </w:tblPrEx>
        <w:trPr>
          <w:trHeight w:val="477" w:hRule="atLeast"/>
        </w:trPr>
        <w:tc>
          <w:tcPr>
            <w:tcW w:w="407" w:type="dxa"/>
            <w:tcBorders>
              <w:top w:val="single" w:color="auto" w:sz="4" w:space="0"/>
              <w:left w:val="single" w:color="auto" w:sz="4" w:space="0"/>
              <w:bottom w:val="single" w:color="auto" w:sz="4" w:space="0"/>
              <w:right w:val="single" w:color="auto" w:sz="4" w:space="0"/>
            </w:tcBorders>
            <w:vAlign w:val="center"/>
          </w:tcPr>
          <w:p w14:paraId="5CD67A4C">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2</w:t>
            </w:r>
          </w:p>
        </w:tc>
        <w:tc>
          <w:tcPr>
            <w:tcW w:w="1478" w:type="dxa"/>
            <w:tcBorders>
              <w:top w:val="single" w:color="auto" w:sz="4" w:space="0"/>
              <w:left w:val="single" w:color="auto" w:sz="4" w:space="0"/>
              <w:bottom w:val="single" w:color="auto" w:sz="4" w:space="0"/>
              <w:right w:val="single" w:color="auto" w:sz="4" w:space="0"/>
            </w:tcBorders>
            <w:vAlign w:val="center"/>
          </w:tcPr>
          <w:p w14:paraId="1909B63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24CFDA64">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725" w:type="dxa"/>
            <w:tcBorders>
              <w:top w:val="single" w:color="auto" w:sz="4" w:space="0"/>
              <w:left w:val="single" w:color="auto" w:sz="4" w:space="0"/>
              <w:bottom w:val="single" w:color="auto" w:sz="4" w:space="0"/>
              <w:right w:val="single" w:color="auto" w:sz="4" w:space="0"/>
            </w:tcBorders>
            <w:vAlign w:val="center"/>
          </w:tcPr>
          <w:p w14:paraId="34C7DB7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1077" w:type="dxa"/>
            <w:tcBorders>
              <w:top w:val="single" w:color="auto" w:sz="4" w:space="0"/>
              <w:left w:val="single" w:color="auto" w:sz="4" w:space="0"/>
              <w:bottom w:val="single" w:color="auto" w:sz="4" w:space="0"/>
              <w:right w:val="single" w:color="auto" w:sz="4" w:space="0"/>
            </w:tcBorders>
            <w:vAlign w:val="center"/>
          </w:tcPr>
          <w:p w14:paraId="07FD26E8">
            <w:pPr>
              <w:keepNext w:val="0"/>
              <w:keepLines w:val="0"/>
              <w:suppressLineNumbers w:val="0"/>
              <w:spacing w:before="0" w:beforeAutospacing="0" w:after="0" w:afterAutospacing="0" w:line="360" w:lineRule="auto"/>
              <w:ind w:left="0" w:right="0"/>
              <w:jc w:val="center"/>
              <w:rPr>
                <w:rFonts w:hint="eastAsia" w:ascii="宋体" w:hAnsi="Times New Roman" w:eastAsia="宋体" w:cs="Times New Roman"/>
                <w:color w:val="auto"/>
                <w:sz w:val="24"/>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4F12037F">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vAlign w:val="center"/>
          </w:tcPr>
          <w:p w14:paraId="122B6F83">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6A044619">
        <w:tblPrEx>
          <w:tblLayout w:type="fixed"/>
        </w:tblPrEx>
        <w:trPr>
          <w:trHeight w:val="477" w:hRule="atLeast"/>
        </w:trPr>
        <w:tc>
          <w:tcPr>
            <w:tcW w:w="407" w:type="dxa"/>
            <w:tcBorders>
              <w:top w:val="single" w:color="auto" w:sz="4" w:space="0"/>
              <w:left w:val="single" w:color="auto" w:sz="4" w:space="0"/>
              <w:bottom w:val="single" w:color="auto" w:sz="4" w:space="0"/>
              <w:right w:val="single" w:color="auto" w:sz="4" w:space="0"/>
            </w:tcBorders>
            <w:vAlign w:val="center"/>
          </w:tcPr>
          <w:p w14:paraId="568DB8F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3</w:t>
            </w:r>
          </w:p>
        </w:tc>
        <w:tc>
          <w:tcPr>
            <w:tcW w:w="1478" w:type="dxa"/>
            <w:tcBorders>
              <w:top w:val="single" w:color="auto" w:sz="4" w:space="0"/>
              <w:left w:val="single" w:color="auto" w:sz="4" w:space="0"/>
              <w:bottom w:val="single" w:color="auto" w:sz="4" w:space="0"/>
              <w:right w:val="single" w:color="auto" w:sz="4" w:space="0"/>
            </w:tcBorders>
            <w:vAlign w:val="center"/>
          </w:tcPr>
          <w:p w14:paraId="1DC374AF">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870" w:type="dxa"/>
            <w:tcBorders>
              <w:top w:val="single" w:color="auto" w:sz="4" w:space="0"/>
              <w:left w:val="single" w:color="auto" w:sz="4" w:space="0"/>
              <w:bottom w:val="single" w:color="auto" w:sz="4" w:space="0"/>
              <w:right w:val="single" w:color="auto" w:sz="4" w:space="0"/>
            </w:tcBorders>
            <w:vAlign w:val="center"/>
          </w:tcPr>
          <w:p w14:paraId="4CA49EB1">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725" w:type="dxa"/>
            <w:tcBorders>
              <w:top w:val="single" w:color="auto" w:sz="4" w:space="0"/>
              <w:left w:val="single" w:color="auto" w:sz="4" w:space="0"/>
              <w:bottom w:val="single" w:color="auto" w:sz="4" w:space="0"/>
              <w:right w:val="single" w:color="auto" w:sz="4" w:space="0"/>
            </w:tcBorders>
            <w:vAlign w:val="center"/>
          </w:tcPr>
          <w:p w14:paraId="4C4E3638">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1077" w:type="dxa"/>
            <w:tcBorders>
              <w:top w:val="single" w:color="auto" w:sz="4" w:space="0"/>
              <w:left w:val="single" w:color="auto" w:sz="4" w:space="0"/>
              <w:bottom w:val="single" w:color="auto" w:sz="4" w:space="0"/>
              <w:right w:val="single" w:color="auto" w:sz="4" w:space="0"/>
            </w:tcBorders>
            <w:vAlign w:val="center"/>
          </w:tcPr>
          <w:p w14:paraId="19A32903">
            <w:pPr>
              <w:keepNext w:val="0"/>
              <w:keepLines w:val="0"/>
              <w:suppressLineNumbers w:val="0"/>
              <w:spacing w:before="0" w:beforeAutospacing="0" w:after="0" w:afterAutospacing="0" w:line="360" w:lineRule="auto"/>
              <w:ind w:left="0" w:right="0"/>
              <w:jc w:val="center"/>
              <w:rPr>
                <w:rFonts w:hint="eastAsia" w:ascii="宋体" w:hAnsi="Times New Roman" w:eastAsia="宋体" w:cs="Times New Roman"/>
                <w:color w:val="auto"/>
                <w:sz w:val="24"/>
                <w:lang w:val="en-US" w:eastAsia="zh-CN"/>
              </w:rPr>
            </w:pPr>
          </w:p>
        </w:tc>
        <w:tc>
          <w:tcPr>
            <w:tcW w:w="900" w:type="dxa"/>
            <w:tcBorders>
              <w:top w:val="single" w:color="auto" w:sz="4" w:space="0"/>
              <w:left w:val="single" w:color="auto" w:sz="4" w:space="0"/>
              <w:bottom w:val="single" w:color="auto" w:sz="4" w:space="0"/>
              <w:right w:val="single" w:color="auto" w:sz="4" w:space="0"/>
            </w:tcBorders>
            <w:vAlign w:val="center"/>
          </w:tcPr>
          <w:p w14:paraId="6FEBD54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vAlign w:val="center"/>
          </w:tcPr>
          <w:p w14:paraId="2E86F0E3">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2627FB7A">
        <w:tblPrEx>
          <w:tblLayout w:type="fixed"/>
        </w:tblPrEx>
        <w:trPr>
          <w:cantSplit/>
          <w:trHeight w:val="477" w:hRule="atLeast"/>
        </w:trPr>
        <w:tc>
          <w:tcPr>
            <w:tcW w:w="407" w:type="dxa"/>
            <w:tcBorders>
              <w:top w:val="single" w:color="auto" w:sz="4" w:space="0"/>
              <w:left w:val="single" w:color="auto" w:sz="4" w:space="0"/>
              <w:bottom w:val="single" w:color="auto" w:sz="4" w:space="0"/>
              <w:right w:val="single" w:color="auto" w:sz="4" w:space="0"/>
            </w:tcBorders>
            <w:vAlign w:val="center"/>
          </w:tcPr>
          <w:p w14:paraId="4D75E504">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4</w:t>
            </w:r>
          </w:p>
        </w:tc>
        <w:tc>
          <w:tcPr>
            <w:tcW w:w="1478" w:type="dxa"/>
            <w:tcBorders>
              <w:top w:val="single" w:color="auto" w:sz="4" w:space="0"/>
              <w:left w:val="single" w:color="auto" w:sz="4" w:space="0"/>
              <w:bottom w:val="single" w:color="auto" w:sz="4" w:space="0"/>
              <w:right w:val="single" w:color="auto" w:sz="4" w:space="0"/>
            </w:tcBorders>
            <w:vAlign w:val="center"/>
          </w:tcPr>
          <w:p w14:paraId="1ACFDD1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其他费用</w:t>
            </w:r>
          </w:p>
        </w:tc>
        <w:tc>
          <w:tcPr>
            <w:tcW w:w="3572" w:type="dxa"/>
            <w:gridSpan w:val="4"/>
            <w:tcBorders>
              <w:top w:val="single" w:color="auto" w:sz="4" w:space="0"/>
              <w:left w:val="single" w:color="auto" w:sz="4" w:space="0"/>
              <w:bottom w:val="single" w:color="auto" w:sz="4" w:space="0"/>
              <w:right w:val="single" w:color="auto" w:sz="4" w:space="0"/>
            </w:tcBorders>
            <w:vAlign w:val="center"/>
          </w:tcPr>
          <w:p w14:paraId="40304707">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c>
          <w:tcPr>
            <w:tcW w:w="3920" w:type="dxa"/>
            <w:tcBorders>
              <w:top w:val="single" w:color="auto" w:sz="4" w:space="0"/>
              <w:left w:val="single" w:color="auto" w:sz="4" w:space="0"/>
              <w:bottom w:val="single" w:color="auto" w:sz="4" w:space="0"/>
              <w:right w:val="single" w:color="auto" w:sz="4" w:space="0"/>
            </w:tcBorders>
            <w:vAlign w:val="center"/>
          </w:tcPr>
          <w:p w14:paraId="1475B180">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147424BC">
        <w:tblPrEx>
          <w:tblLayout w:type="fixed"/>
        </w:tblPrEx>
        <w:trPr>
          <w:cantSplit/>
          <w:trHeight w:val="945" w:hRule="atLeast"/>
        </w:trPr>
        <w:tc>
          <w:tcPr>
            <w:tcW w:w="407" w:type="dxa"/>
            <w:tcBorders>
              <w:top w:val="single" w:color="auto" w:sz="4" w:space="0"/>
              <w:left w:val="single" w:color="auto" w:sz="4" w:space="0"/>
              <w:bottom w:val="single" w:color="auto" w:sz="4" w:space="0"/>
              <w:right w:val="single" w:color="auto" w:sz="4" w:space="0"/>
            </w:tcBorders>
            <w:vAlign w:val="center"/>
          </w:tcPr>
          <w:p w14:paraId="6DC09A39">
            <w:pPr>
              <w:keepNext w:val="0"/>
              <w:keepLines w:val="0"/>
              <w:suppressLineNumbers w:val="0"/>
              <w:spacing w:before="0" w:beforeAutospacing="0" w:after="0" w:afterAutospacing="0" w:line="360" w:lineRule="auto"/>
              <w:ind w:left="0" w:right="0"/>
              <w:jc w:val="center"/>
              <w:rPr>
                <w:rFonts w:hint="default" w:ascii="宋体" w:hAnsi="Times New Roman" w:cs="Times New Roman"/>
                <w:color w:val="auto"/>
                <w:sz w:val="24"/>
              </w:rPr>
            </w:pPr>
            <w:r>
              <w:rPr>
                <w:rFonts w:hint="eastAsia" w:ascii="宋体" w:hAnsi="Times New Roman" w:cs="Times New Roman"/>
                <w:color w:val="auto"/>
                <w:sz w:val="24"/>
              </w:rPr>
              <w:t>5</w:t>
            </w:r>
          </w:p>
        </w:tc>
        <w:tc>
          <w:tcPr>
            <w:tcW w:w="1478" w:type="dxa"/>
            <w:tcBorders>
              <w:top w:val="single" w:color="auto" w:sz="4" w:space="0"/>
              <w:left w:val="single" w:color="auto" w:sz="4" w:space="0"/>
              <w:bottom w:val="single" w:color="auto" w:sz="4" w:space="0"/>
              <w:right w:val="single" w:color="auto" w:sz="4" w:space="0"/>
            </w:tcBorders>
            <w:vAlign w:val="center"/>
          </w:tcPr>
          <w:p w14:paraId="1C16D195">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中型企业提供货物总计</w:t>
            </w:r>
          </w:p>
        </w:tc>
        <w:tc>
          <w:tcPr>
            <w:tcW w:w="7492" w:type="dxa"/>
            <w:gridSpan w:val="5"/>
            <w:tcBorders>
              <w:top w:val="single" w:color="auto" w:sz="4" w:space="0"/>
              <w:left w:val="single" w:color="auto" w:sz="4" w:space="0"/>
              <w:bottom w:val="single" w:color="auto" w:sz="4" w:space="0"/>
              <w:right w:val="single" w:color="auto" w:sz="4" w:space="0"/>
            </w:tcBorders>
            <w:vAlign w:val="center"/>
          </w:tcPr>
          <w:p w14:paraId="6B3CF0DB">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08D7CA3C">
        <w:tblPrEx>
          <w:tblLayout w:type="fixed"/>
        </w:tblPrEx>
        <w:trPr>
          <w:cantSplit/>
          <w:trHeight w:val="945" w:hRule="atLeast"/>
        </w:trPr>
        <w:tc>
          <w:tcPr>
            <w:tcW w:w="407" w:type="dxa"/>
            <w:tcBorders>
              <w:top w:val="single" w:color="auto" w:sz="4" w:space="0"/>
              <w:left w:val="single" w:color="auto" w:sz="4" w:space="0"/>
              <w:bottom w:val="single" w:color="auto" w:sz="4" w:space="0"/>
              <w:right w:val="single" w:color="auto" w:sz="4" w:space="0"/>
            </w:tcBorders>
            <w:vAlign w:val="center"/>
          </w:tcPr>
          <w:p w14:paraId="48E50FDA">
            <w:pPr>
              <w:keepNext w:val="0"/>
              <w:keepLines w:val="0"/>
              <w:suppressLineNumbers w:val="0"/>
              <w:spacing w:before="0" w:beforeAutospacing="0" w:after="0" w:afterAutospacing="0" w:line="360" w:lineRule="auto"/>
              <w:ind w:left="0" w:right="0"/>
              <w:jc w:val="center"/>
              <w:rPr>
                <w:rFonts w:hint="default" w:ascii="宋体" w:hAnsi="Times New Roman" w:cs="Times New Roman"/>
                <w:color w:val="auto"/>
                <w:sz w:val="24"/>
              </w:rPr>
            </w:pPr>
            <w:r>
              <w:rPr>
                <w:rFonts w:hint="eastAsia" w:ascii="宋体" w:hAnsi="Times New Roman" w:cs="Times New Roman"/>
                <w:color w:val="auto"/>
                <w:sz w:val="24"/>
              </w:rPr>
              <w:t>6</w:t>
            </w:r>
          </w:p>
        </w:tc>
        <w:tc>
          <w:tcPr>
            <w:tcW w:w="1478" w:type="dxa"/>
            <w:tcBorders>
              <w:top w:val="single" w:color="auto" w:sz="4" w:space="0"/>
              <w:left w:val="single" w:color="auto" w:sz="4" w:space="0"/>
              <w:bottom w:val="single" w:color="auto" w:sz="4" w:space="0"/>
              <w:right w:val="single" w:color="auto" w:sz="4" w:space="0"/>
            </w:tcBorders>
            <w:vAlign w:val="center"/>
          </w:tcPr>
          <w:p w14:paraId="7F6A7442">
            <w:pPr>
              <w:keepNext w:val="0"/>
              <w:keepLines w:val="0"/>
              <w:suppressLineNumbers w:val="0"/>
              <w:spacing w:before="0" w:beforeAutospacing="0" w:after="0" w:afterAutospacing="0" w:line="360" w:lineRule="auto"/>
              <w:ind w:left="0" w:right="0"/>
              <w:jc w:val="center"/>
              <w:rPr>
                <w:rFonts w:hint="eastAsia" w:ascii="Times New Roman" w:hAnsi="Times New Roman" w:cs="Times New Roman"/>
                <w:color w:val="auto"/>
              </w:rPr>
            </w:pPr>
            <w:r>
              <w:rPr>
                <w:rFonts w:hint="eastAsia" w:ascii="Times New Roman" w:hAnsi="Times New Roman" w:cs="Times New Roman"/>
                <w:color w:val="auto"/>
              </w:rPr>
              <w:t>小型企业</w:t>
            </w:r>
            <w:r>
              <w:rPr>
                <w:rFonts w:hint="eastAsia" w:ascii="宋体" w:hAnsi="Times New Roman" w:cs="Times New Roman"/>
                <w:color w:val="auto"/>
                <w:sz w:val="24"/>
              </w:rPr>
              <w:t>提供货物总计</w:t>
            </w:r>
          </w:p>
        </w:tc>
        <w:tc>
          <w:tcPr>
            <w:tcW w:w="7492" w:type="dxa"/>
            <w:gridSpan w:val="5"/>
            <w:tcBorders>
              <w:top w:val="single" w:color="auto" w:sz="4" w:space="0"/>
              <w:left w:val="single" w:color="auto" w:sz="4" w:space="0"/>
              <w:bottom w:val="single" w:color="auto" w:sz="4" w:space="0"/>
              <w:right w:val="single" w:color="auto" w:sz="4" w:space="0"/>
            </w:tcBorders>
            <w:vAlign w:val="center"/>
          </w:tcPr>
          <w:p w14:paraId="5729343C">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033A7791">
        <w:tblPrEx>
          <w:tblLayout w:type="fixed"/>
        </w:tblPrEx>
        <w:trPr>
          <w:cantSplit/>
          <w:trHeight w:val="945" w:hRule="atLeast"/>
        </w:trPr>
        <w:tc>
          <w:tcPr>
            <w:tcW w:w="407" w:type="dxa"/>
            <w:tcBorders>
              <w:top w:val="single" w:color="auto" w:sz="4" w:space="0"/>
              <w:left w:val="single" w:color="auto" w:sz="4" w:space="0"/>
              <w:bottom w:val="single" w:color="auto" w:sz="4" w:space="0"/>
              <w:right w:val="single" w:color="auto" w:sz="4" w:space="0"/>
            </w:tcBorders>
            <w:vAlign w:val="center"/>
          </w:tcPr>
          <w:p w14:paraId="4B39AD03">
            <w:pPr>
              <w:keepNext w:val="0"/>
              <w:keepLines w:val="0"/>
              <w:suppressLineNumbers w:val="0"/>
              <w:spacing w:before="0" w:beforeAutospacing="0" w:after="0" w:afterAutospacing="0" w:line="360" w:lineRule="auto"/>
              <w:ind w:left="0" w:right="0"/>
              <w:jc w:val="center"/>
              <w:rPr>
                <w:rFonts w:hint="default" w:ascii="宋体" w:hAnsi="Times New Roman" w:cs="Times New Roman"/>
                <w:color w:val="auto"/>
                <w:sz w:val="24"/>
              </w:rPr>
            </w:pPr>
            <w:r>
              <w:rPr>
                <w:rFonts w:hint="eastAsia" w:ascii="宋体" w:hAnsi="Times New Roman" w:cs="Times New Roman"/>
                <w:color w:val="auto"/>
                <w:sz w:val="24"/>
              </w:rPr>
              <w:t>7</w:t>
            </w:r>
          </w:p>
        </w:tc>
        <w:tc>
          <w:tcPr>
            <w:tcW w:w="1478" w:type="dxa"/>
            <w:tcBorders>
              <w:top w:val="single" w:color="auto" w:sz="4" w:space="0"/>
              <w:left w:val="single" w:color="auto" w:sz="4" w:space="0"/>
              <w:bottom w:val="single" w:color="auto" w:sz="4" w:space="0"/>
              <w:right w:val="single" w:color="auto" w:sz="4" w:space="0"/>
            </w:tcBorders>
            <w:vAlign w:val="center"/>
          </w:tcPr>
          <w:p w14:paraId="6819AF9D">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微型企业提供货物总计</w:t>
            </w:r>
          </w:p>
        </w:tc>
        <w:tc>
          <w:tcPr>
            <w:tcW w:w="7492" w:type="dxa"/>
            <w:gridSpan w:val="5"/>
            <w:tcBorders>
              <w:top w:val="single" w:color="auto" w:sz="4" w:space="0"/>
              <w:left w:val="single" w:color="auto" w:sz="4" w:space="0"/>
              <w:bottom w:val="single" w:color="auto" w:sz="4" w:space="0"/>
              <w:right w:val="single" w:color="auto" w:sz="4" w:space="0"/>
            </w:tcBorders>
            <w:vAlign w:val="center"/>
          </w:tcPr>
          <w:p w14:paraId="7BF749EE">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p>
        </w:tc>
      </w:tr>
      <w:tr w14:paraId="084C7219">
        <w:tblPrEx>
          <w:tblLayout w:type="fixed"/>
        </w:tblPrEx>
        <w:trPr>
          <w:cantSplit/>
          <w:trHeight w:val="955" w:hRule="atLeast"/>
        </w:trPr>
        <w:tc>
          <w:tcPr>
            <w:tcW w:w="407" w:type="dxa"/>
            <w:tcBorders>
              <w:top w:val="single" w:color="auto" w:sz="4" w:space="0"/>
              <w:left w:val="single" w:color="auto" w:sz="4" w:space="0"/>
              <w:bottom w:val="single" w:color="auto" w:sz="4" w:space="0"/>
              <w:right w:val="single" w:color="auto" w:sz="4" w:space="0"/>
            </w:tcBorders>
            <w:vAlign w:val="center"/>
          </w:tcPr>
          <w:p w14:paraId="6EAEAE69">
            <w:pPr>
              <w:keepNext w:val="0"/>
              <w:keepLines w:val="0"/>
              <w:suppressLineNumbers w:val="0"/>
              <w:spacing w:before="0" w:beforeAutospacing="0" w:after="0" w:afterAutospacing="0" w:line="360" w:lineRule="auto"/>
              <w:ind w:left="0" w:right="0"/>
              <w:jc w:val="center"/>
              <w:rPr>
                <w:rFonts w:hint="eastAsia" w:ascii="宋体" w:hAnsi="Times New Roman" w:cs="Times New Roman"/>
                <w:color w:val="auto"/>
                <w:sz w:val="24"/>
              </w:rPr>
            </w:pPr>
            <w:r>
              <w:rPr>
                <w:rFonts w:hint="eastAsia" w:ascii="宋体" w:hAnsi="Times New Roman" w:cs="Times New Roman"/>
                <w:color w:val="auto"/>
                <w:sz w:val="24"/>
              </w:rPr>
              <w:t>总计</w:t>
            </w:r>
          </w:p>
        </w:tc>
        <w:tc>
          <w:tcPr>
            <w:tcW w:w="8970" w:type="dxa"/>
            <w:gridSpan w:val="6"/>
            <w:tcBorders>
              <w:top w:val="single" w:color="auto" w:sz="4" w:space="0"/>
              <w:left w:val="single" w:color="auto" w:sz="4" w:space="0"/>
              <w:bottom w:val="single" w:color="auto" w:sz="4" w:space="0"/>
              <w:right w:val="single" w:color="auto" w:sz="4" w:space="0"/>
            </w:tcBorders>
            <w:vAlign w:val="center"/>
          </w:tcPr>
          <w:p w14:paraId="5B170EC4">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r>
              <w:rPr>
                <w:rFonts w:hint="eastAsia" w:ascii="宋体" w:hAnsi="Times New Roman" w:cs="Times New Roman"/>
                <w:color w:val="auto"/>
                <w:sz w:val="24"/>
              </w:rPr>
              <w:t>小写:</w:t>
            </w:r>
          </w:p>
          <w:p w14:paraId="1FF437DC">
            <w:pPr>
              <w:keepNext w:val="0"/>
              <w:keepLines w:val="0"/>
              <w:suppressLineNumbers w:val="0"/>
              <w:spacing w:before="0" w:beforeAutospacing="0" w:after="0" w:afterAutospacing="0" w:line="360" w:lineRule="auto"/>
              <w:ind w:left="0" w:right="0"/>
              <w:rPr>
                <w:rFonts w:hint="eastAsia" w:ascii="宋体" w:hAnsi="Times New Roman" w:cs="Times New Roman"/>
                <w:color w:val="auto"/>
                <w:sz w:val="24"/>
              </w:rPr>
            </w:pPr>
            <w:r>
              <w:rPr>
                <w:rFonts w:hint="eastAsia" w:ascii="宋体" w:hAnsi="Times New Roman" w:cs="Times New Roman"/>
                <w:color w:val="auto"/>
                <w:sz w:val="24"/>
              </w:rPr>
              <w:t>大写：</w:t>
            </w:r>
          </w:p>
        </w:tc>
      </w:tr>
    </w:tbl>
    <w:p w14:paraId="114B935D">
      <w:pPr>
        <w:spacing w:line="360" w:lineRule="auto"/>
        <w:rPr>
          <w:rFonts w:ascii="宋体"/>
          <w:color w:val="auto"/>
          <w:sz w:val="24"/>
        </w:rPr>
      </w:pPr>
    </w:p>
    <w:p w14:paraId="3AE54A98">
      <w:pPr>
        <w:spacing w:line="360" w:lineRule="auto"/>
        <w:rPr>
          <w:rFonts w:hint="eastAsia" w:ascii="宋体"/>
          <w:color w:val="auto"/>
          <w:sz w:val="24"/>
        </w:rPr>
      </w:pPr>
      <w:r>
        <w:rPr>
          <w:rFonts w:hint="eastAsia" w:ascii="宋体"/>
          <w:color w:val="auto"/>
          <w:sz w:val="24"/>
        </w:rPr>
        <w:t>法定代表人或授权委托人（签字）：</w:t>
      </w:r>
    </w:p>
    <w:p w14:paraId="0D189F89">
      <w:pPr>
        <w:spacing w:line="360" w:lineRule="auto"/>
        <w:ind w:firstLine="570"/>
        <w:rPr>
          <w:rFonts w:hint="eastAsia" w:ascii="宋体" w:eastAsia="宋体"/>
          <w:color w:val="auto"/>
          <w:sz w:val="24"/>
          <w:lang w:eastAsia="zh-CN"/>
        </w:rPr>
      </w:pPr>
      <w:r>
        <w:rPr>
          <w:rFonts w:hint="eastAsia" w:ascii="宋体"/>
          <w:color w:val="auto"/>
          <w:sz w:val="24"/>
        </w:rPr>
        <w:t>投标人盖章：</w:t>
      </w:r>
    </w:p>
    <w:p w14:paraId="5A4F45E7">
      <w:pPr>
        <w:spacing w:line="360" w:lineRule="auto"/>
        <w:ind w:firstLine="570"/>
        <w:jc w:val="center"/>
        <w:rPr>
          <w:rFonts w:hint="eastAsia" w:ascii="宋体" w:hAnsi="宋体"/>
          <w:color w:val="auto"/>
          <w:sz w:val="24"/>
        </w:rPr>
      </w:pPr>
      <w:r>
        <w:rPr>
          <w:rFonts w:hint="eastAsia" w:ascii="宋体" w:hAnsi="宋体"/>
          <w:color w:val="auto"/>
          <w:sz w:val="24"/>
        </w:rPr>
        <w:t>20年月日</w:t>
      </w:r>
    </w:p>
    <w:p w14:paraId="3B159EED">
      <w:pPr>
        <w:spacing w:line="360" w:lineRule="auto"/>
        <w:rPr>
          <w:rFonts w:hint="eastAsia" w:ascii="宋体"/>
          <w:b/>
          <w:color w:val="auto"/>
          <w:sz w:val="24"/>
        </w:rPr>
      </w:pPr>
      <w:r>
        <w:rPr>
          <w:rFonts w:hint="eastAsia" w:ascii="宋体"/>
          <w:b/>
          <w:color w:val="auto"/>
          <w:sz w:val="24"/>
        </w:rPr>
        <w:t>注：1.上述报价包含一切由供方承担的费用；</w:t>
      </w:r>
    </w:p>
    <w:p w14:paraId="357414E7">
      <w:pPr>
        <w:pStyle w:val="42"/>
        <w:rPr>
          <w:rFonts w:hint="eastAsia"/>
          <w:color w:val="auto"/>
        </w:rPr>
      </w:pPr>
    </w:p>
    <w:p w14:paraId="29E80B31">
      <w:pPr>
        <w:jc w:val="left"/>
        <w:rPr>
          <w:rFonts w:hint="eastAsia" w:ascii="宋体" w:hAnsi="宋体" w:eastAsia="宋体"/>
          <w:b/>
          <w:color w:val="auto"/>
          <w:sz w:val="30"/>
          <w:szCs w:val="30"/>
          <w:lang w:eastAsia="zh-CN"/>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五：</w:t>
      </w:r>
    </w:p>
    <w:p w14:paraId="2EF7DBEF">
      <w:pPr>
        <w:jc w:val="center"/>
        <w:rPr>
          <w:rFonts w:hint="eastAsia" w:ascii="宋体" w:hAnsi="宋体"/>
          <w:b/>
          <w:color w:val="auto"/>
          <w:sz w:val="30"/>
          <w:szCs w:val="30"/>
        </w:rPr>
      </w:pPr>
      <w:r>
        <w:rPr>
          <w:rFonts w:hint="eastAsia" w:ascii="宋体" w:hAnsi="宋体"/>
          <w:b/>
          <w:color w:val="auto"/>
          <w:sz w:val="30"/>
          <w:szCs w:val="30"/>
        </w:rPr>
        <w:t>商务条款偏离表</w:t>
      </w:r>
    </w:p>
    <w:p w14:paraId="7317F525">
      <w:pPr>
        <w:pStyle w:val="41"/>
        <w:ind w:left="1060" w:hanging="640"/>
        <w:rPr>
          <w:rFonts w:hint="eastAsia"/>
          <w:color w:val="auto"/>
        </w:rPr>
      </w:pPr>
    </w:p>
    <w:p w14:paraId="55B178B1">
      <w:pPr>
        <w:spacing w:line="360" w:lineRule="auto"/>
        <w:jc w:val="left"/>
        <w:rPr>
          <w:rFonts w:hint="eastAsia" w:ascii="宋体" w:hAnsi="宋体" w:eastAsia="宋体"/>
          <w:color w:val="auto"/>
          <w:sz w:val="24"/>
          <w:u w:val="single"/>
          <w:lang w:eastAsia="zh-CN"/>
        </w:rPr>
      </w:pPr>
      <w:r>
        <w:rPr>
          <w:rFonts w:hint="eastAsia" w:ascii="宋体" w:hAnsi="宋体"/>
          <w:color w:val="auto"/>
          <w:sz w:val="24"/>
        </w:rPr>
        <w:t>项目名称：项目编号：</w:t>
      </w:r>
    </w:p>
    <w:tbl>
      <w:tblPr>
        <w:tblStyle w:val="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2091"/>
        <w:gridCol w:w="1740"/>
        <w:gridCol w:w="1770"/>
        <w:gridCol w:w="1680"/>
        <w:gridCol w:w="1260"/>
      </w:tblGrid>
      <w:tr w14:paraId="0CC97006">
        <w:tblPrEx>
          <w:tblLayout w:type="fixed"/>
        </w:tblPrEx>
        <w:tc>
          <w:tcPr>
            <w:tcW w:w="926" w:type="dxa"/>
            <w:vAlign w:val="center"/>
          </w:tcPr>
          <w:p w14:paraId="68673A55">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序号</w:t>
            </w:r>
          </w:p>
        </w:tc>
        <w:tc>
          <w:tcPr>
            <w:tcW w:w="2091" w:type="dxa"/>
            <w:vAlign w:val="center"/>
          </w:tcPr>
          <w:p w14:paraId="02A0FFBA">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招标文件条目号（页码）</w:t>
            </w:r>
          </w:p>
        </w:tc>
        <w:tc>
          <w:tcPr>
            <w:tcW w:w="1740" w:type="dxa"/>
            <w:vAlign w:val="center"/>
          </w:tcPr>
          <w:p w14:paraId="5754640B">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招标文件的</w:t>
            </w:r>
          </w:p>
          <w:p w14:paraId="5409616C">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商务条款</w:t>
            </w:r>
          </w:p>
        </w:tc>
        <w:tc>
          <w:tcPr>
            <w:tcW w:w="1770" w:type="dxa"/>
            <w:vAlign w:val="center"/>
          </w:tcPr>
          <w:p w14:paraId="50365A0A">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投标文件的</w:t>
            </w:r>
          </w:p>
          <w:p w14:paraId="4092F8FC">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商务条款</w:t>
            </w:r>
          </w:p>
        </w:tc>
        <w:tc>
          <w:tcPr>
            <w:tcW w:w="1680" w:type="dxa"/>
            <w:vAlign w:val="center"/>
          </w:tcPr>
          <w:p w14:paraId="7DA4CF9B">
            <w:pPr>
              <w:keepNext w:val="0"/>
              <w:keepLines w:val="0"/>
              <w:suppressLineNumbers w:val="0"/>
              <w:spacing w:before="0" w:beforeAutospacing="0" w:after="0" w:afterAutospacing="0" w:line="360" w:lineRule="auto"/>
              <w:ind w:left="0" w:right="0"/>
              <w:jc w:val="center"/>
              <w:rPr>
                <w:rFonts w:hint="default" w:ascii="宋体" w:hAnsi="宋体" w:cs="Times New Roman"/>
                <w:color w:val="auto"/>
                <w:sz w:val="24"/>
              </w:rPr>
            </w:pPr>
            <w:r>
              <w:rPr>
                <w:rFonts w:hint="eastAsia" w:ascii="宋体" w:hAnsi="宋体" w:cs="Times New Roman"/>
                <w:color w:val="auto"/>
                <w:sz w:val="24"/>
              </w:rPr>
              <w:t>偏离情况（据实填写正偏离/负偏离/无偏离）</w:t>
            </w:r>
          </w:p>
        </w:tc>
        <w:tc>
          <w:tcPr>
            <w:tcW w:w="1260" w:type="dxa"/>
            <w:vAlign w:val="center"/>
          </w:tcPr>
          <w:p w14:paraId="06CE3005">
            <w:pPr>
              <w:keepNext w:val="0"/>
              <w:keepLines w:val="0"/>
              <w:suppressLineNumbers w:val="0"/>
              <w:spacing w:before="0" w:beforeAutospacing="0" w:after="0" w:afterAutospacing="0" w:line="360" w:lineRule="auto"/>
              <w:ind w:left="0" w:right="0"/>
              <w:jc w:val="center"/>
              <w:rPr>
                <w:rFonts w:hint="eastAsia" w:ascii="宋体" w:hAnsi="宋体" w:cs="Times New Roman"/>
                <w:color w:val="auto"/>
                <w:sz w:val="24"/>
              </w:rPr>
            </w:pPr>
            <w:r>
              <w:rPr>
                <w:rFonts w:hint="eastAsia" w:ascii="宋体" w:hAnsi="宋体" w:cs="Times New Roman"/>
                <w:color w:val="auto"/>
                <w:sz w:val="24"/>
              </w:rPr>
              <w:t>说明</w:t>
            </w:r>
          </w:p>
        </w:tc>
      </w:tr>
      <w:tr w14:paraId="18DD8F02">
        <w:tblPrEx>
          <w:tblLayout w:type="fixed"/>
        </w:tblPrEx>
        <w:tc>
          <w:tcPr>
            <w:tcW w:w="926" w:type="dxa"/>
            <w:vAlign w:val="top"/>
          </w:tcPr>
          <w:p w14:paraId="38365FF2">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vAlign w:val="top"/>
          </w:tcPr>
          <w:p w14:paraId="23693B32">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vAlign w:val="top"/>
          </w:tcPr>
          <w:p w14:paraId="033E7E21">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vAlign w:val="top"/>
          </w:tcPr>
          <w:p w14:paraId="5B3F917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vAlign w:val="top"/>
          </w:tcPr>
          <w:p w14:paraId="414C0B2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vAlign w:val="top"/>
          </w:tcPr>
          <w:p w14:paraId="041BF2AA">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7A2F1239">
        <w:tblPrEx>
          <w:tblLayout w:type="fixed"/>
        </w:tblPrEx>
        <w:tc>
          <w:tcPr>
            <w:tcW w:w="926" w:type="dxa"/>
            <w:vAlign w:val="top"/>
          </w:tcPr>
          <w:p w14:paraId="45F9250D">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vAlign w:val="top"/>
          </w:tcPr>
          <w:p w14:paraId="60C9A26C">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vAlign w:val="top"/>
          </w:tcPr>
          <w:p w14:paraId="18E90F6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vAlign w:val="top"/>
          </w:tcPr>
          <w:p w14:paraId="5C661A0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vAlign w:val="top"/>
          </w:tcPr>
          <w:p w14:paraId="0594CC33">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vAlign w:val="top"/>
          </w:tcPr>
          <w:p w14:paraId="56EF669D">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01ECE582">
        <w:tblPrEx>
          <w:tblLayout w:type="fixed"/>
        </w:tblPrEx>
        <w:tc>
          <w:tcPr>
            <w:tcW w:w="926" w:type="dxa"/>
            <w:vAlign w:val="top"/>
          </w:tcPr>
          <w:p w14:paraId="3C4422D1">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vAlign w:val="top"/>
          </w:tcPr>
          <w:p w14:paraId="4C440661">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vAlign w:val="top"/>
          </w:tcPr>
          <w:p w14:paraId="0311634C">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vAlign w:val="top"/>
          </w:tcPr>
          <w:p w14:paraId="26AB15DB">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vAlign w:val="top"/>
          </w:tcPr>
          <w:p w14:paraId="0F909B7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vAlign w:val="top"/>
          </w:tcPr>
          <w:p w14:paraId="3E5F4CD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3C5DC224">
        <w:tblPrEx>
          <w:tblLayout w:type="fixed"/>
        </w:tblPrEx>
        <w:tc>
          <w:tcPr>
            <w:tcW w:w="926" w:type="dxa"/>
            <w:vAlign w:val="top"/>
          </w:tcPr>
          <w:p w14:paraId="73D5E21D">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vAlign w:val="top"/>
          </w:tcPr>
          <w:p w14:paraId="25455272">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vAlign w:val="top"/>
          </w:tcPr>
          <w:p w14:paraId="5537C78B">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vAlign w:val="top"/>
          </w:tcPr>
          <w:p w14:paraId="7D2454E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vAlign w:val="top"/>
          </w:tcPr>
          <w:p w14:paraId="699A20E0">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vAlign w:val="top"/>
          </w:tcPr>
          <w:p w14:paraId="76493F3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71BF9368">
        <w:tblPrEx>
          <w:tblLayout w:type="fixed"/>
        </w:tblPrEx>
        <w:tc>
          <w:tcPr>
            <w:tcW w:w="926" w:type="dxa"/>
            <w:vAlign w:val="top"/>
          </w:tcPr>
          <w:p w14:paraId="1B56594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vAlign w:val="top"/>
          </w:tcPr>
          <w:p w14:paraId="5329D074">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vAlign w:val="top"/>
          </w:tcPr>
          <w:p w14:paraId="16D8D61F">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vAlign w:val="top"/>
          </w:tcPr>
          <w:p w14:paraId="1A820C5E">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vAlign w:val="top"/>
          </w:tcPr>
          <w:p w14:paraId="1489CAE4">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vAlign w:val="top"/>
          </w:tcPr>
          <w:p w14:paraId="3E13C2A7">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0A6CEC40">
        <w:tblPrEx>
          <w:tblLayout w:type="fixed"/>
        </w:tblPrEx>
        <w:tc>
          <w:tcPr>
            <w:tcW w:w="926" w:type="dxa"/>
            <w:vAlign w:val="top"/>
          </w:tcPr>
          <w:p w14:paraId="0F8BFD9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vAlign w:val="top"/>
          </w:tcPr>
          <w:p w14:paraId="467BE296">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vAlign w:val="top"/>
          </w:tcPr>
          <w:p w14:paraId="01B71225">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vAlign w:val="top"/>
          </w:tcPr>
          <w:p w14:paraId="492BBFDD">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vAlign w:val="top"/>
          </w:tcPr>
          <w:p w14:paraId="543F9D8D">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vAlign w:val="top"/>
          </w:tcPr>
          <w:p w14:paraId="5F76FE78">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r w14:paraId="604247D7">
        <w:tblPrEx>
          <w:tblLayout w:type="fixed"/>
        </w:tblPrEx>
        <w:tc>
          <w:tcPr>
            <w:tcW w:w="926" w:type="dxa"/>
            <w:vAlign w:val="top"/>
          </w:tcPr>
          <w:p w14:paraId="231FB165">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2091" w:type="dxa"/>
            <w:vAlign w:val="top"/>
          </w:tcPr>
          <w:p w14:paraId="34632109">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40" w:type="dxa"/>
            <w:vAlign w:val="top"/>
          </w:tcPr>
          <w:p w14:paraId="10DDDBE4">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770" w:type="dxa"/>
            <w:vAlign w:val="top"/>
          </w:tcPr>
          <w:p w14:paraId="38AFCD34">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680" w:type="dxa"/>
            <w:vAlign w:val="top"/>
          </w:tcPr>
          <w:p w14:paraId="70D8C3D4">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c>
          <w:tcPr>
            <w:tcW w:w="1260" w:type="dxa"/>
            <w:vAlign w:val="top"/>
          </w:tcPr>
          <w:p w14:paraId="1DE2EA94">
            <w:pPr>
              <w:keepNext w:val="0"/>
              <w:keepLines w:val="0"/>
              <w:suppressLineNumbers w:val="0"/>
              <w:spacing w:before="0" w:beforeAutospacing="0" w:after="0" w:afterAutospacing="0" w:line="360" w:lineRule="auto"/>
              <w:ind w:left="0" w:right="0"/>
              <w:jc w:val="left"/>
              <w:rPr>
                <w:rFonts w:hint="eastAsia" w:ascii="宋体" w:hAnsi="宋体" w:cs="Times New Roman"/>
                <w:b/>
                <w:color w:val="auto"/>
                <w:sz w:val="30"/>
                <w:szCs w:val="30"/>
              </w:rPr>
            </w:pPr>
          </w:p>
        </w:tc>
      </w:tr>
    </w:tbl>
    <w:p w14:paraId="6F4DC1A2">
      <w:pPr>
        <w:pStyle w:val="42"/>
        <w:rPr>
          <w:rFonts w:hint="eastAsia" w:hAnsi="宋体"/>
          <w:color w:val="auto"/>
          <w:sz w:val="24"/>
          <w:u w:val="single"/>
        </w:rPr>
      </w:pPr>
    </w:p>
    <w:p w14:paraId="4383B3F7">
      <w:pPr>
        <w:spacing w:line="360" w:lineRule="auto"/>
        <w:jc w:val="left"/>
        <w:rPr>
          <w:rFonts w:hint="eastAsia" w:ascii="宋体" w:hAnsi="宋体" w:cs="宋体"/>
          <w:color w:val="auto"/>
          <w:sz w:val="24"/>
        </w:rPr>
      </w:pPr>
      <w:r>
        <w:rPr>
          <w:rFonts w:hint="eastAsia" w:ascii="宋体" w:hAnsi="宋体" w:cs="宋体"/>
          <w:color w:val="auto"/>
          <w:sz w:val="24"/>
        </w:rPr>
        <w:t>注：1、本偏离表是评审最重要的直观材料和主要依据，投标人应当予以填写，表中“偏离情况”一栏应填以“正偏离”、“负偏离”或“无偏离”。</w:t>
      </w:r>
    </w:p>
    <w:p w14:paraId="297C4765">
      <w:pPr>
        <w:spacing w:line="360" w:lineRule="auto"/>
        <w:jc w:val="left"/>
        <w:rPr>
          <w:rFonts w:hint="eastAsia" w:ascii="宋体" w:hAnsi="宋体" w:cs="宋体"/>
          <w:color w:val="auto"/>
          <w:sz w:val="24"/>
        </w:rPr>
      </w:pPr>
      <w:r>
        <w:rPr>
          <w:rFonts w:hint="eastAsia" w:ascii="宋体" w:hAnsi="宋体" w:cs="宋体"/>
          <w:color w:val="auto"/>
          <w:sz w:val="24"/>
        </w:rPr>
        <w:t>2、投标人对于偏离情况请如实列出，否则根据情况承担相应后果。</w:t>
      </w:r>
    </w:p>
    <w:p w14:paraId="126AB597">
      <w:pPr>
        <w:spacing w:line="360" w:lineRule="auto"/>
        <w:jc w:val="left"/>
        <w:rPr>
          <w:rFonts w:hint="eastAsia" w:ascii="宋体" w:hAnsi="宋体" w:eastAsia="宋体" w:cs="宋体"/>
          <w:color w:val="auto"/>
          <w:sz w:val="24"/>
          <w:lang w:eastAsia="zh-CN"/>
        </w:rPr>
      </w:pPr>
    </w:p>
    <w:p w14:paraId="60A4FCD6">
      <w:pPr>
        <w:spacing w:line="360" w:lineRule="auto"/>
        <w:jc w:val="left"/>
        <w:rPr>
          <w:rFonts w:hint="eastAsia" w:ascii="宋体" w:hAnsi="宋体" w:cs="宋体"/>
          <w:color w:val="auto"/>
          <w:sz w:val="24"/>
        </w:rPr>
      </w:pPr>
      <w:r>
        <w:rPr>
          <w:rFonts w:hint="eastAsia" w:ascii="宋体" w:hAnsi="宋体" w:cs="宋体"/>
          <w:color w:val="auto"/>
          <w:sz w:val="24"/>
        </w:rPr>
        <w:t>投标人授权代表（签字）：_____________</w:t>
      </w:r>
    </w:p>
    <w:p w14:paraId="31E6BCC1">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投标人名称（盖章）：</w:t>
      </w:r>
    </w:p>
    <w:p w14:paraId="45FAECCA">
      <w:pPr>
        <w:spacing w:line="360" w:lineRule="auto"/>
        <w:jc w:val="left"/>
        <w:rPr>
          <w:rFonts w:hint="eastAsia" w:ascii="宋体" w:hAnsi="宋体" w:eastAsia="宋体" w:cs="宋体"/>
          <w:color w:val="auto"/>
          <w:sz w:val="24"/>
          <w:lang w:eastAsia="zh-CN"/>
        </w:rPr>
      </w:pPr>
      <w:r>
        <w:rPr>
          <w:rFonts w:hint="eastAsia" w:ascii="宋体" w:hAnsi="宋体" w:cs="宋体"/>
          <w:color w:val="auto"/>
          <w:sz w:val="24"/>
        </w:rPr>
        <w:t>日期：</w:t>
      </w:r>
    </w:p>
    <w:p w14:paraId="02B34F17">
      <w:pPr>
        <w:spacing w:line="360" w:lineRule="auto"/>
        <w:jc w:val="left"/>
        <w:rPr>
          <w:rFonts w:hint="eastAsia" w:ascii="宋体" w:hAnsi="宋体"/>
          <w:color w:val="auto"/>
          <w:sz w:val="24"/>
        </w:rPr>
      </w:pPr>
    </w:p>
    <w:p w14:paraId="0CC0885F">
      <w:pPr>
        <w:spacing w:line="360" w:lineRule="auto"/>
        <w:jc w:val="left"/>
        <w:rPr>
          <w:rFonts w:hint="eastAsia" w:ascii="宋体" w:hAnsi="宋体"/>
          <w:color w:val="auto"/>
          <w:sz w:val="24"/>
        </w:rPr>
      </w:pPr>
    </w:p>
    <w:p w14:paraId="73AF55BC">
      <w:pPr>
        <w:spacing w:line="360" w:lineRule="auto"/>
        <w:jc w:val="left"/>
        <w:rPr>
          <w:rFonts w:hint="eastAsia" w:ascii="宋体" w:hAnsi="宋体"/>
          <w:color w:val="auto"/>
          <w:sz w:val="24"/>
        </w:rPr>
      </w:pPr>
    </w:p>
    <w:p w14:paraId="19458CE2">
      <w:pPr>
        <w:pStyle w:val="41"/>
        <w:ind w:left="900" w:hanging="480"/>
        <w:rPr>
          <w:rFonts w:hint="eastAsia" w:ascii="宋体" w:hAnsi="宋体"/>
          <w:color w:val="auto"/>
          <w:sz w:val="24"/>
        </w:rPr>
      </w:pPr>
    </w:p>
    <w:p w14:paraId="2F519F4E">
      <w:pPr>
        <w:pStyle w:val="42"/>
        <w:rPr>
          <w:rFonts w:hint="eastAsia" w:hAnsi="宋体"/>
          <w:color w:val="auto"/>
          <w:sz w:val="24"/>
        </w:rPr>
      </w:pPr>
    </w:p>
    <w:p w14:paraId="4D0AE487">
      <w:pPr>
        <w:spacing w:line="360" w:lineRule="auto"/>
        <w:jc w:val="left"/>
        <w:rPr>
          <w:rFonts w:hint="eastAsia" w:ascii="宋体" w:hAnsi="宋体" w:eastAsia="宋体" w:cs="宋体"/>
          <w:b/>
          <w:color w:val="auto"/>
          <w:sz w:val="30"/>
          <w:szCs w:val="30"/>
          <w:lang w:eastAsia="zh-CN"/>
        </w:rPr>
      </w:pPr>
      <w:r>
        <w:rPr>
          <w:rFonts w:hint="eastAsia" w:ascii="宋体" w:hAnsi="宋体" w:cs="宋体"/>
          <w:b/>
          <w:color w:val="auto"/>
          <w:sz w:val="30"/>
          <w:szCs w:val="30"/>
        </w:rPr>
        <w:br w:type="page"/>
      </w:r>
      <w:r>
        <w:rPr>
          <w:rFonts w:hint="eastAsia" w:ascii="宋体" w:hAnsi="宋体" w:cs="宋体"/>
          <w:b/>
          <w:color w:val="auto"/>
          <w:sz w:val="30"/>
          <w:szCs w:val="30"/>
        </w:rPr>
        <w:t>附件六：</w:t>
      </w:r>
    </w:p>
    <w:p w14:paraId="0AB16008">
      <w:pPr>
        <w:spacing w:line="360" w:lineRule="auto"/>
        <w:jc w:val="center"/>
        <w:rPr>
          <w:rFonts w:hint="eastAsia" w:ascii="宋体" w:hAnsi="宋体" w:cs="宋体"/>
          <w:b/>
          <w:color w:val="auto"/>
          <w:sz w:val="30"/>
          <w:szCs w:val="30"/>
        </w:rPr>
      </w:pPr>
      <w:r>
        <w:rPr>
          <w:rFonts w:hint="eastAsia" w:ascii="宋体" w:hAnsi="宋体" w:cs="宋体"/>
          <w:b/>
          <w:color w:val="auto"/>
          <w:sz w:val="30"/>
          <w:szCs w:val="30"/>
        </w:rPr>
        <w:t>采购需求偏离表</w:t>
      </w:r>
    </w:p>
    <w:p w14:paraId="127C2992">
      <w:pPr>
        <w:spacing w:line="360" w:lineRule="auto"/>
        <w:rPr>
          <w:rFonts w:hint="eastAsia" w:ascii="宋体" w:hAnsi="宋体" w:eastAsia="宋体" w:cs="宋体"/>
          <w:color w:val="auto"/>
          <w:sz w:val="24"/>
          <w:lang w:eastAsia="zh-CN"/>
        </w:rPr>
      </w:pPr>
      <w:r>
        <w:rPr>
          <w:rFonts w:hint="eastAsia" w:ascii="宋体" w:hAnsi="宋体" w:cs="宋体"/>
          <w:color w:val="auto"/>
          <w:sz w:val="24"/>
        </w:rPr>
        <w:t>项目名称：项目编号/标项名称：</w:t>
      </w:r>
    </w:p>
    <w:tbl>
      <w:tblPr>
        <w:tblStyle w:val="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196"/>
        <w:gridCol w:w="1191"/>
        <w:gridCol w:w="1191"/>
        <w:gridCol w:w="1191"/>
        <w:gridCol w:w="1191"/>
        <w:gridCol w:w="1191"/>
        <w:gridCol w:w="1196"/>
      </w:tblGrid>
      <w:tr w14:paraId="30295CDD">
        <w:tblPrEx>
          <w:tblLayout w:type="fixed"/>
        </w:tblPrEx>
        <w:tc>
          <w:tcPr>
            <w:tcW w:w="1189" w:type="dxa"/>
            <w:vMerge w:val="restart"/>
            <w:vAlign w:val="center"/>
          </w:tcPr>
          <w:p w14:paraId="1AC11F88">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序号</w:t>
            </w:r>
          </w:p>
        </w:tc>
        <w:tc>
          <w:tcPr>
            <w:tcW w:w="1196" w:type="dxa"/>
            <w:vMerge w:val="restart"/>
            <w:vAlign w:val="center"/>
          </w:tcPr>
          <w:p w14:paraId="61F88A76">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招标文件条目号</w:t>
            </w:r>
          </w:p>
        </w:tc>
        <w:tc>
          <w:tcPr>
            <w:tcW w:w="1191" w:type="dxa"/>
            <w:vMerge w:val="restart"/>
            <w:vAlign w:val="center"/>
          </w:tcPr>
          <w:p w14:paraId="253EC7AF">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招标文件要求</w:t>
            </w:r>
          </w:p>
        </w:tc>
        <w:tc>
          <w:tcPr>
            <w:tcW w:w="1191" w:type="dxa"/>
            <w:vMerge w:val="restart"/>
            <w:vAlign w:val="center"/>
          </w:tcPr>
          <w:p w14:paraId="64722141">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响应内容</w:t>
            </w:r>
          </w:p>
        </w:tc>
        <w:tc>
          <w:tcPr>
            <w:tcW w:w="3573" w:type="dxa"/>
            <w:gridSpan w:val="3"/>
            <w:vAlign w:val="center"/>
          </w:tcPr>
          <w:p w14:paraId="012E7445">
            <w:pPr>
              <w:keepNext w:val="0"/>
              <w:keepLines w:val="0"/>
              <w:suppressLineNumbers w:val="0"/>
              <w:spacing w:before="0" w:beforeAutospacing="0" w:after="0" w:afterAutospacing="0" w:line="360" w:lineRule="auto"/>
              <w:ind w:left="0" w:right="0" w:firstLine="480" w:firstLineChars="200"/>
              <w:jc w:val="center"/>
              <w:rPr>
                <w:rFonts w:hint="eastAsia" w:ascii="宋体" w:hAnsi="宋体" w:cs="宋体"/>
                <w:color w:val="auto"/>
                <w:sz w:val="24"/>
              </w:rPr>
            </w:pPr>
            <w:r>
              <w:rPr>
                <w:rFonts w:hint="eastAsia" w:ascii="宋体" w:hAnsi="宋体" w:cs="宋体"/>
                <w:color w:val="auto"/>
                <w:sz w:val="24"/>
              </w:rPr>
              <w:t>偏离情况（据实填写）</w:t>
            </w:r>
          </w:p>
        </w:tc>
        <w:tc>
          <w:tcPr>
            <w:tcW w:w="1196" w:type="dxa"/>
            <w:vMerge w:val="restart"/>
            <w:vAlign w:val="center"/>
          </w:tcPr>
          <w:p w14:paraId="713BBBF7">
            <w:pPr>
              <w:keepNext w:val="0"/>
              <w:keepLines w:val="0"/>
              <w:suppressLineNumbers w:val="0"/>
              <w:spacing w:before="0" w:beforeAutospacing="0" w:after="0" w:afterAutospacing="0" w:line="360" w:lineRule="auto"/>
              <w:ind w:left="0" w:right="0" w:firstLine="240" w:firstLineChars="100"/>
              <w:jc w:val="center"/>
              <w:rPr>
                <w:rFonts w:hint="eastAsia" w:ascii="宋体" w:hAnsi="宋体" w:cs="宋体"/>
                <w:color w:val="auto"/>
                <w:sz w:val="24"/>
              </w:rPr>
            </w:pPr>
            <w:r>
              <w:rPr>
                <w:rFonts w:hint="eastAsia" w:ascii="宋体" w:hAnsi="宋体" w:cs="宋体"/>
                <w:color w:val="auto"/>
                <w:sz w:val="24"/>
              </w:rPr>
              <w:t>说明</w:t>
            </w:r>
          </w:p>
        </w:tc>
      </w:tr>
      <w:tr w14:paraId="3EAA6381">
        <w:tblPrEx>
          <w:tblLayout w:type="fixed"/>
        </w:tblPrEx>
        <w:trPr>
          <w:trHeight w:val="1388" w:hRule="atLeast"/>
        </w:trPr>
        <w:tc>
          <w:tcPr>
            <w:tcW w:w="1189" w:type="dxa"/>
            <w:vMerge w:val="continue"/>
            <w:vAlign w:val="top"/>
          </w:tcPr>
          <w:p w14:paraId="69418C5B">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vMerge w:val="continue"/>
            <w:vAlign w:val="top"/>
          </w:tcPr>
          <w:p w14:paraId="2672CD9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Merge w:val="continue"/>
            <w:vAlign w:val="top"/>
          </w:tcPr>
          <w:p w14:paraId="2480879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Merge w:val="continue"/>
            <w:vAlign w:val="top"/>
          </w:tcPr>
          <w:p w14:paraId="7E68901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center"/>
          </w:tcPr>
          <w:p w14:paraId="0724A155">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正偏离</w:t>
            </w:r>
          </w:p>
        </w:tc>
        <w:tc>
          <w:tcPr>
            <w:tcW w:w="1191" w:type="dxa"/>
            <w:vAlign w:val="center"/>
          </w:tcPr>
          <w:p w14:paraId="1DE6A59A">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无偏离</w:t>
            </w:r>
          </w:p>
        </w:tc>
        <w:tc>
          <w:tcPr>
            <w:tcW w:w="1191" w:type="dxa"/>
            <w:vAlign w:val="center"/>
          </w:tcPr>
          <w:p w14:paraId="26508FA4">
            <w:pPr>
              <w:keepNext w:val="0"/>
              <w:keepLines w:val="0"/>
              <w:suppressLineNumbers w:val="0"/>
              <w:spacing w:before="0" w:beforeAutospacing="0" w:after="0" w:afterAutospacing="0" w:line="360" w:lineRule="auto"/>
              <w:ind w:left="0" w:right="0"/>
              <w:jc w:val="center"/>
              <w:rPr>
                <w:rFonts w:hint="eastAsia" w:ascii="宋体" w:hAnsi="宋体" w:cs="宋体"/>
                <w:color w:val="auto"/>
                <w:sz w:val="24"/>
              </w:rPr>
            </w:pPr>
            <w:r>
              <w:rPr>
                <w:rFonts w:hint="eastAsia" w:ascii="宋体" w:hAnsi="宋体" w:cs="宋体"/>
                <w:color w:val="auto"/>
                <w:sz w:val="24"/>
              </w:rPr>
              <w:t>负偏离</w:t>
            </w:r>
          </w:p>
        </w:tc>
        <w:tc>
          <w:tcPr>
            <w:tcW w:w="1196" w:type="dxa"/>
            <w:vMerge w:val="continue"/>
            <w:vAlign w:val="top"/>
          </w:tcPr>
          <w:p w14:paraId="174E896A">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046D40B0">
        <w:tblPrEx>
          <w:tblLayout w:type="fixed"/>
        </w:tblPrEx>
        <w:trPr>
          <w:trHeight w:val="959" w:hRule="atLeast"/>
        </w:trPr>
        <w:tc>
          <w:tcPr>
            <w:tcW w:w="1189" w:type="dxa"/>
            <w:vAlign w:val="top"/>
          </w:tcPr>
          <w:p w14:paraId="2A8DA89C">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vAlign w:val="top"/>
          </w:tcPr>
          <w:p w14:paraId="48D213BB">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392FB5D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5471C09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0978E74B">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473E9FA5">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605B7B4E">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vAlign w:val="top"/>
          </w:tcPr>
          <w:p w14:paraId="588363B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45960852">
        <w:tblPrEx>
          <w:tblLayout w:type="fixed"/>
        </w:tblPrEx>
        <w:trPr>
          <w:trHeight w:val="1050" w:hRule="atLeast"/>
        </w:trPr>
        <w:tc>
          <w:tcPr>
            <w:tcW w:w="1189" w:type="dxa"/>
            <w:vAlign w:val="top"/>
          </w:tcPr>
          <w:p w14:paraId="24E81C5A">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vAlign w:val="top"/>
          </w:tcPr>
          <w:p w14:paraId="36765CB8">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65D0E89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4C86847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60E8C641">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178F33D6">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4B32B9D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vAlign w:val="top"/>
          </w:tcPr>
          <w:p w14:paraId="13278905">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719FEDCA">
        <w:tblPrEx>
          <w:tblLayout w:type="fixed"/>
        </w:tblPrEx>
        <w:trPr>
          <w:trHeight w:val="1050" w:hRule="atLeast"/>
        </w:trPr>
        <w:tc>
          <w:tcPr>
            <w:tcW w:w="1189" w:type="dxa"/>
            <w:vAlign w:val="top"/>
          </w:tcPr>
          <w:p w14:paraId="604D520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vAlign w:val="top"/>
          </w:tcPr>
          <w:p w14:paraId="6B9CF8BC">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5228899D">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1E8BF872">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389286C3">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135ED48B">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76CCF2AE">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vAlign w:val="top"/>
          </w:tcPr>
          <w:p w14:paraId="0AD4734F">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1EF666A2">
        <w:tblPrEx>
          <w:tblLayout w:type="fixed"/>
        </w:tblPrEx>
        <w:trPr>
          <w:trHeight w:val="940" w:hRule="atLeast"/>
        </w:trPr>
        <w:tc>
          <w:tcPr>
            <w:tcW w:w="1189" w:type="dxa"/>
            <w:vAlign w:val="top"/>
          </w:tcPr>
          <w:p w14:paraId="1DBF695C">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vAlign w:val="top"/>
          </w:tcPr>
          <w:p w14:paraId="341BDBCF">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08D18B9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67B7E97E">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04D7B3BF">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354336DE">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4E90BC32">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vAlign w:val="top"/>
          </w:tcPr>
          <w:p w14:paraId="5F66100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r w14:paraId="627E8002">
        <w:tblPrEx>
          <w:tblLayout w:type="fixed"/>
        </w:tblPrEx>
        <w:trPr>
          <w:trHeight w:val="950" w:hRule="atLeast"/>
        </w:trPr>
        <w:tc>
          <w:tcPr>
            <w:tcW w:w="1189" w:type="dxa"/>
            <w:vAlign w:val="top"/>
          </w:tcPr>
          <w:p w14:paraId="1395F7A7">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vAlign w:val="top"/>
          </w:tcPr>
          <w:p w14:paraId="763409F4">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0AC10D2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4A34FF50">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3A27C17F">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58A0A82D">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1" w:type="dxa"/>
            <w:vAlign w:val="top"/>
          </w:tcPr>
          <w:p w14:paraId="20BD05B9">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c>
          <w:tcPr>
            <w:tcW w:w="1196" w:type="dxa"/>
            <w:vAlign w:val="top"/>
          </w:tcPr>
          <w:p w14:paraId="14C5178F">
            <w:pPr>
              <w:keepNext w:val="0"/>
              <w:keepLines w:val="0"/>
              <w:suppressLineNumbers w:val="0"/>
              <w:spacing w:before="0" w:beforeAutospacing="0" w:after="0" w:afterAutospacing="0" w:line="360" w:lineRule="auto"/>
              <w:ind w:left="0" w:right="0"/>
              <w:rPr>
                <w:rFonts w:hint="eastAsia" w:ascii="宋体" w:hAnsi="宋体" w:cs="宋体"/>
                <w:color w:val="auto"/>
                <w:sz w:val="24"/>
              </w:rPr>
            </w:pPr>
          </w:p>
        </w:tc>
      </w:tr>
    </w:tbl>
    <w:p w14:paraId="349E4F5A">
      <w:pPr>
        <w:spacing w:line="360" w:lineRule="auto"/>
        <w:rPr>
          <w:rFonts w:hint="eastAsia" w:ascii="宋体" w:hAnsi="宋体" w:cs="宋体"/>
          <w:color w:val="auto"/>
          <w:sz w:val="24"/>
        </w:rPr>
      </w:pPr>
      <w:r>
        <w:rPr>
          <w:rFonts w:hint="eastAsia" w:ascii="宋体" w:hAnsi="宋体" w:cs="宋体"/>
          <w:color w:val="auto"/>
          <w:sz w:val="24"/>
        </w:rPr>
        <w:t>注：1、本偏离表是评审投标人技术方案最重要的直观材料和主要依据，投标人须针对本招标文件采购需求中的要求是否满足填写偏离表，表中“偏离情况”一栏应据实填写“正偏离”、“负偏离”或“无偏离”，表中“说明”填写技术参数证明页码。投标人应注意在本表中的所报货物和服务的技术应答与招标文件采购需求部分序号、采购需求部分要求做到逐条响应，否则由此造成评审小组无法认定的情形由投标人自行承担后果。</w:t>
      </w:r>
    </w:p>
    <w:p w14:paraId="691B61C7">
      <w:pPr>
        <w:pStyle w:val="60"/>
        <w:spacing w:line="360" w:lineRule="auto"/>
        <w:ind w:left="0" w:leftChars="0" w:firstLine="480"/>
        <w:rPr>
          <w:rFonts w:hint="eastAsia" w:ascii="宋体" w:hAnsi="宋体" w:cs="宋体"/>
          <w:b w:val="0"/>
          <w:bCs/>
          <w:color w:val="auto"/>
          <w:sz w:val="24"/>
        </w:rPr>
      </w:pPr>
      <w:r>
        <w:rPr>
          <w:rFonts w:hint="eastAsia" w:ascii="宋体" w:hAnsi="宋体" w:cs="宋体"/>
          <w:b w:val="0"/>
          <w:bCs/>
          <w:color w:val="auto"/>
          <w:sz w:val="24"/>
        </w:rPr>
        <w:t>2、投标人对于偏离情况请如实列出，否则根据情况承担相应后果。</w:t>
      </w:r>
    </w:p>
    <w:p w14:paraId="20DB1531">
      <w:pPr>
        <w:pStyle w:val="60"/>
        <w:ind w:firstLine="422"/>
        <w:rPr>
          <w:rFonts w:hint="eastAsia" w:ascii="宋体" w:hAnsi="宋体" w:cs="宋体"/>
          <w:color w:val="auto"/>
        </w:rPr>
      </w:pPr>
    </w:p>
    <w:p w14:paraId="27C055C5">
      <w:pPr>
        <w:autoSpaceDE w:val="0"/>
        <w:autoSpaceDN w:val="0"/>
        <w:spacing w:line="360" w:lineRule="auto"/>
        <w:ind w:right="-136" w:firstLine="480"/>
        <w:textAlignment w:val="bottom"/>
        <w:rPr>
          <w:rFonts w:hint="eastAsia" w:ascii="宋体" w:hAnsi="宋体" w:cs="宋体"/>
          <w:color w:val="auto"/>
          <w:sz w:val="24"/>
        </w:rPr>
      </w:pPr>
      <w:r>
        <w:rPr>
          <w:rFonts w:hint="eastAsia" w:ascii="宋体" w:hAnsi="宋体" w:cs="宋体"/>
          <w:color w:val="auto"/>
          <w:sz w:val="24"/>
        </w:rPr>
        <w:t>投标人授权代表（签字）：_____________</w:t>
      </w:r>
    </w:p>
    <w:p w14:paraId="669EC17D">
      <w:pPr>
        <w:autoSpaceDE w:val="0"/>
        <w:autoSpaceDN w:val="0"/>
        <w:spacing w:line="360" w:lineRule="auto"/>
        <w:ind w:right="-136" w:firstLine="480"/>
        <w:textAlignment w:val="bottom"/>
        <w:rPr>
          <w:rFonts w:hint="eastAsia" w:ascii="宋体" w:hAnsi="宋体" w:eastAsia="宋体" w:cs="宋体"/>
          <w:color w:val="auto"/>
          <w:sz w:val="24"/>
          <w:lang w:eastAsia="zh-CN"/>
        </w:rPr>
      </w:pPr>
      <w:r>
        <w:rPr>
          <w:rFonts w:hint="eastAsia" w:ascii="宋体" w:hAnsi="宋体" w:cs="宋体"/>
          <w:color w:val="auto"/>
          <w:sz w:val="24"/>
        </w:rPr>
        <w:t>投标人名称（盖章）：</w:t>
      </w:r>
    </w:p>
    <w:p w14:paraId="2FB0871D">
      <w:pPr>
        <w:autoSpaceDE w:val="0"/>
        <w:autoSpaceDN w:val="0"/>
        <w:spacing w:line="360" w:lineRule="auto"/>
        <w:ind w:right="-136" w:firstLine="480"/>
        <w:textAlignment w:val="bottom"/>
        <w:rPr>
          <w:rFonts w:hint="eastAsia" w:ascii="宋体" w:hAnsi="宋体" w:eastAsia="宋体" w:cs="宋体"/>
          <w:color w:val="auto"/>
          <w:sz w:val="24"/>
          <w:lang w:eastAsia="zh-CN"/>
        </w:rPr>
      </w:pPr>
      <w:r>
        <w:rPr>
          <w:rFonts w:hint="eastAsia" w:ascii="宋体" w:hAnsi="宋体" w:cs="宋体"/>
          <w:color w:val="auto"/>
          <w:sz w:val="24"/>
        </w:rPr>
        <w:t>日期：</w:t>
      </w:r>
    </w:p>
    <w:p w14:paraId="025241C7">
      <w:pPr>
        <w:spacing w:line="360" w:lineRule="auto"/>
        <w:jc w:val="left"/>
        <w:rPr>
          <w:rFonts w:hint="eastAsia" w:ascii="宋体" w:hAnsi="宋体"/>
          <w:b/>
          <w:color w:val="auto"/>
          <w:sz w:val="30"/>
          <w:szCs w:val="30"/>
        </w:rPr>
      </w:pPr>
      <w:r>
        <w:rPr>
          <w:rFonts w:hint="eastAsia" w:ascii="宋体" w:hAnsi="宋体"/>
          <w:b/>
          <w:color w:val="auto"/>
          <w:sz w:val="30"/>
          <w:szCs w:val="30"/>
        </w:rPr>
        <w:br w:type="page"/>
      </w:r>
      <w:r>
        <w:rPr>
          <w:rFonts w:hint="eastAsia" w:ascii="宋体" w:hAnsi="宋体"/>
          <w:b/>
          <w:color w:val="auto"/>
          <w:sz w:val="30"/>
          <w:szCs w:val="30"/>
        </w:rPr>
        <w:t>附</w:t>
      </w:r>
      <w:r>
        <w:rPr>
          <w:rFonts w:hint="eastAsia" w:ascii="宋体"/>
          <w:b/>
          <w:color w:val="auto"/>
          <w:sz w:val="30"/>
          <w:szCs w:val="30"/>
        </w:rPr>
        <w:t>件</w:t>
      </w:r>
      <w:r>
        <w:rPr>
          <w:rFonts w:hint="eastAsia" w:ascii="宋体" w:hAnsi="宋体"/>
          <w:b/>
          <w:color w:val="auto"/>
          <w:sz w:val="30"/>
          <w:szCs w:val="30"/>
        </w:rPr>
        <w:t>七：</w:t>
      </w:r>
    </w:p>
    <w:p w14:paraId="3B77BEAC">
      <w:pPr>
        <w:spacing w:line="360" w:lineRule="auto"/>
        <w:jc w:val="center"/>
        <w:rPr>
          <w:rFonts w:ascii="宋体" w:hAnsi="宋体"/>
          <w:b/>
          <w:color w:val="auto"/>
          <w:sz w:val="30"/>
          <w:szCs w:val="30"/>
        </w:rPr>
      </w:pPr>
      <w:r>
        <w:rPr>
          <w:rFonts w:hint="eastAsia" w:ascii="宋体" w:hAnsi="宋体"/>
          <w:b/>
          <w:color w:val="auto"/>
          <w:sz w:val="30"/>
          <w:szCs w:val="30"/>
        </w:rPr>
        <w:t>投标人基本情况表</w:t>
      </w:r>
    </w:p>
    <w:tbl>
      <w:tblPr>
        <w:tblStyle w:val="97"/>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417"/>
        <w:gridCol w:w="865"/>
        <w:gridCol w:w="1192"/>
      </w:tblGrid>
      <w:tr w14:paraId="439D212E">
        <w:tblPrEx>
          <w:tblLayout w:type="fixed"/>
        </w:tblPrEx>
        <w:trPr>
          <w:cantSplit/>
          <w:trHeight w:val="462" w:hRule="atLeast"/>
        </w:trPr>
        <w:tc>
          <w:tcPr>
            <w:tcW w:w="1677" w:type="dxa"/>
            <w:tcBorders>
              <w:top w:val="single" w:color="auto" w:sz="4" w:space="0"/>
              <w:left w:val="single" w:color="auto" w:sz="4" w:space="0"/>
            </w:tcBorders>
            <w:vAlign w:val="center"/>
          </w:tcPr>
          <w:p w14:paraId="5D31DE1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投标人名称</w:t>
            </w:r>
          </w:p>
        </w:tc>
        <w:tc>
          <w:tcPr>
            <w:tcW w:w="7724" w:type="dxa"/>
            <w:gridSpan w:val="7"/>
            <w:tcBorders>
              <w:top w:val="single" w:color="auto" w:sz="4" w:space="0"/>
              <w:right w:val="single" w:color="auto" w:sz="4" w:space="0"/>
            </w:tcBorders>
            <w:vAlign w:val="center"/>
          </w:tcPr>
          <w:p w14:paraId="4AF24749">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1D1A5D76">
        <w:tblPrEx>
          <w:tblLayout w:type="fixed"/>
        </w:tblPrEx>
        <w:trPr>
          <w:cantSplit/>
          <w:trHeight w:val="462" w:hRule="atLeast"/>
        </w:trPr>
        <w:tc>
          <w:tcPr>
            <w:tcW w:w="1677" w:type="dxa"/>
            <w:tcBorders>
              <w:left w:val="single" w:color="auto" w:sz="4" w:space="0"/>
            </w:tcBorders>
            <w:vAlign w:val="center"/>
          </w:tcPr>
          <w:p w14:paraId="021A5A3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注册地址</w:t>
            </w:r>
          </w:p>
        </w:tc>
        <w:tc>
          <w:tcPr>
            <w:tcW w:w="3792" w:type="dxa"/>
            <w:gridSpan w:val="3"/>
            <w:vAlign w:val="center"/>
          </w:tcPr>
          <w:p w14:paraId="65A3C17A">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458" w:type="dxa"/>
            <w:vAlign w:val="center"/>
          </w:tcPr>
          <w:p w14:paraId="1E852E4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邮政编码</w:t>
            </w:r>
          </w:p>
        </w:tc>
        <w:tc>
          <w:tcPr>
            <w:tcW w:w="2474" w:type="dxa"/>
            <w:gridSpan w:val="3"/>
            <w:tcBorders>
              <w:right w:val="single" w:color="auto" w:sz="4" w:space="0"/>
            </w:tcBorders>
            <w:vAlign w:val="center"/>
          </w:tcPr>
          <w:p w14:paraId="49A0A4E8">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3BA12BB4">
        <w:tblPrEx>
          <w:tblLayout w:type="fixed"/>
        </w:tblPrEx>
        <w:trPr>
          <w:cantSplit/>
          <w:trHeight w:val="442" w:hRule="atLeast"/>
        </w:trPr>
        <w:tc>
          <w:tcPr>
            <w:tcW w:w="1677" w:type="dxa"/>
            <w:vMerge w:val="restart"/>
            <w:tcBorders>
              <w:left w:val="single" w:color="auto" w:sz="4" w:space="0"/>
            </w:tcBorders>
            <w:vAlign w:val="center"/>
          </w:tcPr>
          <w:p w14:paraId="780D40B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联系方式</w:t>
            </w:r>
          </w:p>
        </w:tc>
        <w:tc>
          <w:tcPr>
            <w:tcW w:w="1060" w:type="dxa"/>
            <w:vAlign w:val="center"/>
          </w:tcPr>
          <w:p w14:paraId="2A53B34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联系人</w:t>
            </w:r>
          </w:p>
        </w:tc>
        <w:tc>
          <w:tcPr>
            <w:tcW w:w="2732" w:type="dxa"/>
            <w:gridSpan w:val="2"/>
            <w:vAlign w:val="center"/>
          </w:tcPr>
          <w:p w14:paraId="32A738A3">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458" w:type="dxa"/>
            <w:vAlign w:val="center"/>
          </w:tcPr>
          <w:p w14:paraId="254776B9">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电话</w:t>
            </w:r>
          </w:p>
        </w:tc>
        <w:tc>
          <w:tcPr>
            <w:tcW w:w="2474" w:type="dxa"/>
            <w:gridSpan w:val="3"/>
            <w:tcBorders>
              <w:right w:val="single" w:color="auto" w:sz="4" w:space="0"/>
            </w:tcBorders>
            <w:vAlign w:val="center"/>
          </w:tcPr>
          <w:p w14:paraId="11F6A9A8">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348A81ED">
        <w:tblPrEx>
          <w:tblLayout w:type="fixed"/>
        </w:tblPrEx>
        <w:trPr>
          <w:cantSplit/>
          <w:trHeight w:val="148" w:hRule="atLeast"/>
        </w:trPr>
        <w:tc>
          <w:tcPr>
            <w:tcW w:w="1677" w:type="dxa"/>
            <w:vMerge w:val="continue"/>
            <w:tcBorders>
              <w:left w:val="single" w:color="auto" w:sz="4" w:space="0"/>
            </w:tcBorders>
            <w:vAlign w:val="center"/>
          </w:tcPr>
          <w:p w14:paraId="7337532E">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060" w:type="dxa"/>
            <w:vAlign w:val="center"/>
          </w:tcPr>
          <w:p w14:paraId="609F0E7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传真</w:t>
            </w:r>
          </w:p>
        </w:tc>
        <w:tc>
          <w:tcPr>
            <w:tcW w:w="2732" w:type="dxa"/>
            <w:gridSpan w:val="2"/>
            <w:vAlign w:val="center"/>
          </w:tcPr>
          <w:p w14:paraId="0F8A03D8">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458" w:type="dxa"/>
            <w:vAlign w:val="center"/>
          </w:tcPr>
          <w:p w14:paraId="14E6BC39">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网址</w:t>
            </w:r>
          </w:p>
        </w:tc>
        <w:tc>
          <w:tcPr>
            <w:tcW w:w="2474" w:type="dxa"/>
            <w:gridSpan w:val="3"/>
            <w:tcBorders>
              <w:right w:val="single" w:color="auto" w:sz="4" w:space="0"/>
            </w:tcBorders>
            <w:vAlign w:val="center"/>
          </w:tcPr>
          <w:p w14:paraId="09C6AFF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3C3DA0E0">
        <w:tblPrEx>
          <w:tblLayout w:type="fixed"/>
        </w:tblPrEx>
        <w:trPr>
          <w:cantSplit/>
          <w:trHeight w:val="442" w:hRule="atLeast"/>
        </w:trPr>
        <w:tc>
          <w:tcPr>
            <w:tcW w:w="1677" w:type="dxa"/>
            <w:tcBorders>
              <w:left w:val="single" w:color="auto" w:sz="4" w:space="0"/>
            </w:tcBorders>
            <w:vAlign w:val="center"/>
          </w:tcPr>
          <w:p w14:paraId="5A09D53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本公司所属</w:t>
            </w:r>
          </w:p>
          <w:p w14:paraId="5B981BA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行业</w:t>
            </w:r>
          </w:p>
        </w:tc>
        <w:tc>
          <w:tcPr>
            <w:tcW w:w="7724" w:type="dxa"/>
            <w:gridSpan w:val="7"/>
            <w:tcBorders>
              <w:right w:val="single" w:color="auto" w:sz="4" w:space="0"/>
            </w:tcBorders>
            <w:vAlign w:val="center"/>
          </w:tcPr>
          <w:p w14:paraId="55F2B06B">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r>
      <w:tr w14:paraId="3EB4F705">
        <w:tblPrEx>
          <w:tblLayout w:type="fixed"/>
        </w:tblPrEx>
        <w:trPr>
          <w:trHeight w:val="462" w:hRule="atLeast"/>
        </w:trPr>
        <w:tc>
          <w:tcPr>
            <w:tcW w:w="1677" w:type="dxa"/>
            <w:tcBorders>
              <w:left w:val="single" w:color="auto" w:sz="4" w:space="0"/>
            </w:tcBorders>
            <w:vAlign w:val="center"/>
          </w:tcPr>
          <w:p w14:paraId="46FF0A6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法定代表人</w:t>
            </w:r>
          </w:p>
        </w:tc>
        <w:tc>
          <w:tcPr>
            <w:tcW w:w="1060" w:type="dxa"/>
            <w:vAlign w:val="center"/>
          </w:tcPr>
          <w:p w14:paraId="3455E54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姓名</w:t>
            </w:r>
          </w:p>
        </w:tc>
        <w:tc>
          <w:tcPr>
            <w:tcW w:w="1362" w:type="dxa"/>
            <w:vAlign w:val="center"/>
          </w:tcPr>
          <w:p w14:paraId="391BA031">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Align w:val="center"/>
          </w:tcPr>
          <w:p w14:paraId="544D6C8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技术职称</w:t>
            </w:r>
          </w:p>
        </w:tc>
        <w:tc>
          <w:tcPr>
            <w:tcW w:w="1458" w:type="dxa"/>
            <w:vAlign w:val="center"/>
          </w:tcPr>
          <w:p w14:paraId="06B9A200">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282" w:type="dxa"/>
            <w:gridSpan w:val="2"/>
            <w:vAlign w:val="center"/>
          </w:tcPr>
          <w:p w14:paraId="7581F85A">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电话</w:t>
            </w:r>
          </w:p>
        </w:tc>
        <w:tc>
          <w:tcPr>
            <w:tcW w:w="1192" w:type="dxa"/>
            <w:tcBorders>
              <w:right w:val="single" w:color="auto" w:sz="4" w:space="0"/>
            </w:tcBorders>
            <w:vAlign w:val="center"/>
          </w:tcPr>
          <w:p w14:paraId="3D7F0471">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4DA3EED5">
        <w:tblPrEx>
          <w:tblLayout w:type="fixed"/>
        </w:tblPrEx>
        <w:trPr>
          <w:trHeight w:val="442" w:hRule="atLeast"/>
        </w:trPr>
        <w:tc>
          <w:tcPr>
            <w:tcW w:w="1677" w:type="dxa"/>
            <w:tcBorders>
              <w:left w:val="single" w:color="auto" w:sz="4" w:space="0"/>
            </w:tcBorders>
            <w:vAlign w:val="center"/>
          </w:tcPr>
          <w:p w14:paraId="0298AE2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项目负责人</w:t>
            </w:r>
          </w:p>
        </w:tc>
        <w:tc>
          <w:tcPr>
            <w:tcW w:w="1060" w:type="dxa"/>
            <w:vAlign w:val="center"/>
          </w:tcPr>
          <w:p w14:paraId="59F5C88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姓名</w:t>
            </w:r>
          </w:p>
        </w:tc>
        <w:tc>
          <w:tcPr>
            <w:tcW w:w="1362" w:type="dxa"/>
            <w:vAlign w:val="center"/>
          </w:tcPr>
          <w:p w14:paraId="21DD5AC7">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Align w:val="center"/>
          </w:tcPr>
          <w:p w14:paraId="51DD495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技术职称</w:t>
            </w:r>
          </w:p>
        </w:tc>
        <w:tc>
          <w:tcPr>
            <w:tcW w:w="1458" w:type="dxa"/>
            <w:vAlign w:val="center"/>
          </w:tcPr>
          <w:p w14:paraId="58068C51">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282" w:type="dxa"/>
            <w:gridSpan w:val="2"/>
            <w:vAlign w:val="center"/>
          </w:tcPr>
          <w:p w14:paraId="40E90C96">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电话</w:t>
            </w:r>
          </w:p>
        </w:tc>
        <w:tc>
          <w:tcPr>
            <w:tcW w:w="1192" w:type="dxa"/>
            <w:tcBorders>
              <w:right w:val="single" w:color="auto" w:sz="4" w:space="0"/>
            </w:tcBorders>
            <w:vAlign w:val="center"/>
          </w:tcPr>
          <w:p w14:paraId="3475FB39">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07526094">
        <w:tblPrEx>
          <w:tblLayout w:type="fixed"/>
        </w:tblPrEx>
        <w:trPr>
          <w:cantSplit/>
          <w:trHeight w:val="442" w:hRule="atLeast"/>
        </w:trPr>
        <w:tc>
          <w:tcPr>
            <w:tcW w:w="1677" w:type="dxa"/>
            <w:tcBorders>
              <w:left w:val="single" w:color="auto" w:sz="4" w:space="0"/>
              <w:bottom w:val="single" w:color="auto" w:sz="4" w:space="0"/>
            </w:tcBorders>
            <w:vAlign w:val="center"/>
          </w:tcPr>
          <w:p w14:paraId="1532DBE8">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仿宋"/>
                <w:color w:val="auto"/>
                <w:kern w:val="0"/>
                <w:sz w:val="24"/>
              </w:rPr>
            </w:pPr>
            <w:r>
              <w:rPr>
                <w:rFonts w:hint="eastAsia" w:ascii="宋体" w:hAnsi="宋体" w:cs="仿宋"/>
                <w:color w:val="auto"/>
                <w:kern w:val="0"/>
                <w:sz w:val="24"/>
              </w:rPr>
              <w:t>成立时间</w:t>
            </w:r>
          </w:p>
        </w:tc>
        <w:tc>
          <w:tcPr>
            <w:tcW w:w="2422" w:type="dxa"/>
            <w:gridSpan w:val="2"/>
            <w:tcBorders>
              <w:bottom w:val="single" w:color="auto" w:sz="4" w:space="0"/>
            </w:tcBorders>
            <w:vAlign w:val="center"/>
          </w:tcPr>
          <w:p w14:paraId="37BDF2C6">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5302" w:type="dxa"/>
            <w:gridSpan w:val="5"/>
            <w:tcBorders>
              <w:bottom w:val="single" w:color="auto" w:sz="4" w:space="0"/>
              <w:right w:val="single" w:color="auto" w:sz="4" w:space="0"/>
            </w:tcBorders>
            <w:vAlign w:val="center"/>
          </w:tcPr>
          <w:p w14:paraId="6A3492ED">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仿宋"/>
                <w:color w:val="auto"/>
                <w:kern w:val="0"/>
                <w:sz w:val="24"/>
              </w:rPr>
            </w:pPr>
            <w:r>
              <w:rPr>
                <w:rFonts w:hint="eastAsia" w:ascii="宋体" w:hAnsi="宋体" w:cs="仿宋"/>
                <w:color w:val="auto"/>
                <w:kern w:val="0"/>
                <w:sz w:val="24"/>
              </w:rPr>
              <w:t>从业人员人数：</w:t>
            </w:r>
          </w:p>
        </w:tc>
      </w:tr>
      <w:tr w14:paraId="60FD64E4">
        <w:tblPrEx>
          <w:tblLayout w:type="fixed"/>
        </w:tblPrEx>
        <w:trPr>
          <w:cantSplit/>
          <w:trHeight w:val="442" w:hRule="atLeast"/>
        </w:trPr>
        <w:tc>
          <w:tcPr>
            <w:tcW w:w="1677" w:type="dxa"/>
            <w:tcBorders>
              <w:top w:val="single" w:color="auto" w:sz="4" w:space="0"/>
              <w:left w:val="single" w:color="auto" w:sz="4" w:space="0"/>
            </w:tcBorders>
            <w:vAlign w:val="center"/>
          </w:tcPr>
          <w:p w14:paraId="3DB0A2CF">
            <w:pPr>
              <w:keepNext w:val="0"/>
              <w:keepLines w:val="0"/>
              <w:suppressLineNumbers w:val="0"/>
              <w:topLinePunct/>
              <w:spacing w:before="0" w:beforeAutospacing="0" w:after="0" w:afterAutospacing="0" w:line="440" w:lineRule="exact"/>
              <w:ind w:left="0" w:right="0"/>
              <w:jc w:val="center"/>
              <w:rPr>
                <w:rFonts w:hint="eastAsia" w:ascii="宋体" w:hAnsi="宋体" w:cs="Times New Roman"/>
                <w:color w:val="auto"/>
                <w:sz w:val="24"/>
              </w:rPr>
            </w:pPr>
            <w:r>
              <w:rPr>
                <w:rFonts w:hint="eastAsia" w:ascii="宋体" w:hAnsi="宋体" w:cs="Times New Roman"/>
                <w:color w:val="auto"/>
                <w:sz w:val="24"/>
              </w:rPr>
              <w:t>统一社会信用代码</w:t>
            </w:r>
          </w:p>
        </w:tc>
        <w:tc>
          <w:tcPr>
            <w:tcW w:w="2422" w:type="dxa"/>
            <w:gridSpan w:val="2"/>
            <w:tcBorders>
              <w:top w:val="single" w:color="auto" w:sz="4" w:space="0"/>
            </w:tcBorders>
            <w:vAlign w:val="center"/>
          </w:tcPr>
          <w:p w14:paraId="593E0291">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restart"/>
            <w:tcBorders>
              <w:top w:val="single" w:color="auto" w:sz="4" w:space="0"/>
            </w:tcBorders>
            <w:vAlign w:val="center"/>
          </w:tcPr>
          <w:p w14:paraId="23C77B2D">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tcBorders>
              <w:top w:val="single" w:color="auto" w:sz="4" w:space="0"/>
            </w:tcBorders>
            <w:vAlign w:val="center"/>
          </w:tcPr>
          <w:p w14:paraId="4E7C9F2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高级职称人员</w:t>
            </w:r>
          </w:p>
        </w:tc>
        <w:tc>
          <w:tcPr>
            <w:tcW w:w="2057" w:type="dxa"/>
            <w:gridSpan w:val="2"/>
            <w:tcBorders>
              <w:top w:val="single" w:color="auto" w:sz="4" w:space="0"/>
              <w:right w:val="single" w:color="auto" w:sz="4" w:space="0"/>
            </w:tcBorders>
            <w:vAlign w:val="center"/>
          </w:tcPr>
          <w:p w14:paraId="22D1F50B">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68DF4881">
        <w:tblPrEx>
          <w:tblLayout w:type="fixed"/>
        </w:tblPrEx>
        <w:trPr>
          <w:cantSplit/>
          <w:trHeight w:val="442" w:hRule="atLeast"/>
        </w:trPr>
        <w:tc>
          <w:tcPr>
            <w:tcW w:w="1677" w:type="dxa"/>
            <w:tcBorders>
              <w:left w:val="single" w:color="auto" w:sz="4" w:space="0"/>
            </w:tcBorders>
            <w:vAlign w:val="center"/>
          </w:tcPr>
          <w:p w14:paraId="11234C1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注册资金</w:t>
            </w:r>
          </w:p>
        </w:tc>
        <w:tc>
          <w:tcPr>
            <w:tcW w:w="2422" w:type="dxa"/>
            <w:gridSpan w:val="2"/>
            <w:vAlign w:val="center"/>
          </w:tcPr>
          <w:p w14:paraId="4FDBAFE3">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continue"/>
            <w:vAlign w:val="center"/>
          </w:tcPr>
          <w:p w14:paraId="001A0301">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vAlign w:val="center"/>
          </w:tcPr>
          <w:p w14:paraId="67BDA83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中级职称人员</w:t>
            </w:r>
          </w:p>
        </w:tc>
        <w:tc>
          <w:tcPr>
            <w:tcW w:w="2057" w:type="dxa"/>
            <w:gridSpan w:val="2"/>
            <w:tcBorders>
              <w:right w:val="single" w:color="auto" w:sz="4" w:space="0"/>
            </w:tcBorders>
            <w:vAlign w:val="center"/>
          </w:tcPr>
          <w:p w14:paraId="3877BD4C">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4ED82D4B">
        <w:tblPrEx>
          <w:tblLayout w:type="fixed"/>
        </w:tblPrEx>
        <w:trPr>
          <w:cantSplit/>
          <w:trHeight w:val="462" w:hRule="atLeast"/>
        </w:trPr>
        <w:tc>
          <w:tcPr>
            <w:tcW w:w="1677" w:type="dxa"/>
            <w:tcBorders>
              <w:left w:val="single" w:color="auto" w:sz="4" w:space="0"/>
            </w:tcBorders>
            <w:vAlign w:val="center"/>
          </w:tcPr>
          <w:p w14:paraId="0D4E9E5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开户银行</w:t>
            </w:r>
          </w:p>
        </w:tc>
        <w:tc>
          <w:tcPr>
            <w:tcW w:w="2422" w:type="dxa"/>
            <w:gridSpan w:val="2"/>
            <w:vAlign w:val="center"/>
          </w:tcPr>
          <w:p w14:paraId="62CB451E">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continue"/>
            <w:vAlign w:val="center"/>
          </w:tcPr>
          <w:p w14:paraId="4FDFB1D8">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vAlign w:val="center"/>
          </w:tcPr>
          <w:p w14:paraId="3AB02F6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初级职称人员</w:t>
            </w:r>
          </w:p>
        </w:tc>
        <w:tc>
          <w:tcPr>
            <w:tcW w:w="2057" w:type="dxa"/>
            <w:gridSpan w:val="2"/>
            <w:tcBorders>
              <w:right w:val="single" w:color="auto" w:sz="4" w:space="0"/>
            </w:tcBorders>
            <w:vAlign w:val="center"/>
          </w:tcPr>
          <w:p w14:paraId="5F3C4A23">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45D6B4E5">
        <w:tblPrEx>
          <w:tblLayout w:type="fixed"/>
        </w:tblPrEx>
        <w:trPr>
          <w:cantSplit/>
          <w:trHeight w:val="442" w:hRule="atLeast"/>
        </w:trPr>
        <w:tc>
          <w:tcPr>
            <w:tcW w:w="1677" w:type="dxa"/>
            <w:tcBorders>
              <w:left w:val="single" w:color="auto" w:sz="4" w:space="0"/>
              <w:bottom w:val="single" w:color="auto" w:sz="4" w:space="0"/>
            </w:tcBorders>
            <w:vAlign w:val="center"/>
          </w:tcPr>
          <w:p w14:paraId="1C51970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账号</w:t>
            </w:r>
          </w:p>
        </w:tc>
        <w:tc>
          <w:tcPr>
            <w:tcW w:w="2422" w:type="dxa"/>
            <w:gridSpan w:val="2"/>
            <w:tcBorders>
              <w:bottom w:val="single" w:color="auto" w:sz="4" w:space="0"/>
            </w:tcBorders>
            <w:vAlign w:val="center"/>
          </w:tcPr>
          <w:p w14:paraId="1C4A6139">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370" w:type="dxa"/>
            <w:vMerge w:val="continue"/>
            <w:tcBorders>
              <w:bottom w:val="single" w:color="auto" w:sz="4" w:space="0"/>
            </w:tcBorders>
            <w:vAlign w:val="center"/>
          </w:tcPr>
          <w:p w14:paraId="43698824">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p>
        </w:tc>
        <w:tc>
          <w:tcPr>
            <w:tcW w:w="1875" w:type="dxa"/>
            <w:gridSpan w:val="2"/>
            <w:tcBorders>
              <w:bottom w:val="single" w:color="auto" w:sz="4" w:space="0"/>
            </w:tcBorders>
            <w:vAlign w:val="center"/>
          </w:tcPr>
          <w:p w14:paraId="6900FB9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仿宋"/>
                <w:color w:val="auto"/>
                <w:kern w:val="0"/>
                <w:sz w:val="24"/>
              </w:rPr>
              <w:t>其他</w:t>
            </w:r>
          </w:p>
        </w:tc>
        <w:tc>
          <w:tcPr>
            <w:tcW w:w="2057" w:type="dxa"/>
            <w:gridSpan w:val="2"/>
            <w:tcBorders>
              <w:bottom w:val="single" w:color="auto" w:sz="4" w:space="0"/>
              <w:right w:val="single" w:color="auto" w:sz="4" w:space="0"/>
            </w:tcBorders>
            <w:vAlign w:val="center"/>
          </w:tcPr>
          <w:p w14:paraId="386488AA">
            <w:pPr>
              <w:keepNext w:val="0"/>
              <w:keepLines w:val="0"/>
              <w:suppressLineNumbers w:val="0"/>
              <w:autoSpaceDE w:val="0"/>
              <w:autoSpaceDN w:val="0"/>
              <w:adjustRightInd w:val="0"/>
              <w:spacing w:before="0" w:beforeAutospacing="0" w:after="0" w:afterAutospacing="0" w:line="400" w:lineRule="exact"/>
              <w:ind w:left="0" w:right="0" w:firstLine="482"/>
              <w:jc w:val="center"/>
              <w:rPr>
                <w:rFonts w:hint="eastAsia" w:ascii="宋体" w:hAnsi="宋体" w:cs="仿宋"/>
                <w:b/>
                <w:bCs/>
                <w:color w:val="auto"/>
                <w:kern w:val="0"/>
                <w:sz w:val="24"/>
              </w:rPr>
            </w:pPr>
          </w:p>
        </w:tc>
      </w:tr>
      <w:tr w14:paraId="429BE800">
        <w:tblPrEx>
          <w:tblLayout w:type="fixed"/>
        </w:tblPrEx>
        <w:trPr>
          <w:cantSplit/>
          <w:trHeight w:val="1419" w:hRule="atLeast"/>
        </w:trPr>
        <w:tc>
          <w:tcPr>
            <w:tcW w:w="1677" w:type="dxa"/>
            <w:tcBorders>
              <w:top w:val="single" w:color="auto" w:sz="4" w:space="0"/>
              <w:left w:val="single" w:color="auto" w:sz="4" w:space="0"/>
            </w:tcBorders>
            <w:vAlign w:val="center"/>
          </w:tcPr>
          <w:p w14:paraId="57C6A102">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仿宋"/>
                <w:color w:val="auto"/>
                <w:kern w:val="0"/>
                <w:sz w:val="24"/>
              </w:rPr>
            </w:pPr>
            <w:r>
              <w:rPr>
                <w:rFonts w:hint="eastAsia" w:ascii="宋体" w:hAnsi="宋体" w:cs="Times New Roman"/>
                <w:color w:val="auto"/>
                <w:sz w:val="24"/>
              </w:rPr>
              <w:t>近三年财务简况</w:t>
            </w:r>
          </w:p>
        </w:tc>
        <w:tc>
          <w:tcPr>
            <w:tcW w:w="7724" w:type="dxa"/>
            <w:gridSpan w:val="7"/>
            <w:tcBorders>
              <w:top w:val="single" w:color="auto" w:sz="4" w:space="0"/>
              <w:right w:val="single" w:color="auto" w:sz="4" w:space="0"/>
            </w:tcBorders>
            <w:vAlign w:val="center"/>
          </w:tcPr>
          <w:p w14:paraId="10E6DD20">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年度净资产：资产总额：营业收入：利润：</w:t>
            </w:r>
          </w:p>
          <w:p w14:paraId="6BDC9C1D">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年度净资产：资产总额：营业收入：利润：</w:t>
            </w:r>
          </w:p>
          <w:p w14:paraId="51DD9A72">
            <w:pPr>
              <w:keepNext w:val="0"/>
              <w:keepLines w:val="0"/>
              <w:suppressLineNumbers w:val="0"/>
              <w:autoSpaceDE w:val="0"/>
              <w:autoSpaceDN w:val="0"/>
              <w:adjustRightInd w:val="0"/>
              <w:spacing w:before="0" w:beforeAutospacing="0" w:after="0" w:afterAutospacing="0" w:line="400" w:lineRule="exact"/>
              <w:ind w:left="0" w:right="0"/>
              <w:rPr>
                <w:rFonts w:hint="eastAsia" w:ascii="Times New Roman" w:hAnsi="Times New Roman" w:cs="Times New Roman"/>
                <w:color w:val="auto"/>
              </w:rPr>
            </w:pPr>
            <w:r>
              <w:rPr>
                <w:rFonts w:hint="eastAsia" w:ascii="宋体" w:hAnsi="宋体" w:cs="宋体"/>
                <w:color w:val="auto"/>
                <w:kern w:val="0"/>
                <w:sz w:val="24"/>
                <w:lang w:val="en-US" w:eastAsia="zh-CN"/>
              </w:rPr>
              <w:t xml:space="preserve">     </w:t>
            </w:r>
            <w:r>
              <w:rPr>
                <w:rFonts w:hint="eastAsia" w:ascii="宋体" w:hAnsi="宋体" w:cs="宋体"/>
                <w:color w:val="auto"/>
                <w:kern w:val="0"/>
                <w:sz w:val="24"/>
              </w:rPr>
              <w:t>年度净资产：资产总额：营业收入：利润：</w:t>
            </w:r>
          </w:p>
        </w:tc>
      </w:tr>
      <w:tr w14:paraId="6A475236">
        <w:tblPrEx>
          <w:tblLayout w:type="fixed"/>
        </w:tblPrEx>
        <w:trPr>
          <w:cantSplit/>
          <w:trHeight w:val="1552" w:hRule="atLeast"/>
        </w:trPr>
        <w:tc>
          <w:tcPr>
            <w:tcW w:w="1677" w:type="dxa"/>
            <w:tcBorders>
              <w:top w:val="single" w:color="auto" w:sz="4" w:space="0"/>
              <w:left w:val="single" w:color="auto" w:sz="4" w:space="0"/>
              <w:bottom w:val="single" w:color="auto" w:sz="4" w:space="0"/>
            </w:tcBorders>
            <w:vAlign w:val="center"/>
          </w:tcPr>
          <w:p w14:paraId="656FA8C7">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经营范围</w:t>
            </w:r>
          </w:p>
        </w:tc>
        <w:tc>
          <w:tcPr>
            <w:tcW w:w="7724" w:type="dxa"/>
            <w:gridSpan w:val="7"/>
            <w:tcBorders>
              <w:top w:val="single" w:color="auto" w:sz="4" w:space="0"/>
              <w:bottom w:val="single" w:color="auto" w:sz="4" w:space="0"/>
              <w:right w:val="single" w:color="auto" w:sz="4" w:space="0"/>
            </w:tcBorders>
            <w:vAlign w:val="center"/>
          </w:tcPr>
          <w:p w14:paraId="5C89B2A6">
            <w:pPr>
              <w:keepNext w:val="0"/>
              <w:keepLines w:val="0"/>
              <w:suppressLineNumbers w:val="0"/>
              <w:autoSpaceDE w:val="0"/>
              <w:autoSpaceDN w:val="0"/>
              <w:adjustRightInd w:val="0"/>
              <w:spacing w:before="0" w:beforeAutospacing="0" w:after="0" w:afterAutospacing="0" w:line="400" w:lineRule="exact"/>
              <w:ind w:left="0" w:right="0" w:firstLine="482"/>
              <w:rPr>
                <w:rFonts w:hint="eastAsia" w:ascii="宋体" w:hAnsi="宋体" w:cs="仿宋"/>
                <w:b/>
                <w:bCs/>
                <w:color w:val="auto"/>
                <w:kern w:val="0"/>
                <w:sz w:val="24"/>
              </w:rPr>
            </w:pPr>
          </w:p>
        </w:tc>
      </w:tr>
      <w:tr w14:paraId="7A2AE659">
        <w:tblPrEx>
          <w:tblLayout w:type="fixed"/>
        </w:tblPrEx>
        <w:trPr>
          <w:cantSplit/>
          <w:trHeight w:val="1552" w:hRule="atLeast"/>
        </w:trPr>
        <w:tc>
          <w:tcPr>
            <w:tcW w:w="1677" w:type="dxa"/>
            <w:tcBorders>
              <w:top w:val="single" w:color="auto" w:sz="4" w:space="0"/>
              <w:left w:val="single" w:color="auto" w:sz="4" w:space="0"/>
              <w:bottom w:val="single" w:color="auto" w:sz="4" w:space="0"/>
            </w:tcBorders>
            <w:vAlign w:val="center"/>
          </w:tcPr>
          <w:p w14:paraId="5187FA8F">
            <w:pPr>
              <w:keepNext w:val="0"/>
              <w:keepLines w:val="0"/>
              <w:suppressLineNumbers w:val="0"/>
              <w:autoSpaceDE w:val="0"/>
              <w:autoSpaceDN w:val="0"/>
              <w:adjustRightInd w:val="0"/>
              <w:spacing w:before="0" w:beforeAutospacing="0" w:after="0" w:afterAutospacing="0" w:line="400" w:lineRule="exact"/>
              <w:ind w:left="0" w:right="0" w:firstLine="480"/>
              <w:jc w:val="center"/>
              <w:rPr>
                <w:rFonts w:hint="eastAsia" w:ascii="宋体" w:hAnsi="宋体" w:cs="仿宋"/>
                <w:color w:val="auto"/>
                <w:kern w:val="0"/>
                <w:sz w:val="24"/>
              </w:rPr>
            </w:pPr>
            <w:r>
              <w:rPr>
                <w:rFonts w:hint="eastAsia" w:ascii="宋体" w:hAnsi="宋体" w:cs="仿宋"/>
                <w:color w:val="auto"/>
                <w:kern w:val="0"/>
                <w:sz w:val="24"/>
              </w:rPr>
              <w:t>备注</w:t>
            </w:r>
          </w:p>
        </w:tc>
        <w:tc>
          <w:tcPr>
            <w:tcW w:w="7724" w:type="dxa"/>
            <w:gridSpan w:val="7"/>
            <w:tcBorders>
              <w:top w:val="single" w:color="auto" w:sz="4" w:space="0"/>
              <w:bottom w:val="single" w:color="auto" w:sz="4" w:space="0"/>
              <w:right w:val="single" w:color="auto" w:sz="4" w:space="0"/>
            </w:tcBorders>
            <w:vAlign w:val="center"/>
          </w:tcPr>
          <w:p w14:paraId="36CF6097">
            <w:pPr>
              <w:keepNext w:val="0"/>
              <w:keepLines w:val="0"/>
              <w:suppressLineNumbers w:val="0"/>
              <w:autoSpaceDE w:val="0"/>
              <w:autoSpaceDN w:val="0"/>
              <w:adjustRightInd w:val="0"/>
              <w:spacing w:before="0" w:beforeAutospacing="0" w:after="0" w:afterAutospacing="0" w:line="400" w:lineRule="exact"/>
              <w:ind w:left="0" w:right="0" w:firstLine="482"/>
              <w:rPr>
                <w:rFonts w:hint="eastAsia" w:ascii="宋体" w:hAnsi="宋体" w:cs="仿宋"/>
                <w:b/>
                <w:bCs/>
                <w:color w:val="auto"/>
                <w:kern w:val="0"/>
                <w:sz w:val="24"/>
              </w:rPr>
            </w:pPr>
          </w:p>
        </w:tc>
      </w:tr>
    </w:tbl>
    <w:p w14:paraId="556F0698">
      <w:pPr>
        <w:spacing w:line="360" w:lineRule="auto"/>
        <w:jc w:val="center"/>
        <w:rPr>
          <w:rFonts w:hint="eastAsia" w:ascii="宋体" w:hAnsi="宋体"/>
          <w:b/>
          <w:color w:val="auto"/>
          <w:sz w:val="30"/>
          <w:szCs w:val="30"/>
        </w:rPr>
      </w:pPr>
    </w:p>
    <w:p w14:paraId="621792CF">
      <w:pPr>
        <w:spacing w:line="360" w:lineRule="auto"/>
        <w:rPr>
          <w:rFonts w:hint="eastAsia" w:ascii="宋体" w:hAnsi="宋体"/>
          <w:b/>
          <w:color w:val="auto"/>
          <w:sz w:val="30"/>
          <w:szCs w:val="30"/>
        </w:rPr>
      </w:pPr>
    </w:p>
    <w:p w14:paraId="64A9C363">
      <w:pPr>
        <w:spacing w:line="360" w:lineRule="auto"/>
        <w:jc w:val="center"/>
        <w:outlineLvl w:val="0"/>
        <w:rPr>
          <w:rFonts w:hint="eastAsia" w:ascii="宋体" w:hAnsi="宋体" w:eastAsia="宋体" w:cs="宋体"/>
          <w:b/>
          <w:color w:val="auto"/>
          <w:sz w:val="24"/>
          <w:szCs w:val="24"/>
          <w:highlight w:val="none"/>
        </w:rPr>
      </w:pPr>
      <w:r>
        <w:rPr>
          <w:rFonts w:hint="eastAsia" w:ascii="宋体" w:hAnsi="宋体"/>
          <w:b/>
          <w:color w:val="auto"/>
          <w:sz w:val="30"/>
          <w:szCs w:val="30"/>
        </w:rPr>
        <w:br w:type="page"/>
      </w:r>
      <w:r>
        <w:rPr>
          <w:rFonts w:hint="eastAsia" w:ascii="宋体" w:hAnsi="宋体"/>
          <w:b/>
          <w:color w:val="auto"/>
          <w:sz w:val="30"/>
          <w:szCs w:val="30"/>
        </w:rPr>
        <w:t>附表八：</w:t>
      </w:r>
      <w:r>
        <w:rPr>
          <w:rFonts w:hint="eastAsia" w:ascii="宋体" w:hAnsi="宋体" w:eastAsia="宋体" w:cs="宋体"/>
          <w:b/>
          <w:color w:val="auto"/>
          <w:sz w:val="24"/>
          <w:szCs w:val="24"/>
          <w:highlight w:val="none"/>
        </w:rPr>
        <w:t>资格证明文件</w:t>
      </w:r>
    </w:p>
    <w:p w14:paraId="4DBB2DFE">
      <w:pPr>
        <w:tabs>
          <w:tab w:val="left" w:pos="8640"/>
        </w:tabs>
        <w:spacing w:line="360" w:lineRule="auto"/>
        <w:ind w:right="281" w:rightChars="134" w:firstLine="480"/>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-1法人或者其他组织的</w:t>
      </w:r>
      <w:r>
        <w:rPr>
          <w:rFonts w:hint="eastAsia" w:ascii="宋体" w:hAnsi="宋体" w:eastAsia="宋体" w:cs="宋体"/>
          <w:b/>
          <w:color w:val="auto"/>
          <w:sz w:val="24"/>
          <w:szCs w:val="24"/>
          <w:highlight w:val="none"/>
          <w:lang w:eastAsia="zh-CN"/>
        </w:rPr>
        <w:t>有效的</w:t>
      </w:r>
      <w:r>
        <w:rPr>
          <w:rFonts w:hint="eastAsia" w:ascii="宋体" w:hAnsi="宋体" w:eastAsia="宋体" w:cs="宋体"/>
          <w:b/>
          <w:color w:val="auto"/>
          <w:sz w:val="24"/>
          <w:szCs w:val="24"/>
          <w:highlight w:val="none"/>
        </w:rPr>
        <w:t>营业执照等证明文件；自然人需提供身份证明</w:t>
      </w:r>
    </w:p>
    <w:p w14:paraId="2EC62F7A">
      <w:pPr>
        <w:pStyle w:val="42"/>
        <w:rPr>
          <w:rFonts w:hint="eastAsia" w:ascii="宋体" w:hAnsi="宋体" w:eastAsia="宋体" w:cs="宋体"/>
          <w:b/>
          <w:color w:val="auto"/>
          <w:sz w:val="24"/>
          <w:szCs w:val="24"/>
          <w:highlight w:val="none"/>
        </w:rPr>
      </w:pPr>
    </w:p>
    <w:p w14:paraId="25CC72A6">
      <w:pPr>
        <w:pStyle w:val="42"/>
        <w:rPr>
          <w:rFonts w:hint="eastAsia" w:ascii="宋体" w:hAnsi="宋体" w:eastAsia="宋体" w:cs="宋体"/>
          <w:color w:val="auto"/>
          <w:sz w:val="24"/>
          <w:szCs w:val="24"/>
          <w:highlight w:val="none"/>
        </w:rPr>
      </w:pPr>
    </w:p>
    <w:p w14:paraId="709858A1">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2提供会计师事务所出具的2024年度</w:t>
      </w:r>
      <w:r>
        <w:rPr>
          <w:rFonts w:hint="eastAsia" w:ascii="宋体" w:hAnsi="宋体" w:cs="宋体"/>
          <w:b/>
          <w:color w:val="auto"/>
          <w:sz w:val="24"/>
          <w:szCs w:val="24"/>
          <w:highlight w:val="none"/>
          <w:lang w:val="en-US" w:eastAsia="zh-CN"/>
        </w:rPr>
        <w:t>或2025年度</w:t>
      </w:r>
      <w:r>
        <w:rPr>
          <w:rFonts w:hint="eastAsia" w:ascii="宋体" w:hAnsi="宋体" w:eastAsia="宋体" w:cs="宋体"/>
          <w:b/>
          <w:color w:val="auto"/>
          <w:sz w:val="24"/>
          <w:szCs w:val="24"/>
          <w:highlight w:val="none"/>
          <w:lang w:val="en-US" w:eastAsia="zh-CN"/>
        </w:rPr>
        <w:t>财务审计报告复印件或银行在开标日前六个月内任意一个月的开具的资信证明。新成立企业仅需提供财务报表及财务制度（财务报表应至少包括资产负债表、利润表、现金流量表）（新成立企业：营业执照申领时间至今未满一年的企业）】。；</w:t>
      </w:r>
    </w:p>
    <w:p w14:paraId="35844D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说明：1）财务审计报告必须是经会计师事务所出具的完整的财务审计报告。</w:t>
      </w:r>
    </w:p>
    <w:p w14:paraId="6CA4D71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2）银行资信证明应能说明该投标人与银行之间业务往来正常，企业信誉良好等。</w:t>
      </w:r>
    </w:p>
    <w:p w14:paraId="6510DC7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银行出具的存款证明不能替代银行资信证明，存款证明无效。</w:t>
      </w:r>
    </w:p>
    <w:p w14:paraId="43A0916F">
      <w:pPr>
        <w:numPr>
          <w:ilvl w:val="0"/>
          <w:numId w:val="33"/>
        </w:numPr>
        <w:spacing w:line="360" w:lineRule="auto"/>
        <w:ind w:left="720" w:leftChars="0" w:firstLine="0" w:firstLineChars="0"/>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银行资信证明可提供原件（附在投标文件正本中），也可提供银行在开标日前</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个月内开具资信证明的复印件。若提供的是复印件，招标采购单位保留审核原件的权利。</w:t>
      </w:r>
    </w:p>
    <w:p w14:paraId="3129432E">
      <w:pPr>
        <w:pStyle w:val="32"/>
        <w:rPr>
          <w:rFonts w:hint="eastAsia"/>
          <w:color w:val="auto"/>
          <w:highlight w:val="none"/>
        </w:rPr>
      </w:pPr>
    </w:p>
    <w:p w14:paraId="62A8C84C">
      <w:pPr>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具备履行合同所必需的设备和专业技术能力</w:t>
      </w:r>
      <w:r>
        <w:rPr>
          <w:rFonts w:hint="eastAsia" w:ascii="宋体" w:hAnsi="宋体" w:eastAsia="宋体" w:cs="宋体"/>
          <w:b/>
          <w:color w:val="auto"/>
          <w:sz w:val="24"/>
          <w:szCs w:val="24"/>
          <w:highlight w:val="none"/>
          <w:lang w:eastAsia="zh-CN"/>
        </w:rPr>
        <w:t>承诺（格式自拟）</w:t>
      </w:r>
    </w:p>
    <w:p w14:paraId="4ADA632E">
      <w:pPr>
        <w:spacing w:line="360" w:lineRule="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有依法缴纳税收和社会保障资金的良好记录</w:t>
      </w:r>
    </w:p>
    <w:p w14:paraId="123403D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投标人应提供开标</w:t>
      </w:r>
      <w:r>
        <w:rPr>
          <w:rFonts w:hint="eastAsia" w:ascii="宋体" w:hAnsi="宋体" w:eastAsia="宋体" w:cs="宋体"/>
          <w:color w:val="auto"/>
          <w:sz w:val="24"/>
          <w:szCs w:val="24"/>
          <w:highlight w:val="none"/>
          <w:lang w:eastAsia="zh-CN"/>
        </w:rPr>
        <w:t>日前六个月</w:t>
      </w:r>
      <w:r>
        <w:rPr>
          <w:rFonts w:hint="eastAsia" w:ascii="宋体" w:hAnsi="宋体" w:cs="仿宋"/>
          <w:color w:val="auto"/>
          <w:spacing w:val="-2"/>
          <w:sz w:val="24"/>
          <w:highlight w:val="none"/>
          <w:lang w:eastAsia="zh-CN"/>
        </w:rPr>
        <w:t>任意一</w:t>
      </w:r>
      <w:r>
        <w:rPr>
          <w:rFonts w:hint="eastAsia" w:ascii="宋体" w:hAnsi="宋体" w:cs="仿宋"/>
          <w:color w:val="auto"/>
          <w:spacing w:val="-2"/>
          <w:sz w:val="24"/>
          <w:highlight w:val="none"/>
        </w:rPr>
        <w:t>个</w:t>
      </w:r>
      <w:r>
        <w:rPr>
          <w:rFonts w:hint="eastAsia" w:ascii="宋体" w:hAnsi="宋体" w:eastAsia="宋体" w:cs="宋体"/>
          <w:color w:val="auto"/>
          <w:sz w:val="24"/>
          <w:szCs w:val="24"/>
          <w:highlight w:val="none"/>
        </w:rPr>
        <w:t>月的缴纳社会保障资金的有效票据凭证；若投标人逐年交纳社会保障资金的，须提供参加本次政府采购活动上年度缴纳社会保障资金的有效票据凭证复印件。（须加盖投标人公章）</w:t>
      </w:r>
    </w:p>
    <w:p w14:paraId="73B1474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注：依法不需要缴纳社会保障资金的投标人，须提供相应文件证明其依法不需要缴纳社会保障资金。</w:t>
      </w:r>
      <w:r>
        <w:rPr>
          <w:rFonts w:hint="eastAsia" w:ascii="宋体" w:hAnsi="宋体" w:eastAsia="宋体" w:cs="宋体"/>
          <w:color w:val="auto"/>
          <w:sz w:val="24"/>
          <w:szCs w:val="24"/>
          <w:highlight w:val="none"/>
          <w:lang w:eastAsia="zh-CN"/>
        </w:rPr>
        <w:t>不足一年的新公司从成立月份起算。</w:t>
      </w:r>
    </w:p>
    <w:p w14:paraId="04CB313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投标人应提供开标</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前</w:t>
      </w:r>
      <w:r>
        <w:rPr>
          <w:rFonts w:hint="eastAsia" w:ascii="宋体" w:hAnsi="宋体" w:eastAsia="宋体" w:cs="宋体"/>
          <w:color w:val="auto"/>
          <w:sz w:val="24"/>
          <w:szCs w:val="24"/>
          <w:highlight w:val="none"/>
          <w:lang w:eastAsia="zh-CN"/>
        </w:rPr>
        <w:t>六个月</w:t>
      </w:r>
      <w:r>
        <w:rPr>
          <w:rFonts w:hint="eastAsia" w:ascii="宋体" w:hAnsi="宋体" w:cs="仿宋"/>
          <w:color w:val="auto"/>
          <w:spacing w:val="-2"/>
          <w:sz w:val="24"/>
          <w:highlight w:val="none"/>
          <w:lang w:eastAsia="zh-CN"/>
        </w:rPr>
        <w:t>任意一</w:t>
      </w:r>
      <w:r>
        <w:rPr>
          <w:rFonts w:hint="eastAsia" w:ascii="宋体" w:hAnsi="宋体" w:cs="仿宋"/>
          <w:color w:val="auto"/>
          <w:spacing w:val="-2"/>
          <w:sz w:val="24"/>
          <w:highlight w:val="none"/>
        </w:rPr>
        <w:t>个</w:t>
      </w:r>
      <w:r>
        <w:rPr>
          <w:rFonts w:hint="eastAsia" w:ascii="宋体" w:hAnsi="宋体" w:eastAsia="宋体" w:cs="宋体"/>
          <w:color w:val="auto"/>
          <w:sz w:val="24"/>
          <w:szCs w:val="24"/>
          <w:highlight w:val="none"/>
        </w:rPr>
        <w:t>个月依法纳税证明（银行缴费凭证或税务机关开具的证明）复印件（须加盖投标人公章）</w:t>
      </w:r>
    </w:p>
    <w:p w14:paraId="6DA53501">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注：依法免税或零报税的投标人，须提供相应文件证明其依法免税证明文件或纳税申报表复印件。</w:t>
      </w:r>
      <w:r>
        <w:rPr>
          <w:rFonts w:hint="eastAsia" w:ascii="宋体" w:hAnsi="宋体" w:eastAsia="宋体" w:cs="宋体"/>
          <w:color w:val="auto"/>
          <w:sz w:val="24"/>
          <w:szCs w:val="24"/>
          <w:highlight w:val="none"/>
          <w:lang w:eastAsia="zh-CN"/>
        </w:rPr>
        <w:t>不足一年的新公司从成立年份起算。</w:t>
      </w:r>
    </w:p>
    <w:p w14:paraId="0633CF73">
      <w:pPr>
        <w:pStyle w:val="479"/>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8</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声明函</w:t>
      </w:r>
    </w:p>
    <w:p w14:paraId="7A8D40B8">
      <w:pPr>
        <w:pStyle w:val="479"/>
        <w:ind w:firstLine="480"/>
        <w:rPr>
          <w:rFonts w:hint="eastAsia" w:ascii="宋体" w:hAnsi="宋体" w:eastAsia="宋体" w:cs="宋体"/>
          <w:color w:val="auto"/>
          <w:sz w:val="24"/>
          <w:szCs w:val="24"/>
          <w:highlight w:val="none"/>
          <w:lang w:eastAsia="zh-CN"/>
        </w:rPr>
      </w:pPr>
    </w:p>
    <w:p w14:paraId="495BE8CC">
      <w:pPr>
        <w:pStyle w:val="479"/>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（采购人名称）</w:t>
      </w:r>
      <w:r>
        <w:rPr>
          <w:rFonts w:hint="eastAsia" w:ascii="宋体" w:hAnsi="宋体" w:eastAsia="宋体" w:cs="宋体"/>
          <w:b/>
          <w:bCs/>
          <w:color w:val="auto"/>
          <w:sz w:val="24"/>
          <w:szCs w:val="24"/>
          <w:highlight w:val="none"/>
        </w:rPr>
        <w:t>：</w:t>
      </w:r>
    </w:p>
    <w:p w14:paraId="2496EA62">
      <w:pPr>
        <w:pStyle w:val="479"/>
        <w:spacing w:line="360" w:lineRule="auto"/>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在参加本次项目投标中，我单位承诺：</w:t>
      </w:r>
    </w:p>
    <w:p w14:paraId="67944EB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14:paraId="3462ABED">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2、与我单位存在“单位负责人为同一人或者存在直接控股、管理关系”的其他法人单位信息如下（如有须填写，如没有须填“/”）：</w:t>
      </w:r>
    </w:p>
    <w:tbl>
      <w:tblPr>
        <w:tblStyle w:val="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14:paraId="5FEBC225">
        <w:tblPrEx>
          <w:tblLayout w:type="fixed"/>
        </w:tblPrEx>
        <w:tc>
          <w:tcPr>
            <w:tcW w:w="959" w:type="dxa"/>
            <w:vAlign w:val="top"/>
          </w:tcPr>
          <w:p w14:paraId="3D80945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6" w:type="dxa"/>
            <w:vAlign w:val="top"/>
          </w:tcPr>
          <w:p w14:paraId="337DAE1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p>
        </w:tc>
        <w:tc>
          <w:tcPr>
            <w:tcW w:w="3402" w:type="dxa"/>
            <w:vAlign w:val="top"/>
          </w:tcPr>
          <w:p w14:paraId="45E6F7A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相互关系</w:t>
            </w:r>
          </w:p>
        </w:tc>
      </w:tr>
      <w:tr w14:paraId="29F142BC">
        <w:tblPrEx>
          <w:tblLayout w:type="fixed"/>
        </w:tblPrEx>
        <w:tc>
          <w:tcPr>
            <w:tcW w:w="959" w:type="dxa"/>
            <w:vAlign w:val="top"/>
          </w:tcPr>
          <w:p w14:paraId="020483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86" w:type="dxa"/>
            <w:vAlign w:val="top"/>
          </w:tcPr>
          <w:p w14:paraId="442959D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3402" w:type="dxa"/>
            <w:vAlign w:val="top"/>
          </w:tcPr>
          <w:p w14:paraId="0885E665">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14:paraId="22FE2496">
        <w:tblPrEx>
          <w:tblLayout w:type="fixed"/>
        </w:tblPrEx>
        <w:tc>
          <w:tcPr>
            <w:tcW w:w="959" w:type="dxa"/>
            <w:vAlign w:val="top"/>
          </w:tcPr>
          <w:p w14:paraId="642F199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86" w:type="dxa"/>
            <w:vAlign w:val="top"/>
          </w:tcPr>
          <w:p w14:paraId="6BBBFC5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3402" w:type="dxa"/>
            <w:vAlign w:val="top"/>
          </w:tcPr>
          <w:p w14:paraId="59DB10F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14:paraId="62CC7540">
        <w:tblPrEx>
          <w:tblLayout w:type="fixed"/>
        </w:tblPrEx>
        <w:tc>
          <w:tcPr>
            <w:tcW w:w="959" w:type="dxa"/>
            <w:vAlign w:val="top"/>
          </w:tcPr>
          <w:p w14:paraId="56D8DE2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386" w:type="dxa"/>
            <w:vAlign w:val="top"/>
          </w:tcPr>
          <w:p w14:paraId="2145558F">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3402" w:type="dxa"/>
            <w:vAlign w:val="top"/>
          </w:tcPr>
          <w:p w14:paraId="6C772C8B">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bl>
    <w:p w14:paraId="0E4D3D39">
      <w:pPr>
        <w:numPr>
          <w:ilvl w:val="0"/>
          <w:numId w:val="0"/>
        </w:numPr>
        <w:spacing w:line="360" w:lineRule="auto"/>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3、我单位不是</w:t>
      </w:r>
      <w:r>
        <w:rPr>
          <w:rFonts w:hint="eastAsia" w:ascii="宋体" w:hAnsi="宋体" w:eastAsia="宋体" w:cs="宋体"/>
          <w:color w:val="auto"/>
          <w:sz w:val="24"/>
          <w:szCs w:val="24"/>
          <w:highlight w:val="none"/>
        </w:rPr>
        <w:t>为采购项目提供整体设计、规范编制或者项目管理、监理、检测等服务的</w:t>
      </w:r>
      <w:r>
        <w:rPr>
          <w:rFonts w:hint="eastAsia" w:ascii="宋体" w:hAnsi="宋体" w:eastAsia="宋体" w:cs="宋体"/>
          <w:color w:val="auto"/>
          <w:sz w:val="24"/>
          <w:szCs w:val="24"/>
          <w:highlight w:val="none"/>
          <w:lang w:eastAsia="zh-CN"/>
        </w:rPr>
        <w:t>投标人。</w:t>
      </w:r>
    </w:p>
    <w:p w14:paraId="42F4CC8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若采购人或采购代理机构在本项目采购过程中发现我单位存在违反上述承诺的事项，我单位将自动失去本项目的成交资格，并承担因此引起的一切后果及虚假投标责任。</w:t>
      </w:r>
    </w:p>
    <w:p w14:paraId="6AF1E718">
      <w:pPr>
        <w:pStyle w:val="41"/>
        <w:rPr>
          <w:rFonts w:hint="eastAsia" w:ascii="宋体" w:hAnsi="宋体" w:eastAsia="宋体" w:cs="宋体"/>
          <w:color w:val="auto"/>
          <w:sz w:val="24"/>
          <w:szCs w:val="24"/>
          <w:highlight w:val="none"/>
        </w:rPr>
      </w:pPr>
    </w:p>
    <w:p w14:paraId="33BD7104">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投标人：（加盖公章）</w:t>
      </w:r>
    </w:p>
    <w:p w14:paraId="39EADF8E">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授权代表人(签字)：</w:t>
      </w:r>
    </w:p>
    <w:p w14:paraId="2A2823F5">
      <w:pPr>
        <w:spacing w:line="360" w:lineRule="auto"/>
        <w:ind w:firstLine="480"/>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日期：年月日</w:t>
      </w:r>
    </w:p>
    <w:p w14:paraId="47307887">
      <w:pPr>
        <w:pStyle w:val="32"/>
        <w:rPr>
          <w:rFonts w:hint="eastAsia"/>
          <w:color w:val="auto"/>
          <w:highlight w:val="none"/>
        </w:rPr>
      </w:pPr>
    </w:p>
    <w:p w14:paraId="1D4C5FCA">
      <w:pPr>
        <w:pStyle w:val="42"/>
        <w:rPr>
          <w:rFonts w:hint="eastAsia" w:ascii="宋体" w:hAnsi="宋体" w:eastAsia="宋体" w:cs="宋体"/>
          <w:b/>
          <w:color w:val="auto"/>
          <w:sz w:val="24"/>
          <w:szCs w:val="24"/>
          <w:highlight w:val="none"/>
          <w:lang w:val="en-US" w:eastAsia="zh-CN" w:bidi="ar-SA"/>
        </w:rPr>
      </w:pPr>
    </w:p>
    <w:p w14:paraId="393E78EE">
      <w:pPr>
        <w:pStyle w:val="47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bidi="ar-SA"/>
        </w:rPr>
        <w:br w:type="page"/>
      </w:r>
      <w:r>
        <w:rPr>
          <w:rFonts w:hint="eastAsia" w:ascii="宋体" w:hAnsi="宋体" w:eastAsia="宋体" w:cs="宋体"/>
          <w:b/>
          <w:color w:val="auto"/>
          <w:sz w:val="24"/>
          <w:szCs w:val="24"/>
          <w:highlight w:val="none"/>
          <w:lang w:val="en-US" w:eastAsia="zh-CN" w:bidi="ar-SA"/>
        </w:rPr>
        <w:t>附件8-6信用信息查询</w:t>
      </w:r>
      <w:r>
        <w:rPr>
          <w:rFonts w:hint="eastAsia" w:ascii="宋体" w:hAnsi="宋体" w:eastAsia="宋体" w:cs="宋体"/>
          <w:color w:val="auto"/>
          <w:kern w:val="2"/>
          <w:sz w:val="24"/>
          <w:szCs w:val="24"/>
          <w:highlight w:val="none"/>
          <w:lang w:val="en-US" w:eastAsia="zh-CN" w:bidi="ar-SA"/>
        </w:rPr>
        <w:t>投标未在“信用中国网站（www.creditchina.gov.cn）中列入失信被执行人和重大税收违法失信主体的投标人，未在为中国政府采购网（www.ccgp.gov.cn）政府采购严重违法失信行为记录名单中被财政部门禁止参加政府采购活动的投标人</w:t>
      </w:r>
    </w:p>
    <w:p w14:paraId="6FFBD4BE">
      <w:pPr>
        <w:pStyle w:val="479"/>
        <w:rPr>
          <w:rFonts w:hint="eastAsia" w:ascii="宋体" w:hAnsi="宋体" w:eastAsia="宋体" w:cs="宋体"/>
          <w:b/>
          <w:color w:val="auto"/>
          <w:sz w:val="24"/>
          <w:szCs w:val="24"/>
          <w:highlight w:val="none"/>
          <w:lang w:val="en-US" w:eastAsia="zh-CN" w:bidi="ar-SA"/>
        </w:rPr>
      </w:pPr>
    </w:p>
    <w:p w14:paraId="7BF62768">
      <w:pPr>
        <w:pStyle w:val="479"/>
        <w:rPr>
          <w:rFonts w:hint="eastAsia" w:ascii="宋体" w:hAnsi="宋体" w:eastAsia="宋体"/>
          <w:color w:val="auto"/>
          <w:lang w:eastAsia="zh-CN"/>
        </w:rPr>
      </w:pPr>
      <w:r>
        <w:rPr>
          <w:rFonts w:hint="eastAsia" w:ascii="宋体"/>
          <w:b/>
          <w:color w:val="auto"/>
          <w:sz w:val="30"/>
          <w:szCs w:val="30"/>
        </w:rPr>
        <w:br w:type="page"/>
      </w:r>
      <w:r>
        <w:rPr>
          <w:rFonts w:hint="eastAsia" w:ascii="宋体"/>
          <w:b/>
          <w:color w:val="auto"/>
          <w:sz w:val="30"/>
          <w:szCs w:val="30"/>
        </w:rPr>
        <w:t>附件九：</w:t>
      </w:r>
    </w:p>
    <w:p w14:paraId="4E7BA46C">
      <w:pPr>
        <w:pStyle w:val="41"/>
        <w:ind w:left="0" w:leftChars="0" w:firstLine="0" w:firstLineChars="0"/>
        <w:rPr>
          <w:rFonts w:hint="eastAsia"/>
          <w:color w:val="auto"/>
        </w:rPr>
      </w:pPr>
    </w:p>
    <w:p w14:paraId="1E53F733">
      <w:pPr>
        <w:spacing w:line="500" w:lineRule="exact"/>
        <w:jc w:val="center"/>
        <w:rPr>
          <w:rFonts w:ascii="宋体" w:hAnsi="宋体"/>
          <w:b/>
          <w:color w:val="auto"/>
          <w:sz w:val="30"/>
          <w:szCs w:val="30"/>
        </w:rPr>
      </w:pPr>
      <w:r>
        <w:rPr>
          <w:rFonts w:hint="eastAsia" w:ascii="宋体" w:hAnsi="宋体"/>
          <w:b/>
          <w:color w:val="auto"/>
          <w:sz w:val="30"/>
          <w:szCs w:val="30"/>
        </w:rPr>
        <w:t>拟派项目负责人情况表</w:t>
      </w:r>
    </w:p>
    <w:tbl>
      <w:tblPr>
        <w:tblStyle w:val="97"/>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1177"/>
        <w:gridCol w:w="1076"/>
        <w:gridCol w:w="1196"/>
        <w:gridCol w:w="2659"/>
        <w:gridCol w:w="2590"/>
      </w:tblGrid>
      <w:tr w14:paraId="7600E02E">
        <w:tblPrEx>
          <w:tblLayout w:type="fixed"/>
        </w:tblPrEx>
        <w:trPr>
          <w:trHeight w:val="1046" w:hRule="atLeast"/>
          <w:jc w:val="center"/>
        </w:trPr>
        <w:tc>
          <w:tcPr>
            <w:tcW w:w="1332" w:type="dxa"/>
            <w:vAlign w:val="center"/>
          </w:tcPr>
          <w:p w14:paraId="77763C86">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姓名</w:t>
            </w:r>
          </w:p>
        </w:tc>
        <w:tc>
          <w:tcPr>
            <w:tcW w:w="1177" w:type="dxa"/>
            <w:vAlign w:val="center"/>
          </w:tcPr>
          <w:p w14:paraId="6A1FBEA3">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1076" w:type="dxa"/>
            <w:vAlign w:val="center"/>
          </w:tcPr>
          <w:p w14:paraId="06B70B15">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年龄</w:t>
            </w:r>
          </w:p>
        </w:tc>
        <w:tc>
          <w:tcPr>
            <w:tcW w:w="1196" w:type="dxa"/>
            <w:vAlign w:val="center"/>
          </w:tcPr>
          <w:p w14:paraId="025E74AC">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2659" w:type="dxa"/>
            <w:vAlign w:val="center"/>
          </w:tcPr>
          <w:p w14:paraId="0754B92E">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身份证号码</w:t>
            </w:r>
          </w:p>
        </w:tc>
        <w:tc>
          <w:tcPr>
            <w:tcW w:w="2590" w:type="dxa"/>
            <w:vAlign w:val="center"/>
          </w:tcPr>
          <w:p w14:paraId="5A568444">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r>
      <w:tr w14:paraId="33531F31">
        <w:tblPrEx>
          <w:tblLayout w:type="fixed"/>
        </w:tblPrEx>
        <w:trPr>
          <w:trHeight w:val="924" w:hRule="atLeast"/>
          <w:jc w:val="center"/>
        </w:trPr>
        <w:tc>
          <w:tcPr>
            <w:tcW w:w="1332" w:type="dxa"/>
            <w:vAlign w:val="center"/>
          </w:tcPr>
          <w:p w14:paraId="02538A44">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r>
              <w:rPr>
                <w:rFonts w:hint="eastAsia" w:ascii="宋体" w:hAnsi="宋体" w:cs="宋体"/>
                <w:color w:val="auto"/>
                <w:sz w:val="24"/>
              </w:rPr>
              <w:t>职称</w:t>
            </w:r>
          </w:p>
        </w:tc>
        <w:tc>
          <w:tcPr>
            <w:tcW w:w="1177" w:type="dxa"/>
            <w:vAlign w:val="center"/>
          </w:tcPr>
          <w:p w14:paraId="45F62312">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1076" w:type="dxa"/>
            <w:vAlign w:val="center"/>
          </w:tcPr>
          <w:p w14:paraId="598FAF98">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职务</w:t>
            </w:r>
          </w:p>
        </w:tc>
        <w:tc>
          <w:tcPr>
            <w:tcW w:w="1196" w:type="dxa"/>
            <w:vAlign w:val="center"/>
          </w:tcPr>
          <w:p w14:paraId="2ADCE0E1">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2659" w:type="dxa"/>
            <w:vAlign w:val="center"/>
          </w:tcPr>
          <w:p w14:paraId="0E8F20FF">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联系电话</w:t>
            </w:r>
          </w:p>
        </w:tc>
        <w:tc>
          <w:tcPr>
            <w:tcW w:w="2590" w:type="dxa"/>
            <w:vAlign w:val="center"/>
          </w:tcPr>
          <w:p w14:paraId="602EF1F3">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r>
      <w:tr w14:paraId="76F1ADDD">
        <w:tblPrEx>
          <w:tblLayout w:type="fixed"/>
        </w:tblPrEx>
        <w:trPr>
          <w:trHeight w:val="1375" w:hRule="atLeast"/>
          <w:jc w:val="center"/>
        </w:trPr>
        <w:tc>
          <w:tcPr>
            <w:tcW w:w="1332" w:type="dxa"/>
            <w:vAlign w:val="center"/>
          </w:tcPr>
          <w:p w14:paraId="691FD1B4">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现所在机构或部门</w:t>
            </w:r>
          </w:p>
        </w:tc>
        <w:tc>
          <w:tcPr>
            <w:tcW w:w="3449" w:type="dxa"/>
            <w:gridSpan w:val="3"/>
            <w:vAlign w:val="center"/>
          </w:tcPr>
          <w:p w14:paraId="1923B479">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c>
          <w:tcPr>
            <w:tcW w:w="2659" w:type="dxa"/>
            <w:vAlign w:val="center"/>
          </w:tcPr>
          <w:p w14:paraId="67D21CB8">
            <w:pPr>
              <w:keepNext w:val="0"/>
              <w:keepLines w:val="0"/>
              <w:suppressLineNumbers w:val="0"/>
              <w:spacing w:before="100" w:beforeAutospacing="1" w:after="100" w:afterAutospacing="1" w:line="440" w:lineRule="exact"/>
              <w:ind w:left="0" w:right="0"/>
              <w:jc w:val="center"/>
              <w:rPr>
                <w:rFonts w:hint="eastAsia" w:ascii="宋体" w:hAnsi="宋体" w:cs="宋体"/>
                <w:color w:val="auto"/>
                <w:sz w:val="24"/>
              </w:rPr>
            </w:pPr>
            <w:r>
              <w:rPr>
                <w:rFonts w:hint="eastAsia" w:ascii="宋体" w:hAnsi="宋体" w:cs="宋体"/>
                <w:color w:val="auto"/>
                <w:sz w:val="24"/>
              </w:rPr>
              <w:t>相关工作年限</w:t>
            </w:r>
          </w:p>
        </w:tc>
        <w:tc>
          <w:tcPr>
            <w:tcW w:w="2590" w:type="dxa"/>
            <w:vAlign w:val="center"/>
          </w:tcPr>
          <w:p w14:paraId="250F1BCF">
            <w:pPr>
              <w:keepNext w:val="0"/>
              <w:keepLines w:val="0"/>
              <w:suppressLineNumbers w:val="0"/>
              <w:spacing w:before="0" w:beforeAutospacing="0" w:after="0" w:afterAutospacing="0" w:line="440" w:lineRule="exact"/>
              <w:ind w:left="0" w:right="0"/>
              <w:jc w:val="center"/>
              <w:rPr>
                <w:rFonts w:hint="eastAsia" w:ascii="宋体" w:hAnsi="宋体" w:cs="宋体"/>
                <w:color w:val="auto"/>
                <w:sz w:val="24"/>
              </w:rPr>
            </w:pPr>
          </w:p>
        </w:tc>
      </w:tr>
    </w:tbl>
    <w:p w14:paraId="598DBEA3">
      <w:pPr>
        <w:spacing w:line="360" w:lineRule="auto"/>
        <w:rPr>
          <w:rFonts w:hint="eastAsia" w:ascii="宋体" w:hAnsi="宋体" w:cs="宋体"/>
          <w:b/>
          <w:color w:val="auto"/>
          <w:sz w:val="24"/>
        </w:rPr>
      </w:pPr>
    </w:p>
    <w:p w14:paraId="1325CB9B">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bCs/>
          <w:color w:val="auto"/>
          <w:sz w:val="24"/>
        </w:rPr>
        <w:t>投标人名称（盖章）：</w:t>
      </w:r>
    </w:p>
    <w:p w14:paraId="7B325CA1">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color w:val="auto"/>
          <w:sz w:val="24"/>
        </w:rPr>
        <w:t>授权代表人（签字）</w:t>
      </w:r>
      <w:r>
        <w:rPr>
          <w:rFonts w:hint="eastAsia" w:ascii="宋体" w:hAnsi="宋体" w:cs="宋体"/>
          <w:bCs/>
          <w:color w:val="auto"/>
          <w:sz w:val="24"/>
        </w:rPr>
        <w:t>：</w:t>
      </w:r>
    </w:p>
    <w:p w14:paraId="726512CA">
      <w:pPr>
        <w:spacing w:line="360" w:lineRule="auto"/>
        <w:ind w:firstLine="480" w:firstLineChars="200"/>
        <w:outlineLvl w:val="1"/>
        <w:rPr>
          <w:rFonts w:hint="eastAsia" w:ascii="宋体" w:hAnsi="宋体" w:cs="宋体"/>
          <w:b/>
          <w:color w:val="auto"/>
          <w:sz w:val="24"/>
        </w:rPr>
      </w:pPr>
      <w:r>
        <w:rPr>
          <w:rFonts w:hint="eastAsia" w:ascii="宋体" w:hAnsi="宋体" w:cs="宋体"/>
          <w:bCs/>
          <w:color w:val="auto"/>
          <w:sz w:val="24"/>
        </w:rPr>
        <w:t>日期:年月日</w:t>
      </w:r>
    </w:p>
    <w:p w14:paraId="19E79547">
      <w:pPr>
        <w:spacing w:line="360" w:lineRule="auto"/>
        <w:rPr>
          <w:rFonts w:hint="eastAsia" w:ascii="宋体"/>
          <w:b/>
          <w:color w:val="auto"/>
          <w:sz w:val="30"/>
          <w:szCs w:val="30"/>
        </w:rPr>
      </w:pPr>
    </w:p>
    <w:p w14:paraId="5D87201A">
      <w:pPr>
        <w:pStyle w:val="41"/>
        <w:ind w:left="1022" w:hanging="602"/>
        <w:rPr>
          <w:rFonts w:hint="eastAsia" w:ascii="宋体"/>
          <w:b/>
          <w:color w:val="auto"/>
          <w:sz w:val="30"/>
          <w:szCs w:val="30"/>
        </w:rPr>
      </w:pPr>
    </w:p>
    <w:p w14:paraId="25A45B04">
      <w:pPr>
        <w:pStyle w:val="42"/>
        <w:rPr>
          <w:rFonts w:hint="eastAsia"/>
          <w:b/>
          <w:color w:val="auto"/>
          <w:sz w:val="30"/>
          <w:szCs w:val="30"/>
        </w:rPr>
      </w:pPr>
    </w:p>
    <w:p w14:paraId="22E91F7A">
      <w:pPr>
        <w:pStyle w:val="42"/>
        <w:rPr>
          <w:rFonts w:hint="eastAsia"/>
          <w:b/>
          <w:color w:val="auto"/>
          <w:sz w:val="30"/>
          <w:szCs w:val="30"/>
        </w:rPr>
      </w:pPr>
    </w:p>
    <w:p w14:paraId="312A691D">
      <w:pPr>
        <w:pStyle w:val="42"/>
        <w:rPr>
          <w:rFonts w:hint="eastAsia"/>
          <w:b/>
          <w:color w:val="auto"/>
          <w:sz w:val="30"/>
          <w:szCs w:val="30"/>
        </w:rPr>
      </w:pPr>
    </w:p>
    <w:p w14:paraId="744D5E31">
      <w:pPr>
        <w:pStyle w:val="42"/>
        <w:rPr>
          <w:rFonts w:hint="eastAsia"/>
          <w:b/>
          <w:color w:val="auto"/>
          <w:sz w:val="30"/>
          <w:szCs w:val="30"/>
        </w:rPr>
      </w:pPr>
    </w:p>
    <w:p w14:paraId="33A47BD5">
      <w:pPr>
        <w:pStyle w:val="42"/>
        <w:rPr>
          <w:rFonts w:hint="eastAsia"/>
          <w:b/>
          <w:color w:val="auto"/>
          <w:sz w:val="30"/>
          <w:szCs w:val="30"/>
        </w:rPr>
      </w:pPr>
    </w:p>
    <w:p w14:paraId="35351A65">
      <w:pPr>
        <w:pStyle w:val="42"/>
        <w:rPr>
          <w:rFonts w:hint="eastAsia" w:eastAsia="宋体"/>
          <w:b/>
          <w:color w:val="auto"/>
          <w:sz w:val="30"/>
          <w:szCs w:val="30"/>
          <w:lang w:eastAsia="zh-CN"/>
        </w:rPr>
      </w:pPr>
    </w:p>
    <w:p w14:paraId="3983BDCE">
      <w:pPr>
        <w:pStyle w:val="42"/>
        <w:rPr>
          <w:rFonts w:hint="eastAsia" w:eastAsia="宋体"/>
          <w:b/>
          <w:color w:val="auto"/>
          <w:sz w:val="30"/>
          <w:szCs w:val="30"/>
          <w:lang w:eastAsia="zh-CN"/>
        </w:rPr>
      </w:pPr>
    </w:p>
    <w:p w14:paraId="742453AD">
      <w:pPr>
        <w:pStyle w:val="42"/>
        <w:rPr>
          <w:rFonts w:hint="eastAsia"/>
          <w:b/>
          <w:color w:val="auto"/>
          <w:sz w:val="30"/>
          <w:szCs w:val="30"/>
        </w:rPr>
      </w:pPr>
      <w:r>
        <w:rPr>
          <w:rFonts w:hint="eastAsia"/>
          <w:b/>
          <w:color w:val="auto"/>
          <w:sz w:val="30"/>
          <w:szCs w:val="30"/>
        </w:rPr>
        <w:br w:type="page"/>
      </w:r>
      <w:r>
        <w:rPr>
          <w:rFonts w:hint="eastAsia"/>
          <w:b/>
          <w:color w:val="auto"/>
          <w:sz w:val="30"/>
          <w:szCs w:val="30"/>
        </w:rPr>
        <w:t>附件十：</w:t>
      </w:r>
    </w:p>
    <w:p w14:paraId="538BC9C1">
      <w:pPr>
        <w:pStyle w:val="42"/>
        <w:rPr>
          <w:rFonts w:hint="eastAsia"/>
          <w:b/>
          <w:color w:val="auto"/>
          <w:sz w:val="30"/>
          <w:szCs w:val="30"/>
        </w:rPr>
      </w:pPr>
    </w:p>
    <w:p w14:paraId="1F734140">
      <w:pPr>
        <w:spacing w:line="500" w:lineRule="exact"/>
        <w:jc w:val="center"/>
        <w:rPr>
          <w:rFonts w:hint="eastAsia" w:ascii="宋体" w:hAnsi="宋体"/>
          <w:b/>
          <w:color w:val="auto"/>
          <w:sz w:val="30"/>
          <w:szCs w:val="30"/>
        </w:rPr>
      </w:pPr>
      <w:r>
        <w:rPr>
          <w:rFonts w:hint="eastAsia" w:ascii="宋体" w:hAnsi="宋体"/>
          <w:b/>
          <w:color w:val="auto"/>
          <w:sz w:val="30"/>
          <w:szCs w:val="30"/>
        </w:rPr>
        <w:t>本项目主要人员配备表</w:t>
      </w:r>
    </w:p>
    <w:p w14:paraId="0381B65F">
      <w:pPr>
        <w:spacing w:line="500" w:lineRule="exact"/>
        <w:rPr>
          <w:rFonts w:hint="eastAsia" w:ascii="宋体" w:hAnsi="宋体"/>
          <w:color w:val="auto"/>
          <w:sz w:val="24"/>
        </w:rPr>
      </w:pPr>
    </w:p>
    <w:tbl>
      <w:tblPr>
        <w:tblStyle w:val="9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83"/>
        <w:gridCol w:w="936"/>
        <w:gridCol w:w="1052"/>
        <w:gridCol w:w="1052"/>
        <w:gridCol w:w="1128"/>
        <w:gridCol w:w="1701"/>
        <w:gridCol w:w="1701"/>
      </w:tblGrid>
      <w:tr w14:paraId="3664350A">
        <w:tblPrEx>
          <w:tblLayout w:type="fixed"/>
        </w:tblPrEx>
        <w:tc>
          <w:tcPr>
            <w:tcW w:w="679" w:type="dxa"/>
            <w:vAlign w:val="center"/>
          </w:tcPr>
          <w:p w14:paraId="3A9A05F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序号</w:t>
            </w:r>
          </w:p>
        </w:tc>
        <w:tc>
          <w:tcPr>
            <w:tcW w:w="1283" w:type="dxa"/>
            <w:vAlign w:val="center"/>
          </w:tcPr>
          <w:p w14:paraId="41C5360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姓名</w:t>
            </w:r>
          </w:p>
        </w:tc>
        <w:tc>
          <w:tcPr>
            <w:tcW w:w="936" w:type="dxa"/>
            <w:vAlign w:val="center"/>
          </w:tcPr>
          <w:p w14:paraId="4DE2F5D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性别</w:t>
            </w:r>
          </w:p>
        </w:tc>
        <w:tc>
          <w:tcPr>
            <w:tcW w:w="1052" w:type="dxa"/>
            <w:vAlign w:val="center"/>
          </w:tcPr>
          <w:p w14:paraId="0498524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年龄</w:t>
            </w:r>
          </w:p>
        </w:tc>
        <w:tc>
          <w:tcPr>
            <w:tcW w:w="1052" w:type="dxa"/>
            <w:vAlign w:val="center"/>
          </w:tcPr>
          <w:p w14:paraId="397C0BF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r>
              <w:rPr>
                <w:rFonts w:hint="eastAsia" w:ascii="宋体" w:hAnsi="宋体" w:cs="Times New Roman"/>
                <w:color w:val="auto"/>
                <w:sz w:val="24"/>
              </w:rPr>
              <w:t>职称</w:t>
            </w:r>
          </w:p>
        </w:tc>
        <w:tc>
          <w:tcPr>
            <w:tcW w:w="1128" w:type="dxa"/>
            <w:vAlign w:val="center"/>
          </w:tcPr>
          <w:p w14:paraId="60D20596">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所学</w:t>
            </w:r>
          </w:p>
          <w:p w14:paraId="4C135B27">
            <w:pPr>
              <w:keepNext w:val="0"/>
              <w:keepLines w:val="0"/>
              <w:suppressLineNumbers w:val="0"/>
              <w:spacing w:before="0" w:beforeAutospacing="0" w:after="0" w:afterAutospacing="0" w:line="500" w:lineRule="exact"/>
              <w:ind w:left="0" w:right="0"/>
              <w:jc w:val="center"/>
              <w:rPr>
                <w:rFonts w:hint="eastAsia" w:ascii="宋体" w:hAnsi="宋体" w:eastAsia="宋体" w:cs="Times New Roman"/>
                <w:color w:val="auto"/>
                <w:sz w:val="24"/>
                <w:lang w:eastAsia="zh-CN"/>
              </w:rPr>
            </w:pPr>
            <w:r>
              <w:rPr>
                <w:rFonts w:hint="eastAsia" w:ascii="宋体" w:hAnsi="宋体" w:cs="Times New Roman"/>
                <w:color w:val="auto"/>
                <w:sz w:val="24"/>
              </w:rPr>
              <w:t>专业</w:t>
            </w:r>
          </w:p>
        </w:tc>
        <w:tc>
          <w:tcPr>
            <w:tcW w:w="1701" w:type="dxa"/>
            <w:vAlign w:val="top"/>
          </w:tcPr>
          <w:p w14:paraId="2B1F044A">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拟在本项目中</w:t>
            </w:r>
          </w:p>
          <w:p w14:paraId="702EA559">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担任的工作</w:t>
            </w:r>
          </w:p>
        </w:tc>
        <w:tc>
          <w:tcPr>
            <w:tcW w:w="1701" w:type="dxa"/>
            <w:vAlign w:val="top"/>
          </w:tcPr>
          <w:p w14:paraId="76C17589">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相关工</w:t>
            </w:r>
          </w:p>
          <w:p w14:paraId="65A3AC94">
            <w:pPr>
              <w:keepNext w:val="0"/>
              <w:keepLines w:val="0"/>
              <w:suppressLineNumbers w:val="0"/>
              <w:spacing w:before="0" w:beforeAutospacing="0" w:after="0" w:afterAutospacing="0" w:line="500" w:lineRule="exact"/>
              <w:ind w:left="0" w:right="0"/>
              <w:jc w:val="center"/>
              <w:rPr>
                <w:rFonts w:hint="eastAsia" w:ascii="宋体" w:hAnsi="宋体" w:cs="Times New Roman"/>
                <w:color w:val="auto"/>
                <w:sz w:val="24"/>
              </w:rPr>
            </w:pPr>
            <w:r>
              <w:rPr>
                <w:rFonts w:hint="eastAsia" w:ascii="宋体" w:hAnsi="宋体" w:cs="Times New Roman"/>
                <w:color w:val="auto"/>
                <w:sz w:val="24"/>
              </w:rPr>
              <w:t>作年限</w:t>
            </w:r>
          </w:p>
        </w:tc>
      </w:tr>
      <w:tr w14:paraId="0B028419">
        <w:tblPrEx>
          <w:tblLayout w:type="fixed"/>
        </w:tblPrEx>
        <w:tc>
          <w:tcPr>
            <w:tcW w:w="679" w:type="dxa"/>
            <w:vAlign w:val="center"/>
          </w:tcPr>
          <w:p w14:paraId="6A606F9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vAlign w:val="center"/>
          </w:tcPr>
          <w:p w14:paraId="426C923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vAlign w:val="center"/>
          </w:tcPr>
          <w:p w14:paraId="5BF2E86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1549A39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5E43B2E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vAlign w:val="center"/>
          </w:tcPr>
          <w:p w14:paraId="1138067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6C06912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6E6902B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60A4A85E">
        <w:tblPrEx>
          <w:tblLayout w:type="fixed"/>
        </w:tblPrEx>
        <w:tc>
          <w:tcPr>
            <w:tcW w:w="679" w:type="dxa"/>
            <w:vAlign w:val="center"/>
          </w:tcPr>
          <w:p w14:paraId="0EBC486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vAlign w:val="center"/>
          </w:tcPr>
          <w:p w14:paraId="294C7B5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vAlign w:val="center"/>
          </w:tcPr>
          <w:p w14:paraId="7BD5AF3A">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42FADC4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612454A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vAlign w:val="center"/>
          </w:tcPr>
          <w:p w14:paraId="631175D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73A126A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7AA42AF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19E237E2">
        <w:tblPrEx>
          <w:tblLayout w:type="fixed"/>
        </w:tblPrEx>
        <w:tc>
          <w:tcPr>
            <w:tcW w:w="679" w:type="dxa"/>
            <w:vAlign w:val="center"/>
          </w:tcPr>
          <w:p w14:paraId="0E86D7C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vAlign w:val="center"/>
          </w:tcPr>
          <w:p w14:paraId="2175BA1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vAlign w:val="center"/>
          </w:tcPr>
          <w:p w14:paraId="4D6F160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012E11E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2F15EA2A">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vAlign w:val="center"/>
          </w:tcPr>
          <w:p w14:paraId="07847A6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1241724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45445C3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6A3C0C37">
        <w:tblPrEx>
          <w:tblLayout w:type="fixed"/>
        </w:tblPrEx>
        <w:tc>
          <w:tcPr>
            <w:tcW w:w="679" w:type="dxa"/>
            <w:vAlign w:val="center"/>
          </w:tcPr>
          <w:p w14:paraId="725E31C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vAlign w:val="center"/>
          </w:tcPr>
          <w:p w14:paraId="547D506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vAlign w:val="center"/>
          </w:tcPr>
          <w:p w14:paraId="6CD4B44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5D6F657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1CB29ED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vAlign w:val="center"/>
          </w:tcPr>
          <w:p w14:paraId="5A15A5F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758E874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684A8C5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1145385B">
        <w:tblPrEx>
          <w:tblLayout w:type="fixed"/>
        </w:tblPrEx>
        <w:tc>
          <w:tcPr>
            <w:tcW w:w="679" w:type="dxa"/>
            <w:vAlign w:val="center"/>
          </w:tcPr>
          <w:p w14:paraId="15F827E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vAlign w:val="center"/>
          </w:tcPr>
          <w:p w14:paraId="2DE37E4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vAlign w:val="center"/>
          </w:tcPr>
          <w:p w14:paraId="739C7DF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21FDC5E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4A524B9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vAlign w:val="center"/>
          </w:tcPr>
          <w:p w14:paraId="75CA8F00">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3685AC7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4971746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7137CDF8">
        <w:tblPrEx>
          <w:tblLayout w:type="fixed"/>
        </w:tblPrEx>
        <w:tc>
          <w:tcPr>
            <w:tcW w:w="679" w:type="dxa"/>
            <w:vAlign w:val="center"/>
          </w:tcPr>
          <w:p w14:paraId="6D58C30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vAlign w:val="center"/>
          </w:tcPr>
          <w:p w14:paraId="75267EE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vAlign w:val="center"/>
          </w:tcPr>
          <w:p w14:paraId="1FBE260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78334D8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1D122CF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vAlign w:val="center"/>
          </w:tcPr>
          <w:p w14:paraId="4C2A6B04">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78E6F049">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49AA1A8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3BFF96BF">
        <w:tblPrEx>
          <w:tblLayout w:type="fixed"/>
        </w:tblPrEx>
        <w:tc>
          <w:tcPr>
            <w:tcW w:w="679" w:type="dxa"/>
            <w:vAlign w:val="center"/>
          </w:tcPr>
          <w:p w14:paraId="204D09B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vAlign w:val="center"/>
          </w:tcPr>
          <w:p w14:paraId="311425C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vAlign w:val="center"/>
          </w:tcPr>
          <w:p w14:paraId="0D3E9678">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5BD9FBE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66D24C5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vAlign w:val="center"/>
          </w:tcPr>
          <w:p w14:paraId="0A89091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25B003C1">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74754B6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7C92DE94">
        <w:tblPrEx>
          <w:tblLayout w:type="fixed"/>
        </w:tblPrEx>
        <w:tc>
          <w:tcPr>
            <w:tcW w:w="679" w:type="dxa"/>
            <w:vAlign w:val="center"/>
          </w:tcPr>
          <w:p w14:paraId="2002009D">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vAlign w:val="center"/>
          </w:tcPr>
          <w:p w14:paraId="2A6AA7A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vAlign w:val="center"/>
          </w:tcPr>
          <w:p w14:paraId="0990C38C">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37940867">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447B6BD2">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vAlign w:val="center"/>
          </w:tcPr>
          <w:p w14:paraId="5DD766E5">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5A29BC9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5723EA5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r w14:paraId="1F0DFD94">
        <w:tblPrEx>
          <w:tblLayout w:type="fixed"/>
        </w:tblPrEx>
        <w:tc>
          <w:tcPr>
            <w:tcW w:w="679" w:type="dxa"/>
            <w:vAlign w:val="center"/>
          </w:tcPr>
          <w:p w14:paraId="286B80D6">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283" w:type="dxa"/>
            <w:vAlign w:val="center"/>
          </w:tcPr>
          <w:p w14:paraId="3456C66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936" w:type="dxa"/>
            <w:vAlign w:val="center"/>
          </w:tcPr>
          <w:p w14:paraId="6D0E67F0">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3AE4472E">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052" w:type="dxa"/>
            <w:vAlign w:val="center"/>
          </w:tcPr>
          <w:p w14:paraId="191CC4B3">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128" w:type="dxa"/>
            <w:vAlign w:val="center"/>
          </w:tcPr>
          <w:p w14:paraId="6490F3AB">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6791E5E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c>
          <w:tcPr>
            <w:tcW w:w="1701" w:type="dxa"/>
            <w:vAlign w:val="top"/>
          </w:tcPr>
          <w:p w14:paraId="4A15D88F">
            <w:pPr>
              <w:keepNext w:val="0"/>
              <w:keepLines w:val="0"/>
              <w:suppressLineNumbers w:val="0"/>
              <w:spacing w:before="0" w:beforeAutospacing="0" w:after="0" w:afterAutospacing="0" w:line="500" w:lineRule="exact"/>
              <w:ind w:left="0" w:right="0"/>
              <w:jc w:val="center"/>
              <w:rPr>
                <w:rFonts w:hint="default" w:ascii="宋体" w:hAnsi="宋体" w:cs="Times New Roman"/>
                <w:color w:val="auto"/>
                <w:sz w:val="24"/>
              </w:rPr>
            </w:pPr>
          </w:p>
        </w:tc>
      </w:tr>
    </w:tbl>
    <w:p w14:paraId="352F16A3">
      <w:pPr>
        <w:spacing w:line="360" w:lineRule="auto"/>
        <w:rPr>
          <w:rFonts w:hint="eastAsia" w:ascii="宋体"/>
          <w:color w:val="auto"/>
          <w:sz w:val="24"/>
        </w:rPr>
      </w:pPr>
      <w:r>
        <w:rPr>
          <w:rFonts w:hint="eastAsia" w:ascii="宋体"/>
          <w:color w:val="auto"/>
          <w:sz w:val="24"/>
        </w:rPr>
        <w:t>注：后附证明材料。</w:t>
      </w:r>
    </w:p>
    <w:p w14:paraId="315A6459">
      <w:pPr>
        <w:pStyle w:val="41"/>
        <w:ind w:left="1060" w:hanging="640"/>
        <w:rPr>
          <w:rFonts w:hint="eastAsia"/>
          <w:color w:val="auto"/>
        </w:rPr>
      </w:pPr>
    </w:p>
    <w:p w14:paraId="5B0E6E97">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bCs/>
          <w:color w:val="auto"/>
          <w:sz w:val="24"/>
        </w:rPr>
        <w:t>投标人名称（盖章）：</w:t>
      </w:r>
    </w:p>
    <w:p w14:paraId="06DFA5B4">
      <w:pPr>
        <w:adjustRightInd w:val="0"/>
        <w:spacing w:line="360" w:lineRule="auto"/>
        <w:ind w:firstLine="420" w:firstLineChars="175"/>
        <w:jc w:val="left"/>
        <w:rPr>
          <w:rFonts w:hint="eastAsia" w:ascii="宋体" w:hAnsi="宋体" w:cs="宋体"/>
          <w:bCs/>
          <w:color w:val="auto"/>
          <w:sz w:val="24"/>
        </w:rPr>
      </w:pPr>
      <w:r>
        <w:rPr>
          <w:rFonts w:hint="eastAsia" w:ascii="宋体" w:hAnsi="宋体" w:cs="宋体"/>
          <w:color w:val="auto"/>
          <w:sz w:val="24"/>
        </w:rPr>
        <w:t>授权代表人（签字）</w:t>
      </w:r>
      <w:r>
        <w:rPr>
          <w:rFonts w:hint="eastAsia" w:ascii="宋体" w:hAnsi="宋体" w:cs="宋体"/>
          <w:bCs/>
          <w:color w:val="auto"/>
          <w:sz w:val="24"/>
        </w:rPr>
        <w:t>：</w:t>
      </w:r>
    </w:p>
    <w:p w14:paraId="7849B64C">
      <w:pPr>
        <w:spacing w:line="360" w:lineRule="auto"/>
        <w:ind w:firstLine="480" w:firstLineChars="200"/>
        <w:outlineLvl w:val="1"/>
        <w:rPr>
          <w:rFonts w:hint="eastAsia" w:ascii="宋体" w:hAnsi="宋体" w:cs="宋体"/>
          <w:b/>
          <w:color w:val="auto"/>
          <w:sz w:val="24"/>
        </w:rPr>
      </w:pPr>
      <w:r>
        <w:rPr>
          <w:rFonts w:hint="eastAsia" w:ascii="宋体" w:hAnsi="宋体" w:cs="宋体"/>
          <w:bCs/>
          <w:color w:val="auto"/>
          <w:sz w:val="24"/>
        </w:rPr>
        <w:t>日期:年月日</w:t>
      </w:r>
    </w:p>
    <w:p w14:paraId="32763413">
      <w:pPr>
        <w:spacing w:line="360" w:lineRule="auto"/>
        <w:rPr>
          <w:rFonts w:hint="eastAsia" w:ascii="宋体"/>
          <w:b/>
          <w:color w:val="auto"/>
          <w:sz w:val="30"/>
          <w:szCs w:val="30"/>
        </w:rPr>
      </w:pPr>
    </w:p>
    <w:p w14:paraId="5DAC1DAE">
      <w:pPr>
        <w:spacing w:line="360" w:lineRule="auto"/>
        <w:rPr>
          <w:rFonts w:hint="eastAsia" w:ascii="宋体"/>
          <w:b/>
          <w:color w:val="auto"/>
          <w:sz w:val="30"/>
          <w:szCs w:val="30"/>
        </w:rPr>
      </w:pPr>
    </w:p>
    <w:p w14:paraId="6546C2DE">
      <w:pPr>
        <w:spacing w:line="360" w:lineRule="auto"/>
        <w:rPr>
          <w:rFonts w:hint="eastAsia" w:ascii="宋体"/>
          <w:b/>
          <w:color w:val="auto"/>
          <w:sz w:val="30"/>
          <w:szCs w:val="30"/>
        </w:rPr>
      </w:pPr>
    </w:p>
    <w:p w14:paraId="64A0570D">
      <w:pPr>
        <w:spacing w:line="360" w:lineRule="auto"/>
        <w:rPr>
          <w:rFonts w:hint="eastAsia" w:ascii="宋体"/>
          <w:b/>
          <w:color w:val="auto"/>
          <w:sz w:val="30"/>
          <w:szCs w:val="30"/>
        </w:rPr>
      </w:pPr>
    </w:p>
    <w:p w14:paraId="1475740A">
      <w:pPr>
        <w:pStyle w:val="16"/>
        <w:rPr>
          <w:rFonts w:hint="eastAsia"/>
          <w:b/>
          <w:color w:val="auto"/>
          <w:sz w:val="30"/>
          <w:szCs w:val="30"/>
        </w:rPr>
      </w:pPr>
    </w:p>
    <w:p w14:paraId="333B6A45">
      <w:pPr>
        <w:rPr>
          <w:rFonts w:hint="eastAsia" w:ascii="宋体"/>
          <w:b/>
          <w:color w:val="auto"/>
          <w:sz w:val="30"/>
          <w:szCs w:val="30"/>
        </w:rPr>
      </w:pPr>
    </w:p>
    <w:p w14:paraId="2376E0FE">
      <w:pPr>
        <w:pStyle w:val="16"/>
        <w:rPr>
          <w:rFonts w:hint="eastAsia"/>
          <w:b/>
          <w:color w:val="auto"/>
          <w:sz w:val="30"/>
          <w:szCs w:val="30"/>
        </w:rPr>
      </w:pPr>
    </w:p>
    <w:p w14:paraId="4083DA09">
      <w:pPr>
        <w:rPr>
          <w:rFonts w:hint="eastAsia" w:ascii="宋体"/>
          <w:b/>
          <w:color w:val="auto"/>
          <w:sz w:val="30"/>
          <w:szCs w:val="30"/>
        </w:rPr>
      </w:pPr>
    </w:p>
    <w:p w14:paraId="18FFA1F1">
      <w:pPr>
        <w:spacing w:line="360" w:lineRule="auto"/>
        <w:rPr>
          <w:rFonts w:hint="eastAsia" w:ascii="宋体"/>
          <w:b/>
          <w:color w:val="auto"/>
          <w:sz w:val="30"/>
          <w:szCs w:val="30"/>
        </w:rPr>
      </w:pPr>
      <w:r>
        <w:rPr>
          <w:rFonts w:hint="eastAsia" w:ascii="宋体"/>
          <w:b/>
          <w:color w:val="auto"/>
          <w:sz w:val="30"/>
          <w:szCs w:val="30"/>
        </w:rPr>
        <w:br w:type="page"/>
      </w:r>
      <w:r>
        <w:rPr>
          <w:rFonts w:hint="eastAsia" w:ascii="宋体"/>
          <w:b/>
          <w:color w:val="auto"/>
          <w:sz w:val="30"/>
          <w:szCs w:val="30"/>
        </w:rPr>
        <w:t>附件十一：</w:t>
      </w:r>
    </w:p>
    <w:p w14:paraId="26CA44E3">
      <w:pPr>
        <w:spacing w:line="360" w:lineRule="auto"/>
        <w:ind w:firstLine="482"/>
        <w:jc w:val="center"/>
        <w:rPr>
          <w:rFonts w:hint="eastAsia" w:ascii="宋体" w:hAnsi="宋体" w:cs="仿宋"/>
          <w:b/>
          <w:color w:val="auto"/>
          <w:sz w:val="30"/>
          <w:szCs w:val="30"/>
        </w:rPr>
      </w:pPr>
      <w:r>
        <w:rPr>
          <w:rFonts w:ascii="宋体" w:hAnsi="宋体" w:cs="仿宋"/>
          <w:b/>
          <w:color w:val="auto"/>
          <w:sz w:val="30"/>
          <w:szCs w:val="30"/>
        </w:rPr>
        <w:t>中小企业声明函</w:t>
      </w:r>
      <w:r>
        <w:rPr>
          <w:rFonts w:hint="eastAsia" w:ascii="宋体" w:hAnsi="宋体" w:cs="仿宋"/>
          <w:b/>
          <w:color w:val="auto"/>
          <w:sz w:val="30"/>
          <w:szCs w:val="30"/>
        </w:rPr>
        <w:t>（</w:t>
      </w:r>
      <w:r>
        <w:rPr>
          <w:rFonts w:hint="eastAsia" w:ascii="宋体" w:hAnsi="宋体" w:cs="仿宋"/>
          <w:b/>
          <w:color w:val="auto"/>
          <w:sz w:val="30"/>
          <w:szCs w:val="30"/>
          <w:lang w:val="en-US" w:eastAsia="zh-CN"/>
        </w:rPr>
        <w:t>货物</w:t>
      </w:r>
      <w:r>
        <w:rPr>
          <w:rFonts w:hint="eastAsia" w:ascii="宋体" w:hAnsi="宋体" w:cs="仿宋"/>
          <w:b/>
          <w:color w:val="auto"/>
          <w:sz w:val="30"/>
          <w:szCs w:val="30"/>
        </w:rPr>
        <w:t>）</w:t>
      </w:r>
    </w:p>
    <w:p w14:paraId="35E739AD">
      <w:pPr>
        <w:spacing w:line="500" w:lineRule="exact"/>
        <w:ind w:firstLine="480" w:firstLineChars="200"/>
        <w:jc w:val="left"/>
        <w:rPr>
          <w:rFonts w:hint="eastAsia" w:ascii="宋体" w:hAnsi="宋体" w:eastAsia="宋体"/>
          <w:color w:val="auto"/>
          <w:sz w:val="24"/>
          <w:lang w:eastAsia="zh-CN"/>
        </w:rPr>
      </w:pPr>
      <w:r>
        <w:rPr>
          <w:rFonts w:hint="eastAsia" w:ascii="宋体" w:hAnsi="宋体"/>
          <w:color w:val="auto"/>
          <w:sz w:val="24"/>
        </w:rPr>
        <w:t>本公司郑重声明，根据《政府采购促进中小企业发展管理办法》（财库﹝2020﹞46号）的规定，本公司参加（单位名称）的（项目名称）采购活动，提供的货物全部由符合政策要求的中小企业制造。相关企业的具体情况如下：</w:t>
      </w:r>
    </w:p>
    <w:p w14:paraId="6E7FF36A">
      <w:pPr>
        <w:spacing w:line="500" w:lineRule="exact"/>
        <w:jc w:val="left"/>
        <w:rPr>
          <w:rFonts w:hint="eastAsia" w:ascii="宋体" w:hAnsi="宋体" w:eastAsia="宋体"/>
          <w:color w:val="auto"/>
          <w:sz w:val="24"/>
          <w:lang w:eastAsia="zh-CN"/>
        </w:rPr>
      </w:pPr>
      <w:r>
        <w:rPr>
          <w:rFonts w:hint="eastAsia" w:ascii="宋体" w:hAnsi="宋体"/>
          <w:color w:val="auto"/>
          <w:sz w:val="24"/>
        </w:rPr>
        <w:t>1.（标的名称），属于（采购文件中明确的所属行业）行业；制造商为（企业名称），从业人员人，营业收入为万元，资产总额为万元，属于（中型企业、小型企业、微型企业）；</w:t>
      </w:r>
    </w:p>
    <w:p w14:paraId="57315D19">
      <w:pPr>
        <w:spacing w:line="500" w:lineRule="exact"/>
        <w:jc w:val="left"/>
        <w:rPr>
          <w:rFonts w:hint="eastAsia" w:ascii="宋体" w:hAnsi="宋体" w:eastAsia="宋体"/>
          <w:color w:val="auto"/>
          <w:sz w:val="24"/>
          <w:lang w:eastAsia="zh-CN"/>
        </w:rPr>
      </w:pPr>
      <w:r>
        <w:rPr>
          <w:rFonts w:hint="eastAsia" w:ascii="宋体" w:hAnsi="宋体"/>
          <w:color w:val="auto"/>
          <w:sz w:val="24"/>
        </w:rPr>
        <w:t>2.（标的名称），属于（采购文件中明确的所属行业）行业；制造商为（企业名称），从业人员人，营业收入为万元，资产总额为万元，属于（中型企业、小型企业、微型企业）；</w:t>
      </w:r>
    </w:p>
    <w:p w14:paraId="720E3831">
      <w:pPr>
        <w:spacing w:line="500" w:lineRule="exact"/>
        <w:jc w:val="left"/>
        <w:rPr>
          <w:rFonts w:hint="eastAsia" w:ascii="宋体" w:hAnsi="宋体"/>
          <w:color w:val="auto"/>
          <w:sz w:val="24"/>
        </w:rPr>
      </w:pPr>
      <w:r>
        <w:rPr>
          <w:rFonts w:hint="eastAsia" w:ascii="宋体" w:hAnsi="宋体"/>
          <w:color w:val="auto"/>
          <w:sz w:val="24"/>
        </w:rPr>
        <w:t>……</w:t>
      </w:r>
    </w:p>
    <w:p w14:paraId="14BAB367">
      <w:pPr>
        <w:spacing w:line="500" w:lineRule="exact"/>
        <w:jc w:val="left"/>
        <w:rPr>
          <w:rFonts w:hint="eastAsia" w:ascii="宋体" w:hAnsi="宋体"/>
          <w:color w:val="auto"/>
          <w:sz w:val="24"/>
        </w:rPr>
      </w:pPr>
      <w:r>
        <w:rPr>
          <w:rFonts w:hint="eastAsia" w:ascii="宋体" w:hAnsi="宋体"/>
          <w:color w:val="auto"/>
          <w:sz w:val="24"/>
        </w:rPr>
        <w:t>以上企业，不属于大企业的分支机构，不存在控股股东为大企业的情形，也不存在与大企业的负责人为同一人的情形。</w:t>
      </w:r>
    </w:p>
    <w:p w14:paraId="5D286274">
      <w:pPr>
        <w:spacing w:line="500" w:lineRule="exact"/>
        <w:jc w:val="left"/>
        <w:rPr>
          <w:rFonts w:hint="eastAsia" w:ascii="宋体" w:hAnsi="宋体" w:eastAsia="宋体"/>
          <w:color w:val="auto"/>
          <w:sz w:val="24"/>
          <w:lang w:eastAsia="zh-CN"/>
        </w:rPr>
      </w:pPr>
      <w:r>
        <w:rPr>
          <w:rFonts w:hint="eastAsia" w:ascii="宋体" w:hAnsi="宋体"/>
          <w:color w:val="auto"/>
          <w:sz w:val="24"/>
        </w:rPr>
        <w:t>本企业对上述声明内容的真实性负责。如有虚假，将依法承担相应责任。</w:t>
      </w:r>
    </w:p>
    <w:p w14:paraId="125B68F9">
      <w:pPr>
        <w:spacing w:line="500" w:lineRule="exact"/>
        <w:jc w:val="left"/>
        <w:rPr>
          <w:rFonts w:hint="eastAsia" w:ascii="宋体" w:hAnsi="宋体" w:eastAsia="宋体"/>
          <w:color w:val="auto"/>
          <w:sz w:val="24"/>
          <w:lang w:eastAsia="zh-CN"/>
        </w:rPr>
      </w:pPr>
      <w:r>
        <w:rPr>
          <w:rFonts w:hint="eastAsia" w:ascii="宋体" w:hAnsi="宋体"/>
          <w:color w:val="auto"/>
          <w:sz w:val="24"/>
        </w:rPr>
        <w:t>企业名称（盖章）：</w:t>
      </w:r>
    </w:p>
    <w:p w14:paraId="6C1DD4EB">
      <w:pPr>
        <w:spacing w:line="500" w:lineRule="exact"/>
        <w:jc w:val="left"/>
        <w:rPr>
          <w:rFonts w:hint="eastAsia" w:ascii="宋体" w:hAnsi="宋体" w:eastAsia="宋体"/>
          <w:color w:val="auto"/>
          <w:sz w:val="24"/>
          <w:lang w:eastAsia="zh-CN"/>
        </w:rPr>
      </w:pPr>
      <w:r>
        <w:rPr>
          <w:rFonts w:hint="eastAsia" w:ascii="宋体" w:hAnsi="宋体"/>
          <w:color w:val="auto"/>
          <w:sz w:val="24"/>
        </w:rPr>
        <w:t>日期：</w:t>
      </w:r>
    </w:p>
    <w:p w14:paraId="23249A2A">
      <w:pPr>
        <w:spacing w:line="500" w:lineRule="exact"/>
        <w:jc w:val="left"/>
        <w:rPr>
          <w:rFonts w:hint="eastAsia" w:ascii="宋体" w:hAnsi="宋体"/>
          <w:color w:val="auto"/>
          <w:sz w:val="24"/>
        </w:rPr>
      </w:pPr>
      <w:r>
        <w:rPr>
          <w:rFonts w:ascii="宋体" w:hAnsi="宋体"/>
          <w:color w:val="auto"/>
          <w:sz w:val="24"/>
        </w:rPr>
        <w:t>1</w:t>
      </w:r>
      <w:r>
        <w:rPr>
          <w:rFonts w:hint="eastAsia" w:ascii="宋体" w:hAnsi="宋体"/>
          <w:color w:val="auto"/>
          <w:sz w:val="24"/>
        </w:rPr>
        <w:t>从业人员、营业收入、资产总额填报上一年度数据，无上一年度数据的新成立企业可不填报。</w:t>
      </w:r>
    </w:p>
    <w:p w14:paraId="1E8B4DFB">
      <w:pPr>
        <w:spacing w:line="500" w:lineRule="exact"/>
        <w:jc w:val="left"/>
        <w:rPr>
          <w:rFonts w:hint="eastAsia" w:ascii="宋体" w:hAnsi="宋体"/>
          <w:color w:val="auto"/>
          <w:sz w:val="24"/>
        </w:rPr>
      </w:pPr>
      <w:r>
        <w:rPr>
          <w:rFonts w:hint="eastAsia" w:ascii="宋体" w:hAnsi="宋体"/>
          <w:color w:val="auto"/>
          <w:sz w:val="24"/>
        </w:rPr>
        <w:t>注：不符合小微企业情形的投标人无须提供上述声明函件。</w:t>
      </w:r>
    </w:p>
    <w:p w14:paraId="000AA204">
      <w:pPr>
        <w:spacing w:line="500" w:lineRule="exact"/>
        <w:jc w:val="left"/>
        <w:rPr>
          <w:rFonts w:hint="eastAsia" w:ascii="宋体" w:eastAsia="宋体"/>
          <w:bCs/>
          <w:color w:val="auto"/>
          <w:sz w:val="30"/>
          <w:szCs w:val="30"/>
          <w:lang w:eastAsia="zh-CN"/>
        </w:rPr>
      </w:pPr>
      <w:r>
        <w:rPr>
          <w:rFonts w:hint="eastAsia" w:ascii="宋体" w:hAnsi="宋体"/>
          <w:color w:val="auto"/>
          <w:sz w:val="24"/>
        </w:rPr>
        <w:t>本公司对上述声明内容的真实性负责，如有虚假，将依法承担责任。</w:t>
      </w:r>
    </w:p>
    <w:p w14:paraId="566C5E6E">
      <w:pPr>
        <w:spacing w:line="360" w:lineRule="auto"/>
        <w:rPr>
          <w:rFonts w:hint="eastAsia" w:ascii="宋体"/>
          <w:bCs/>
          <w:color w:val="auto"/>
          <w:sz w:val="30"/>
          <w:szCs w:val="30"/>
        </w:rPr>
      </w:pPr>
    </w:p>
    <w:p w14:paraId="2868C5B0">
      <w:pPr>
        <w:spacing w:line="360" w:lineRule="auto"/>
        <w:jc w:val="left"/>
        <w:rPr>
          <w:rFonts w:hint="eastAsia" w:ascii="宋体" w:hAnsi="宋体" w:cs="仿宋"/>
          <w:b/>
          <w:color w:val="auto"/>
          <w:sz w:val="30"/>
          <w:szCs w:val="30"/>
        </w:rPr>
      </w:pPr>
    </w:p>
    <w:p w14:paraId="57B1E2B1">
      <w:pPr>
        <w:pStyle w:val="41"/>
        <w:ind w:left="1022" w:hanging="602"/>
        <w:rPr>
          <w:rFonts w:hint="eastAsia" w:ascii="宋体" w:hAnsi="宋体" w:cs="仿宋"/>
          <w:b/>
          <w:color w:val="auto"/>
          <w:sz w:val="30"/>
          <w:szCs w:val="30"/>
        </w:rPr>
      </w:pPr>
    </w:p>
    <w:p w14:paraId="2F10627D">
      <w:pPr>
        <w:pStyle w:val="42"/>
        <w:rPr>
          <w:rFonts w:hint="eastAsia" w:hAnsi="宋体" w:cs="仿宋"/>
          <w:b/>
          <w:color w:val="auto"/>
          <w:sz w:val="30"/>
          <w:szCs w:val="30"/>
        </w:rPr>
      </w:pPr>
    </w:p>
    <w:p w14:paraId="72E5BDC6">
      <w:pPr>
        <w:pStyle w:val="42"/>
        <w:rPr>
          <w:rFonts w:hint="eastAsia" w:hAnsi="宋体" w:cs="仿宋"/>
          <w:b/>
          <w:color w:val="auto"/>
          <w:sz w:val="30"/>
          <w:szCs w:val="30"/>
        </w:rPr>
      </w:pPr>
    </w:p>
    <w:p w14:paraId="1BDA2DC9">
      <w:pPr>
        <w:pStyle w:val="42"/>
        <w:rPr>
          <w:rFonts w:hint="eastAsia" w:hAnsi="宋体" w:cs="仿宋"/>
          <w:b/>
          <w:color w:val="auto"/>
          <w:sz w:val="30"/>
          <w:szCs w:val="30"/>
        </w:rPr>
      </w:pPr>
    </w:p>
    <w:p w14:paraId="0473AAEF">
      <w:pPr>
        <w:pStyle w:val="42"/>
        <w:rPr>
          <w:rFonts w:hint="eastAsia" w:hAnsi="宋体" w:cs="仿宋"/>
          <w:b/>
          <w:color w:val="auto"/>
          <w:sz w:val="30"/>
          <w:szCs w:val="30"/>
        </w:rPr>
      </w:pPr>
    </w:p>
    <w:p w14:paraId="0887FB78">
      <w:pPr>
        <w:pStyle w:val="42"/>
        <w:rPr>
          <w:rFonts w:hint="eastAsia" w:hAnsi="宋体" w:cs="仿宋"/>
          <w:b/>
          <w:color w:val="auto"/>
          <w:sz w:val="30"/>
          <w:szCs w:val="30"/>
        </w:rPr>
      </w:pPr>
    </w:p>
    <w:p w14:paraId="56CB5FB8">
      <w:pPr>
        <w:pStyle w:val="42"/>
        <w:rPr>
          <w:rFonts w:hint="eastAsia" w:hAnsi="宋体" w:cs="仿宋"/>
          <w:b/>
          <w:color w:val="auto"/>
          <w:sz w:val="30"/>
          <w:szCs w:val="30"/>
        </w:rPr>
      </w:pPr>
    </w:p>
    <w:p w14:paraId="3BD20CCC">
      <w:pPr>
        <w:pStyle w:val="42"/>
        <w:rPr>
          <w:rFonts w:hint="eastAsia" w:hAnsi="宋体" w:cs="仿宋"/>
          <w:b/>
          <w:color w:val="auto"/>
          <w:sz w:val="30"/>
          <w:szCs w:val="30"/>
        </w:rPr>
      </w:pPr>
    </w:p>
    <w:p w14:paraId="149AC7E2">
      <w:pPr>
        <w:pStyle w:val="42"/>
        <w:rPr>
          <w:rFonts w:hint="eastAsia" w:hAnsi="宋体" w:cs="仿宋"/>
          <w:b/>
          <w:color w:val="auto"/>
          <w:sz w:val="30"/>
          <w:szCs w:val="30"/>
        </w:rPr>
      </w:pPr>
    </w:p>
    <w:p w14:paraId="0D29872F">
      <w:pPr>
        <w:spacing w:line="360" w:lineRule="auto"/>
        <w:ind w:firstLine="3313" w:firstLineChars="1100"/>
        <w:jc w:val="left"/>
        <w:rPr>
          <w:rFonts w:hint="eastAsia" w:ascii="宋体" w:hAnsi="宋体" w:cs="仿宋"/>
          <w:b/>
          <w:color w:val="auto"/>
          <w:sz w:val="30"/>
          <w:szCs w:val="30"/>
        </w:rPr>
      </w:pPr>
      <w:r>
        <w:rPr>
          <w:rFonts w:hint="eastAsia" w:ascii="宋体" w:hAnsi="宋体" w:cs="仿宋"/>
          <w:b/>
          <w:color w:val="auto"/>
          <w:sz w:val="30"/>
          <w:szCs w:val="30"/>
        </w:rPr>
        <w:t>监狱企业</w:t>
      </w:r>
      <w:r>
        <w:rPr>
          <w:rFonts w:ascii="宋体" w:hAnsi="宋体" w:cs="仿宋"/>
          <w:b/>
          <w:color w:val="auto"/>
          <w:sz w:val="30"/>
          <w:szCs w:val="30"/>
        </w:rPr>
        <w:t>声明函</w:t>
      </w:r>
      <w:r>
        <w:rPr>
          <w:rFonts w:hint="eastAsia" w:ascii="宋体" w:hAnsi="宋体" w:cs="仿宋"/>
          <w:b/>
          <w:color w:val="auto"/>
          <w:sz w:val="30"/>
          <w:szCs w:val="30"/>
        </w:rPr>
        <w:t>（二）</w:t>
      </w:r>
    </w:p>
    <w:p w14:paraId="202E5A43">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本公司郑重声明，根据《关于政府采购支持监狱企业发展有关问题的通知》（财库</w:t>
      </w:r>
      <w:r>
        <w:rPr>
          <w:rFonts w:hint="eastAsia" w:ascii="宋体" w:hAnsi="宋体" w:cs="宋体"/>
          <w:bCs/>
          <w:color w:val="auto"/>
          <w:sz w:val="24"/>
          <w:lang w:eastAsia="zh-CN"/>
        </w:rPr>
        <w:t>〔2014〕68号</w:t>
      </w:r>
      <w:r>
        <w:rPr>
          <w:rFonts w:hint="eastAsia" w:ascii="宋体" w:hAnsi="宋体" w:cs="宋体"/>
          <w:bCs/>
          <w:color w:val="auto"/>
          <w:sz w:val="24"/>
        </w:rPr>
        <w:t>）的规定，本公司为监狱企业。</w:t>
      </w:r>
    </w:p>
    <w:p w14:paraId="2F25104D">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本公司参加______单位的______项目采购活动，采购活动提供本企业（填写制造的货物，由本企业承担工程、提供服务）。</w:t>
      </w:r>
    </w:p>
    <w:p w14:paraId="115FE724">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本条所称货物不包括使用大型企业注册商标的货物和服务。</w:t>
      </w:r>
    </w:p>
    <w:p w14:paraId="1AD768FF">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本公司对上述声明的真实性负责。如有虚假，将依法承担相应责任。</w:t>
      </w:r>
    </w:p>
    <w:p w14:paraId="1D6C098A">
      <w:pPr>
        <w:pStyle w:val="424"/>
        <w:rPr>
          <w:rFonts w:hint="eastAsia"/>
          <w:color w:val="auto"/>
          <w:lang w:eastAsia="zh-CN"/>
        </w:rPr>
      </w:pPr>
    </w:p>
    <w:p w14:paraId="158D9428">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企业名称（盖公章）：</w:t>
      </w:r>
    </w:p>
    <w:p w14:paraId="40D31293">
      <w:pPr>
        <w:spacing w:line="360" w:lineRule="auto"/>
        <w:ind w:firstLine="480" w:firstLineChars="200"/>
        <w:jc w:val="left"/>
        <w:rPr>
          <w:rFonts w:hint="eastAsia" w:ascii="宋体" w:hAnsi="宋体" w:eastAsia="宋体" w:cs="宋体"/>
          <w:bCs/>
          <w:color w:val="auto"/>
          <w:sz w:val="24"/>
          <w:lang w:eastAsia="zh-CN"/>
        </w:rPr>
      </w:pPr>
      <w:r>
        <w:rPr>
          <w:rFonts w:hint="eastAsia" w:ascii="宋体" w:hAnsi="宋体" w:cs="宋体"/>
          <w:bCs/>
          <w:color w:val="auto"/>
          <w:sz w:val="24"/>
        </w:rPr>
        <w:t>法定代表人（负责人）或其授权代表(签字)：</w:t>
      </w:r>
    </w:p>
    <w:p w14:paraId="04183A85">
      <w:pPr>
        <w:spacing w:line="360" w:lineRule="auto"/>
        <w:ind w:firstLine="480" w:firstLineChars="200"/>
        <w:jc w:val="left"/>
        <w:rPr>
          <w:rFonts w:hint="eastAsia" w:ascii="宋体" w:hAnsi="宋体" w:cs="宋体"/>
          <w:bCs/>
          <w:color w:val="auto"/>
          <w:sz w:val="24"/>
        </w:rPr>
      </w:pPr>
      <w:r>
        <w:rPr>
          <w:rFonts w:hint="eastAsia" w:ascii="宋体" w:hAnsi="宋体" w:cs="宋体"/>
          <w:bCs/>
          <w:color w:val="auto"/>
          <w:sz w:val="24"/>
        </w:rPr>
        <w:t>日期：</w:t>
      </w:r>
    </w:p>
    <w:p w14:paraId="5B8999CF">
      <w:pPr>
        <w:spacing w:line="360" w:lineRule="auto"/>
        <w:ind w:firstLine="482"/>
        <w:jc w:val="center"/>
        <w:rPr>
          <w:rFonts w:hint="eastAsia" w:ascii="宋体" w:hAnsi="宋体" w:cs="仿宋"/>
          <w:b/>
          <w:color w:val="auto"/>
          <w:sz w:val="30"/>
          <w:szCs w:val="30"/>
        </w:rPr>
      </w:pPr>
      <w:r>
        <w:rPr>
          <w:rFonts w:ascii="宋体" w:hAnsi="宋体" w:cs="仿宋"/>
          <w:b/>
          <w:color w:val="auto"/>
          <w:sz w:val="30"/>
          <w:szCs w:val="30"/>
        </w:rPr>
        <w:t>残疾人福利性单位</w:t>
      </w:r>
      <w:r>
        <w:rPr>
          <w:rFonts w:hint="eastAsia" w:ascii="宋体" w:hAnsi="宋体" w:cs="仿宋"/>
          <w:b/>
          <w:color w:val="auto"/>
          <w:sz w:val="30"/>
          <w:szCs w:val="30"/>
        </w:rPr>
        <w:t>声明函（三）</w:t>
      </w:r>
    </w:p>
    <w:p w14:paraId="24EB657C">
      <w:pPr>
        <w:pStyle w:val="84"/>
        <w:shd w:val="clear" w:color="auto" w:fill="FFFFFF"/>
        <w:spacing w:line="360" w:lineRule="auto"/>
        <w:ind w:firstLine="480"/>
        <w:rPr>
          <w:rFonts w:hint="eastAsia" w:hAnsi="宋体"/>
          <w:color w:val="auto"/>
          <w:szCs w:val="21"/>
        </w:rPr>
      </w:pPr>
      <w:r>
        <w:rPr>
          <w:rFonts w:hAnsi="宋体"/>
          <w:color w:val="auto"/>
          <w:szCs w:val="21"/>
        </w:rPr>
        <w:t>本单位郑重声明，根据《财政部</w:t>
      </w:r>
      <w:r>
        <w:rPr>
          <w:rFonts w:hint="eastAsia" w:hAnsi="宋体"/>
          <w:color w:val="auto"/>
          <w:szCs w:val="21"/>
        </w:rPr>
        <w:t>、</w:t>
      </w:r>
      <w:r>
        <w:rPr>
          <w:rFonts w:hAnsi="宋体"/>
          <w:color w:val="auto"/>
          <w:szCs w:val="21"/>
        </w:rPr>
        <w:t>民政部</w:t>
      </w:r>
      <w:r>
        <w:rPr>
          <w:rFonts w:hint="eastAsia" w:hAnsi="宋体"/>
          <w:color w:val="auto"/>
          <w:szCs w:val="21"/>
        </w:rPr>
        <w:t>、</w:t>
      </w:r>
      <w:r>
        <w:rPr>
          <w:rFonts w:hAnsi="宋体"/>
          <w:color w:val="auto"/>
          <w:szCs w:val="21"/>
        </w:rPr>
        <w:t>中国残疾人联合会关于促进残疾人就业政府采购政策的通知》（财库〔201</w:t>
      </w:r>
      <w:r>
        <w:rPr>
          <w:rFonts w:hint="eastAsia" w:hAnsi="宋体"/>
          <w:color w:val="auto"/>
          <w:szCs w:val="21"/>
        </w:rPr>
        <w:t>7</w:t>
      </w:r>
      <w:r>
        <w:rPr>
          <w:rFonts w:hAnsi="宋体"/>
          <w:color w:val="auto"/>
          <w:szCs w:val="21"/>
        </w:rPr>
        <w:t>〕141号）的规定，本单位为符合条件的残疾人福利性单位</w:t>
      </w:r>
      <w:r>
        <w:rPr>
          <w:rFonts w:hint="eastAsia" w:hAnsi="宋体"/>
          <w:color w:val="auto"/>
          <w:szCs w:val="21"/>
        </w:rPr>
        <w:t>。</w:t>
      </w:r>
    </w:p>
    <w:p w14:paraId="25BC9946">
      <w:pPr>
        <w:pStyle w:val="84"/>
        <w:shd w:val="clear" w:color="auto" w:fill="FFFFFF"/>
        <w:spacing w:line="360" w:lineRule="auto"/>
        <w:ind w:firstLine="480"/>
        <w:rPr>
          <w:rFonts w:hint="eastAsia" w:hAnsi="宋体"/>
          <w:color w:val="auto"/>
          <w:szCs w:val="21"/>
        </w:rPr>
      </w:pPr>
    </w:p>
    <w:p w14:paraId="69899A61">
      <w:pPr>
        <w:pStyle w:val="84"/>
        <w:shd w:val="clear" w:color="auto" w:fill="FFFFFF"/>
        <w:spacing w:line="360" w:lineRule="auto"/>
        <w:ind w:firstLine="480"/>
        <w:rPr>
          <w:rFonts w:hint="eastAsia" w:hAnsi="宋体"/>
          <w:color w:val="auto"/>
          <w:szCs w:val="21"/>
        </w:rPr>
      </w:pPr>
      <w:r>
        <w:rPr>
          <w:rFonts w:hAnsi="宋体"/>
          <w:color w:val="auto"/>
          <w:szCs w:val="21"/>
        </w:rPr>
        <w:t>本单位参加</w:t>
      </w:r>
      <w:r>
        <w:rPr>
          <w:rFonts w:hint="eastAsia" w:hAnsi="宋体"/>
          <w:color w:val="auto"/>
          <w:szCs w:val="21"/>
          <w:u w:val="single"/>
        </w:rPr>
        <w:t>（采购代理机构）</w:t>
      </w:r>
      <w:r>
        <w:rPr>
          <w:rFonts w:hint="eastAsia" w:hAnsi="宋体"/>
          <w:color w:val="auto"/>
          <w:szCs w:val="21"/>
        </w:rPr>
        <w:t>的</w:t>
      </w:r>
      <w:r>
        <w:rPr>
          <w:rFonts w:hint="eastAsia" w:hAnsi="宋体"/>
          <w:color w:val="auto"/>
          <w:szCs w:val="21"/>
          <w:u w:val="single"/>
        </w:rPr>
        <w:t>（项目名称和采购编号）</w:t>
      </w:r>
      <w:r>
        <w:rPr>
          <w:rFonts w:hAnsi="宋体"/>
          <w:color w:val="auto"/>
          <w:szCs w:val="21"/>
        </w:rPr>
        <w:t>采购活动</w:t>
      </w:r>
      <w:r>
        <w:rPr>
          <w:rFonts w:hint="eastAsia" w:hAnsi="宋体"/>
          <w:color w:val="auto"/>
          <w:szCs w:val="21"/>
        </w:rPr>
        <w:t>，提供本单位的服务。</w:t>
      </w:r>
    </w:p>
    <w:p w14:paraId="1AC1066B">
      <w:pPr>
        <w:pStyle w:val="84"/>
        <w:shd w:val="clear" w:color="auto" w:fill="FFFFFF"/>
        <w:spacing w:line="360" w:lineRule="auto"/>
        <w:ind w:firstLine="480"/>
        <w:rPr>
          <w:rFonts w:hAnsi="宋体"/>
          <w:color w:val="auto"/>
          <w:szCs w:val="21"/>
        </w:rPr>
      </w:pPr>
      <w:r>
        <w:rPr>
          <w:rFonts w:hAnsi="宋体"/>
          <w:color w:val="auto"/>
          <w:szCs w:val="21"/>
        </w:rPr>
        <w:t>本单位对上述声明的真实性负责。如有虚假，将依法承担相应责任。</w:t>
      </w:r>
    </w:p>
    <w:p w14:paraId="42FABC46">
      <w:pPr>
        <w:widowControl/>
        <w:tabs>
          <w:tab w:val="left" w:pos="6831"/>
        </w:tabs>
        <w:spacing w:line="360" w:lineRule="auto"/>
        <w:ind w:firstLine="4920" w:firstLineChars="2050"/>
        <w:jc w:val="left"/>
        <w:rPr>
          <w:rFonts w:hint="eastAsia" w:ascii="宋体" w:hAnsi="宋体"/>
          <w:color w:val="auto"/>
          <w:kern w:val="0"/>
          <w:sz w:val="24"/>
          <w:szCs w:val="21"/>
        </w:rPr>
      </w:pPr>
      <w:r>
        <w:rPr>
          <w:rFonts w:ascii="宋体" w:hAnsi="宋体"/>
          <w:color w:val="auto"/>
          <w:kern w:val="0"/>
          <w:sz w:val="24"/>
          <w:szCs w:val="21"/>
        </w:rPr>
        <w:tab/>
      </w:r>
    </w:p>
    <w:p w14:paraId="3BBA7E27">
      <w:pPr>
        <w:widowControl/>
        <w:spacing w:line="360" w:lineRule="auto"/>
        <w:ind w:firstLine="4920" w:firstLineChars="2050"/>
        <w:jc w:val="left"/>
        <w:rPr>
          <w:rFonts w:hint="eastAsia" w:ascii="宋体" w:hAnsi="宋体"/>
          <w:color w:val="auto"/>
          <w:kern w:val="0"/>
          <w:sz w:val="24"/>
          <w:szCs w:val="21"/>
        </w:rPr>
      </w:pPr>
      <w:r>
        <w:rPr>
          <w:rFonts w:hint="eastAsia" w:ascii="宋体" w:hAnsi="宋体"/>
          <w:color w:val="auto"/>
          <w:kern w:val="0"/>
          <w:sz w:val="24"/>
          <w:szCs w:val="21"/>
        </w:rPr>
        <w:t>投标人</w:t>
      </w:r>
      <w:r>
        <w:rPr>
          <w:rFonts w:ascii="宋体" w:hAnsi="宋体"/>
          <w:color w:val="auto"/>
          <w:kern w:val="0"/>
          <w:sz w:val="24"/>
          <w:szCs w:val="21"/>
        </w:rPr>
        <w:t>（盖章）：</w:t>
      </w:r>
    </w:p>
    <w:p w14:paraId="4F4DE7F4">
      <w:pPr>
        <w:widowControl/>
        <w:spacing w:line="360" w:lineRule="auto"/>
        <w:ind w:firstLine="4920" w:firstLineChars="2050"/>
        <w:jc w:val="left"/>
        <w:rPr>
          <w:rFonts w:ascii="宋体" w:hAnsi="宋体"/>
          <w:color w:val="auto"/>
          <w:kern w:val="0"/>
          <w:sz w:val="24"/>
          <w:szCs w:val="21"/>
        </w:rPr>
      </w:pPr>
      <w:r>
        <w:rPr>
          <w:rFonts w:hint="eastAsia" w:ascii="宋体" w:hAnsi="宋体"/>
          <w:color w:val="auto"/>
          <w:kern w:val="0"/>
          <w:sz w:val="24"/>
          <w:szCs w:val="21"/>
        </w:rPr>
        <w:t>投标人授权代表（签字）：</w:t>
      </w:r>
    </w:p>
    <w:p w14:paraId="62CAD987">
      <w:pPr>
        <w:pStyle w:val="42"/>
        <w:spacing w:line="360" w:lineRule="auto"/>
        <w:ind w:firstLine="4920" w:firstLineChars="2050"/>
        <w:rPr>
          <w:rFonts w:hAnsi="宋体"/>
          <w:color w:val="auto"/>
          <w:kern w:val="0"/>
          <w:sz w:val="24"/>
          <w:szCs w:val="21"/>
        </w:rPr>
      </w:pPr>
      <w:r>
        <w:rPr>
          <w:rFonts w:hAnsi="宋体"/>
          <w:color w:val="auto"/>
          <w:kern w:val="0"/>
          <w:sz w:val="24"/>
          <w:szCs w:val="21"/>
        </w:rPr>
        <w:t>日　期：</w:t>
      </w:r>
    </w:p>
    <w:p w14:paraId="31AECB7E">
      <w:pPr>
        <w:pStyle w:val="42"/>
        <w:spacing w:line="360" w:lineRule="auto"/>
        <w:ind w:firstLine="4920" w:firstLineChars="2050"/>
        <w:rPr>
          <w:rFonts w:hint="eastAsia" w:hAnsi="宋体"/>
          <w:color w:val="auto"/>
          <w:kern w:val="0"/>
          <w:sz w:val="24"/>
          <w:szCs w:val="21"/>
        </w:rPr>
      </w:pPr>
    </w:p>
    <w:p w14:paraId="3BE84A19">
      <w:pPr>
        <w:spacing w:line="360" w:lineRule="auto"/>
        <w:rPr>
          <w:rFonts w:hint="eastAsia" w:ascii="宋体" w:hAnsi="宋体" w:cs="宋体"/>
          <w:b/>
          <w:bCs/>
          <w:color w:val="auto"/>
          <w:sz w:val="24"/>
        </w:rPr>
      </w:pPr>
      <w:r>
        <w:rPr>
          <w:rFonts w:hint="eastAsia" w:ascii="宋体" w:hAnsi="宋体" w:cs="宋体"/>
          <w:b/>
          <w:bCs/>
          <w:color w:val="auto"/>
          <w:sz w:val="24"/>
        </w:rPr>
        <w:t>注：不符合上述情形的投标人无须提供上述声明函件。</w:t>
      </w:r>
    </w:p>
    <w:p w14:paraId="6B1EB313">
      <w:pPr>
        <w:spacing w:line="360" w:lineRule="auto"/>
        <w:jc w:val="left"/>
        <w:rPr>
          <w:rFonts w:hint="eastAsia" w:ascii="仿宋" w:hAnsi="仿宋" w:eastAsia="仿宋" w:cs="仿宋_GB2312"/>
          <w:b/>
          <w:color w:val="auto"/>
          <w:sz w:val="30"/>
          <w:szCs w:val="30"/>
        </w:rPr>
      </w:pPr>
    </w:p>
    <w:p w14:paraId="619A9053">
      <w:pPr>
        <w:pStyle w:val="8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firstLine="0"/>
        <w:jc w:val="center"/>
        <w:textAlignment w:val="baseline"/>
        <w:rPr>
          <w:rFonts w:ascii="微软雅黑" w:hAnsi="微软雅黑" w:eastAsia="微软雅黑" w:cs="微软雅黑"/>
          <w:color w:val="383838"/>
          <w:sz w:val="36"/>
          <w:szCs w:val="36"/>
        </w:rPr>
      </w:pPr>
      <w:r>
        <w:rPr>
          <w:rFonts w:hint="eastAsia" w:ascii="仿宋" w:hAnsi="仿宋" w:eastAsia="仿宋" w:cs="仿宋_GB2312"/>
          <w:b/>
          <w:color w:val="auto"/>
          <w:sz w:val="30"/>
          <w:szCs w:val="30"/>
        </w:rPr>
        <w:br w:type="page"/>
      </w:r>
      <w:r>
        <w:rPr>
          <w:rFonts w:hint="eastAsia" w:ascii="微软雅黑" w:hAnsi="微软雅黑" w:eastAsia="微软雅黑" w:cs="微软雅黑"/>
          <w:b/>
          <w:bCs/>
          <w:color w:val="383838"/>
          <w:sz w:val="36"/>
          <w:szCs w:val="36"/>
          <w:shd w:val="clear" w:color="auto" w:fill="FFFFFF"/>
          <w:vertAlign w:val="baseline"/>
        </w:rPr>
        <w:t>关于符合本国产品标准的声明函</w:t>
      </w:r>
    </w:p>
    <w:p w14:paraId="3F9E5F40">
      <w:pPr>
        <w:pStyle w:val="8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ind w:left="0" w:firstLine="420"/>
        <w:textAlignment w:val="baseline"/>
        <w:rPr>
          <w:rFonts w:hint="eastAsia" w:ascii="微软雅黑" w:hAnsi="微软雅黑" w:eastAsia="微软雅黑" w:cs="微软雅黑"/>
          <w:color w:val="383838"/>
        </w:rPr>
      </w:pPr>
      <w:r>
        <w:rPr>
          <w:rFonts w:hint="eastAsia" w:ascii="微软雅黑" w:hAnsi="微软雅黑" w:eastAsia="微软雅黑" w:cs="微软雅黑"/>
          <w:color w:val="383838"/>
          <w:shd w:val="clear" w:color="auto" w:fill="FFFFFF"/>
          <w:vertAlign w:val="baseline"/>
        </w:rPr>
        <w:t> </w:t>
      </w:r>
    </w:p>
    <w:p w14:paraId="2393B9C0">
      <w:pPr>
        <w:pStyle w:val="8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本公司（单位）郑重声明，根据《国务院办公厅关于在政府采购中实施本国产品标准及相关政策的通知》（国办发〔2025〕34号）的规定，本公司（单位）提供的以下产品属于本国产品。具体情况如下：</w:t>
      </w:r>
    </w:p>
    <w:p w14:paraId="694DC4C8">
      <w:pPr>
        <w:pStyle w:val="8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1.（产品名称1）1，生产厂为（厂名）2，厂址为（生产厂址）。（产品名称1）的中国境内生产的组件成本占比≥（规定比例）3。（产品名称1）的（关键组件）4在中国境内生产。（产品名称1）的（关键工序）5在中国境内完成。</w:t>
      </w:r>
    </w:p>
    <w:p w14:paraId="224A6BB4">
      <w:pPr>
        <w:pStyle w:val="8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2.（产品名称2），生产厂为（厂名），厂址为（生产厂址）。（产品名称2）的中国境内生产的组件成本占比≥（规定比例）。（产品名称2）的（关键组件）在中国境内生产。（产品名称2）的（关键工序）在中国境内完成。</w:t>
      </w:r>
    </w:p>
    <w:p w14:paraId="026027FD">
      <w:pPr>
        <w:pStyle w:val="8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w:t>
      </w:r>
    </w:p>
    <w:p w14:paraId="270AEE49">
      <w:pPr>
        <w:pStyle w:val="8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本公司（单位）对上述声明内容的真实性负责。如有虚假，愿承担相应法律责任。</w:t>
      </w:r>
    </w:p>
    <w:p w14:paraId="50D941ED">
      <w:pPr>
        <w:pStyle w:val="8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投标人（盖章）：</w:t>
      </w:r>
    </w:p>
    <w:p w14:paraId="66F3472A">
      <w:pPr>
        <w:pStyle w:val="8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投标人授权代表（签字）：</w:t>
      </w:r>
    </w:p>
    <w:p w14:paraId="352B76CA">
      <w:pPr>
        <w:pStyle w:val="8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uto"/>
        <w:ind w:left="0" w:firstLine="420"/>
        <w:textAlignment w:val="baseline"/>
        <w:rPr>
          <w:rFonts w:hint="eastAsia" w:ascii="宋体" w:hAnsi="宋体" w:eastAsia="宋体" w:cs="宋体"/>
          <w:szCs w:val="21"/>
        </w:rPr>
      </w:pPr>
      <w:r>
        <w:rPr>
          <w:rFonts w:hint="eastAsia" w:ascii="宋体" w:hAnsi="宋体" w:eastAsia="宋体" w:cs="宋体"/>
          <w:szCs w:val="21"/>
        </w:rPr>
        <w:t>日　期：</w:t>
      </w:r>
    </w:p>
    <w:p w14:paraId="1F2A32C5">
      <w:pPr>
        <w:pStyle w:val="16"/>
        <w:rPr>
          <w:rFonts w:hint="eastAsia" w:ascii="仿宋" w:hAnsi="仿宋" w:eastAsia="仿宋" w:cs="仿宋_GB2312"/>
          <w:b/>
          <w:color w:val="auto"/>
          <w:sz w:val="30"/>
          <w:szCs w:val="30"/>
        </w:rPr>
      </w:pPr>
    </w:p>
    <w:p w14:paraId="3720BA4B">
      <w:pPr>
        <w:rPr>
          <w:rFonts w:hint="eastAsia" w:ascii="仿宋" w:hAnsi="仿宋" w:eastAsia="仿宋" w:cs="仿宋_GB2312"/>
          <w:b/>
          <w:color w:val="auto"/>
          <w:sz w:val="30"/>
          <w:szCs w:val="30"/>
        </w:rPr>
      </w:pPr>
    </w:p>
    <w:p w14:paraId="4B3B4916">
      <w:pPr>
        <w:pStyle w:val="16"/>
        <w:rPr>
          <w:rFonts w:hint="eastAsia" w:ascii="仿宋" w:hAnsi="仿宋" w:eastAsia="仿宋" w:cs="仿宋_GB2312"/>
          <w:b/>
          <w:color w:val="auto"/>
          <w:sz w:val="30"/>
          <w:szCs w:val="30"/>
        </w:rPr>
      </w:pPr>
    </w:p>
    <w:p w14:paraId="5A4F6BE9">
      <w:pPr>
        <w:rPr>
          <w:rFonts w:hint="eastAsia"/>
          <w:color w:val="auto"/>
        </w:rPr>
      </w:pPr>
    </w:p>
    <w:p w14:paraId="7D98B518">
      <w:pPr>
        <w:pStyle w:val="42"/>
        <w:rPr>
          <w:rFonts w:hint="eastAsia"/>
          <w:color w:val="auto"/>
        </w:rPr>
      </w:pPr>
    </w:p>
    <w:p w14:paraId="2E49249E">
      <w:pPr>
        <w:spacing w:line="360" w:lineRule="auto"/>
        <w:jc w:val="left"/>
        <w:rPr>
          <w:rFonts w:hint="eastAsia" w:ascii="仿宋" w:hAnsi="仿宋" w:eastAsia="仿宋" w:cs="仿宋"/>
          <w:b/>
          <w:color w:val="auto"/>
          <w:sz w:val="28"/>
          <w:szCs w:val="28"/>
        </w:rPr>
      </w:pPr>
      <w:r>
        <w:rPr>
          <w:rFonts w:hint="eastAsia" w:ascii="宋体"/>
          <w:b/>
          <w:color w:val="auto"/>
          <w:sz w:val="30"/>
          <w:szCs w:val="30"/>
        </w:rPr>
        <w:br w:type="page"/>
      </w:r>
      <w:r>
        <w:rPr>
          <w:rFonts w:hint="eastAsia" w:ascii="宋体"/>
          <w:b/>
          <w:color w:val="auto"/>
          <w:sz w:val="30"/>
          <w:szCs w:val="30"/>
        </w:rPr>
        <w:t>附件十二</w:t>
      </w:r>
      <w:r>
        <w:rPr>
          <w:rFonts w:hint="eastAsia" w:ascii="宋体" w:hAnsi="宋体"/>
          <w:b/>
          <w:color w:val="auto"/>
          <w:sz w:val="30"/>
          <w:szCs w:val="30"/>
        </w:rPr>
        <w:t>备品备件清单</w:t>
      </w:r>
    </w:p>
    <w:tbl>
      <w:tblPr>
        <w:tblStyle w:val="97"/>
        <w:tblpPr w:leftFromText="180" w:rightFromText="180" w:vertAnchor="text" w:horzAnchor="page" w:tblpX="1437" w:tblpY="31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1314"/>
        <w:gridCol w:w="1170"/>
        <w:gridCol w:w="1378"/>
        <w:gridCol w:w="2246"/>
      </w:tblGrid>
      <w:tr w14:paraId="4BACEBC7">
        <w:tblPrEx>
          <w:tblLayout w:type="fixed"/>
        </w:tblPrEx>
        <w:tc>
          <w:tcPr>
            <w:tcW w:w="3139" w:type="dxa"/>
            <w:vAlign w:val="center"/>
          </w:tcPr>
          <w:p w14:paraId="11DE620F">
            <w:pPr>
              <w:pStyle w:val="32"/>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零部件名称</w:t>
            </w:r>
          </w:p>
        </w:tc>
        <w:tc>
          <w:tcPr>
            <w:tcW w:w="1314" w:type="dxa"/>
            <w:vAlign w:val="center"/>
          </w:tcPr>
          <w:p w14:paraId="298F8D4C">
            <w:pPr>
              <w:pStyle w:val="32"/>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单位</w:t>
            </w:r>
          </w:p>
        </w:tc>
        <w:tc>
          <w:tcPr>
            <w:tcW w:w="1170" w:type="dxa"/>
            <w:vAlign w:val="center"/>
          </w:tcPr>
          <w:p w14:paraId="27D51316">
            <w:pPr>
              <w:pStyle w:val="32"/>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单价</w:t>
            </w:r>
          </w:p>
        </w:tc>
        <w:tc>
          <w:tcPr>
            <w:tcW w:w="1378" w:type="dxa"/>
            <w:vAlign w:val="center"/>
          </w:tcPr>
          <w:p w14:paraId="796A9FC8">
            <w:pPr>
              <w:pStyle w:val="32"/>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不变价格的年限</w:t>
            </w:r>
          </w:p>
        </w:tc>
        <w:tc>
          <w:tcPr>
            <w:tcW w:w="2246" w:type="dxa"/>
            <w:vAlign w:val="center"/>
          </w:tcPr>
          <w:p w14:paraId="3F1E0CF1">
            <w:pPr>
              <w:pStyle w:val="32"/>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备注</w:t>
            </w:r>
          </w:p>
        </w:tc>
      </w:tr>
      <w:tr w14:paraId="529FDA2B">
        <w:tblPrEx>
          <w:tblLayout w:type="fixed"/>
        </w:tblPrEx>
        <w:trPr>
          <w:trHeight w:val="654" w:hRule="atLeast"/>
        </w:trPr>
        <w:tc>
          <w:tcPr>
            <w:tcW w:w="3139" w:type="dxa"/>
            <w:vAlign w:val="top"/>
          </w:tcPr>
          <w:p w14:paraId="2403AE7E">
            <w:pPr>
              <w:pStyle w:val="32"/>
              <w:keepNext w:val="0"/>
              <w:keepLines w:val="0"/>
              <w:suppressLineNumbers w:val="0"/>
              <w:spacing w:beforeAutospacing="0" w:after="0" w:afterAutospacing="0"/>
              <w:ind w:left="0" w:right="0"/>
              <w:rPr>
                <w:rFonts w:hint="eastAsia" w:ascii="宋体" w:hAnsi="宋体" w:eastAsia="宋体" w:cs="宋体"/>
                <w:color w:val="auto"/>
                <w:kern w:val="0"/>
                <w:szCs w:val="21"/>
              </w:rPr>
            </w:pPr>
            <w:r>
              <w:rPr>
                <w:rFonts w:hint="eastAsia" w:ascii="宋体" w:hAnsi="宋体" w:eastAsia="宋体" w:cs="宋体"/>
                <w:color w:val="auto"/>
                <w:kern w:val="0"/>
                <w:szCs w:val="21"/>
              </w:rPr>
              <w:t>主要部件</w:t>
            </w:r>
          </w:p>
        </w:tc>
        <w:tc>
          <w:tcPr>
            <w:tcW w:w="1314" w:type="dxa"/>
            <w:vAlign w:val="top"/>
          </w:tcPr>
          <w:p w14:paraId="61A9ABA2">
            <w:pPr>
              <w:pStyle w:val="32"/>
              <w:keepNext w:val="0"/>
              <w:keepLines w:val="0"/>
              <w:suppressLineNumbers w:val="0"/>
              <w:spacing w:beforeAutospacing="0" w:after="0" w:afterAutospacing="0"/>
              <w:ind w:left="0" w:right="0"/>
              <w:rPr>
                <w:rFonts w:hint="eastAsia" w:ascii="宋体" w:hAnsi="宋体" w:eastAsia="宋体" w:cs="宋体"/>
                <w:color w:val="auto"/>
                <w:kern w:val="0"/>
                <w:szCs w:val="21"/>
              </w:rPr>
            </w:pPr>
          </w:p>
        </w:tc>
        <w:tc>
          <w:tcPr>
            <w:tcW w:w="1170" w:type="dxa"/>
            <w:vAlign w:val="top"/>
          </w:tcPr>
          <w:p w14:paraId="3CA0871A">
            <w:pPr>
              <w:pStyle w:val="32"/>
              <w:keepNext w:val="0"/>
              <w:keepLines w:val="0"/>
              <w:suppressLineNumbers w:val="0"/>
              <w:spacing w:beforeAutospacing="0" w:after="0" w:afterAutospacing="0"/>
              <w:ind w:left="0" w:right="0"/>
              <w:rPr>
                <w:rFonts w:hint="eastAsia" w:ascii="宋体" w:hAnsi="宋体" w:eastAsia="宋体" w:cs="宋体"/>
                <w:color w:val="auto"/>
                <w:kern w:val="0"/>
                <w:szCs w:val="21"/>
              </w:rPr>
            </w:pPr>
          </w:p>
        </w:tc>
        <w:tc>
          <w:tcPr>
            <w:tcW w:w="1378" w:type="dxa"/>
            <w:vAlign w:val="top"/>
          </w:tcPr>
          <w:p w14:paraId="3B20B48C">
            <w:pPr>
              <w:pStyle w:val="32"/>
              <w:keepNext w:val="0"/>
              <w:keepLines w:val="0"/>
              <w:suppressLineNumbers w:val="0"/>
              <w:spacing w:beforeAutospacing="0" w:after="0" w:afterAutospacing="0"/>
              <w:ind w:left="0" w:right="0"/>
              <w:rPr>
                <w:rFonts w:hint="eastAsia" w:ascii="宋体" w:hAnsi="宋体" w:eastAsia="宋体" w:cs="宋体"/>
                <w:color w:val="auto"/>
                <w:kern w:val="0"/>
                <w:szCs w:val="21"/>
              </w:rPr>
            </w:pPr>
          </w:p>
        </w:tc>
        <w:tc>
          <w:tcPr>
            <w:tcW w:w="2246" w:type="dxa"/>
            <w:vAlign w:val="top"/>
          </w:tcPr>
          <w:p w14:paraId="5EF68DCD">
            <w:pPr>
              <w:pStyle w:val="32"/>
              <w:keepNext w:val="0"/>
              <w:keepLines w:val="0"/>
              <w:suppressLineNumbers w:val="0"/>
              <w:spacing w:beforeAutospacing="0" w:after="0" w:afterAutospacing="0"/>
              <w:ind w:left="0" w:right="0"/>
              <w:rPr>
                <w:rFonts w:hint="eastAsia" w:ascii="宋体" w:hAnsi="宋体" w:eastAsia="宋体" w:cs="宋体"/>
                <w:color w:val="auto"/>
                <w:kern w:val="0"/>
                <w:szCs w:val="21"/>
              </w:rPr>
            </w:pPr>
          </w:p>
        </w:tc>
      </w:tr>
      <w:tr w14:paraId="36FBB2F1">
        <w:tblPrEx>
          <w:tblLayout w:type="fixed"/>
        </w:tblPrEx>
        <w:trPr>
          <w:trHeight w:val="645" w:hRule="atLeast"/>
        </w:trPr>
        <w:tc>
          <w:tcPr>
            <w:tcW w:w="3139" w:type="dxa"/>
            <w:vAlign w:val="top"/>
          </w:tcPr>
          <w:p w14:paraId="0482E76B">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vAlign w:val="top"/>
          </w:tcPr>
          <w:p w14:paraId="7EAFB640">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vAlign w:val="top"/>
          </w:tcPr>
          <w:p w14:paraId="74E09EF3">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vAlign w:val="top"/>
          </w:tcPr>
          <w:p w14:paraId="46E7E136">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vAlign w:val="top"/>
          </w:tcPr>
          <w:p w14:paraId="317F1883">
            <w:pPr>
              <w:pStyle w:val="32"/>
              <w:keepNext w:val="0"/>
              <w:keepLines w:val="0"/>
              <w:suppressLineNumbers w:val="0"/>
              <w:spacing w:beforeAutospacing="0" w:after="0" w:afterAutospacing="0"/>
              <w:ind w:left="0" w:right="0"/>
              <w:rPr>
                <w:rFonts w:hint="eastAsia" w:ascii="仿宋" w:hAnsi="仿宋" w:cs="仿宋"/>
                <w:bCs/>
                <w:color w:val="auto"/>
                <w:szCs w:val="24"/>
              </w:rPr>
            </w:pPr>
          </w:p>
        </w:tc>
      </w:tr>
      <w:tr w14:paraId="05A24E74">
        <w:tblPrEx>
          <w:tblLayout w:type="fixed"/>
        </w:tblPrEx>
        <w:trPr>
          <w:trHeight w:val="614" w:hRule="atLeast"/>
        </w:trPr>
        <w:tc>
          <w:tcPr>
            <w:tcW w:w="3139" w:type="dxa"/>
            <w:vAlign w:val="top"/>
          </w:tcPr>
          <w:p w14:paraId="48C8195C">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vAlign w:val="top"/>
          </w:tcPr>
          <w:p w14:paraId="78A84494">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vAlign w:val="top"/>
          </w:tcPr>
          <w:p w14:paraId="082D7384">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vAlign w:val="top"/>
          </w:tcPr>
          <w:p w14:paraId="3588F5CE">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vAlign w:val="top"/>
          </w:tcPr>
          <w:p w14:paraId="085954AE">
            <w:pPr>
              <w:pStyle w:val="32"/>
              <w:keepNext w:val="0"/>
              <w:keepLines w:val="0"/>
              <w:suppressLineNumbers w:val="0"/>
              <w:spacing w:beforeAutospacing="0" w:after="0" w:afterAutospacing="0"/>
              <w:ind w:left="0" w:right="0"/>
              <w:rPr>
                <w:rFonts w:hint="eastAsia" w:ascii="仿宋" w:hAnsi="仿宋" w:cs="仿宋"/>
                <w:bCs/>
                <w:color w:val="auto"/>
                <w:szCs w:val="24"/>
              </w:rPr>
            </w:pPr>
          </w:p>
        </w:tc>
      </w:tr>
      <w:tr w14:paraId="4544C993">
        <w:tblPrEx>
          <w:tblLayout w:type="fixed"/>
        </w:tblPrEx>
        <w:trPr>
          <w:trHeight w:val="614" w:hRule="atLeast"/>
        </w:trPr>
        <w:tc>
          <w:tcPr>
            <w:tcW w:w="3139" w:type="dxa"/>
            <w:vAlign w:val="top"/>
          </w:tcPr>
          <w:p w14:paraId="605F2124">
            <w:pPr>
              <w:pStyle w:val="32"/>
              <w:keepNext w:val="0"/>
              <w:keepLines w:val="0"/>
              <w:suppressLineNumbers w:val="0"/>
              <w:spacing w:beforeAutospacing="0" w:after="0" w:afterAutospacing="0"/>
              <w:ind w:left="0" w:right="0"/>
              <w:rPr>
                <w:rFonts w:hint="eastAsia" w:ascii="仿宋" w:hAnsi="仿宋" w:cs="仿宋"/>
                <w:bCs/>
                <w:color w:val="auto"/>
                <w:szCs w:val="24"/>
              </w:rPr>
            </w:pPr>
            <w:r>
              <w:rPr>
                <w:rFonts w:hint="eastAsia" w:ascii="宋体" w:hAnsi="宋体" w:eastAsia="宋体" w:cs="宋体"/>
                <w:color w:val="auto"/>
                <w:kern w:val="0"/>
                <w:szCs w:val="21"/>
              </w:rPr>
              <w:t>易损易耗件</w:t>
            </w:r>
          </w:p>
        </w:tc>
        <w:tc>
          <w:tcPr>
            <w:tcW w:w="1314" w:type="dxa"/>
            <w:vAlign w:val="top"/>
          </w:tcPr>
          <w:p w14:paraId="3C1DA7C0">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vAlign w:val="top"/>
          </w:tcPr>
          <w:p w14:paraId="03CE2656">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vAlign w:val="top"/>
          </w:tcPr>
          <w:p w14:paraId="62A8DD0A">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vAlign w:val="top"/>
          </w:tcPr>
          <w:p w14:paraId="0D19C940">
            <w:pPr>
              <w:pStyle w:val="32"/>
              <w:keepNext w:val="0"/>
              <w:keepLines w:val="0"/>
              <w:suppressLineNumbers w:val="0"/>
              <w:spacing w:beforeAutospacing="0" w:after="0" w:afterAutospacing="0"/>
              <w:ind w:left="0" w:right="0"/>
              <w:rPr>
                <w:rFonts w:hint="eastAsia" w:ascii="仿宋" w:hAnsi="仿宋" w:cs="仿宋"/>
                <w:bCs/>
                <w:color w:val="auto"/>
                <w:szCs w:val="24"/>
              </w:rPr>
            </w:pPr>
          </w:p>
        </w:tc>
      </w:tr>
      <w:tr w14:paraId="1777203E">
        <w:tblPrEx>
          <w:tblLayout w:type="fixed"/>
        </w:tblPrEx>
        <w:trPr>
          <w:trHeight w:val="90" w:hRule="atLeast"/>
        </w:trPr>
        <w:tc>
          <w:tcPr>
            <w:tcW w:w="3139" w:type="dxa"/>
            <w:vAlign w:val="top"/>
          </w:tcPr>
          <w:p w14:paraId="7B4D2D4B">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vAlign w:val="top"/>
          </w:tcPr>
          <w:p w14:paraId="760EB1BB">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vAlign w:val="top"/>
          </w:tcPr>
          <w:p w14:paraId="1F9319B1">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vAlign w:val="top"/>
          </w:tcPr>
          <w:p w14:paraId="306C02D3">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vAlign w:val="top"/>
          </w:tcPr>
          <w:p w14:paraId="37BB72D2">
            <w:pPr>
              <w:pStyle w:val="32"/>
              <w:keepNext w:val="0"/>
              <w:keepLines w:val="0"/>
              <w:suppressLineNumbers w:val="0"/>
              <w:spacing w:beforeAutospacing="0" w:after="0" w:afterAutospacing="0"/>
              <w:ind w:left="0" w:right="0"/>
              <w:rPr>
                <w:rFonts w:hint="eastAsia" w:ascii="仿宋" w:hAnsi="仿宋" w:cs="仿宋"/>
                <w:bCs/>
                <w:color w:val="auto"/>
                <w:szCs w:val="24"/>
              </w:rPr>
            </w:pPr>
          </w:p>
        </w:tc>
      </w:tr>
      <w:tr w14:paraId="75C35DA5">
        <w:tblPrEx>
          <w:tblLayout w:type="fixed"/>
        </w:tblPrEx>
        <w:trPr>
          <w:trHeight w:val="614" w:hRule="atLeast"/>
        </w:trPr>
        <w:tc>
          <w:tcPr>
            <w:tcW w:w="3139" w:type="dxa"/>
            <w:vAlign w:val="top"/>
          </w:tcPr>
          <w:p w14:paraId="368E0C1C">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1314" w:type="dxa"/>
            <w:vAlign w:val="top"/>
          </w:tcPr>
          <w:p w14:paraId="455B8940">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1170" w:type="dxa"/>
            <w:vAlign w:val="top"/>
          </w:tcPr>
          <w:p w14:paraId="5C9ADB14">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1378" w:type="dxa"/>
            <w:vAlign w:val="top"/>
          </w:tcPr>
          <w:p w14:paraId="2297D108">
            <w:pPr>
              <w:pStyle w:val="32"/>
              <w:keepNext w:val="0"/>
              <w:keepLines w:val="0"/>
              <w:suppressLineNumbers w:val="0"/>
              <w:spacing w:beforeAutospacing="0" w:after="0" w:afterAutospacing="0"/>
              <w:ind w:left="0" w:right="0"/>
              <w:rPr>
                <w:rFonts w:hint="eastAsia" w:ascii="仿宋" w:hAnsi="仿宋" w:cs="仿宋"/>
                <w:bCs/>
                <w:color w:val="auto"/>
                <w:szCs w:val="24"/>
              </w:rPr>
            </w:pPr>
          </w:p>
        </w:tc>
        <w:tc>
          <w:tcPr>
            <w:tcW w:w="2246" w:type="dxa"/>
            <w:vAlign w:val="top"/>
          </w:tcPr>
          <w:p w14:paraId="4DF3B3B9">
            <w:pPr>
              <w:pStyle w:val="32"/>
              <w:keepNext w:val="0"/>
              <w:keepLines w:val="0"/>
              <w:suppressLineNumbers w:val="0"/>
              <w:spacing w:beforeAutospacing="0" w:after="0" w:afterAutospacing="0"/>
              <w:ind w:left="0" w:right="0"/>
              <w:rPr>
                <w:rFonts w:hint="eastAsia" w:ascii="仿宋" w:hAnsi="仿宋" w:cs="仿宋"/>
                <w:bCs/>
                <w:color w:val="auto"/>
                <w:szCs w:val="24"/>
              </w:rPr>
            </w:pPr>
          </w:p>
        </w:tc>
      </w:tr>
    </w:tbl>
    <w:p w14:paraId="5D7F3D63">
      <w:pPr>
        <w:pStyle w:val="32"/>
        <w:rPr>
          <w:rFonts w:hint="eastAsia"/>
          <w:color w:val="auto"/>
        </w:rPr>
      </w:pPr>
    </w:p>
    <w:p w14:paraId="43C7AC01">
      <w:pPr>
        <w:spacing w:line="360" w:lineRule="auto"/>
        <w:rPr>
          <w:rFonts w:hint="eastAsia" w:ascii="宋体"/>
          <w:b/>
          <w:color w:val="auto"/>
          <w:sz w:val="30"/>
          <w:szCs w:val="30"/>
        </w:rPr>
      </w:pPr>
      <w:r>
        <w:rPr>
          <w:rFonts w:hint="eastAsia" w:ascii="宋体"/>
          <w:b/>
          <w:color w:val="auto"/>
          <w:sz w:val="30"/>
          <w:szCs w:val="30"/>
        </w:rPr>
        <w:t>附件十三：</w:t>
      </w:r>
    </w:p>
    <w:p w14:paraId="7590B579">
      <w:pPr>
        <w:pStyle w:val="419"/>
        <w:spacing w:line="360" w:lineRule="auto"/>
        <w:jc w:val="center"/>
        <w:rPr>
          <w:rFonts w:ascii="宋体" w:hAnsi="宋体"/>
          <w:b/>
          <w:color w:val="auto"/>
          <w:sz w:val="30"/>
          <w:szCs w:val="30"/>
        </w:rPr>
      </w:pPr>
      <w:r>
        <w:rPr>
          <w:rFonts w:hint="eastAsia" w:ascii="宋体" w:hAnsi="宋体"/>
          <w:b/>
          <w:color w:val="auto"/>
          <w:sz w:val="30"/>
          <w:szCs w:val="30"/>
        </w:rPr>
        <w:t>投标人服务承诺及方案</w:t>
      </w:r>
    </w:p>
    <w:p w14:paraId="49E851A3">
      <w:pPr>
        <w:pStyle w:val="419"/>
        <w:spacing w:line="360" w:lineRule="auto"/>
        <w:jc w:val="center"/>
        <w:rPr>
          <w:rFonts w:hint="eastAsia" w:ascii="宋体" w:hAnsi="宋体"/>
          <w:b/>
          <w:color w:val="auto"/>
          <w:sz w:val="30"/>
          <w:szCs w:val="30"/>
        </w:rPr>
      </w:pPr>
    </w:p>
    <w:p w14:paraId="2B79D8AF">
      <w:pPr>
        <w:pStyle w:val="419"/>
        <w:spacing w:line="360" w:lineRule="auto"/>
        <w:jc w:val="center"/>
        <w:rPr>
          <w:rFonts w:hint="eastAsia" w:ascii="宋体" w:hAnsi="宋体"/>
          <w:b/>
          <w:color w:val="auto"/>
          <w:sz w:val="30"/>
          <w:szCs w:val="30"/>
        </w:rPr>
      </w:pPr>
    </w:p>
    <w:p w14:paraId="4163EA13">
      <w:pPr>
        <w:pStyle w:val="419"/>
        <w:spacing w:line="360" w:lineRule="auto"/>
        <w:jc w:val="center"/>
        <w:rPr>
          <w:rFonts w:hint="eastAsia" w:ascii="宋体" w:hAnsi="宋体"/>
          <w:b/>
          <w:color w:val="auto"/>
          <w:sz w:val="30"/>
          <w:szCs w:val="30"/>
        </w:rPr>
      </w:pPr>
    </w:p>
    <w:p w14:paraId="1F294646">
      <w:pPr>
        <w:pStyle w:val="419"/>
        <w:spacing w:line="360" w:lineRule="auto"/>
        <w:jc w:val="center"/>
        <w:rPr>
          <w:rFonts w:hint="eastAsia" w:ascii="宋体" w:hAnsi="宋体"/>
          <w:b/>
          <w:color w:val="auto"/>
          <w:sz w:val="30"/>
          <w:szCs w:val="30"/>
        </w:rPr>
      </w:pPr>
    </w:p>
    <w:p w14:paraId="4A7D8BEC">
      <w:pPr>
        <w:pStyle w:val="419"/>
        <w:spacing w:line="360" w:lineRule="auto"/>
        <w:jc w:val="center"/>
        <w:rPr>
          <w:rFonts w:hint="eastAsia" w:ascii="宋体" w:hAnsi="宋体"/>
          <w:b/>
          <w:color w:val="auto"/>
          <w:sz w:val="30"/>
          <w:szCs w:val="30"/>
        </w:rPr>
      </w:pPr>
    </w:p>
    <w:p w14:paraId="1C1ADDB2">
      <w:pPr>
        <w:pStyle w:val="419"/>
        <w:spacing w:line="360" w:lineRule="auto"/>
        <w:rPr>
          <w:rFonts w:hint="eastAsia" w:ascii="宋体" w:hAnsi="宋体"/>
          <w:b/>
          <w:color w:val="auto"/>
          <w:sz w:val="30"/>
          <w:szCs w:val="30"/>
        </w:rPr>
      </w:pPr>
    </w:p>
    <w:p w14:paraId="3A084C93">
      <w:pPr>
        <w:spacing w:line="360" w:lineRule="auto"/>
        <w:rPr>
          <w:rFonts w:hint="eastAsia" w:ascii="宋体"/>
          <w:b/>
          <w:color w:val="auto"/>
          <w:sz w:val="30"/>
          <w:szCs w:val="30"/>
        </w:rPr>
      </w:pPr>
      <w:r>
        <w:rPr>
          <w:rFonts w:hint="eastAsia" w:ascii="宋体"/>
          <w:b/>
          <w:color w:val="auto"/>
          <w:sz w:val="30"/>
          <w:szCs w:val="30"/>
        </w:rPr>
        <w:t>附件十四：</w:t>
      </w:r>
    </w:p>
    <w:p w14:paraId="5198F0BA">
      <w:pPr>
        <w:pStyle w:val="419"/>
        <w:spacing w:line="360" w:lineRule="auto"/>
        <w:jc w:val="center"/>
        <w:rPr>
          <w:rFonts w:hint="eastAsia" w:ascii="宋体"/>
          <w:b/>
          <w:color w:val="auto"/>
          <w:sz w:val="24"/>
        </w:rPr>
      </w:pPr>
      <w:r>
        <w:rPr>
          <w:rFonts w:hint="eastAsia" w:ascii="宋体" w:hAnsi="宋体"/>
          <w:b/>
          <w:color w:val="auto"/>
          <w:sz w:val="30"/>
          <w:szCs w:val="30"/>
        </w:rPr>
        <w:t>投标人自行提交的其他文件</w:t>
      </w:r>
    </w:p>
    <w:sectPr>
      <w:headerReference r:id="rId8" w:type="first"/>
      <w:headerReference r:id="rId7" w:type="default"/>
      <w:footerReference r:id="rId9" w:type="default"/>
      <w:footerReference r:id="rId10" w:type="even"/>
      <w:pgSz w:w="11911" w:h="16838"/>
      <w:pgMar w:top="1134" w:right="1134" w:bottom="1140" w:left="1457" w:header="851" w:footer="95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embedRegular r:id="rId1" w:fontKey="{F20FBAC9-B37E-0D2C-61FC-166AA422A3C8}"/>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00000000" w:usb1="00000000" w:usb2="00000029" w:usb3="00000000" w:csb0="200101FF" w:csb1="20280000"/>
  </w:font>
  <w:font w:name="仿宋">
    <w:panose1 w:val="02010609060101010101"/>
    <w:charset w:val="86"/>
    <w:family w:val="modern"/>
    <w:pitch w:val="default"/>
    <w:sig w:usb0="00000000" w:usb1="00000000" w:usb2="00000016" w:usb3="00000000" w:csb0="00040001" w:csb1="00000000"/>
    <w:embedRegular r:id="rId2" w:fontKey="{387F1617-CF53-34E3-61FC-166ABD1B9E1B}"/>
  </w:font>
  <w:font w:name="仿宋_GB2312">
    <w:panose1 w:val="02010609030101010101"/>
    <w:charset w:val="86"/>
    <w:family w:val="auto"/>
    <w:pitch w:val="default"/>
    <w:sig w:usb0="00000000" w:usb1="00000000" w:usb2="00000000" w:usb3="00000000" w:csb0="00040000" w:csb1="00000000"/>
    <w:embedRegular r:id="rId3" w:fontKey="{2F7898D8-3EF8-CB09-61FC-166AE23E0465}"/>
  </w:font>
  <w:font w:name="Book Antiqua">
    <w:panose1 w:val="02040602050305030304"/>
    <w:charset w:val="00"/>
    <w:family w:val="roman"/>
    <w:pitch w:val="default"/>
    <w:sig w:usb0="00000000" w:usb1="00000000" w:usb2="00000000" w:usb3="00000000" w:csb0="2000009F" w:csb1="DFD70000"/>
  </w:font>
  <w:font w:name="Verdana">
    <w:panose1 w:val="020B0604030504040204"/>
    <w:charset w:val="00"/>
    <w:family w:val="swiss"/>
    <w:pitch w:val="default"/>
    <w:sig w:usb0="00000000" w:usb1="00000000" w:usb2="00000010" w:usb3="00000000" w:csb0="2000019F" w:csb1="00000000"/>
  </w:font>
  <w:font w:name="楷体_GB2312">
    <w:panose1 w:val="02010609030101010101"/>
    <w:charset w:val="86"/>
    <w:family w:val="auto"/>
    <w:pitch w:val="default"/>
    <w:sig w:usb0="00000000" w:usb1="00000000" w:usb2="00000000" w:usb3="00000000" w:csb0="00040000" w:csb1="00000000"/>
  </w:font>
  <w:font w:name="宋体-18030">
    <w:altName w:val="微软雅黑"/>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00000000" w:usb1="00000000" w:usb2="00000016" w:usb3="00000000" w:csb0="0004001F" w:csb1="00000000"/>
    <w:embedRegular r:id="rId4" w:fontKey="{A4DD6C22-7C4F-6BFA-61FC-166A5EB9609F}"/>
  </w:font>
  <w:font w:name="Arial Unicode MS">
    <w:altName w:val="宋体"/>
    <w:panose1 w:val="020B0604020202020204"/>
    <w:charset w:val="86"/>
    <w:family w:val="roman"/>
    <w:pitch w:val="default"/>
    <w:sig w:usb0="00000000" w:usb1="00000000" w:usb2="0000003F" w:usb3="00000000" w:csb0="603F01FF" w:csb1="FFFF0000"/>
  </w:font>
  <w:font w:name="Century Gothic">
    <w:panose1 w:val="020B0502020202020204"/>
    <w:charset w:val="00"/>
    <w:family w:val="swiss"/>
    <w:pitch w:val="default"/>
    <w:sig w:usb0="00000000" w:usb1="00000000" w:usb2="00000000" w:usb3="00000000" w:csb0="2000009F" w:csb1="DFD70000"/>
  </w:font>
  <w:font w:name="Tahoma">
    <w:panose1 w:val="020B0604030504040204"/>
    <w:charset w:val="00"/>
    <w:family w:val="swiss"/>
    <w:pitch w:val="default"/>
    <w:sig w:usb0="00000000" w:usb1="00000000"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Geneva">
    <w:altName w:val="Arial"/>
    <w:panose1 w:val="00000000000000000000"/>
    <w:charset w:val="00"/>
    <w:family w:val="auto"/>
    <w:pitch w:val="default"/>
    <w:sig w:usb0="00000000" w:usb1="00000000" w:usb2="00000000" w:usb3="00000000" w:csb0="00000001"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0" w:usb1="00000000" w:usb2="00000000" w:usb3="00000000" w:csb0="00040000" w:csb1="00000000"/>
    <w:embedRegular r:id="rId5" w:fontKey="{B731B3A3-D85F-678A-61FC-166A517002F1}"/>
  </w:font>
  <w:font w:name="方正仿宋_GB2312">
    <w:panose1 w:val="02000000000000000000"/>
    <w:charset w:val="86"/>
    <w:family w:val="auto"/>
    <w:pitch w:val="default"/>
    <w:sig w:usb0="00000000" w:usb1="00000000" w:usb2="00000012" w:usb3="00000000" w:csb0="00040001" w:csb1="00000000"/>
    <w:embedRegular r:id="rId6" w:fontKey="{A1D9F8BB-1C2B-C8C8-61FC-166A4460A9DC}"/>
  </w:font>
  <w:font w:name="WPSEMBED1">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A130C">
    <w:pPr>
      <w:pStyle w:val="58"/>
      <w:jc w:val="center"/>
    </w:pPr>
    <w:r>
      <w:fldChar w:fldCharType="begin"/>
    </w:r>
    <w:r>
      <w:instrText xml:space="preserve"> PAGE   \* MERGEFORMAT </w:instrText>
    </w:r>
    <w:r>
      <w:fldChar w:fldCharType="separate"/>
    </w:r>
    <w:r>
      <w:rPr>
        <w:lang w:val="zh-CN"/>
      </w:rPr>
      <w:t>8</w:t>
    </w:r>
    <w:r>
      <w:fldChar w:fldCharType="end"/>
    </w:r>
  </w:p>
  <w:p w14:paraId="1957E854">
    <w:pPr>
      <w:pStyle w:val="5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DA95">
    <w:pPr>
      <w:pStyle w:val="58"/>
      <w:jc w:val="center"/>
    </w:pPr>
    <w:r>
      <w:fldChar w:fldCharType="begin"/>
    </w:r>
    <w:r>
      <w:instrText xml:space="preserve"> PAGE   \* MERGEFORMAT </w:instrText>
    </w:r>
    <w:r>
      <w:fldChar w:fldCharType="separate"/>
    </w:r>
    <w:r>
      <w:rPr>
        <w:lang w:val="zh-CN"/>
      </w:rPr>
      <w:t>8</w:t>
    </w:r>
    <w:r>
      <w:fldChar w:fldCharType="end"/>
    </w:r>
  </w:p>
  <w:p w14:paraId="564294FF">
    <w:pPr>
      <w:pStyle w:val="5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AE359">
    <w:pPr>
      <w:pStyle w:val="58"/>
      <w:framePr w:wrap="notBeside" w:vAnchor="text" w:hAnchor="margin" w:xAlign="center" w:y="1"/>
      <w:rPr>
        <w:rStyle w:val="91"/>
      </w:rPr>
    </w:pPr>
    <w:r>
      <w:fldChar w:fldCharType="begin"/>
    </w:r>
    <w:r>
      <w:rPr>
        <w:rStyle w:val="91"/>
      </w:rPr>
      <w:instrText xml:space="preserve">PAGE  </w:instrText>
    </w:r>
    <w:r>
      <w:fldChar w:fldCharType="separate"/>
    </w:r>
    <w:r>
      <w:rPr>
        <w:rStyle w:val="91"/>
      </w:rPr>
      <w:t>66</w:t>
    </w:r>
    <w:r>
      <w:fldChar w:fldCharType="end"/>
    </w:r>
  </w:p>
  <w:p w14:paraId="1E77EB80">
    <w:pPr>
      <w:pStyle w:val="5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B4A9">
    <w:pPr>
      <w:pStyle w:val="58"/>
      <w:framePr w:wrap="notBeside" w:vAnchor="text" w:hAnchor="margin" w:xAlign="center" w:y="1"/>
      <w:rPr>
        <w:rStyle w:val="91"/>
      </w:rPr>
    </w:pPr>
    <w:r>
      <w:fldChar w:fldCharType="begin"/>
    </w:r>
    <w:r>
      <w:rPr>
        <w:rStyle w:val="91"/>
      </w:rPr>
      <w:instrText xml:space="preserve">PAGE  </w:instrText>
    </w:r>
    <w:r>
      <w:fldChar w:fldCharType="separate"/>
    </w:r>
    <w:r>
      <w:fldChar w:fldCharType="end"/>
    </w:r>
  </w:p>
  <w:p w14:paraId="0598024C">
    <w:pPr>
      <w:pStyle w:val="5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513F">
    <w:pPr>
      <w:pStyle w:val="61"/>
      <w:jc w:val="right"/>
      <w:rPr>
        <w:rFonts w:hint="eastAsia" w:eastAsia="宋体"/>
        <w:i/>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DF59">
    <w:pPr>
      <w:pStyle w:val="61"/>
      <w:jc w:val="right"/>
      <w:rPr>
        <w:rFonts w:hint="eastAsia" w:eastAsia="宋体"/>
        <w:i/>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90D4E">
    <w:pPr>
      <w:pStyle w:val="61"/>
      <w:tabs>
        <w:tab w:val="left" w:pos="8250"/>
      </w:tabs>
      <w:ind w:firstLine="180" w:firstLineChars="100"/>
      <w:jc w:val="right"/>
      <w:rPr>
        <w:rFonts w:hint="eastAsia" w:ascii="宋体" w:eastAsia="宋体"/>
        <w:lang w:eastAsia="zh-CN"/>
      </w:rPr>
    </w:pPr>
    <w:r>
      <w:rPr>
        <w:rFonts w:hint="eastAsia" w:ascii="宋体" w:hAnsi="宋体"/>
        <w:i/>
        <w:lang w:eastAsia="zh-CN"/>
      </w:rPr>
      <w:t>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483FD">
    <w:pPr>
      <w:pStyle w:val="61"/>
      <w:jc w:val="both"/>
      <w:rPr>
        <w:rFonts w:hint="eastAsia" w:eastAsia="宋体"/>
        <w:lang w:eastAsia="zh-CN"/>
      </w:rPr>
    </w:pPr>
    <w:r>
      <w:rPr>
        <w:rFonts w:hint="eastAsia" w:ascii="宋体" w:hAnsi="宋体"/>
        <w:i/>
        <w:lang w:eastAsia="zh-CN"/>
      </w:rPr>
      <w:t>XXXXXX</w:t>
    </w:r>
    <w:r>
      <w:rPr>
        <w:rFonts w:hint="eastAsia" w:ascii="宋体" w:hAnsi="宋体"/>
        <w:i/>
      </w:rPr>
      <w:t>RHZC20117-277GK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037C36"/>
    <w:multiLevelType w:val="singleLevel"/>
    <w:tmpl w:val="80037C36"/>
    <w:lvl w:ilvl="0" w:tentative="0">
      <w:start w:val="1"/>
      <w:numFmt w:val="decimal"/>
      <w:lvlText w:val="%1."/>
      <w:lvlJc w:val="left"/>
      <w:pPr>
        <w:tabs>
          <w:tab w:val="left" w:pos="312"/>
        </w:tabs>
      </w:pPr>
    </w:lvl>
  </w:abstractNum>
  <w:abstractNum w:abstractNumId="1">
    <w:nsid w:val="BAE7BFE7"/>
    <w:multiLevelType w:val="singleLevel"/>
    <w:tmpl w:val="BAE7BFE7"/>
    <w:lvl w:ilvl="0" w:tentative="0">
      <w:start w:val="1"/>
      <w:numFmt w:val="decimal"/>
      <w:lvlText w:val="%1."/>
      <w:lvlJc w:val="left"/>
      <w:pPr>
        <w:tabs>
          <w:tab w:val="left" w:pos="312"/>
        </w:tabs>
      </w:pPr>
    </w:lvl>
  </w:abstractNum>
  <w:abstractNum w:abstractNumId="2">
    <w:nsid w:val="DEF9BBDA"/>
    <w:multiLevelType w:val="singleLevel"/>
    <w:tmpl w:val="DEF9BBDA"/>
    <w:lvl w:ilvl="0" w:tentative="0">
      <w:start w:val="1"/>
      <w:numFmt w:val="chineseCounting"/>
      <w:suff w:val="space"/>
      <w:lvlText w:val="第%1章"/>
      <w:lvlJc w:val="left"/>
      <w:rPr>
        <w:rFonts w:hint="eastAsia"/>
      </w:rPr>
    </w:lvl>
  </w:abstractNum>
  <w:abstractNum w:abstractNumId="3">
    <w:nsid w:val="FFFFFF7C"/>
    <w:multiLevelType w:val="singleLevel"/>
    <w:tmpl w:val="FFFFFF7C"/>
    <w:lvl w:ilvl="0" w:tentative="0">
      <w:start w:val="1"/>
      <w:numFmt w:val="decimal"/>
      <w:pStyle w:val="69"/>
      <w:lvlText w:val="%1."/>
      <w:lvlJc w:val="left"/>
      <w:pPr>
        <w:tabs>
          <w:tab w:val="left" w:pos="2040"/>
        </w:tabs>
        <w:ind w:left="2040" w:hanging="360"/>
      </w:pPr>
    </w:lvl>
  </w:abstractNum>
  <w:abstractNum w:abstractNumId="4">
    <w:nsid w:val="FFFFFF7D"/>
    <w:multiLevelType w:val="singleLevel"/>
    <w:tmpl w:val="FFFFFF7D"/>
    <w:lvl w:ilvl="0" w:tentative="0">
      <w:start w:val="1"/>
      <w:numFmt w:val="decimal"/>
      <w:pStyle w:val="197"/>
      <w:lvlText w:val="%1."/>
      <w:lvlJc w:val="left"/>
      <w:pPr>
        <w:tabs>
          <w:tab w:val="left" w:pos="1620"/>
        </w:tabs>
        <w:ind w:left="1620" w:hanging="360"/>
      </w:pPr>
    </w:lvl>
  </w:abstractNum>
  <w:abstractNum w:abstractNumId="5">
    <w:nsid w:val="FFFFFF7E"/>
    <w:multiLevelType w:val="singleLevel"/>
    <w:tmpl w:val="FFFFFF7E"/>
    <w:lvl w:ilvl="0" w:tentative="0">
      <w:start w:val="1"/>
      <w:numFmt w:val="decimal"/>
      <w:pStyle w:val="40"/>
      <w:lvlText w:val="%1."/>
      <w:lvlJc w:val="left"/>
      <w:pPr>
        <w:tabs>
          <w:tab w:val="left" w:pos="1200"/>
        </w:tabs>
        <w:ind w:left="1200" w:hanging="360"/>
      </w:pPr>
    </w:lvl>
  </w:abstractNum>
  <w:abstractNum w:abstractNumId="6">
    <w:nsid w:val="FFFFFF7F"/>
    <w:multiLevelType w:val="singleLevel"/>
    <w:tmpl w:val="FFFFFF7F"/>
    <w:lvl w:ilvl="0" w:tentative="0">
      <w:start w:val="1"/>
      <w:numFmt w:val="decimal"/>
      <w:pStyle w:val="18"/>
      <w:lvlText w:val="%1."/>
      <w:lvlJc w:val="left"/>
      <w:pPr>
        <w:tabs>
          <w:tab w:val="left" w:pos="780"/>
        </w:tabs>
        <w:ind w:left="780" w:hanging="360"/>
      </w:pPr>
    </w:lvl>
  </w:abstractNum>
  <w:abstractNum w:abstractNumId="7">
    <w:nsid w:val="FFFFFF80"/>
    <w:multiLevelType w:val="singleLevel"/>
    <w:tmpl w:val="FFFFFF80"/>
    <w:lvl w:ilvl="0" w:tentative="0">
      <w:start w:val="1"/>
      <w:numFmt w:val="bullet"/>
      <w:pStyle w:val="50"/>
      <w:lvlText w:val=""/>
      <w:lvlJc w:val="left"/>
      <w:pPr>
        <w:tabs>
          <w:tab w:val="left" w:pos="2040"/>
        </w:tabs>
        <w:ind w:left="2040" w:hanging="360"/>
      </w:pPr>
      <w:rPr>
        <w:rFonts w:hint="default" w:ascii="Wingdings" w:hAnsi="Wingdings"/>
      </w:rPr>
    </w:lvl>
  </w:abstractNum>
  <w:abstractNum w:abstractNumId="8">
    <w:nsid w:val="FFFFFF81"/>
    <w:multiLevelType w:val="singleLevel"/>
    <w:tmpl w:val="FFFFFF81"/>
    <w:lvl w:ilvl="0" w:tentative="0">
      <w:start w:val="1"/>
      <w:numFmt w:val="bullet"/>
      <w:pStyle w:val="22"/>
      <w:lvlText w:val=""/>
      <w:lvlJc w:val="left"/>
      <w:pPr>
        <w:tabs>
          <w:tab w:val="left" w:pos="1620"/>
        </w:tabs>
        <w:ind w:left="1620" w:hanging="360"/>
      </w:pPr>
      <w:rPr>
        <w:rFonts w:hint="default" w:ascii="Wingdings" w:hAnsi="Wingdings"/>
      </w:rPr>
    </w:lvl>
  </w:abstractNum>
  <w:abstractNum w:abstractNumId="9">
    <w:nsid w:val="FFFFFF82"/>
    <w:multiLevelType w:val="singleLevel"/>
    <w:tmpl w:val="FFFFFF82"/>
    <w:lvl w:ilvl="0" w:tentative="0">
      <w:start w:val="1"/>
      <w:numFmt w:val="bullet"/>
      <w:pStyle w:val="37"/>
      <w:lvlText w:val=""/>
      <w:lvlJc w:val="left"/>
      <w:pPr>
        <w:tabs>
          <w:tab w:val="left" w:pos="1200"/>
        </w:tabs>
        <w:ind w:left="1200" w:hanging="360"/>
      </w:pPr>
      <w:rPr>
        <w:rFonts w:hint="default" w:ascii="Wingdings" w:hAnsi="Wingdings"/>
      </w:rPr>
    </w:lvl>
  </w:abstractNum>
  <w:abstractNum w:abstractNumId="10">
    <w:nsid w:val="FFFFFF83"/>
    <w:multiLevelType w:val="singleLevel"/>
    <w:tmpl w:val="FFFFFF83"/>
    <w:lvl w:ilvl="0" w:tentative="0">
      <w:start w:val="1"/>
      <w:numFmt w:val="bullet"/>
      <w:pStyle w:val="45"/>
      <w:lvlText w:val=""/>
      <w:lvlJc w:val="left"/>
      <w:pPr>
        <w:tabs>
          <w:tab w:val="left" w:pos="780"/>
        </w:tabs>
        <w:ind w:left="780" w:hanging="360"/>
      </w:pPr>
      <w:rPr>
        <w:rFonts w:hint="default" w:ascii="Wingdings" w:hAnsi="Wingdings"/>
      </w:rPr>
    </w:lvl>
  </w:abstractNum>
  <w:abstractNum w:abstractNumId="11">
    <w:nsid w:val="FFFFFF88"/>
    <w:multiLevelType w:val="singleLevel"/>
    <w:tmpl w:val="FFFFFF88"/>
    <w:lvl w:ilvl="0" w:tentative="0">
      <w:start w:val="1"/>
      <w:numFmt w:val="decimal"/>
      <w:pStyle w:val="25"/>
      <w:lvlText w:val="%1."/>
      <w:lvlJc w:val="left"/>
      <w:pPr>
        <w:tabs>
          <w:tab w:val="left" w:pos="360"/>
        </w:tabs>
        <w:ind w:left="360" w:hanging="360"/>
      </w:pPr>
    </w:lvl>
  </w:abstractNum>
  <w:abstractNum w:abstractNumId="12">
    <w:nsid w:val="0EDB2900"/>
    <w:multiLevelType w:val="multilevel"/>
    <w:tmpl w:val="0EDB2900"/>
    <w:lvl w:ilvl="0" w:tentative="0">
      <w:start w:val="1"/>
      <w:numFmt w:val="bullet"/>
      <w:pStyle w:val="334"/>
      <w:lvlText w:val="−"/>
      <w:lvlJc w:val="left"/>
      <w:pPr>
        <w:tabs>
          <w:tab w:val="left" w:pos="2409"/>
        </w:tabs>
        <w:ind w:left="2410" w:hanging="284"/>
      </w:pPr>
      <w:rPr>
        <w:rFonts w:hint="default" w:ascii="Times New Roman" w:hAnsi="Times New Roman" w:cs="Times New Roman"/>
        <w:sz w:val="16"/>
        <w:szCs w:val="16"/>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3">
    <w:nsid w:val="10D050FE"/>
    <w:multiLevelType w:val="singleLevel"/>
    <w:tmpl w:val="10D050FE"/>
    <w:lvl w:ilvl="0" w:tentative="0">
      <w:start w:val="13"/>
      <w:numFmt w:val="decimal"/>
      <w:lvlText w:val="%1."/>
      <w:lvlJc w:val="left"/>
      <w:pPr>
        <w:tabs>
          <w:tab w:val="left" w:pos="312"/>
        </w:tabs>
      </w:pPr>
    </w:lvl>
  </w:abstractNum>
  <w:abstractNum w:abstractNumId="14">
    <w:nsid w:val="20A10221"/>
    <w:multiLevelType w:val="multilevel"/>
    <w:tmpl w:val="20A10221"/>
    <w:lvl w:ilvl="0" w:tentative="0">
      <w:start w:val="1"/>
      <w:numFmt w:val="decimal"/>
      <w:pStyle w:val="308"/>
      <w:lvlText w:val="表 2.%1"/>
      <w:lvlJc w:val="left"/>
      <w:pPr>
        <w:tabs>
          <w:tab w:val="left" w:pos="902"/>
        </w:tabs>
        <w:ind w:left="902"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23F94F04"/>
    <w:multiLevelType w:val="multilevel"/>
    <w:tmpl w:val="23F94F04"/>
    <w:lvl w:ilvl="0" w:tentative="0">
      <w:start w:val="1"/>
      <w:numFmt w:val="japaneseCounting"/>
      <w:pStyle w:val="500"/>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4230E75"/>
    <w:multiLevelType w:val="singleLevel"/>
    <w:tmpl w:val="24230E75"/>
    <w:lvl w:ilvl="0" w:tentative="0">
      <w:start w:val="3"/>
      <w:numFmt w:val="decimal"/>
      <w:suff w:val="nothing"/>
      <w:lvlText w:val="%1）"/>
      <w:lvlJc w:val="left"/>
      <w:pPr>
        <w:ind w:left="720" w:firstLine="0"/>
      </w:pPr>
    </w:lvl>
  </w:abstractNum>
  <w:abstractNum w:abstractNumId="17">
    <w:nsid w:val="27076AAD"/>
    <w:multiLevelType w:val="multilevel"/>
    <w:tmpl w:val="27076AAD"/>
    <w:lvl w:ilvl="0" w:tentative="0">
      <w:start w:val="1"/>
      <w:numFmt w:val="decimal"/>
      <w:lvlText w:val="%1"/>
      <w:lvlJc w:val="left"/>
      <w:pPr>
        <w:tabs>
          <w:tab w:val="left" w:pos="425"/>
        </w:tabs>
        <w:ind w:left="425" w:hanging="425"/>
      </w:pPr>
    </w:lvl>
    <w:lvl w:ilvl="1" w:tentative="0">
      <w:start w:val="1"/>
      <w:numFmt w:val="decimal"/>
      <w:pStyle w:val="79"/>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27727B63"/>
    <w:multiLevelType w:val="multilevel"/>
    <w:tmpl w:val="27727B63"/>
    <w:lvl w:ilvl="0" w:tentative="0">
      <w:start w:val="1"/>
      <w:numFmt w:val="bullet"/>
      <w:pStyle w:val="480"/>
      <w:lvlText w:val=""/>
      <w:lvlJc w:val="left"/>
      <w:pPr>
        <w:tabs>
          <w:tab w:val="left" w:pos="340"/>
        </w:tabs>
        <w:ind w:left="340" w:hanging="170"/>
      </w:pPr>
      <w:rPr>
        <w:rFonts w:hint="default" w:ascii="Wingdings" w:hAnsi="Wingdings"/>
        <w:color w:val="auto"/>
        <w:spacing w:val="0"/>
        <w:w w:val="100"/>
        <w:position w:val="1"/>
        <w:sz w:val="13"/>
        <w:szCs w:val="13"/>
      </w:rPr>
    </w:lvl>
    <w:lvl w:ilvl="1" w:tentative="0">
      <w:start w:val="1"/>
      <w:numFmt w:val="bullet"/>
      <w:pStyle w:val="47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9">
    <w:nsid w:val="2B89C415"/>
    <w:multiLevelType w:val="singleLevel"/>
    <w:tmpl w:val="2B89C415"/>
    <w:lvl w:ilvl="0" w:tentative="0">
      <w:start w:val="1"/>
      <w:numFmt w:val="decimal"/>
      <w:lvlText w:val="%1."/>
      <w:lvlJc w:val="left"/>
      <w:pPr>
        <w:tabs>
          <w:tab w:val="left" w:pos="312"/>
        </w:tabs>
      </w:pPr>
    </w:lvl>
  </w:abstractNum>
  <w:abstractNum w:abstractNumId="20">
    <w:nsid w:val="38600BB7"/>
    <w:multiLevelType w:val="multilevel"/>
    <w:tmpl w:val="38600BB7"/>
    <w:lvl w:ilvl="0" w:tentative="0">
      <w:start w:val="1"/>
      <w:numFmt w:val="decimal"/>
      <w:pStyle w:val="486"/>
      <w:lvlText w:val="%1．"/>
      <w:lvlJc w:val="left"/>
      <w:pPr>
        <w:tabs>
          <w:tab w:val="left" w:pos="680"/>
        </w:tabs>
        <w:ind w:left="1021" w:hanging="601"/>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504693C"/>
    <w:multiLevelType w:val="multilevel"/>
    <w:tmpl w:val="4504693C"/>
    <w:lvl w:ilvl="0" w:tentative="0">
      <w:start w:val="1"/>
      <w:numFmt w:val="bullet"/>
      <w:pStyle w:val="377"/>
      <w:lvlText w:val=""/>
      <w:lvlJc w:val="left"/>
      <w:pPr>
        <w:tabs>
          <w:tab w:val="left" w:pos="924"/>
        </w:tabs>
        <w:ind w:left="924" w:hanging="420"/>
      </w:pPr>
      <w:rPr>
        <w:rFonts w:hint="default" w:ascii="Wingdings" w:hAnsi="Wingdings"/>
      </w:rPr>
    </w:lvl>
    <w:lvl w:ilvl="1" w:tentative="0">
      <w:start w:val="1"/>
      <w:numFmt w:val="bullet"/>
      <w:lvlText w:val=""/>
      <w:lvlJc w:val="left"/>
      <w:pPr>
        <w:tabs>
          <w:tab w:val="left" w:pos="1344"/>
        </w:tabs>
        <w:ind w:left="1344" w:hanging="420"/>
      </w:pPr>
      <w:rPr>
        <w:rFonts w:hint="default" w:ascii="Wingdings" w:hAnsi="Wingdings"/>
      </w:rPr>
    </w:lvl>
    <w:lvl w:ilvl="2" w:tentative="0">
      <w:start w:val="1"/>
      <w:numFmt w:val="bullet"/>
      <w:lvlText w:val=""/>
      <w:lvlJc w:val="left"/>
      <w:pPr>
        <w:tabs>
          <w:tab w:val="left" w:pos="1764"/>
        </w:tabs>
        <w:ind w:left="1764" w:hanging="420"/>
      </w:pPr>
      <w:rPr>
        <w:rFonts w:hint="default" w:ascii="Wingdings" w:hAnsi="Wingdings"/>
      </w:rPr>
    </w:lvl>
    <w:lvl w:ilvl="3" w:tentative="0">
      <w:start w:val="1"/>
      <w:numFmt w:val="bullet"/>
      <w:lvlText w:val=""/>
      <w:lvlJc w:val="left"/>
      <w:pPr>
        <w:tabs>
          <w:tab w:val="left" w:pos="2184"/>
        </w:tabs>
        <w:ind w:left="2184" w:hanging="420"/>
      </w:pPr>
      <w:rPr>
        <w:rFonts w:hint="default" w:ascii="Wingdings" w:hAnsi="Wingdings"/>
      </w:rPr>
    </w:lvl>
    <w:lvl w:ilvl="4" w:tentative="0">
      <w:start w:val="1"/>
      <w:numFmt w:val="bullet"/>
      <w:lvlText w:val=""/>
      <w:lvlJc w:val="left"/>
      <w:pPr>
        <w:tabs>
          <w:tab w:val="left" w:pos="2604"/>
        </w:tabs>
        <w:ind w:left="2604" w:hanging="420"/>
      </w:pPr>
      <w:rPr>
        <w:rFonts w:hint="default" w:ascii="Wingdings" w:hAnsi="Wingdings"/>
      </w:rPr>
    </w:lvl>
    <w:lvl w:ilvl="5" w:tentative="0">
      <w:start w:val="1"/>
      <w:numFmt w:val="bullet"/>
      <w:lvlText w:val=""/>
      <w:lvlJc w:val="left"/>
      <w:pPr>
        <w:tabs>
          <w:tab w:val="left" w:pos="3024"/>
        </w:tabs>
        <w:ind w:left="3024" w:hanging="420"/>
      </w:pPr>
      <w:rPr>
        <w:rFonts w:hint="default" w:ascii="Wingdings" w:hAnsi="Wingdings"/>
      </w:rPr>
    </w:lvl>
    <w:lvl w:ilvl="6" w:tentative="0">
      <w:start w:val="1"/>
      <w:numFmt w:val="bullet"/>
      <w:lvlText w:val=""/>
      <w:lvlJc w:val="left"/>
      <w:pPr>
        <w:tabs>
          <w:tab w:val="left" w:pos="3444"/>
        </w:tabs>
        <w:ind w:left="3444" w:hanging="420"/>
      </w:pPr>
      <w:rPr>
        <w:rFonts w:hint="default" w:ascii="Wingdings" w:hAnsi="Wingdings"/>
      </w:rPr>
    </w:lvl>
    <w:lvl w:ilvl="7" w:tentative="0">
      <w:start w:val="1"/>
      <w:numFmt w:val="bullet"/>
      <w:lvlText w:val=""/>
      <w:lvlJc w:val="left"/>
      <w:pPr>
        <w:tabs>
          <w:tab w:val="left" w:pos="3864"/>
        </w:tabs>
        <w:ind w:left="3864" w:hanging="420"/>
      </w:pPr>
      <w:rPr>
        <w:rFonts w:hint="default" w:ascii="Wingdings" w:hAnsi="Wingdings"/>
      </w:rPr>
    </w:lvl>
    <w:lvl w:ilvl="8" w:tentative="0">
      <w:start w:val="1"/>
      <w:numFmt w:val="bullet"/>
      <w:lvlText w:val=""/>
      <w:lvlJc w:val="left"/>
      <w:pPr>
        <w:tabs>
          <w:tab w:val="left" w:pos="4284"/>
        </w:tabs>
        <w:ind w:left="4284" w:hanging="420"/>
      </w:pPr>
      <w:rPr>
        <w:rFonts w:hint="default" w:ascii="Wingdings" w:hAnsi="Wingdings"/>
      </w:rPr>
    </w:lvl>
  </w:abstractNum>
  <w:abstractNum w:abstractNumId="22">
    <w:nsid w:val="47B24A7F"/>
    <w:multiLevelType w:val="multilevel"/>
    <w:tmpl w:val="47B24A7F"/>
    <w:lvl w:ilvl="0" w:tentative="0">
      <w:start w:val="1"/>
      <w:numFmt w:val="decimal"/>
      <w:pStyle w:val="297"/>
      <w:lvlText w:val="%1、"/>
      <w:lvlJc w:val="left"/>
      <w:pPr>
        <w:tabs>
          <w:tab w:val="left" w:pos="740"/>
        </w:tabs>
        <w:ind w:left="1081" w:hanging="1081"/>
      </w:pPr>
      <w:rPr>
        <w:rFonts w:hint="default"/>
      </w:rPr>
    </w:lvl>
    <w:lvl w:ilvl="1" w:tentative="0">
      <w:start w:val="1"/>
      <w:numFmt w:val="decimal"/>
      <w:lvlText w:val="%2、"/>
      <w:lvlJc w:val="left"/>
      <w:pPr>
        <w:tabs>
          <w:tab w:val="left" w:pos="1160"/>
        </w:tabs>
        <w:ind w:left="1501" w:hanging="1081"/>
      </w:pPr>
      <w:rPr>
        <w:rFonts w:hint="default" w:ascii="Arial" w:hAnsi="Arial" w:cs="Arial"/>
        <w:b/>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4C521D17"/>
    <w:multiLevelType w:val="multilevel"/>
    <w:tmpl w:val="4C521D17"/>
    <w:lvl w:ilvl="0" w:tentative="0">
      <w:start w:val="1"/>
      <w:numFmt w:val="decimal"/>
      <w:lvlText w:val="%1）"/>
      <w:lvlJc w:val="left"/>
      <w:pPr>
        <w:tabs>
          <w:tab w:val="left" w:pos="840"/>
        </w:tabs>
        <w:ind w:left="840" w:hanging="420"/>
      </w:pPr>
      <w:rPr>
        <w:rFonts w:hint="eastAsia"/>
      </w:rPr>
    </w:lvl>
    <w:lvl w:ilvl="1" w:tentative="0">
      <w:start w:val="1"/>
      <w:numFmt w:val="decimal"/>
      <w:pStyle w:val="435"/>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3C49141"/>
    <w:multiLevelType w:val="multilevel"/>
    <w:tmpl w:val="53C49141"/>
    <w:lvl w:ilvl="0" w:tentative="0">
      <w:start w:val="1"/>
      <w:numFmt w:val="none"/>
      <w:pStyle w:val="505"/>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pStyle w:val="326"/>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pStyle w:val="427"/>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25">
    <w:nsid w:val="58992161"/>
    <w:multiLevelType w:val="multilevel"/>
    <w:tmpl w:val="58992161"/>
    <w:lvl w:ilvl="0" w:tentative="0">
      <w:start w:val="1"/>
      <w:numFmt w:val="decimal"/>
      <w:pStyle w:val="307"/>
      <w:lvlText w:val="表 3.%1"/>
      <w:lvlJc w:val="left"/>
      <w:pPr>
        <w:tabs>
          <w:tab w:val="left" w:pos="902"/>
        </w:tabs>
        <w:ind w:left="902" w:hanging="420"/>
      </w:pPr>
      <w:rPr>
        <w:rFonts w:hint="eastAsia"/>
      </w:rPr>
    </w:lvl>
    <w:lvl w:ilvl="1" w:tentative="0">
      <w:start w:val="1"/>
      <w:numFmt w:val="lowerLetter"/>
      <w:pStyle w:val="36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58E8074C"/>
    <w:multiLevelType w:val="multilevel"/>
    <w:tmpl w:val="58E8074C"/>
    <w:lvl w:ilvl="0" w:tentative="0">
      <w:start w:val="1"/>
      <w:numFmt w:val="decimal"/>
      <w:pStyle w:val="29"/>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7">
    <w:nsid w:val="5B6D3AF1"/>
    <w:multiLevelType w:val="multilevel"/>
    <w:tmpl w:val="5B6D3AF1"/>
    <w:lvl w:ilvl="0" w:tentative="0">
      <w:start w:val="1"/>
      <w:numFmt w:val="decimal"/>
      <w:pStyle w:val="303"/>
      <w:lvlText w:val="%1　"/>
      <w:lvlJc w:val="left"/>
      <w:pPr>
        <w:tabs>
          <w:tab w:val="left" w:pos="539"/>
        </w:tabs>
        <w:ind w:left="426"/>
      </w:pPr>
      <w:rPr>
        <w:rFonts w:hint="eastAsia" w:cs="Times New Roman"/>
      </w:rPr>
    </w:lvl>
    <w:lvl w:ilvl="1" w:tentative="0">
      <w:start w:val="1"/>
      <w:numFmt w:val="decimal"/>
      <w:lvlText w:val="%1.%2　"/>
      <w:lvlJc w:val="left"/>
      <w:pPr>
        <w:tabs>
          <w:tab w:val="left" w:pos="369"/>
        </w:tabs>
        <w:ind w:left="369" w:hanging="227"/>
      </w:pPr>
      <w:rPr>
        <w:rFonts w:hint="default" w:ascii="Arial" w:hAnsi="Arial" w:eastAsia="宋体" w:cs="Times New Roman"/>
        <w:b/>
        <w:i w:val="0"/>
        <w:sz w:val="28"/>
      </w:rPr>
    </w:lvl>
    <w:lvl w:ilvl="2" w:tentative="0">
      <w:start w:val="1"/>
      <w:numFmt w:val="decimal"/>
      <w:lvlText w:val="%1.%2.%3."/>
      <w:lvlJc w:val="left"/>
      <w:pPr>
        <w:tabs>
          <w:tab w:val="left" w:pos="709"/>
        </w:tabs>
        <w:ind w:left="709" w:hanging="709"/>
      </w:pPr>
      <w:rPr>
        <w:rFonts w:hint="eastAsia" w:cs="Times New Roman"/>
      </w:rPr>
    </w:lvl>
    <w:lvl w:ilvl="3" w:tentative="0">
      <w:start w:val="0"/>
      <w:numFmt w:val="decimal"/>
      <w:lvlText w:val="%42.1.1.3"/>
      <w:lvlJc w:val="left"/>
      <w:pPr>
        <w:tabs>
          <w:tab w:val="left" w:pos="851"/>
        </w:tabs>
        <w:ind w:left="851" w:hanging="851"/>
      </w:pPr>
      <w:rPr>
        <w:rFonts w:hint="eastAsia" w:cs="Times New Roman"/>
      </w:rPr>
    </w:lvl>
    <w:lvl w:ilvl="4" w:tentative="0">
      <w:start w:val="0"/>
      <w:numFmt w:val="decimal"/>
      <w:lvlText w:val="%1.%2.%3.%4.%5."/>
      <w:lvlJc w:val="left"/>
      <w:pPr>
        <w:tabs>
          <w:tab w:val="left" w:pos="992"/>
        </w:tabs>
        <w:ind w:left="992" w:hanging="992"/>
      </w:pPr>
      <w:rPr>
        <w:rFonts w:hint="eastAsia" w:cs="Times New Roman"/>
      </w:rPr>
    </w:lvl>
    <w:lvl w:ilvl="5" w:tentative="0">
      <w:start w:val="0"/>
      <w:numFmt w:val="decimal"/>
      <w:lvlText w:val="%1.%2.%3.%4.%5.%6."/>
      <w:lvlJc w:val="left"/>
      <w:pPr>
        <w:tabs>
          <w:tab w:val="left" w:pos="1134"/>
        </w:tabs>
        <w:ind w:left="1134" w:hanging="1134"/>
      </w:pPr>
      <w:rPr>
        <w:rFonts w:hint="eastAsia" w:cs="Times New Roman"/>
      </w:rPr>
    </w:lvl>
    <w:lvl w:ilvl="6" w:tentative="0">
      <w:start w:val="0"/>
      <w:numFmt w:val="decimal"/>
      <w:lvlText w:val="%1.%2.%3.%4.%5.%6.%7."/>
      <w:lvlJc w:val="left"/>
      <w:pPr>
        <w:tabs>
          <w:tab w:val="left" w:pos="1276"/>
        </w:tabs>
        <w:ind w:left="1276" w:hanging="1276"/>
      </w:pPr>
      <w:rPr>
        <w:rFonts w:hint="eastAsia" w:cs="Times New Roman"/>
      </w:rPr>
    </w:lvl>
    <w:lvl w:ilvl="7" w:tentative="0">
      <w:start w:val="0"/>
      <w:numFmt w:val="decimal"/>
      <w:lvlText w:val="%1.%2.%3.%4.%5.%6.%7.%8."/>
      <w:lvlJc w:val="left"/>
      <w:pPr>
        <w:tabs>
          <w:tab w:val="left" w:pos="1418"/>
        </w:tabs>
        <w:ind w:left="1418" w:hanging="1418"/>
      </w:pPr>
      <w:rPr>
        <w:rFonts w:hint="eastAsia" w:cs="Times New Roman"/>
      </w:rPr>
    </w:lvl>
    <w:lvl w:ilvl="8" w:tentative="0">
      <w:start w:val="0"/>
      <w:numFmt w:val="decimal"/>
      <w:lvlText w:val="%1.%2.%3.%4.%5.%6.%7.%8.%9."/>
      <w:lvlJc w:val="left"/>
      <w:pPr>
        <w:tabs>
          <w:tab w:val="left" w:pos="1559"/>
        </w:tabs>
        <w:ind w:left="1559" w:hanging="1559"/>
      </w:pPr>
      <w:rPr>
        <w:rFonts w:hint="eastAsia" w:cs="Times New Roman"/>
      </w:rPr>
    </w:lvl>
  </w:abstractNum>
  <w:abstractNum w:abstractNumId="28">
    <w:nsid w:val="5CA61692"/>
    <w:multiLevelType w:val="multilevel"/>
    <w:tmpl w:val="5CA61692"/>
    <w:lvl w:ilvl="0" w:tentative="0">
      <w:start w:val="1"/>
      <w:numFmt w:val="decimal"/>
      <w:lvlText w:val="%1."/>
      <w:lvlJc w:val="left"/>
      <w:pPr>
        <w:tabs>
          <w:tab w:val="left" w:pos="425"/>
        </w:tabs>
        <w:ind w:left="425" w:hanging="425"/>
      </w:pPr>
      <w:rPr>
        <w:rFonts w:hint="eastAsia"/>
      </w:rPr>
    </w:lvl>
    <w:lvl w:ilvl="1" w:tentative="0">
      <w:start w:val="3"/>
      <w:numFmt w:val="decimal"/>
      <w:lvlText w:val="%1.%2."/>
      <w:lvlJc w:val="left"/>
      <w:pPr>
        <w:tabs>
          <w:tab w:val="left" w:pos="567"/>
        </w:tabs>
        <w:ind w:left="567" w:hanging="567"/>
      </w:pPr>
      <w:rPr>
        <w:rFonts w:hint="eastAsia"/>
      </w:rPr>
    </w:lvl>
    <w:lvl w:ilvl="2" w:tentative="0">
      <w:start w:val="1"/>
      <w:numFmt w:val="decimal"/>
      <w:lvlRestart w:val="0"/>
      <w:lvlText w:val="表%1.%2-%3."/>
      <w:lvlJc w:val="left"/>
      <w:pPr>
        <w:tabs>
          <w:tab w:val="left" w:pos="709"/>
        </w:tabs>
        <w:ind w:left="709" w:hanging="709"/>
      </w:pPr>
      <w:rPr>
        <w:rFonts w:hint="eastAsia" w:eastAsia="宋体"/>
        <w:sz w:val="18"/>
      </w:rPr>
    </w:lvl>
    <w:lvl w:ilvl="3" w:tentative="0">
      <w:start w:val="1"/>
      <w:numFmt w:val="decimal"/>
      <w:pStyle w:val="300"/>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2%3%6%1...%4.%5..%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9">
    <w:nsid w:val="5CB13A7B"/>
    <w:multiLevelType w:val="multilevel"/>
    <w:tmpl w:val="5CB13A7B"/>
    <w:lvl w:ilvl="0" w:tentative="0">
      <w:start w:val="1"/>
      <w:numFmt w:val="decimal"/>
      <w:lvlText w:val="表1-%1"/>
      <w:lvlJc w:val="left"/>
      <w:pPr>
        <w:tabs>
          <w:tab w:val="left" w:pos="2100"/>
        </w:tabs>
        <w:ind w:left="2100" w:hanging="420"/>
      </w:pPr>
      <w:rPr>
        <w:rFonts w:hint="eastAsia" w:eastAsia="宋体"/>
        <w:b w:val="0"/>
        <w:i w:val="0"/>
        <w:sz w:val="21"/>
      </w:rPr>
    </w:lvl>
    <w:lvl w:ilvl="1" w:tentative="0">
      <w:start w:val="1"/>
      <w:numFmt w:val="decimal"/>
      <w:pStyle w:val="396"/>
      <w:lvlText w:val="表1-%2"/>
      <w:lvlJc w:val="left"/>
      <w:pPr>
        <w:tabs>
          <w:tab w:val="left" w:pos="1669"/>
        </w:tabs>
        <w:ind w:left="1669" w:hanging="420"/>
      </w:pPr>
      <w:rPr>
        <w:rFonts w:hint="eastAsia" w:eastAsia="宋体"/>
        <w:b/>
        <w:i w:val="0"/>
        <w:sz w:val="21"/>
      </w:rPr>
    </w:lvl>
    <w:lvl w:ilvl="2" w:tentative="0">
      <w:start w:val="1"/>
      <w:numFmt w:val="lowerRoman"/>
      <w:lvlText w:val="%3."/>
      <w:lvlJc w:val="right"/>
      <w:pPr>
        <w:tabs>
          <w:tab w:val="left" w:pos="2089"/>
        </w:tabs>
        <w:ind w:left="2089" w:hanging="420"/>
      </w:pPr>
    </w:lvl>
    <w:lvl w:ilvl="3" w:tentative="0">
      <w:start w:val="1"/>
      <w:numFmt w:val="decimal"/>
      <w:lvlText w:val="%4."/>
      <w:lvlJc w:val="left"/>
      <w:pPr>
        <w:tabs>
          <w:tab w:val="left" w:pos="2509"/>
        </w:tabs>
        <w:ind w:left="2509" w:hanging="420"/>
      </w:pPr>
    </w:lvl>
    <w:lvl w:ilvl="4" w:tentative="0">
      <w:start w:val="1"/>
      <w:numFmt w:val="lowerLetter"/>
      <w:lvlText w:val="%5)"/>
      <w:lvlJc w:val="left"/>
      <w:pPr>
        <w:tabs>
          <w:tab w:val="left" w:pos="2929"/>
        </w:tabs>
        <w:ind w:left="2929" w:hanging="420"/>
      </w:pPr>
    </w:lvl>
    <w:lvl w:ilvl="5" w:tentative="0">
      <w:start w:val="1"/>
      <w:numFmt w:val="lowerRoman"/>
      <w:lvlText w:val="%6."/>
      <w:lvlJc w:val="right"/>
      <w:pPr>
        <w:tabs>
          <w:tab w:val="left" w:pos="3349"/>
        </w:tabs>
        <w:ind w:left="3349" w:hanging="420"/>
      </w:pPr>
    </w:lvl>
    <w:lvl w:ilvl="6" w:tentative="0">
      <w:start w:val="1"/>
      <w:numFmt w:val="decimal"/>
      <w:lvlText w:val="%7."/>
      <w:lvlJc w:val="left"/>
      <w:pPr>
        <w:tabs>
          <w:tab w:val="left" w:pos="3769"/>
        </w:tabs>
        <w:ind w:left="3769" w:hanging="420"/>
      </w:pPr>
    </w:lvl>
    <w:lvl w:ilvl="7" w:tentative="0">
      <w:start w:val="1"/>
      <w:numFmt w:val="lowerLetter"/>
      <w:lvlText w:val="%8)"/>
      <w:lvlJc w:val="left"/>
      <w:pPr>
        <w:tabs>
          <w:tab w:val="left" w:pos="4189"/>
        </w:tabs>
        <w:ind w:left="4189" w:hanging="420"/>
      </w:pPr>
    </w:lvl>
    <w:lvl w:ilvl="8" w:tentative="0">
      <w:start w:val="1"/>
      <w:numFmt w:val="lowerRoman"/>
      <w:lvlText w:val="%9."/>
      <w:lvlJc w:val="right"/>
      <w:pPr>
        <w:tabs>
          <w:tab w:val="left" w:pos="4609"/>
        </w:tabs>
        <w:ind w:left="4609" w:hanging="420"/>
      </w:pPr>
    </w:lvl>
  </w:abstractNum>
  <w:abstractNum w:abstractNumId="30">
    <w:nsid w:val="6E230785"/>
    <w:multiLevelType w:val="multilevel"/>
    <w:tmpl w:val="6E230785"/>
    <w:lvl w:ilvl="0" w:tentative="0">
      <w:start w:val="1"/>
      <w:numFmt w:val="bullet"/>
      <w:pStyle w:val="442"/>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1">
    <w:nsid w:val="701A5218"/>
    <w:multiLevelType w:val="singleLevel"/>
    <w:tmpl w:val="701A5218"/>
    <w:lvl w:ilvl="0" w:tentative="0">
      <w:start w:val="1"/>
      <w:numFmt w:val="lowerLetter"/>
      <w:pStyle w:val="516"/>
      <w:lvlText w:val="(%1)"/>
      <w:lvlJc w:val="left"/>
      <w:pPr>
        <w:tabs>
          <w:tab w:val="left" w:pos="1695"/>
        </w:tabs>
        <w:ind w:left="1695" w:hanging="450"/>
      </w:pPr>
      <w:rPr>
        <w:rFonts w:hint="default"/>
      </w:rPr>
    </w:lvl>
  </w:abstractNum>
  <w:abstractNum w:abstractNumId="32">
    <w:nsid w:val="747C0792"/>
    <w:multiLevelType w:val="multilevel"/>
    <w:tmpl w:val="747C0792"/>
    <w:lvl w:ilvl="0" w:tentative="0">
      <w:start w:val="1"/>
      <w:numFmt w:val="koreanDigital2"/>
      <w:lvlText w:val="%1."/>
      <w:lvlJc w:val="left"/>
      <w:pPr>
        <w:tabs>
          <w:tab w:val="left" w:pos="0"/>
        </w:tabs>
        <w:ind w:left="420" w:hanging="420"/>
      </w:pPr>
      <w:rPr>
        <w:rFonts w:hint="default"/>
        <w:lang w:val="en-US"/>
      </w:rPr>
    </w:lvl>
    <w:lvl w:ilvl="1" w:tentative="0">
      <w:start w:val="1"/>
      <w:numFmt w:val="bullet"/>
      <w:pStyle w:val="369"/>
      <w:lvlText w:val=""/>
      <w:lvlJc w:val="left"/>
      <w:pPr>
        <w:tabs>
          <w:tab w:val="left" w:pos="420"/>
        </w:tabs>
        <w:ind w:left="839" w:hanging="419"/>
      </w:pPr>
      <w:rPr>
        <w:rFonts w:hint="default"/>
      </w:rPr>
    </w:lvl>
    <w:lvl w:ilvl="2" w:tentative="0">
      <w:start w:val="1"/>
      <w:numFmt w:val="decimal"/>
      <w:lvlRestart w:val="1"/>
      <w:pStyle w:val="411"/>
      <w:lvlText w:val="%3、"/>
      <w:lvlJc w:val="left"/>
      <w:pPr>
        <w:tabs>
          <w:tab w:val="left" w:pos="-60"/>
        </w:tabs>
        <w:ind w:left="779" w:hanging="419"/>
      </w:pPr>
      <w:rPr>
        <w:rFonts w:hint="eastAsia"/>
      </w:rPr>
    </w:lvl>
    <w:lvl w:ilvl="3" w:tentative="0">
      <w:start w:val="1"/>
      <w:numFmt w:val="decimal"/>
      <w:lvlText w:val="%4)"/>
      <w:lvlJc w:val="left"/>
      <w:pPr>
        <w:tabs>
          <w:tab w:val="left" w:pos="1259"/>
        </w:tabs>
        <w:ind w:left="1259" w:hanging="420"/>
      </w:pPr>
      <w:rPr>
        <w:rFonts w:hint="default"/>
        <w:lang w:val="en-US"/>
      </w:rPr>
    </w:lvl>
    <w:lvl w:ilvl="4" w:tentative="0">
      <w:start w:val="1"/>
      <w:numFmt w:val="decimal"/>
      <w:lvlRestart w:val="3"/>
      <w:pStyle w:val="366"/>
      <w:lvlText w:val="%5)"/>
      <w:lvlJc w:val="left"/>
      <w:pPr>
        <w:tabs>
          <w:tab w:val="left" w:pos="1259"/>
        </w:tabs>
        <w:ind w:left="1678" w:hanging="419"/>
      </w:pPr>
      <w:rPr>
        <w:rFonts w:hint="eastAsia"/>
      </w:rPr>
    </w:lvl>
    <w:lvl w:ilvl="5" w:tentative="0">
      <w:start w:val="1"/>
      <w:numFmt w:val="bullet"/>
      <w:lvlRestart w:val="0"/>
      <w:pStyle w:val="360"/>
      <w:lvlText w:val=""/>
      <w:lvlJc w:val="left"/>
      <w:pPr>
        <w:tabs>
          <w:tab w:val="left" w:pos="1678"/>
        </w:tabs>
        <w:ind w:left="2098" w:hanging="420"/>
      </w:pPr>
      <w:rPr>
        <w:rFonts w:hint="default" w:ascii="Wingdings" w:hAnsi="Wingdings"/>
      </w:rPr>
    </w:lvl>
    <w:lvl w:ilvl="6" w:tentative="0">
      <w:start w:val="1"/>
      <w:numFmt w:val="none"/>
      <w:suff w:val="nothing"/>
      <w:lvlText w:val=""/>
      <w:lvlJc w:val="left"/>
      <w:pPr>
        <w:ind w:left="0" w:firstLine="0"/>
      </w:pPr>
      <w:rPr>
        <w:rFonts w:hint="eastAsia"/>
      </w:rPr>
    </w:lvl>
    <w:lvl w:ilvl="7" w:tentative="0">
      <w:start w:val="1"/>
      <w:numFmt w:val="decimal"/>
      <w:lvlRestart w:val="1"/>
      <w:isLgl/>
      <w:suff w:val="space"/>
      <w:lvlText w:val="%8"/>
      <w:lvlJc w:val="left"/>
      <w:pPr>
        <w:ind w:left="0" w:firstLine="0"/>
      </w:pPr>
      <w:rPr>
        <w:rFonts w:hint="eastAsia"/>
      </w:rPr>
    </w:lvl>
    <w:lvl w:ilvl="8" w:tentative="0">
      <w:start w:val="1"/>
      <w:numFmt w:val="decimal"/>
      <w:lvlRestart w:val="1"/>
      <w:isLgl/>
      <w:suff w:val="space"/>
      <w:lvlText w:val="%9"/>
      <w:lvlJc w:val="left"/>
      <w:pPr>
        <w:ind w:left="0" w:firstLine="0"/>
      </w:pPr>
      <w:rPr>
        <w:rFonts w:hint="eastAsia"/>
      </w:rPr>
    </w:lvl>
  </w:abstractNum>
  <w:num w:numId="1">
    <w:abstractNumId w:val="6"/>
  </w:num>
  <w:num w:numId="2">
    <w:abstractNumId w:val="8"/>
  </w:num>
  <w:num w:numId="3">
    <w:abstractNumId w:val="11"/>
  </w:num>
  <w:num w:numId="4">
    <w:abstractNumId w:val="26"/>
  </w:num>
  <w:num w:numId="5">
    <w:abstractNumId w:val="9"/>
  </w:num>
  <w:num w:numId="6">
    <w:abstractNumId w:val="5"/>
  </w:num>
  <w:num w:numId="7">
    <w:abstractNumId w:val="10"/>
  </w:num>
  <w:num w:numId="8">
    <w:abstractNumId w:val="7"/>
  </w:num>
  <w:num w:numId="9">
    <w:abstractNumId w:val="3"/>
  </w:num>
  <w:num w:numId="10">
    <w:abstractNumId w:val="17"/>
  </w:num>
  <w:num w:numId="11">
    <w:abstractNumId w:val="4"/>
  </w:num>
  <w:num w:numId="12">
    <w:abstractNumId w:val="22"/>
  </w:num>
  <w:num w:numId="13">
    <w:abstractNumId w:val="28"/>
  </w:num>
  <w:num w:numId="14">
    <w:abstractNumId w:val="27"/>
  </w:num>
  <w:num w:numId="15">
    <w:abstractNumId w:val="25"/>
  </w:num>
  <w:num w:numId="16">
    <w:abstractNumId w:val="14"/>
  </w:num>
  <w:num w:numId="17">
    <w:abstractNumId w:val="24"/>
  </w:num>
  <w:num w:numId="18">
    <w:abstractNumId w:val="12"/>
  </w:num>
  <w:num w:numId="19">
    <w:abstractNumId w:val="32"/>
  </w:num>
  <w:num w:numId="20">
    <w:abstractNumId w:val="21"/>
  </w:num>
  <w:num w:numId="21">
    <w:abstractNumId w:val="29"/>
  </w:num>
  <w:num w:numId="22">
    <w:abstractNumId w:val="23"/>
  </w:num>
  <w:num w:numId="23">
    <w:abstractNumId w:val="30"/>
  </w:num>
  <w:num w:numId="24">
    <w:abstractNumId w:val="18"/>
  </w:num>
  <w:num w:numId="25">
    <w:abstractNumId w:val="20"/>
  </w:num>
  <w:num w:numId="26">
    <w:abstractNumId w:val="15"/>
  </w:num>
  <w:num w:numId="27">
    <w:abstractNumId w:val="31"/>
  </w:num>
  <w:num w:numId="28">
    <w:abstractNumId w:val="2"/>
  </w:num>
  <w:num w:numId="29">
    <w:abstractNumId w:val="13"/>
  </w:num>
  <w:num w:numId="30">
    <w:abstractNumId w:val="0"/>
  </w:num>
  <w:num w:numId="31">
    <w:abstractNumId w:val="19"/>
  </w:num>
  <w:num w:numId="32">
    <w:abstractNumId w:val="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TrueTypeFonts/>
  <w:saveSubsetFonts/>
  <w:bordersDoNotSurroundHeader w:val="0"/>
  <w:bordersDoNotSurroundFooter w:val="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1"/>
    <w:qFormat/>
    <w:uiPriority w:val="0"/>
    <w:pPr>
      <w:spacing w:before="100" w:beforeLines="0" w:beforeAutospacing="1" w:after="100" w:afterLines="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102"/>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03"/>
    <w:qFormat/>
    <w:uiPriority w:val="0"/>
    <w:pPr>
      <w:keepNext/>
      <w:keepLines/>
      <w:widowControl w:val="0"/>
      <w:spacing w:before="260" w:beforeLines="0" w:after="260" w:afterLines="0" w:line="415" w:lineRule="auto"/>
      <w:outlineLvl w:val="2"/>
    </w:pPr>
    <w:rPr>
      <w:rFonts w:cs="Angsana New"/>
      <w:b/>
      <w:bCs/>
      <w:sz w:val="32"/>
      <w:szCs w:val="32"/>
      <w:lang w:bidi="th-TH"/>
    </w:rPr>
  </w:style>
  <w:style w:type="paragraph" w:styleId="5">
    <w:name w:val="heading 4"/>
    <w:basedOn w:val="1"/>
    <w:next w:val="1"/>
    <w:link w:val="104"/>
    <w:qFormat/>
    <w:uiPriority w:val="0"/>
    <w:pPr>
      <w:keepNext/>
      <w:keepLines/>
      <w:widowControl w:val="0"/>
      <w:spacing w:before="280" w:beforeLines="0" w:after="290" w:afterLines="0" w:line="376" w:lineRule="auto"/>
      <w:outlineLvl w:val="3"/>
    </w:pPr>
    <w:rPr>
      <w:rFonts w:ascii="Arial" w:hAnsi="Arial" w:eastAsia="黑体"/>
      <w:b/>
      <w:bCs/>
      <w:sz w:val="28"/>
      <w:szCs w:val="28"/>
    </w:rPr>
  </w:style>
  <w:style w:type="paragraph" w:styleId="6">
    <w:name w:val="heading 5"/>
    <w:basedOn w:val="1"/>
    <w:next w:val="1"/>
    <w:link w:val="105"/>
    <w:qFormat/>
    <w:uiPriority w:val="0"/>
    <w:pPr>
      <w:keepNext/>
      <w:keepLines/>
      <w:spacing w:before="280" w:beforeLines="0" w:after="290" w:afterLines="0" w:line="376" w:lineRule="auto"/>
      <w:outlineLvl w:val="4"/>
    </w:pPr>
    <w:rPr>
      <w:b/>
      <w:bCs/>
      <w:sz w:val="28"/>
      <w:szCs w:val="28"/>
    </w:rPr>
  </w:style>
  <w:style w:type="paragraph" w:styleId="7">
    <w:name w:val="heading 6"/>
    <w:basedOn w:val="1"/>
    <w:next w:val="1"/>
    <w:link w:val="106"/>
    <w:qFormat/>
    <w:uiPriority w:val="0"/>
    <w:pPr>
      <w:keepNext/>
      <w:keepLines/>
      <w:tabs>
        <w:tab w:val="left" w:pos="1332"/>
      </w:tabs>
      <w:spacing w:before="240" w:beforeLines="0" w:after="64" w:afterLines="0" w:line="320" w:lineRule="auto"/>
      <w:ind w:left="1332" w:hanging="1152"/>
      <w:outlineLvl w:val="5"/>
    </w:pPr>
    <w:rPr>
      <w:rFonts w:ascii="Arial" w:hAnsi="Arial" w:eastAsia="黑体"/>
      <w:b/>
      <w:bCs/>
      <w:sz w:val="24"/>
    </w:rPr>
  </w:style>
  <w:style w:type="paragraph" w:styleId="8">
    <w:name w:val="heading 7"/>
    <w:basedOn w:val="1"/>
    <w:next w:val="1"/>
    <w:link w:val="107"/>
    <w:qFormat/>
    <w:uiPriority w:val="0"/>
    <w:pPr>
      <w:keepNext/>
      <w:keepLines/>
      <w:tabs>
        <w:tab w:val="left" w:pos="1476"/>
      </w:tabs>
      <w:spacing w:before="240" w:beforeLines="0" w:after="64" w:afterLines="0" w:line="320" w:lineRule="auto"/>
      <w:ind w:left="1476" w:hanging="1296"/>
      <w:outlineLvl w:val="6"/>
    </w:pPr>
    <w:rPr>
      <w:b/>
      <w:bCs/>
      <w:sz w:val="24"/>
    </w:rPr>
  </w:style>
  <w:style w:type="paragraph" w:styleId="9">
    <w:name w:val="heading 8"/>
    <w:basedOn w:val="1"/>
    <w:next w:val="1"/>
    <w:link w:val="108"/>
    <w:qFormat/>
    <w:uiPriority w:val="0"/>
    <w:pPr>
      <w:keepNext/>
      <w:keepLines/>
      <w:tabs>
        <w:tab w:val="left" w:pos="1620"/>
      </w:tabs>
      <w:spacing w:before="240" w:beforeLines="0" w:after="64" w:afterLines="0" w:line="320" w:lineRule="auto"/>
      <w:ind w:left="1620" w:hanging="1440"/>
      <w:outlineLvl w:val="7"/>
    </w:pPr>
    <w:rPr>
      <w:rFonts w:ascii="Arial" w:hAnsi="Arial" w:eastAsia="黑体"/>
      <w:sz w:val="24"/>
    </w:rPr>
  </w:style>
  <w:style w:type="paragraph" w:styleId="10">
    <w:name w:val="heading 9"/>
    <w:basedOn w:val="1"/>
    <w:next w:val="1"/>
    <w:link w:val="109"/>
    <w:qFormat/>
    <w:uiPriority w:val="0"/>
    <w:pPr>
      <w:keepNext/>
      <w:keepLines/>
      <w:tabs>
        <w:tab w:val="left" w:pos="1764"/>
      </w:tabs>
      <w:spacing w:before="240" w:beforeLines="0" w:after="64" w:afterLines="0" w:line="320" w:lineRule="auto"/>
      <w:ind w:left="1764" w:hanging="1584"/>
      <w:outlineLvl w:val="8"/>
    </w:pPr>
    <w:rPr>
      <w:rFonts w:ascii="Arial" w:hAnsi="Arial" w:eastAsia="黑体"/>
      <w:szCs w:val="21"/>
    </w:rPr>
  </w:style>
  <w:style w:type="character" w:default="1" w:styleId="88">
    <w:name w:val="Default Paragraph Font"/>
    <w:qFormat/>
    <w:uiPriority w:val="0"/>
  </w:style>
  <w:style w:type="table" w:default="1" w:styleId="9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11">
    <w:name w:val="List 3"/>
    <w:basedOn w:val="1"/>
    <w:qFormat/>
    <w:uiPriority w:val="0"/>
    <w:pPr>
      <w:adjustRightInd w:val="0"/>
      <w:spacing w:line="312" w:lineRule="atLeast"/>
      <w:ind w:left="100" w:leftChars="400" w:hanging="200" w:hangingChars="200"/>
      <w:textAlignment w:val="baseline"/>
    </w:pPr>
    <w:rPr>
      <w:rFonts w:eastAsia="仿宋"/>
      <w:kern w:val="0"/>
      <w:sz w:val="32"/>
      <w:szCs w:val="20"/>
    </w:rPr>
  </w:style>
  <w:style w:type="paragraph" w:styleId="12">
    <w:name w:val="annotation subject"/>
    <w:basedOn w:val="13"/>
    <w:next w:val="13"/>
    <w:link w:val="136"/>
    <w:qFormat/>
    <w:uiPriority w:val="99"/>
    <w:rPr>
      <w:b/>
      <w:bCs/>
    </w:rPr>
  </w:style>
  <w:style w:type="paragraph" w:styleId="13">
    <w:name w:val="annotation text"/>
    <w:basedOn w:val="1"/>
    <w:link w:val="114"/>
    <w:qFormat/>
    <w:uiPriority w:val="99"/>
    <w:pPr>
      <w:jc w:val="left"/>
    </w:pPr>
  </w:style>
  <w:style w:type="paragraph" w:styleId="14">
    <w:name w:val="toc 7"/>
    <w:basedOn w:val="1"/>
    <w:next w:val="1"/>
    <w:qFormat/>
    <w:uiPriority w:val="99"/>
    <w:pPr>
      <w:ind w:left="2520" w:leftChars="1200"/>
    </w:pPr>
  </w:style>
  <w:style w:type="paragraph" w:styleId="15">
    <w:name w:val="Body Text First Indent"/>
    <w:basedOn w:val="16"/>
    <w:next w:val="17"/>
    <w:link w:val="137"/>
    <w:qFormat/>
    <w:uiPriority w:val="0"/>
    <w:pPr>
      <w:spacing w:after="120" w:afterLines="0"/>
      <w:ind w:firstLine="420" w:firstLineChars="100"/>
      <w:jc w:val="both"/>
    </w:pPr>
    <w:rPr>
      <w:sz w:val="21"/>
    </w:rPr>
  </w:style>
  <w:style w:type="paragraph" w:styleId="16">
    <w:name w:val="Body Text"/>
    <w:basedOn w:val="1"/>
    <w:link w:val="118"/>
    <w:qFormat/>
    <w:uiPriority w:val="0"/>
    <w:pPr>
      <w:jc w:val="left"/>
    </w:pPr>
    <w:rPr>
      <w:rFonts w:ascii="宋体"/>
      <w:sz w:val="24"/>
    </w:rPr>
  </w:style>
  <w:style w:type="paragraph" w:styleId="17">
    <w:name w:val="toc 6"/>
    <w:basedOn w:val="1"/>
    <w:next w:val="1"/>
    <w:qFormat/>
    <w:uiPriority w:val="99"/>
    <w:pPr>
      <w:ind w:left="2100" w:leftChars="1000"/>
    </w:pPr>
  </w:style>
  <w:style w:type="paragraph" w:styleId="18">
    <w:name w:val="List Number 2"/>
    <w:basedOn w:val="1"/>
    <w:qFormat/>
    <w:uiPriority w:val="0"/>
    <w:pPr>
      <w:numPr>
        <w:ilvl w:val="0"/>
        <w:numId w:val="1"/>
      </w:numPr>
      <w:adjustRightInd w:val="0"/>
      <w:spacing w:line="312" w:lineRule="atLeast"/>
      <w:textAlignment w:val="baseline"/>
    </w:pPr>
    <w:rPr>
      <w:rFonts w:eastAsia="仿宋"/>
      <w:kern w:val="0"/>
      <w:sz w:val="32"/>
      <w:szCs w:val="20"/>
    </w:rPr>
  </w:style>
  <w:style w:type="paragraph" w:styleId="19">
    <w:name w:val="table of authorities"/>
    <w:basedOn w:val="1"/>
    <w:next w:val="1"/>
    <w:qFormat/>
    <w:uiPriority w:val="99"/>
    <w:pPr>
      <w:adjustRightInd w:val="0"/>
      <w:spacing w:line="312" w:lineRule="atLeast"/>
      <w:ind w:left="420" w:leftChars="200"/>
      <w:textAlignment w:val="baseline"/>
    </w:pPr>
    <w:rPr>
      <w:rFonts w:eastAsia="仿宋"/>
      <w:kern w:val="0"/>
      <w:sz w:val="32"/>
      <w:szCs w:val="20"/>
    </w:rPr>
  </w:style>
  <w:style w:type="paragraph" w:styleId="20">
    <w:name w:val="macro"/>
    <w:link w:val="100"/>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Times New Roman"/>
      <w:kern w:val="2"/>
      <w:sz w:val="24"/>
      <w:szCs w:val="24"/>
      <w:lang w:val="en-US" w:eastAsia="zh-CN" w:bidi="ar-SA"/>
    </w:rPr>
  </w:style>
  <w:style w:type="paragraph" w:styleId="21">
    <w:name w:val="Note Heading"/>
    <w:basedOn w:val="1"/>
    <w:next w:val="1"/>
    <w:link w:val="110"/>
    <w:qFormat/>
    <w:uiPriority w:val="0"/>
    <w:pPr>
      <w:adjustRightInd w:val="0"/>
      <w:spacing w:line="312" w:lineRule="atLeast"/>
      <w:jc w:val="center"/>
      <w:textAlignment w:val="baseline"/>
    </w:pPr>
    <w:rPr>
      <w:rFonts w:eastAsia="仿宋"/>
      <w:kern w:val="0"/>
      <w:sz w:val="32"/>
      <w:szCs w:val="20"/>
    </w:rPr>
  </w:style>
  <w:style w:type="paragraph" w:styleId="22">
    <w:name w:val="List Bullet 4"/>
    <w:basedOn w:val="1"/>
    <w:qFormat/>
    <w:uiPriority w:val="0"/>
    <w:pPr>
      <w:numPr>
        <w:ilvl w:val="0"/>
        <w:numId w:val="2"/>
      </w:numPr>
      <w:adjustRightInd w:val="0"/>
      <w:spacing w:line="312" w:lineRule="atLeast"/>
      <w:textAlignment w:val="baseline"/>
    </w:pPr>
    <w:rPr>
      <w:rFonts w:eastAsia="仿宋"/>
      <w:kern w:val="0"/>
      <w:sz w:val="32"/>
      <w:szCs w:val="20"/>
    </w:rPr>
  </w:style>
  <w:style w:type="paragraph" w:styleId="23">
    <w:name w:val="index 8"/>
    <w:basedOn w:val="1"/>
    <w:next w:val="1"/>
    <w:qFormat/>
    <w:uiPriority w:val="99"/>
    <w:pPr>
      <w:adjustRightInd w:val="0"/>
      <w:spacing w:line="312" w:lineRule="atLeast"/>
      <w:ind w:left="1400" w:leftChars="1400"/>
      <w:textAlignment w:val="baseline"/>
    </w:pPr>
    <w:rPr>
      <w:rFonts w:eastAsia="仿宋"/>
      <w:kern w:val="0"/>
      <w:sz w:val="32"/>
      <w:szCs w:val="20"/>
    </w:rPr>
  </w:style>
  <w:style w:type="paragraph" w:styleId="24">
    <w:name w:val="E-mail Signature"/>
    <w:basedOn w:val="1"/>
    <w:link w:val="111"/>
    <w:qFormat/>
    <w:uiPriority w:val="0"/>
    <w:pPr>
      <w:adjustRightInd w:val="0"/>
      <w:spacing w:line="312" w:lineRule="atLeast"/>
      <w:textAlignment w:val="baseline"/>
    </w:pPr>
    <w:rPr>
      <w:rFonts w:eastAsia="仿宋"/>
      <w:kern w:val="0"/>
      <w:sz w:val="32"/>
      <w:szCs w:val="20"/>
    </w:rPr>
  </w:style>
  <w:style w:type="paragraph" w:styleId="25">
    <w:name w:val="List Number"/>
    <w:basedOn w:val="1"/>
    <w:qFormat/>
    <w:uiPriority w:val="0"/>
    <w:pPr>
      <w:numPr>
        <w:ilvl w:val="0"/>
        <w:numId w:val="3"/>
      </w:numPr>
      <w:adjustRightInd w:val="0"/>
      <w:spacing w:line="312" w:lineRule="atLeast"/>
      <w:textAlignment w:val="baseline"/>
    </w:pPr>
    <w:rPr>
      <w:rFonts w:eastAsia="仿宋"/>
      <w:kern w:val="0"/>
      <w:sz w:val="32"/>
      <w:szCs w:val="20"/>
    </w:rPr>
  </w:style>
  <w:style w:type="paragraph" w:styleId="26">
    <w:name w:val="Normal Indent"/>
    <w:basedOn w:val="1"/>
    <w:link w:val="112"/>
    <w:qFormat/>
    <w:uiPriority w:val="0"/>
    <w:pPr>
      <w:spacing w:line="300" w:lineRule="auto"/>
      <w:ind w:firstLine="200" w:firstLineChars="200"/>
    </w:pPr>
  </w:style>
  <w:style w:type="paragraph" w:styleId="27">
    <w:name w:val="caption"/>
    <w:basedOn w:val="1"/>
    <w:next w:val="1"/>
    <w:qFormat/>
    <w:uiPriority w:val="0"/>
    <w:rPr>
      <w:rFonts w:ascii="Arial" w:hAnsi="Arial" w:eastAsia="黑体" w:cs="Arial"/>
      <w:sz w:val="20"/>
      <w:szCs w:val="20"/>
    </w:rPr>
  </w:style>
  <w:style w:type="paragraph" w:styleId="28">
    <w:name w:val="index 5"/>
    <w:basedOn w:val="1"/>
    <w:next w:val="1"/>
    <w:qFormat/>
    <w:uiPriority w:val="99"/>
    <w:pPr>
      <w:adjustRightInd w:val="0"/>
      <w:spacing w:line="312" w:lineRule="atLeast"/>
      <w:ind w:left="800" w:leftChars="800"/>
      <w:textAlignment w:val="baseline"/>
    </w:pPr>
    <w:rPr>
      <w:rFonts w:eastAsia="仿宋"/>
      <w:kern w:val="0"/>
      <w:sz w:val="32"/>
      <w:szCs w:val="20"/>
    </w:rPr>
  </w:style>
  <w:style w:type="paragraph" w:styleId="29">
    <w:name w:val="List Bullet"/>
    <w:basedOn w:val="1"/>
    <w:qFormat/>
    <w:uiPriority w:val="0"/>
    <w:pPr>
      <w:numPr>
        <w:ilvl w:val="0"/>
        <w:numId w:val="4"/>
      </w:numPr>
      <w:tabs>
        <w:tab w:val="left" w:pos="360"/>
      </w:tabs>
      <w:ind w:left="360" w:hanging="360" w:hangingChars="200"/>
      <w:contextualSpacing/>
    </w:pPr>
  </w:style>
  <w:style w:type="paragraph" w:styleId="30">
    <w:name w:val="envelope address"/>
    <w:basedOn w:val="1"/>
    <w:qFormat/>
    <w:uiPriority w:val="0"/>
    <w:pPr>
      <w:adjustRightInd w:val="0"/>
      <w:snapToGrid w:val="0"/>
      <w:spacing w:line="312" w:lineRule="atLeast"/>
      <w:ind w:left="100" w:leftChars="1400"/>
      <w:textAlignment w:val="baseline"/>
    </w:pPr>
    <w:rPr>
      <w:rFonts w:ascii="Arial" w:hAnsi="Arial" w:eastAsia="仿宋" w:cs="Arial"/>
      <w:kern w:val="0"/>
      <w:sz w:val="24"/>
    </w:rPr>
  </w:style>
  <w:style w:type="paragraph" w:styleId="31">
    <w:name w:val="Document Map"/>
    <w:basedOn w:val="1"/>
    <w:link w:val="113"/>
    <w:qFormat/>
    <w:uiPriority w:val="0"/>
    <w:pPr>
      <w:shd w:val="clear" w:color="auto" w:fill="000080"/>
    </w:pPr>
  </w:style>
  <w:style w:type="paragraph" w:styleId="32">
    <w:name w:val="toa heading"/>
    <w:basedOn w:val="1"/>
    <w:next w:val="1"/>
    <w:qFormat/>
    <w:uiPriority w:val="99"/>
    <w:pPr>
      <w:spacing w:before="120" w:beforeLines="0"/>
    </w:pPr>
    <w:rPr>
      <w:rFonts w:ascii="Arial" w:hAnsi="Arial" w:eastAsia="仿宋"/>
      <w:sz w:val="24"/>
      <w:szCs w:val="20"/>
    </w:rPr>
  </w:style>
  <w:style w:type="paragraph" w:styleId="33">
    <w:name w:val="index 6"/>
    <w:basedOn w:val="1"/>
    <w:next w:val="1"/>
    <w:qFormat/>
    <w:uiPriority w:val="99"/>
    <w:pPr>
      <w:adjustRightInd w:val="0"/>
      <w:spacing w:line="312" w:lineRule="atLeast"/>
      <w:ind w:left="1000" w:leftChars="1000"/>
      <w:textAlignment w:val="baseline"/>
    </w:pPr>
    <w:rPr>
      <w:rFonts w:eastAsia="仿宋"/>
      <w:kern w:val="0"/>
      <w:sz w:val="32"/>
      <w:szCs w:val="20"/>
    </w:rPr>
  </w:style>
  <w:style w:type="paragraph" w:styleId="34">
    <w:name w:val="Salutation"/>
    <w:basedOn w:val="1"/>
    <w:next w:val="1"/>
    <w:link w:val="115"/>
    <w:qFormat/>
    <w:uiPriority w:val="0"/>
    <w:pPr>
      <w:adjustRightInd w:val="0"/>
      <w:spacing w:line="312" w:lineRule="atLeast"/>
      <w:textAlignment w:val="baseline"/>
    </w:pPr>
    <w:rPr>
      <w:rFonts w:eastAsia="仿宋"/>
      <w:kern w:val="0"/>
      <w:sz w:val="32"/>
      <w:szCs w:val="20"/>
    </w:rPr>
  </w:style>
  <w:style w:type="paragraph" w:styleId="35">
    <w:name w:val="Body Text 3"/>
    <w:basedOn w:val="1"/>
    <w:link w:val="116"/>
    <w:qFormat/>
    <w:uiPriority w:val="0"/>
    <w:pPr>
      <w:adjustRightInd w:val="0"/>
      <w:spacing w:after="120" w:afterLines="0" w:line="312" w:lineRule="atLeast"/>
      <w:textAlignment w:val="baseline"/>
    </w:pPr>
    <w:rPr>
      <w:rFonts w:eastAsia="仿宋"/>
      <w:kern w:val="0"/>
      <w:sz w:val="16"/>
      <w:szCs w:val="16"/>
    </w:rPr>
  </w:style>
  <w:style w:type="paragraph" w:styleId="36">
    <w:name w:val="Closing"/>
    <w:basedOn w:val="1"/>
    <w:link w:val="117"/>
    <w:qFormat/>
    <w:uiPriority w:val="0"/>
    <w:pPr>
      <w:adjustRightInd w:val="0"/>
      <w:spacing w:line="312" w:lineRule="atLeast"/>
      <w:ind w:left="100" w:leftChars="2100"/>
      <w:textAlignment w:val="baseline"/>
    </w:pPr>
    <w:rPr>
      <w:rFonts w:eastAsia="仿宋"/>
      <w:kern w:val="0"/>
      <w:sz w:val="32"/>
      <w:szCs w:val="20"/>
    </w:rPr>
  </w:style>
  <w:style w:type="paragraph" w:styleId="37">
    <w:name w:val="List Bullet 3"/>
    <w:basedOn w:val="1"/>
    <w:qFormat/>
    <w:uiPriority w:val="0"/>
    <w:pPr>
      <w:numPr>
        <w:ilvl w:val="0"/>
        <w:numId w:val="5"/>
      </w:numPr>
      <w:adjustRightInd w:val="0"/>
      <w:spacing w:line="312" w:lineRule="atLeast"/>
      <w:textAlignment w:val="baseline"/>
    </w:pPr>
    <w:rPr>
      <w:rFonts w:eastAsia="仿宋"/>
      <w:kern w:val="0"/>
      <w:sz w:val="32"/>
      <w:szCs w:val="20"/>
    </w:rPr>
  </w:style>
  <w:style w:type="paragraph" w:styleId="38">
    <w:name w:val="Body Text Indent"/>
    <w:basedOn w:val="1"/>
    <w:next w:val="39"/>
    <w:link w:val="119"/>
    <w:qFormat/>
    <w:uiPriority w:val="0"/>
    <w:pPr>
      <w:ind w:firstLine="444"/>
    </w:pPr>
    <w:rPr>
      <w:b/>
      <w:sz w:val="24"/>
    </w:rPr>
  </w:style>
  <w:style w:type="paragraph" w:styleId="39">
    <w:name w:val="Body Text Indent 2"/>
    <w:basedOn w:val="1"/>
    <w:link w:val="120"/>
    <w:qFormat/>
    <w:uiPriority w:val="0"/>
    <w:pPr>
      <w:spacing w:after="120" w:afterLines="0" w:line="480" w:lineRule="auto"/>
      <w:ind w:left="200" w:leftChars="200"/>
    </w:pPr>
  </w:style>
  <w:style w:type="paragraph" w:styleId="40">
    <w:name w:val="List Number 3"/>
    <w:basedOn w:val="1"/>
    <w:qFormat/>
    <w:uiPriority w:val="0"/>
    <w:pPr>
      <w:numPr>
        <w:ilvl w:val="0"/>
        <w:numId w:val="6"/>
      </w:numPr>
      <w:adjustRightInd w:val="0"/>
      <w:spacing w:line="312" w:lineRule="atLeast"/>
      <w:textAlignment w:val="baseline"/>
    </w:pPr>
    <w:rPr>
      <w:rFonts w:eastAsia="仿宋"/>
      <w:kern w:val="0"/>
      <w:sz w:val="32"/>
      <w:szCs w:val="20"/>
    </w:rPr>
  </w:style>
  <w:style w:type="paragraph" w:styleId="41">
    <w:name w:val="List 2"/>
    <w:basedOn w:val="1"/>
    <w:next w:val="42"/>
    <w:qFormat/>
    <w:uiPriority w:val="0"/>
    <w:pPr>
      <w:adjustRightInd w:val="0"/>
      <w:spacing w:line="312" w:lineRule="atLeast"/>
      <w:ind w:left="100" w:leftChars="200" w:hanging="200" w:hangingChars="200"/>
      <w:textAlignment w:val="baseline"/>
    </w:pPr>
    <w:rPr>
      <w:rFonts w:eastAsia="仿宋"/>
      <w:kern w:val="0"/>
      <w:sz w:val="32"/>
      <w:szCs w:val="20"/>
    </w:rPr>
  </w:style>
  <w:style w:type="paragraph" w:styleId="42">
    <w:name w:val="Plain Text"/>
    <w:basedOn w:val="1"/>
    <w:link w:val="121"/>
    <w:qFormat/>
    <w:uiPriority w:val="99"/>
    <w:rPr>
      <w:rFonts w:ascii="宋体"/>
      <w:szCs w:val="20"/>
    </w:rPr>
  </w:style>
  <w:style w:type="paragraph" w:styleId="43">
    <w:name w:val="List Continue"/>
    <w:basedOn w:val="1"/>
    <w:qFormat/>
    <w:uiPriority w:val="0"/>
    <w:pPr>
      <w:adjustRightInd w:val="0"/>
      <w:spacing w:after="120" w:afterLines="0" w:line="312" w:lineRule="atLeast"/>
      <w:ind w:left="420" w:leftChars="200"/>
      <w:textAlignment w:val="baseline"/>
    </w:pPr>
    <w:rPr>
      <w:rFonts w:eastAsia="仿宋"/>
      <w:kern w:val="0"/>
      <w:sz w:val="32"/>
      <w:szCs w:val="20"/>
    </w:rPr>
  </w:style>
  <w:style w:type="paragraph" w:styleId="44">
    <w:name w:val="Block Text"/>
    <w:basedOn w:val="1"/>
    <w:qFormat/>
    <w:uiPriority w:val="0"/>
    <w:pPr>
      <w:adjustRightInd w:val="0"/>
      <w:spacing w:after="120" w:afterLines="0" w:line="312" w:lineRule="atLeast"/>
      <w:ind w:left="1440" w:leftChars="700" w:right="1440" w:rightChars="700"/>
      <w:textAlignment w:val="baseline"/>
    </w:pPr>
    <w:rPr>
      <w:rFonts w:eastAsia="仿宋"/>
      <w:kern w:val="0"/>
      <w:sz w:val="32"/>
      <w:szCs w:val="20"/>
    </w:rPr>
  </w:style>
  <w:style w:type="paragraph" w:styleId="45">
    <w:name w:val="List Bullet 2"/>
    <w:basedOn w:val="1"/>
    <w:qFormat/>
    <w:uiPriority w:val="0"/>
    <w:pPr>
      <w:numPr>
        <w:ilvl w:val="0"/>
        <w:numId w:val="7"/>
      </w:numPr>
      <w:adjustRightInd w:val="0"/>
      <w:spacing w:line="312" w:lineRule="atLeast"/>
      <w:textAlignment w:val="baseline"/>
    </w:pPr>
    <w:rPr>
      <w:rFonts w:eastAsia="仿宋"/>
      <w:kern w:val="0"/>
      <w:sz w:val="32"/>
      <w:szCs w:val="20"/>
    </w:rPr>
  </w:style>
  <w:style w:type="paragraph" w:styleId="46">
    <w:name w:val="HTML Address"/>
    <w:basedOn w:val="1"/>
    <w:link w:val="122"/>
    <w:qFormat/>
    <w:uiPriority w:val="0"/>
    <w:pPr>
      <w:adjustRightInd w:val="0"/>
      <w:spacing w:line="312" w:lineRule="atLeast"/>
      <w:textAlignment w:val="baseline"/>
    </w:pPr>
    <w:rPr>
      <w:rFonts w:eastAsia="仿宋"/>
      <w:i/>
      <w:iCs/>
      <w:kern w:val="0"/>
      <w:sz w:val="32"/>
      <w:szCs w:val="20"/>
    </w:rPr>
  </w:style>
  <w:style w:type="paragraph" w:styleId="47">
    <w:name w:val="index 4"/>
    <w:basedOn w:val="1"/>
    <w:next w:val="1"/>
    <w:qFormat/>
    <w:uiPriority w:val="99"/>
    <w:pPr>
      <w:adjustRightInd w:val="0"/>
      <w:spacing w:line="312" w:lineRule="atLeast"/>
      <w:ind w:left="600" w:leftChars="600"/>
      <w:textAlignment w:val="baseline"/>
    </w:pPr>
    <w:rPr>
      <w:rFonts w:eastAsia="仿宋"/>
      <w:kern w:val="0"/>
      <w:sz w:val="32"/>
      <w:szCs w:val="20"/>
    </w:rPr>
  </w:style>
  <w:style w:type="paragraph" w:styleId="48">
    <w:name w:val="toc 5"/>
    <w:basedOn w:val="1"/>
    <w:next w:val="1"/>
    <w:qFormat/>
    <w:uiPriority w:val="99"/>
    <w:pPr>
      <w:ind w:left="1680" w:leftChars="800"/>
    </w:pPr>
  </w:style>
  <w:style w:type="paragraph" w:styleId="49">
    <w:name w:val="toc 3"/>
    <w:basedOn w:val="1"/>
    <w:next w:val="1"/>
    <w:qFormat/>
    <w:uiPriority w:val="0"/>
    <w:pPr>
      <w:tabs>
        <w:tab w:val="left" w:pos="900"/>
        <w:tab w:val="right" w:leader="dot" w:pos="8494"/>
      </w:tabs>
      <w:spacing w:line="360" w:lineRule="auto"/>
      <w:ind w:left="539" w:leftChars="86" w:hanging="358" w:hangingChars="149"/>
    </w:pPr>
  </w:style>
  <w:style w:type="paragraph" w:styleId="50">
    <w:name w:val="List Bullet 5"/>
    <w:basedOn w:val="1"/>
    <w:qFormat/>
    <w:uiPriority w:val="0"/>
    <w:pPr>
      <w:numPr>
        <w:ilvl w:val="0"/>
        <w:numId w:val="8"/>
      </w:numPr>
      <w:adjustRightInd w:val="0"/>
      <w:spacing w:line="312" w:lineRule="atLeast"/>
      <w:textAlignment w:val="baseline"/>
    </w:pPr>
    <w:rPr>
      <w:rFonts w:eastAsia="仿宋"/>
      <w:kern w:val="0"/>
      <w:sz w:val="32"/>
      <w:szCs w:val="20"/>
    </w:rPr>
  </w:style>
  <w:style w:type="paragraph" w:styleId="51">
    <w:name w:val="List Number 4"/>
    <w:basedOn w:val="1"/>
    <w:qFormat/>
    <w:uiPriority w:val="0"/>
    <w:pPr>
      <w:tabs>
        <w:tab w:val="left" w:pos="1620"/>
      </w:tabs>
      <w:adjustRightInd w:val="0"/>
      <w:spacing w:line="312" w:lineRule="atLeast"/>
      <w:ind w:left="1620" w:leftChars="600" w:hanging="360" w:hangingChars="200"/>
      <w:textAlignment w:val="baseline"/>
    </w:pPr>
    <w:rPr>
      <w:rFonts w:eastAsia="仿宋"/>
      <w:kern w:val="0"/>
      <w:sz w:val="32"/>
      <w:szCs w:val="20"/>
    </w:rPr>
  </w:style>
  <w:style w:type="paragraph" w:styleId="52">
    <w:name w:val="toc 8"/>
    <w:basedOn w:val="1"/>
    <w:next w:val="1"/>
    <w:qFormat/>
    <w:uiPriority w:val="99"/>
    <w:pPr>
      <w:ind w:left="2940" w:leftChars="1400"/>
    </w:pPr>
  </w:style>
  <w:style w:type="paragraph" w:styleId="53">
    <w:name w:val="index 3"/>
    <w:basedOn w:val="1"/>
    <w:next w:val="1"/>
    <w:qFormat/>
    <w:uiPriority w:val="99"/>
    <w:pPr>
      <w:adjustRightInd w:val="0"/>
      <w:spacing w:line="312" w:lineRule="atLeast"/>
      <w:ind w:left="400" w:leftChars="400"/>
      <w:textAlignment w:val="baseline"/>
    </w:pPr>
    <w:rPr>
      <w:rFonts w:eastAsia="仿宋"/>
      <w:kern w:val="0"/>
      <w:sz w:val="32"/>
      <w:szCs w:val="20"/>
    </w:rPr>
  </w:style>
  <w:style w:type="paragraph" w:styleId="54">
    <w:name w:val="Date"/>
    <w:basedOn w:val="1"/>
    <w:next w:val="1"/>
    <w:link w:val="123"/>
    <w:qFormat/>
    <w:uiPriority w:val="0"/>
    <w:pPr>
      <w:ind w:left="2500" w:leftChars="2500"/>
    </w:pPr>
    <w:rPr>
      <w:rFonts w:ascii="宋体"/>
      <w:sz w:val="24"/>
    </w:rPr>
  </w:style>
  <w:style w:type="paragraph" w:styleId="55">
    <w:name w:val="endnote text"/>
    <w:basedOn w:val="1"/>
    <w:link w:val="124"/>
    <w:qFormat/>
    <w:uiPriority w:val="99"/>
    <w:pPr>
      <w:snapToGrid w:val="0"/>
      <w:jc w:val="left"/>
    </w:pPr>
  </w:style>
  <w:style w:type="paragraph" w:styleId="56">
    <w:name w:val="List Continue 5"/>
    <w:basedOn w:val="1"/>
    <w:qFormat/>
    <w:uiPriority w:val="0"/>
    <w:pPr>
      <w:adjustRightInd w:val="0"/>
      <w:spacing w:after="120" w:afterLines="0" w:line="312" w:lineRule="atLeast"/>
      <w:ind w:left="2100" w:leftChars="1000"/>
      <w:textAlignment w:val="baseline"/>
    </w:pPr>
    <w:rPr>
      <w:rFonts w:eastAsia="仿宋"/>
      <w:kern w:val="0"/>
      <w:sz w:val="32"/>
      <w:szCs w:val="20"/>
    </w:rPr>
  </w:style>
  <w:style w:type="paragraph" w:styleId="57">
    <w:name w:val="Balloon Text"/>
    <w:basedOn w:val="1"/>
    <w:link w:val="125"/>
    <w:qFormat/>
    <w:uiPriority w:val="99"/>
    <w:rPr>
      <w:sz w:val="18"/>
      <w:szCs w:val="18"/>
    </w:rPr>
  </w:style>
  <w:style w:type="paragraph" w:styleId="58">
    <w:name w:val="footer"/>
    <w:basedOn w:val="1"/>
    <w:link w:val="126"/>
    <w:qFormat/>
    <w:uiPriority w:val="99"/>
    <w:pPr>
      <w:tabs>
        <w:tab w:val="center" w:pos="4153"/>
        <w:tab w:val="right" w:pos="8306"/>
      </w:tabs>
      <w:snapToGrid w:val="0"/>
      <w:jc w:val="left"/>
    </w:pPr>
    <w:rPr>
      <w:sz w:val="18"/>
      <w:szCs w:val="18"/>
    </w:rPr>
  </w:style>
  <w:style w:type="paragraph" w:styleId="59">
    <w:name w:val="envelope return"/>
    <w:basedOn w:val="1"/>
    <w:qFormat/>
    <w:uiPriority w:val="0"/>
    <w:pPr>
      <w:adjustRightInd w:val="0"/>
      <w:snapToGrid w:val="0"/>
      <w:spacing w:line="312" w:lineRule="atLeast"/>
      <w:textAlignment w:val="baseline"/>
    </w:pPr>
    <w:rPr>
      <w:rFonts w:ascii="Arial" w:hAnsi="Arial" w:eastAsia="仿宋" w:cs="Arial"/>
      <w:kern w:val="0"/>
      <w:sz w:val="32"/>
      <w:szCs w:val="20"/>
    </w:rPr>
  </w:style>
  <w:style w:type="paragraph" w:styleId="60">
    <w:name w:val="Body Text First Indent 2"/>
    <w:basedOn w:val="38"/>
    <w:next w:val="1"/>
    <w:link w:val="138"/>
    <w:qFormat/>
    <w:uiPriority w:val="0"/>
    <w:pPr>
      <w:spacing w:after="120" w:afterLines="0"/>
      <w:ind w:left="420" w:leftChars="200" w:firstLine="420" w:firstLineChars="200"/>
    </w:pPr>
    <w:rPr>
      <w:sz w:val="21"/>
    </w:rPr>
  </w:style>
  <w:style w:type="paragraph" w:styleId="61">
    <w:name w:val="header"/>
    <w:basedOn w:val="1"/>
    <w:link w:val="127"/>
    <w:qFormat/>
    <w:uiPriority w:val="99"/>
    <w:pPr>
      <w:pBdr>
        <w:bottom w:val="single" w:color="auto" w:sz="6" w:space="1"/>
      </w:pBdr>
      <w:tabs>
        <w:tab w:val="center" w:pos="4153"/>
        <w:tab w:val="right" w:pos="8306"/>
      </w:tabs>
      <w:snapToGrid w:val="0"/>
      <w:jc w:val="center"/>
    </w:pPr>
    <w:rPr>
      <w:sz w:val="18"/>
      <w:szCs w:val="18"/>
    </w:rPr>
  </w:style>
  <w:style w:type="paragraph" w:styleId="62">
    <w:name w:val="Signature"/>
    <w:basedOn w:val="1"/>
    <w:link w:val="128"/>
    <w:qFormat/>
    <w:uiPriority w:val="0"/>
    <w:pPr>
      <w:adjustRightInd w:val="0"/>
      <w:spacing w:line="312" w:lineRule="atLeast"/>
      <w:ind w:left="100" w:leftChars="2100"/>
      <w:textAlignment w:val="baseline"/>
    </w:pPr>
    <w:rPr>
      <w:rFonts w:eastAsia="仿宋"/>
      <w:kern w:val="0"/>
      <w:sz w:val="32"/>
      <w:szCs w:val="20"/>
    </w:rPr>
  </w:style>
  <w:style w:type="paragraph" w:styleId="63">
    <w:name w:val="toc 1"/>
    <w:basedOn w:val="1"/>
    <w:next w:val="1"/>
    <w:qFormat/>
    <w:uiPriority w:val="39"/>
    <w:pPr>
      <w:tabs>
        <w:tab w:val="left" w:pos="540"/>
        <w:tab w:val="right" w:leader="dot" w:pos="8460"/>
      </w:tabs>
      <w:spacing w:before="156" w:beforeLines="50" w:after="156" w:afterLines="50" w:line="360" w:lineRule="auto"/>
    </w:pPr>
    <w:rPr>
      <w:rFonts w:ascii="宋体" w:hAnsi="宋体" w:cs="Arial"/>
      <w:b/>
      <w:sz w:val="24"/>
    </w:rPr>
  </w:style>
  <w:style w:type="paragraph" w:styleId="64">
    <w:name w:val="List Continue 4"/>
    <w:basedOn w:val="1"/>
    <w:qFormat/>
    <w:uiPriority w:val="0"/>
    <w:pPr>
      <w:adjustRightInd w:val="0"/>
      <w:spacing w:after="120" w:afterLines="0" w:line="312" w:lineRule="atLeast"/>
      <w:ind w:left="1680" w:leftChars="800"/>
      <w:textAlignment w:val="baseline"/>
    </w:pPr>
    <w:rPr>
      <w:rFonts w:eastAsia="仿宋"/>
      <w:kern w:val="0"/>
      <w:sz w:val="32"/>
      <w:szCs w:val="20"/>
    </w:rPr>
  </w:style>
  <w:style w:type="paragraph" w:styleId="65">
    <w:name w:val="toc 4"/>
    <w:basedOn w:val="1"/>
    <w:next w:val="1"/>
    <w:qFormat/>
    <w:uiPriority w:val="99"/>
    <w:pPr>
      <w:tabs>
        <w:tab w:val="left" w:pos="1440"/>
        <w:tab w:val="right" w:leader="dot" w:pos="8494"/>
      </w:tabs>
      <w:spacing w:line="360" w:lineRule="auto"/>
      <w:ind w:left="1440" w:leftChars="257" w:hanging="900" w:hangingChars="375"/>
    </w:pPr>
  </w:style>
  <w:style w:type="paragraph" w:styleId="66">
    <w:name w:val="index heading"/>
    <w:basedOn w:val="1"/>
    <w:next w:val="67"/>
    <w:qFormat/>
    <w:uiPriority w:val="0"/>
    <w:pPr>
      <w:adjustRightInd w:val="0"/>
      <w:spacing w:line="312" w:lineRule="atLeast"/>
      <w:textAlignment w:val="baseline"/>
    </w:pPr>
    <w:rPr>
      <w:rFonts w:ascii="Arial" w:hAnsi="Arial" w:eastAsia="仿宋" w:cs="Arial"/>
      <w:b/>
      <w:bCs/>
      <w:kern w:val="0"/>
      <w:sz w:val="32"/>
      <w:szCs w:val="20"/>
    </w:rPr>
  </w:style>
  <w:style w:type="paragraph" w:styleId="67">
    <w:name w:val="index 1"/>
    <w:basedOn w:val="1"/>
    <w:next w:val="1"/>
    <w:qFormat/>
    <w:uiPriority w:val="0"/>
    <w:rPr>
      <w:rFonts w:eastAsia="仿宋_GB2312"/>
      <w:b/>
      <w:sz w:val="24"/>
      <w:szCs w:val="20"/>
    </w:rPr>
  </w:style>
  <w:style w:type="paragraph" w:styleId="68">
    <w:name w:val="Subtitle"/>
    <w:basedOn w:val="1"/>
    <w:next w:val="1"/>
    <w:link w:val="129"/>
    <w:qFormat/>
    <w:uiPriority w:val="0"/>
    <w:pPr>
      <w:spacing w:before="240" w:beforeLines="0" w:after="60" w:afterLines="0" w:line="312" w:lineRule="auto"/>
      <w:jc w:val="center"/>
      <w:outlineLvl w:val="1"/>
    </w:pPr>
    <w:rPr>
      <w:rFonts w:ascii="Cambria" w:hAnsi="Cambria"/>
      <w:b/>
      <w:bCs/>
      <w:kern w:val="28"/>
      <w:sz w:val="32"/>
      <w:szCs w:val="32"/>
    </w:rPr>
  </w:style>
  <w:style w:type="paragraph" w:styleId="69">
    <w:name w:val="List Number 5"/>
    <w:basedOn w:val="1"/>
    <w:qFormat/>
    <w:uiPriority w:val="0"/>
    <w:pPr>
      <w:numPr>
        <w:ilvl w:val="0"/>
        <w:numId w:val="9"/>
      </w:numPr>
      <w:adjustRightInd w:val="0"/>
      <w:spacing w:line="312" w:lineRule="atLeast"/>
      <w:textAlignment w:val="baseline"/>
    </w:pPr>
    <w:rPr>
      <w:rFonts w:eastAsia="仿宋"/>
      <w:kern w:val="0"/>
      <w:sz w:val="32"/>
      <w:szCs w:val="20"/>
    </w:rPr>
  </w:style>
  <w:style w:type="paragraph" w:styleId="70">
    <w:name w:val="List"/>
    <w:basedOn w:val="1"/>
    <w:qFormat/>
    <w:uiPriority w:val="0"/>
    <w:pPr>
      <w:adjustRightInd w:val="0"/>
      <w:spacing w:line="312" w:lineRule="atLeast"/>
      <w:ind w:left="200" w:hanging="200" w:hangingChars="200"/>
      <w:textAlignment w:val="baseline"/>
    </w:pPr>
    <w:rPr>
      <w:rFonts w:eastAsia="仿宋"/>
      <w:kern w:val="0"/>
      <w:sz w:val="32"/>
      <w:szCs w:val="20"/>
    </w:rPr>
  </w:style>
  <w:style w:type="paragraph" w:styleId="71">
    <w:name w:val="footnote text"/>
    <w:basedOn w:val="1"/>
    <w:link w:val="130"/>
    <w:qFormat/>
    <w:uiPriority w:val="0"/>
    <w:pPr>
      <w:adjustRightInd w:val="0"/>
      <w:snapToGrid w:val="0"/>
      <w:spacing w:line="312" w:lineRule="atLeast"/>
      <w:jc w:val="left"/>
      <w:textAlignment w:val="baseline"/>
    </w:pPr>
    <w:rPr>
      <w:rFonts w:eastAsia="仿宋"/>
      <w:kern w:val="0"/>
      <w:sz w:val="18"/>
      <w:szCs w:val="18"/>
    </w:rPr>
  </w:style>
  <w:style w:type="paragraph" w:styleId="72">
    <w:name w:val="List 5"/>
    <w:basedOn w:val="1"/>
    <w:qFormat/>
    <w:uiPriority w:val="0"/>
    <w:pPr>
      <w:adjustRightInd w:val="0"/>
      <w:spacing w:line="312" w:lineRule="atLeast"/>
      <w:ind w:left="100" w:leftChars="800" w:hanging="200" w:hangingChars="200"/>
      <w:textAlignment w:val="baseline"/>
    </w:pPr>
    <w:rPr>
      <w:rFonts w:eastAsia="仿宋"/>
      <w:kern w:val="0"/>
      <w:sz w:val="32"/>
      <w:szCs w:val="20"/>
    </w:rPr>
  </w:style>
  <w:style w:type="paragraph" w:styleId="73">
    <w:name w:val="Body Text Indent 3"/>
    <w:basedOn w:val="1"/>
    <w:link w:val="131"/>
    <w:qFormat/>
    <w:uiPriority w:val="0"/>
    <w:pPr>
      <w:spacing w:line="440" w:lineRule="exact"/>
      <w:ind w:firstLine="200" w:firstLineChars="200"/>
    </w:pPr>
    <w:rPr>
      <w:rFonts w:ascii="宋体"/>
    </w:rPr>
  </w:style>
  <w:style w:type="paragraph" w:styleId="74">
    <w:name w:val="index 7"/>
    <w:basedOn w:val="1"/>
    <w:next w:val="1"/>
    <w:qFormat/>
    <w:uiPriority w:val="99"/>
    <w:pPr>
      <w:adjustRightInd w:val="0"/>
      <w:spacing w:line="312" w:lineRule="atLeast"/>
      <w:ind w:left="1200" w:leftChars="1200"/>
      <w:textAlignment w:val="baseline"/>
    </w:pPr>
    <w:rPr>
      <w:rFonts w:eastAsia="仿宋"/>
      <w:kern w:val="0"/>
      <w:sz w:val="32"/>
      <w:szCs w:val="20"/>
    </w:rPr>
  </w:style>
  <w:style w:type="paragraph" w:styleId="75">
    <w:name w:val="index 9"/>
    <w:basedOn w:val="1"/>
    <w:next w:val="1"/>
    <w:qFormat/>
    <w:uiPriority w:val="99"/>
    <w:pPr>
      <w:adjustRightInd w:val="0"/>
      <w:spacing w:line="312" w:lineRule="atLeast"/>
      <w:ind w:left="1600" w:leftChars="1600"/>
      <w:textAlignment w:val="baseline"/>
    </w:pPr>
    <w:rPr>
      <w:rFonts w:eastAsia="仿宋"/>
      <w:kern w:val="0"/>
      <w:sz w:val="32"/>
      <w:szCs w:val="20"/>
    </w:rPr>
  </w:style>
  <w:style w:type="paragraph" w:styleId="76">
    <w:name w:val="table of figures"/>
    <w:basedOn w:val="1"/>
    <w:next w:val="1"/>
    <w:qFormat/>
    <w:uiPriority w:val="99"/>
    <w:pPr>
      <w:ind w:leftChars="200" w:hanging="200" w:hangingChars="200"/>
    </w:pPr>
  </w:style>
  <w:style w:type="paragraph" w:styleId="77">
    <w:name w:val="toc 2"/>
    <w:basedOn w:val="1"/>
    <w:next w:val="1"/>
    <w:qFormat/>
    <w:uiPriority w:val="0"/>
    <w:pPr>
      <w:tabs>
        <w:tab w:val="left" w:pos="630"/>
        <w:tab w:val="right" w:leader="dot" w:pos="8658"/>
        <w:tab w:val="right" w:leader="middleDot" w:pos="9515"/>
      </w:tabs>
      <w:spacing w:line="360" w:lineRule="auto"/>
      <w:ind w:left="615" w:leftChars="100" w:hanging="405" w:hangingChars="168"/>
    </w:pPr>
    <w:rPr>
      <w:rFonts w:ascii="宋体" w:hAnsi="宋体"/>
      <w:b/>
      <w:smallCaps/>
      <w:sz w:val="24"/>
    </w:rPr>
  </w:style>
  <w:style w:type="paragraph" w:styleId="78">
    <w:name w:val="toc 9"/>
    <w:basedOn w:val="1"/>
    <w:next w:val="1"/>
    <w:qFormat/>
    <w:uiPriority w:val="99"/>
    <w:pPr>
      <w:ind w:left="3360" w:leftChars="1600"/>
    </w:pPr>
  </w:style>
  <w:style w:type="paragraph" w:styleId="79">
    <w:name w:val="Body Text 2"/>
    <w:basedOn w:val="1"/>
    <w:link w:val="132"/>
    <w:qFormat/>
    <w:uiPriority w:val="0"/>
    <w:pPr>
      <w:numPr>
        <w:ilvl w:val="1"/>
        <w:numId w:val="10"/>
      </w:numPr>
      <w:spacing w:after="120" w:afterLines="0" w:line="480" w:lineRule="auto"/>
      <w:ind w:left="0" w:firstLine="0"/>
    </w:pPr>
  </w:style>
  <w:style w:type="paragraph" w:styleId="80">
    <w:name w:val="List 4"/>
    <w:basedOn w:val="1"/>
    <w:qFormat/>
    <w:uiPriority w:val="0"/>
    <w:pPr>
      <w:adjustRightInd w:val="0"/>
      <w:spacing w:line="312" w:lineRule="atLeast"/>
      <w:ind w:left="100" w:leftChars="600" w:hanging="200" w:hangingChars="200"/>
      <w:textAlignment w:val="baseline"/>
    </w:pPr>
    <w:rPr>
      <w:rFonts w:eastAsia="仿宋"/>
      <w:kern w:val="0"/>
      <w:sz w:val="32"/>
      <w:szCs w:val="20"/>
    </w:rPr>
  </w:style>
  <w:style w:type="paragraph" w:styleId="81">
    <w:name w:val="List Continue 2"/>
    <w:basedOn w:val="1"/>
    <w:qFormat/>
    <w:uiPriority w:val="0"/>
    <w:pPr>
      <w:adjustRightInd w:val="0"/>
      <w:spacing w:after="120" w:afterLines="0" w:line="312" w:lineRule="atLeast"/>
      <w:ind w:left="840" w:leftChars="400"/>
      <w:textAlignment w:val="baseline"/>
    </w:pPr>
    <w:rPr>
      <w:rFonts w:eastAsia="仿宋"/>
      <w:kern w:val="0"/>
      <w:sz w:val="32"/>
      <w:szCs w:val="20"/>
    </w:rPr>
  </w:style>
  <w:style w:type="paragraph" w:styleId="82">
    <w:name w:val="Message Header"/>
    <w:basedOn w:val="1"/>
    <w:link w:val="133"/>
    <w:qFormat/>
    <w:uiPriority w:val="0"/>
    <w:pPr>
      <w:pBdr>
        <w:top w:val="single" w:color="auto" w:sz="6" w:space="1"/>
        <w:left w:val="single" w:color="auto" w:sz="6" w:space="1"/>
        <w:bottom w:val="single" w:color="auto" w:sz="6" w:space="1"/>
        <w:right w:val="single" w:color="auto" w:sz="6" w:space="1"/>
      </w:pBdr>
      <w:shd w:val="pct20" w:color="auto" w:fill="auto"/>
      <w:adjustRightInd w:val="0"/>
      <w:spacing w:line="312" w:lineRule="atLeast"/>
      <w:ind w:left="1080" w:leftChars="500" w:hanging="1080" w:hangingChars="500"/>
      <w:textAlignment w:val="baseline"/>
    </w:pPr>
    <w:rPr>
      <w:rFonts w:ascii="Arial" w:hAnsi="Arial" w:eastAsia="仿宋"/>
      <w:kern w:val="0"/>
      <w:sz w:val="24"/>
    </w:rPr>
  </w:style>
  <w:style w:type="paragraph" w:styleId="83">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kern w:val="0"/>
      <w:sz w:val="28"/>
      <w:szCs w:val="28"/>
    </w:rPr>
  </w:style>
  <w:style w:type="paragraph" w:styleId="84">
    <w:name w:val="Normal (Web)"/>
    <w:basedOn w:val="1"/>
    <w:qFormat/>
    <w:uiPriority w:val="0"/>
    <w:pPr>
      <w:widowControl/>
      <w:jc w:val="left"/>
    </w:pPr>
    <w:rPr>
      <w:rFonts w:ascii="宋体" w:cs="宋体"/>
      <w:kern w:val="0"/>
      <w:sz w:val="24"/>
      <w:lang w:bidi="ar-SA"/>
    </w:rPr>
  </w:style>
  <w:style w:type="paragraph" w:styleId="85">
    <w:name w:val="List Continue 3"/>
    <w:basedOn w:val="1"/>
    <w:qFormat/>
    <w:uiPriority w:val="0"/>
    <w:pPr>
      <w:adjustRightInd w:val="0"/>
      <w:spacing w:after="120" w:afterLines="0" w:line="312" w:lineRule="atLeast"/>
      <w:ind w:left="1260" w:leftChars="600"/>
      <w:textAlignment w:val="baseline"/>
    </w:pPr>
    <w:rPr>
      <w:rFonts w:eastAsia="仿宋"/>
      <w:kern w:val="0"/>
      <w:sz w:val="32"/>
      <w:szCs w:val="20"/>
    </w:rPr>
  </w:style>
  <w:style w:type="paragraph" w:styleId="86">
    <w:name w:val="index 2"/>
    <w:basedOn w:val="1"/>
    <w:next w:val="1"/>
    <w:qFormat/>
    <w:uiPriority w:val="99"/>
    <w:pPr>
      <w:adjustRightInd w:val="0"/>
      <w:spacing w:line="312" w:lineRule="atLeast"/>
      <w:ind w:left="200" w:leftChars="200"/>
      <w:textAlignment w:val="baseline"/>
    </w:pPr>
    <w:rPr>
      <w:rFonts w:eastAsia="仿宋"/>
      <w:kern w:val="0"/>
      <w:sz w:val="32"/>
      <w:szCs w:val="20"/>
    </w:rPr>
  </w:style>
  <w:style w:type="paragraph" w:styleId="87">
    <w:name w:val="Title"/>
    <w:basedOn w:val="1"/>
    <w:next w:val="1"/>
    <w:link w:val="135"/>
    <w:qFormat/>
    <w:uiPriority w:val="0"/>
    <w:pPr>
      <w:spacing w:before="240" w:beforeLines="0" w:after="60" w:afterLines="0"/>
      <w:jc w:val="center"/>
      <w:outlineLvl w:val="0"/>
    </w:pPr>
    <w:rPr>
      <w:rFonts w:ascii="Cambria" w:hAnsi="Cambria"/>
      <w:b/>
      <w:bCs/>
      <w:sz w:val="32"/>
      <w:szCs w:val="32"/>
    </w:rPr>
  </w:style>
  <w:style w:type="character" w:styleId="89">
    <w:name w:val="Strong"/>
    <w:basedOn w:val="88"/>
    <w:qFormat/>
    <w:uiPriority w:val="0"/>
    <w:rPr>
      <w:b/>
      <w:bCs/>
    </w:rPr>
  </w:style>
  <w:style w:type="character" w:styleId="90">
    <w:name w:val="endnote reference"/>
    <w:qFormat/>
    <w:uiPriority w:val="0"/>
    <w:rPr>
      <w:vertAlign w:val="superscript"/>
    </w:rPr>
  </w:style>
  <w:style w:type="character" w:styleId="91">
    <w:name w:val="page number"/>
    <w:qFormat/>
    <w:uiPriority w:val="0"/>
    <w:rPr>
      <w:rFonts w:cs="Times New Roman"/>
      <w:lang w:bidi="ar-SA"/>
    </w:rPr>
  </w:style>
  <w:style w:type="character" w:styleId="92">
    <w:name w:val="FollowedHyperlink"/>
    <w:qFormat/>
    <w:uiPriority w:val="0"/>
    <w:rPr>
      <w:color w:val="800080"/>
      <w:u w:val="single"/>
    </w:rPr>
  </w:style>
  <w:style w:type="character" w:styleId="93">
    <w:name w:val="Emphasis"/>
    <w:qFormat/>
    <w:uiPriority w:val="0"/>
    <w:rPr>
      <w:i/>
      <w:iCs/>
    </w:rPr>
  </w:style>
  <w:style w:type="character" w:styleId="94">
    <w:name w:val="Hyperlink"/>
    <w:qFormat/>
    <w:uiPriority w:val="99"/>
    <w:rPr>
      <w:color w:val="0000FF"/>
      <w:u w:val="single"/>
    </w:rPr>
  </w:style>
  <w:style w:type="character" w:styleId="95">
    <w:name w:val="annotation reference"/>
    <w:qFormat/>
    <w:uiPriority w:val="99"/>
    <w:rPr>
      <w:sz w:val="21"/>
      <w:szCs w:val="21"/>
    </w:rPr>
  </w:style>
  <w:style w:type="character" w:styleId="96">
    <w:name w:val="HTML Sample"/>
    <w:qFormat/>
    <w:uiPriority w:val="0"/>
    <w:rPr>
      <w:rFonts w:ascii="Courier New" w:hAnsi="Courier New"/>
    </w:rPr>
  </w:style>
  <w:style w:type="table" w:styleId="98">
    <w:name w:val="Table Grid"/>
    <w:basedOn w:val="9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00">
    <w:name w:val="宏文本 Char2"/>
    <w:link w:val="20"/>
    <w:qFormat/>
    <w:uiPriority w:val="99"/>
    <w:rPr>
      <w:rFonts w:ascii="Courier New" w:hAnsi="Courier New"/>
      <w:kern w:val="2"/>
      <w:sz w:val="24"/>
      <w:szCs w:val="24"/>
      <w:lang w:val="en-US" w:eastAsia="zh-CN" w:bidi="ar-SA"/>
    </w:rPr>
  </w:style>
  <w:style w:type="character" w:customStyle="1" w:styleId="101">
    <w:name w:val="标题 1 Char"/>
    <w:link w:val="2"/>
    <w:qFormat/>
    <w:uiPriority w:val="0"/>
    <w:rPr>
      <w:b/>
      <w:kern w:val="44"/>
      <w:sz w:val="44"/>
    </w:rPr>
  </w:style>
  <w:style w:type="character" w:customStyle="1" w:styleId="102">
    <w:name w:val="标题 2 Char"/>
    <w:link w:val="3"/>
    <w:qFormat/>
    <w:uiPriority w:val="0"/>
    <w:rPr>
      <w:rFonts w:ascii="Arial" w:hAnsi="Arial" w:eastAsia="黑体"/>
      <w:b/>
      <w:bCs/>
      <w:kern w:val="2"/>
      <w:sz w:val="32"/>
      <w:szCs w:val="32"/>
    </w:rPr>
  </w:style>
  <w:style w:type="character" w:customStyle="1" w:styleId="103">
    <w:name w:val="标题 3 Char"/>
    <w:link w:val="4"/>
    <w:qFormat/>
    <w:uiPriority w:val="0"/>
    <w:rPr>
      <w:rFonts w:cs="Angsana New"/>
      <w:b/>
      <w:bCs/>
      <w:kern w:val="2"/>
      <w:sz w:val="32"/>
      <w:szCs w:val="32"/>
      <w:lang w:bidi="th-TH"/>
    </w:rPr>
  </w:style>
  <w:style w:type="character" w:customStyle="1" w:styleId="104">
    <w:name w:val="标题 4 Char"/>
    <w:link w:val="5"/>
    <w:qFormat/>
    <w:uiPriority w:val="0"/>
    <w:rPr>
      <w:rFonts w:ascii="Arial" w:hAnsi="Arial" w:eastAsia="黑体"/>
      <w:b/>
      <w:bCs/>
      <w:kern w:val="2"/>
      <w:sz w:val="28"/>
      <w:szCs w:val="28"/>
    </w:rPr>
  </w:style>
  <w:style w:type="character" w:customStyle="1" w:styleId="105">
    <w:name w:val="标题 5 Char"/>
    <w:link w:val="6"/>
    <w:qFormat/>
    <w:uiPriority w:val="0"/>
    <w:rPr>
      <w:b/>
      <w:bCs/>
      <w:kern w:val="2"/>
      <w:sz w:val="28"/>
      <w:szCs w:val="28"/>
    </w:rPr>
  </w:style>
  <w:style w:type="character" w:customStyle="1" w:styleId="106">
    <w:name w:val="标题 6 Char"/>
    <w:link w:val="7"/>
    <w:qFormat/>
    <w:uiPriority w:val="0"/>
    <w:rPr>
      <w:rFonts w:ascii="Arial" w:hAnsi="Arial" w:eastAsia="黑体"/>
      <w:b/>
      <w:bCs/>
      <w:kern w:val="2"/>
      <w:sz w:val="24"/>
      <w:szCs w:val="24"/>
    </w:rPr>
  </w:style>
  <w:style w:type="character" w:customStyle="1" w:styleId="107">
    <w:name w:val="标题 7 Char"/>
    <w:link w:val="8"/>
    <w:qFormat/>
    <w:uiPriority w:val="0"/>
    <w:rPr>
      <w:b/>
      <w:bCs/>
      <w:kern w:val="2"/>
      <w:sz w:val="24"/>
      <w:szCs w:val="24"/>
    </w:rPr>
  </w:style>
  <w:style w:type="character" w:customStyle="1" w:styleId="108">
    <w:name w:val="标题 8 Char"/>
    <w:link w:val="9"/>
    <w:qFormat/>
    <w:uiPriority w:val="0"/>
    <w:rPr>
      <w:rFonts w:ascii="Arial" w:hAnsi="Arial" w:eastAsia="黑体"/>
      <w:kern w:val="2"/>
      <w:sz w:val="24"/>
      <w:szCs w:val="24"/>
    </w:rPr>
  </w:style>
  <w:style w:type="character" w:customStyle="1" w:styleId="109">
    <w:name w:val="标题 9 Char"/>
    <w:link w:val="10"/>
    <w:qFormat/>
    <w:uiPriority w:val="0"/>
    <w:rPr>
      <w:rFonts w:ascii="Arial" w:hAnsi="Arial" w:eastAsia="黑体"/>
      <w:kern w:val="2"/>
      <w:sz w:val="21"/>
      <w:szCs w:val="21"/>
    </w:rPr>
  </w:style>
  <w:style w:type="character" w:customStyle="1" w:styleId="110">
    <w:name w:val="注释标题 Char2"/>
    <w:link w:val="21"/>
    <w:qFormat/>
    <w:uiPriority w:val="0"/>
    <w:rPr>
      <w:rFonts w:eastAsia="仿宋"/>
      <w:sz w:val="32"/>
    </w:rPr>
  </w:style>
  <w:style w:type="character" w:customStyle="1" w:styleId="111">
    <w:name w:val="电子邮件签名 Char2"/>
    <w:link w:val="24"/>
    <w:qFormat/>
    <w:uiPriority w:val="0"/>
    <w:rPr>
      <w:rFonts w:eastAsia="仿宋"/>
      <w:sz w:val="32"/>
    </w:rPr>
  </w:style>
  <w:style w:type="character" w:customStyle="1" w:styleId="112">
    <w:name w:val="正文缩进 Char"/>
    <w:link w:val="26"/>
    <w:qFormat/>
    <w:uiPriority w:val="0"/>
    <w:rPr>
      <w:rFonts w:eastAsia="宋体"/>
      <w:kern w:val="2"/>
      <w:sz w:val="21"/>
      <w:szCs w:val="24"/>
      <w:lang w:val="en-US" w:eastAsia="zh-CN" w:bidi="ar-SA"/>
    </w:rPr>
  </w:style>
  <w:style w:type="character" w:customStyle="1" w:styleId="113">
    <w:name w:val="文档结构图 Char"/>
    <w:link w:val="31"/>
    <w:qFormat/>
    <w:uiPriority w:val="0"/>
    <w:rPr>
      <w:kern w:val="2"/>
      <w:sz w:val="21"/>
      <w:szCs w:val="24"/>
      <w:shd w:val="clear" w:color="auto" w:fill="000080"/>
    </w:rPr>
  </w:style>
  <w:style w:type="character" w:customStyle="1" w:styleId="114">
    <w:name w:val="批注文字 Char"/>
    <w:link w:val="13"/>
    <w:qFormat/>
    <w:uiPriority w:val="99"/>
    <w:rPr>
      <w:kern w:val="2"/>
      <w:sz w:val="21"/>
      <w:szCs w:val="24"/>
    </w:rPr>
  </w:style>
  <w:style w:type="character" w:customStyle="1" w:styleId="115">
    <w:name w:val="称呼 Char2"/>
    <w:link w:val="34"/>
    <w:qFormat/>
    <w:uiPriority w:val="0"/>
    <w:rPr>
      <w:rFonts w:eastAsia="仿宋"/>
      <w:sz w:val="32"/>
    </w:rPr>
  </w:style>
  <w:style w:type="character" w:customStyle="1" w:styleId="116">
    <w:name w:val="正文文本 3 Char2"/>
    <w:link w:val="35"/>
    <w:qFormat/>
    <w:uiPriority w:val="0"/>
    <w:rPr>
      <w:rFonts w:eastAsia="仿宋"/>
      <w:sz w:val="16"/>
      <w:szCs w:val="16"/>
    </w:rPr>
  </w:style>
  <w:style w:type="character" w:customStyle="1" w:styleId="117">
    <w:name w:val="结束语 Char2"/>
    <w:link w:val="36"/>
    <w:qFormat/>
    <w:uiPriority w:val="0"/>
    <w:rPr>
      <w:rFonts w:eastAsia="仿宋"/>
      <w:sz w:val="32"/>
    </w:rPr>
  </w:style>
  <w:style w:type="character" w:customStyle="1" w:styleId="118">
    <w:name w:val="正文文本 Char"/>
    <w:link w:val="16"/>
    <w:qFormat/>
    <w:uiPriority w:val="0"/>
    <w:rPr>
      <w:rFonts w:ascii="宋体"/>
      <w:kern w:val="2"/>
      <w:sz w:val="24"/>
      <w:szCs w:val="24"/>
    </w:rPr>
  </w:style>
  <w:style w:type="character" w:customStyle="1" w:styleId="119">
    <w:name w:val="正文文本缩进 Char1"/>
    <w:link w:val="38"/>
    <w:qFormat/>
    <w:uiPriority w:val="0"/>
    <w:rPr>
      <w:b/>
      <w:kern w:val="2"/>
      <w:sz w:val="24"/>
      <w:szCs w:val="24"/>
    </w:rPr>
  </w:style>
  <w:style w:type="character" w:customStyle="1" w:styleId="120">
    <w:name w:val="正文文本缩进 2 Char"/>
    <w:link w:val="39"/>
    <w:qFormat/>
    <w:uiPriority w:val="0"/>
    <w:rPr>
      <w:kern w:val="2"/>
      <w:sz w:val="21"/>
      <w:szCs w:val="24"/>
    </w:rPr>
  </w:style>
  <w:style w:type="character" w:customStyle="1" w:styleId="121">
    <w:name w:val="纯文本 Char"/>
    <w:link w:val="42"/>
    <w:qFormat/>
    <w:uiPriority w:val="99"/>
    <w:rPr>
      <w:rFonts w:ascii="宋体"/>
      <w:kern w:val="2"/>
      <w:sz w:val="21"/>
    </w:rPr>
  </w:style>
  <w:style w:type="character" w:customStyle="1" w:styleId="122">
    <w:name w:val="HTML 地址 Char2"/>
    <w:link w:val="46"/>
    <w:qFormat/>
    <w:uiPriority w:val="0"/>
    <w:rPr>
      <w:rFonts w:eastAsia="仿宋"/>
      <w:i/>
      <w:iCs/>
      <w:sz w:val="32"/>
    </w:rPr>
  </w:style>
  <w:style w:type="character" w:customStyle="1" w:styleId="123">
    <w:name w:val="日期 Char"/>
    <w:link w:val="54"/>
    <w:qFormat/>
    <w:uiPriority w:val="0"/>
    <w:rPr>
      <w:rFonts w:ascii="宋体"/>
      <w:kern w:val="2"/>
      <w:sz w:val="24"/>
      <w:szCs w:val="24"/>
    </w:rPr>
  </w:style>
  <w:style w:type="character" w:customStyle="1" w:styleId="124">
    <w:name w:val="尾注文本 Char"/>
    <w:link w:val="55"/>
    <w:qFormat/>
    <w:uiPriority w:val="99"/>
    <w:rPr>
      <w:kern w:val="2"/>
      <w:sz w:val="21"/>
      <w:szCs w:val="24"/>
    </w:rPr>
  </w:style>
  <w:style w:type="character" w:customStyle="1" w:styleId="125">
    <w:name w:val="批注框文本 Char"/>
    <w:link w:val="57"/>
    <w:qFormat/>
    <w:uiPriority w:val="99"/>
    <w:rPr>
      <w:kern w:val="2"/>
      <w:sz w:val="18"/>
      <w:szCs w:val="18"/>
    </w:rPr>
  </w:style>
  <w:style w:type="character" w:customStyle="1" w:styleId="126">
    <w:name w:val="页脚 Char"/>
    <w:link w:val="58"/>
    <w:qFormat/>
    <w:uiPriority w:val="99"/>
    <w:rPr>
      <w:kern w:val="2"/>
      <w:sz w:val="18"/>
      <w:szCs w:val="18"/>
    </w:rPr>
  </w:style>
  <w:style w:type="character" w:customStyle="1" w:styleId="127">
    <w:name w:val="页眉 Char"/>
    <w:link w:val="61"/>
    <w:qFormat/>
    <w:uiPriority w:val="99"/>
    <w:rPr>
      <w:kern w:val="2"/>
      <w:sz w:val="18"/>
      <w:szCs w:val="18"/>
    </w:rPr>
  </w:style>
  <w:style w:type="character" w:customStyle="1" w:styleId="128">
    <w:name w:val="签名 Char2"/>
    <w:link w:val="62"/>
    <w:qFormat/>
    <w:uiPriority w:val="0"/>
    <w:rPr>
      <w:rFonts w:eastAsia="仿宋"/>
      <w:sz w:val="32"/>
    </w:rPr>
  </w:style>
  <w:style w:type="character" w:customStyle="1" w:styleId="129">
    <w:name w:val="副标题 Char"/>
    <w:link w:val="68"/>
    <w:qFormat/>
    <w:uiPriority w:val="0"/>
    <w:rPr>
      <w:rFonts w:ascii="Cambria" w:hAnsi="Cambria"/>
      <w:b/>
      <w:bCs/>
      <w:kern w:val="28"/>
      <w:sz w:val="32"/>
      <w:szCs w:val="32"/>
    </w:rPr>
  </w:style>
  <w:style w:type="character" w:customStyle="1" w:styleId="130">
    <w:name w:val="脚注文本 Char2"/>
    <w:link w:val="71"/>
    <w:qFormat/>
    <w:uiPriority w:val="0"/>
    <w:rPr>
      <w:rFonts w:eastAsia="仿宋"/>
      <w:sz w:val="18"/>
      <w:szCs w:val="18"/>
    </w:rPr>
  </w:style>
  <w:style w:type="character" w:customStyle="1" w:styleId="131">
    <w:name w:val="正文文本缩进 3 Char"/>
    <w:link w:val="73"/>
    <w:qFormat/>
    <w:uiPriority w:val="0"/>
    <w:rPr>
      <w:rFonts w:ascii="宋体"/>
      <w:kern w:val="2"/>
      <w:sz w:val="21"/>
      <w:szCs w:val="24"/>
    </w:rPr>
  </w:style>
  <w:style w:type="character" w:customStyle="1" w:styleId="132">
    <w:name w:val="正文文本 2 Char"/>
    <w:link w:val="79"/>
    <w:qFormat/>
    <w:uiPriority w:val="0"/>
    <w:rPr>
      <w:kern w:val="2"/>
      <w:sz w:val="21"/>
      <w:szCs w:val="24"/>
    </w:rPr>
  </w:style>
  <w:style w:type="character" w:customStyle="1" w:styleId="133">
    <w:name w:val="信息标题 Char2"/>
    <w:link w:val="82"/>
    <w:qFormat/>
    <w:uiPriority w:val="0"/>
    <w:rPr>
      <w:rFonts w:ascii="Arial" w:hAnsi="Arial" w:eastAsia="仿宋" w:cs="Arial"/>
      <w:sz w:val="24"/>
      <w:szCs w:val="24"/>
      <w:shd w:val="pct20" w:color="auto" w:fill="auto"/>
    </w:rPr>
  </w:style>
  <w:style w:type="character" w:customStyle="1" w:styleId="134">
    <w:name w:val="HTML 预设格式 Char"/>
    <w:link w:val="83"/>
    <w:qFormat/>
    <w:uiPriority w:val="0"/>
    <w:rPr>
      <w:rFonts w:ascii="Arial" w:hAnsi="Arial" w:cs="Arial"/>
      <w:sz w:val="28"/>
      <w:szCs w:val="28"/>
    </w:rPr>
  </w:style>
  <w:style w:type="character" w:customStyle="1" w:styleId="135">
    <w:name w:val="标题 Char"/>
    <w:link w:val="87"/>
    <w:qFormat/>
    <w:uiPriority w:val="0"/>
    <w:rPr>
      <w:rFonts w:ascii="Cambria" w:hAnsi="Cambria"/>
      <w:b/>
      <w:bCs/>
      <w:kern w:val="2"/>
      <w:sz w:val="32"/>
      <w:szCs w:val="32"/>
    </w:rPr>
  </w:style>
  <w:style w:type="character" w:customStyle="1" w:styleId="136">
    <w:name w:val="批注主题 Char"/>
    <w:link w:val="12"/>
    <w:qFormat/>
    <w:uiPriority w:val="99"/>
    <w:rPr>
      <w:b/>
      <w:bCs/>
      <w:kern w:val="2"/>
      <w:sz w:val="21"/>
      <w:szCs w:val="24"/>
    </w:rPr>
  </w:style>
  <w:style w:type="character" w:customStyle="1" w:styleId="137">
    <w:name w:val="正文首行缩进 Char"/>
    <w:link w:val="15"/>
    <w:qFormat/>
    <w:uiPriority w:val="0"/>
    <w:rPr>
      <w:rFonts w:ascii="宋体"/>
      <w:kern w:val="2"/>
      <w:sz w:val="21"/>
      <w:szCs w:val="24"/>
    </w:rPr>
  </w:style>
  <w:style w:type="character" w:customStyle="1" w:styleId="138">
    <w:name w:val="正文首行缩进 2 Char"/>
    <w:link w:val="60"/>
    <w:qFormat/>
    <w:uiPriority w:val="0"/>
    <w:rPr>
      <w:b/>
      <w:kern w:val="2"/>
      <w:sz w:val="21"/>
      <w:szCs w:val="24"/>
    </w:rPr>
  </w:style>
  <w:style w:type="character" w:customStyle="1" w:styleId="139">
    <w:name w:val="style81"/>
    <w:qFormat/>
    <w:uiPriority w:val="0"/>
    <w:rPr>
      <w:rFonts w:cs="Times New Roman"/>
      <w:sz w:val="21"/>
      <w:szCs w:val="21"/>
      <w:lang w:bidi="ar-SA"/>
    </w:rPr>
  </w:style>
  <w:style w:type="character" w:customStyle="1" w:styleId="140">
    <w:name w:val="标题 3 字符"/>
    <w:qFormat/>
    <w:uiPriority w:val="0"/>
    <w:rPr>
      <w:rFonts w:ascii="宋体" w:hAnsi="宋体"/>
      <w:b/>
      <w:spacing w:val="14"/>
      <w:sz w:val="28"/>
      <w:szCs w:val="24"/>
    </w:rPr>
  </w:style>
  <w:style w:type="character" w:customStyle="1" w:styleId="141">
    <w:name w:val="font61"/>
    <w:qFormat/>
    <w:uiPriority w:val="0"/>
    <w:rPr>
      <w:rFonts w:hint="eastAsia" w:ascii="宋体" w:hAnsi="宋体" w:eastAsia="宋体" w:cs="宋体"/>
      <w:color w:val="000000"/>
      <w:sz w:val="24"/>
      <w:szCs w:val="24"/>
      <w:u w:val="none"/>
    </w:rPr>
  </w:style>
  <w:style w:type="character" w:customStyle="1" w:styleId="142">
    <w:name w:val="批注框文本 字符"/>
    <w:semiHidden/>
    <w:qFormat/>
    <w:uiPriority w:val="0"/>
    <w:rPr>
      <w:rFonts w:ascii="Times New Roman" w:hAnsi="Times New Roman" w:eastAsia="仿宋"/>
      <w:sz w:val="18"/>
      <w:szCs w:val="18"/>
    </w:rPr>
  </w:style>
  <w:style w:type="character" w:customStyle="1" w:styleId="143">
    <w:name w:val="正文文本 字符"/>
    <w:qFormat/>
    <w:uiPriority w:val="0"/>
    <w:rPr>
      <w:rFonts w:ascii="Times New Roman" w:hAnsi="Times New Roman" w:eastAsia="仿宋"/>
      <w:sz w:val="32"/>
    </w:rPr>
  </w:style>
  <w:style w:type="character" w:customStyle="1" w:styleId="144">
    <w:name w:val="font"/>
    <w:qFormat/>
    <w:uiPriority w:val="0"/>
  </w:style>
  <w:style w:type="character" w:customStyle="1" w:styleId="145">
    <w:name w:val="5a"/>
    <w:qFormat/>
    <w:uiPriority w:val="0"/>
  </w:style>
  <w:style w:type="character" w:customStyle="1" w:styleId="146">
    <w:name w:val="列出段落 Char"/>
    <w:qFormat/>
    <w:locked/>
    <w:uiPriority w:val="0"/>
  </w:style>
  <w:style w:type="character" w:customStyle="1" w:styleId="147">
    <w:name w:val="apple-converted-space"/>
    <w:qFormat/>
    <w:uiPriority w:val="0"/>
  </w:style>
  <w:style w:type="character" w:customStyle="1" w:styleId="148">
    <w:name w:val="明显参考1"/>
    <w:qFormat/>
    <w:uiPriority w:val="0"/>
    <w:rPr>
      <w:b/>
      <w:bCs/>
      <w:smallCaps/>
      <w:color w:val="DA1F28"/>
      <w:spacing w:val="5"/>
      <w:u w:val="single"/>
    </w:rPr>
  </w:style>
  <w:style w:type="character" w:customStyle="1" w:styleId="149">
    <w:name w:val="本级3 Char"/>
    <w:link w:val="150"/>
    <w:qFormat/>
    <w:uiPriority w:val="0"/>
  </w:style>
  <w:style w:type="paragraph" w:customStyle="1" w:styleId="150">
    <w:name w:val="本级3"/>
    <w:basedOn w:val="151"/>
    <w:next w:val="151"/>
    <w:link w:val="149"/>
    <w:qFormat/>
    <w:uiPriority w:val="0"/>
    <w:pPr>
      <w:tabs>
        <w:tab w:val="left" w:pos="567"/>
      </w:tabs>
      <w:outlineLvl w:val="2"/>
    </w:pPr>
  </w:style>
  <w:style w:type="paragraph" w:customStyle="1" w:styleId="151">
    <w:name w:val="本级2"/>
    <w:basedOn w:val="3"/>
    <w:link w:val="152"/>
    <w:qFormat/>
    <w:uiPriority w:val="0"/>
    <w:pPr>
      <w:numPr>
        <w:ilvl w:val="0"/>
        <w:numId w:val="0"/>
      </w:numPr>
      <w:tabs>
        <w:tab w:val="left" w:pos="567"/>
      </w:tabs>
      <w:spacing w:before="0" w:beforeLines="0" w:after="0" w:afterLines="0" w:line="360" w:lineRule="auto"/>
      <w:ind w:left="567" w:hanging="567"/>
    </w:pPr>
    <w:rPr>
      <w:rFonts w:ascii="仿宋_GB2312" w:hAnsi="仿宋" w:eastAsia="仿宋_GB2312"/>
      <w:szCs w:val="24"/>
    </w:rPr>
  </w:style>
  <w:style w:type="character" w:customStyle="1" w:styleId="152">
    <w:name w:val="本级2 Char"/>
    <w:link w:val="151"/>
    <w:qFormat/>
    <w:uiPriority w:val="0"/>
    <w:rPr>
      <w:rFonts w:ascii="仿宋_GB2312" w:hAnsi="仿宋" w:eastAsia="仿宋_GB2312"/>
      <w:b/>
      <w:bCs/>
      <w:kern w:val="2"/>
      <w:sz w:val="32"/>
      <w:szCs w:val="24"/>
    </w:rPr>
  </w:style>
  <w:style w:type="character" w:customStyle="1" w:styleId="153">
    <w:name w:val="font101"/>
    <w:basedOn w:val="88"/>
    <w:qFormat/>
    <w:uiPriority w:val="0"/>
    <w:rPr>
      <w:rFonts w:hint="default" w:ascii="Times New Roman" w:hAnsi="Times New Roman" w:cs="Times New Roman"/>
      <w:color w:val="000000"/>
      <w:sz w:val="24"/>
      <w:szCs w:val="24"/>
      <w:u w:val="none"/>
    </w:rPr>
  </w:style>
  <w:style w:type="character" w:customStyle="1" w:styleId="154">
    <w:name w:val="style91"/>
    <w:qFormat/>
    <w:uiPriority w:val="0"/>
    <w:rPr>
      <w:rFonts w:cs="Times New Roman"/>
      <w:color w:val="000000"/>
      <w:lang w:bidi="ar-SA"/>
    </w:rPr>
  </w:style>
  <w:style w:type="character" w:customStyle="1" w:styleId="155">
    <w:name w:val="标题 3 Char1"/>
    <w:semiHidden/>
    <w:qFormat/>
    <w:uiPriority w:val="0"/>
    <w:rPr>
      <w:b/>
      <w:bCs/>
      <w:kern w:val="2"/>
      <w:sz w:val="32"/>
      <w:szCs w:val="32"/>
    </w:rPr>
  </w:style>
  <w:style w:type="character" w:customStyle="1" w:styleId="156">
    <w:name w:val="标题3 Char"/>
    <w:link w:val="157"/>
    <w:qFormat/>
    <w:uiPriority w:val="0"/>
    <w:rPr>
      <w:kern w:val="2"/>
      <w:sz w:val="21"/>
      <w:szCs w:val="24"/>
    </w:rPr>
  </w:style>
  <w:style w:type="paragraph" w:customStyle="1" w:styleId="157">
    <w:name w:val="标题3"/>
    <w:basedOn w:val="1"/>
    <w:link w:val="156"/>
    <w:qFormat/>
    <w:uiPriority w:val="0"/>
  </w:style>
  <w:style w:type="character" w:customStyle="1" w:styleId="158">
    <w:name w:val="btn"/>
    <w:qFormat/>
    <w:uiPriority w:val="0"/>
  </w:style>
  <w:style w:type="character" w:customStyle="1" w:styleId="159">
    <w:name w:val="sub_title1"/>
    <w:qFormat/>
    <w:uiPriority w:val="0"/>
    <w:rPr>
      <w:rFonts w:cs="Times New Roman"/>
      <w:lang w:bidi="ar-SA"/>
    </w:rPr>
  </w:style>
  <w:style w:type="character" w:customStyle="1" w:styleId="160">
    <w:name w:val="注释标题 Char1"/>
    <w:semiHidden/>
    <w:qFormat/>
    <w:locked/>
    <w:uiPriority w:val="99"/>
    <w:rPr>
      <w:rFonts w:ascii="Times New Roman" w:hAnsi="Times New Roman" w:eastAsia="仿宋"/>
      <w:sz w:val="32"/>
    </w:rPr>
  </w:style>
  <w:style w:type="character" w:customStyle="1" w:styleId="161">
    <w:name w:val="标题 2 字符"/>
    <w:qFormat/>
    <w:uiPriority w:val="0"/>
    <w:rPr>
      <w:rFonts w:ascii="宋体" w:hAnsi="宋体"/>
      <w:b/>
      <w:spacing w:val="14"/>
      <w:sz w:val="30"/>
      <w:szCs w:val="24"/>
    </w:rPr>
  </w:style>
  <w:style w:type="character" w:customStyle="1" w:styleId="162">
    <w:name w:val="Table Heading Char"/>
    <w:link w:val="163"/>
    <w:qFormat/>
    <w:uiPriority w:val="0"/>
    <w:rPr>
      <w:rFonts w:ascii="Arial" w:hAnsi="Arial" w:eastAsia="黑体" w:cs="Book Antiqua"/>
      <w:bCs/>
      <w:snapToGrid w:val="0"/>
      <w:sz w:val="21"/>
      <w:szCs w:val="21"/>
    </w:rPr>
  </w:style>
  <w:style w:type="paragraph" w:customStyle="1" w:styleId="163">
    <w:name w:val="Table Heading"/>
    <w:basedOn w:val="1"/>
    <w:link w:val="162"/>
    <w:qFormat/>
    <w:uiPriority w:val="0"/>
    <w:pPr>
      <w:keepNext/>
      <w:topLinePunct/>
      <w:adjustRightInd w:val="0"/>
      <w:snapToGrid w:val="0"/>
      <w:spacing w:before="80" w:beforeLines="0" w:after="80" w:afterLines="0" w:line="240" w:lineRule="atLeast"/>
      <w:jc w:val="left"/>
    </w:pPr>
    <w:rPr>
      <w:rFonts w:ascii="Arial" w:hAnsi="Arial" w:eastAsia="黑体"/>
      <w:bCs/>
      <w:snapToGrid w:val="0"/>
      <w:kern w:val="0"/>
      <w:szCs w:val="21"/>
    </w:rPr>
  </w:style>
  <w:style w:type="character" w:customStyle="1" w:styleId="164">
    <w:name w:val="prod_content_font_011"/>
    <w:qFormat/>
    <w:uiPriority w:val="0"/>
    <w:rPr>
      <w:rFonts w:hint="default" w:ascii="Verdana" w:hAnsi="Verdana"/>
      <w:color w:val="5E5E5E"/>
      <w:sz w:val="17"/>
      <w:szCs w:val="17"/>
    </w:rPr>
  </w:style>
  <w:style w:type="character" w:customStyle="1" w:styleId="165">
    <w:name w:val="textfont1"/>
    <w:qFormat/>
    <w:uiPriority w:val="0"/>
    <w:rPr>
      <w:sz w:val="22"/>
      <w:szCs w:val="22"/>
    </w:rPr>
  </w:style>
  <w:style w:type="character" w:customStyle="1" w:styleId="166">
    <w:name w:val="标题4 Char"/>
    <w:link w:val="167"/>
    <w:qFormat/>
    <w:uiPriority w:val="0"/>
    <w:rPr>
      <w:rFonts w:eastAsia="仿宋"/>
      <w:b/>
      <w:kern w:val="2"/>
      <w:sz w:val="24"/>
    </w:rPr>
  </w:style>
  <w:style w:type="paragraph" w:customStyle="1" w:styleId="167">
    <w:name w:val="标题4"/>
    <w:basedOn w:val="1"/>
    <w:next w:val="6"/>
    <w:link w:val="166"/>
    <w:qFormat/>
    <w:uiPriority w:val="0"/>
    <w:pPr>
      <w:snapToGrid w:val="0"/>
      <w:spacing w:before="60" w:beforeLines="0" w:line="360" w:lineRule="auto"/>
      <w:ind w:firstLine="454"/>
    </w:pPr>
    <w:rPr>
      <w:rFonts w:eastAsia="仿宋"/>
      <w:b/>
      <w:sz w:val="24"/>
      <w:szCs w:val="20"/>
    </w:rPr>
  </w:style>
  <w:style w:type="character" w:customStyle="1" w:styleId="168">
    <w:name w:val="标题 1 Char1"/>
    <w:qFormat/>
    <w:uiPriority w:val="0"/>
    <w:rPr>
      <w:b/>
      <w:bCs/>
      <w:kern w:val="44"/>
      <w:sz w:val="44"/>
      <w:szCs w:val="44"/>
    </w:rPr>
  </w:style>
  <w:style w:type="character" w:customStyle="1" w:styleId="169">
    <w:name w:val=" Char Char3"/>
    <w:semiHidden/>
    <w:qFormat/>
    <w:uiPriority w:val="0"/>
    <w:rPr>
      <w:sz w:val="18"/>
      <w:szCs w:val="18"/>
    </w:rPr>
  </w:style>
  <w:style w:type="character" w:customStyle="1" w:styleId="17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171">
    <w:name w:val="info4"/>
    <w:qFormat/>
    <w:uiPriority w:val="0"/>
  </w:style>
  <w:style w:type="character" w:customStyle="1" w:styleId="172">
    <w:name w:val="正文（缩进） Char"/>
    <w:link w:val="173"/>
    <w:qFormat/>
    <w:uiPriority w:val="0"/>
    <w:rPr>
      <w:rFonts w:ascii="宋体" w:hAnsi="宋体" w:cs="宋体"/>
      <w:sz w:val="24"/>
      <w:szCs w:val="24"/>
    </w:rPr>
  </w:style>
  <w:style w:type="paragraph" w:customStyle="1" w:styleId="173">
    <w:name w:val="正文（缩进）"/>
    <w:basedOn w:val="1"/>
    <w:link w:val="172"/>
    <w:qFormat/>
    <w:uiPriority w:val="0"/>
    <w:pPr>
      <w:widowControl/>
      <w:spacing w:before="156" w:beforeLines="50" w:after="156" w:afterLines="50" w:line="360" w:lineRule="auto"/>
      <w:ind w:firstLine="480" w:firstLineChars="200"/>
      <w:jc w:val="left"/>
    </w:pPr>
    <w:rPr>
      <w:rFonts w:ascii="宋体" w:hAnsi="宋体"/>
      <w:kern w:val="0"/>
      <w:sz w:val="24"/>
    </w:rPr>
  </w:style>
  <w:style w:type="character" w:customStyle="1" w:styleId="174">
    <w:name w:val="ca-2"/>
    <w:qFormat/>
    <w:uiPriority w:val="0"/>
    <w:rPr>
      <w:rFonts w:cs="Times New Roman"/>
      <w:lang w:bidi="ar-SA"/>
    </w:rPr>
  </w:style>
  <w:style w:type="character" w:customStyle="1" w:styleId="175">
    <w:name w:val="签名 Char"/>
    <w:qFormat/>
    <w:uiPriority w:val="0"/>
    <w:rPr>
      <w:kern w:val="2"/>
      <w:sz w:val="21"/>
      <w:szCs w:val="24"/>
    </w:rPr>
  </w:style>
  <w:style w:type="character" w:customStyle="1" w:styleId="176">
    <w:name w:val="HTML 地址 Char1"/>
    <w:semiHidden/>
    <w:qFormat/>
    <w:locked/>
    <w:uiPriority w:val="0"/>
    <w:rPr>
      <w:rFonts w:ascii="Times New Roman" w:hAnsi="Times New Roman" w:eastAsia="仿宋"/>
      <w:i/>
      <w:iCs/>
      <w:sz w:val="32"/>
    </w:rPr>
  </w:style>
  <w:style w:type="character" w:customStyle="1" w:styleId="177">
    <w:name w:val="ca-3"/>
    <w:qFormat/>
    <w:uiPriority w:val="0"/>
    <w:rPr>
      <w:rFonts w:cs="Times New Roman"/>
      <w:lang w:bidi="ar-SA"/>
    </w:rPr>
  </w:style>
  <w:style w:type="character" w:customStyle="1" w:styleId="178">
    <w:name w:val="段落小标题 Char"/>
    <w:link w:val="179"/>
    <w:qFormat/>
    <w:uiPriority w:val="0"/>
    <w:rPr>
      <w:rFonts w:ascii="仿宋" w:hAnsi="仿宋" w:eastAsia="仿宋"/>
      <w:b/>
      <w:sz w:val="32"/>
      <w:szCs w:val="32"/>
    </w:rPr>
  </w:style>
  <w:style w:type="paragraph" w:customStyle="1" w:styleId="179">
    <w:name w:val="段落小标题"/>
    <w:basedOn w:val="1"/>
    <w:link w:val="178"/>
    <w:qFormat/>
    <w:uiPriority w:val="0"/>
    <w:pPr>
      <w:adjustRightInd w:val="0"/>
      <w:spacing w:line="360" w:lineRule="auto"/>
      <w:ind w:firstLine="510"/>
      <w:jc w:val="left"/>
      <w:textAlignment w:val="baseline"/>
    </w:pPr>
    <w:rPr>
      <w:rFonts w:ascii="仿宋" w:hAnsi="仿宋" w:eastAsia="仿宋"/>
      <w:b/>
      <w:kern w:val="0"/>
      <w:sz w:val="32"/>
      <w:szCs w:val="32"/>
    </w:rPr>
  </w:style>
  <w:style w:type="character" w:customStyle="1" w:styleId="180">
    <w:name w:val="font91"/>
    <w:qFormat/>
    <w:uiPriority w:val="0"/>
    <w:rPr>
      <w:rFonts w:hint="eastAsia" w:ascii="宋体" w:hAnsi="宋体" w:eastAsia="宋体" w:cs="宋体"/>
      <w:color w:val="000000"/>
      <w:sz w:val="21"/>
      <w:szCs w:val="21"/>
      <w:u w:val="none"/>
    </w:rPr>
  </w:style>
  <w:style w:type="character" w:customStyle="1" w:styleId="181">
    <w:name w:val="*正文 Char"/>
    <w:link w:val="182"/>
    <w:qFormat/>
    <w:locked/>
    <w:uiPriority w:val="0"/>
    <w:rPr>
      <w:rFonts w:ascii="宋体" w:hAnsi="宋体"/>
      <w:kern w:val="2"/>
      <w:sz w:val="21"/>
      <w:szCs w:val="22"/>
    </w:rPr>
  </w:style>
  <w:style w:type="paragraph" w:customStyle="1" w:styleId="182">
    <w:name w:val="*正文"/>
    <w:basedOn w:val="1"/>
    <w:link w:val="181"/>
    <w:qFormat/>
    <w:uiPriority w:val="0"/>
    <w:pPr>
      <w:ind w:firstLine="480"/>
    </w:pPr>
    <w:rPr>
      <w:rFonts w:ascii="宋体" w:hAnsi="宋体"/>
      <w:szCs w:val="22"/>
    </w:rPr>
  </w:style>
  <w:style w:type="character" w:customStyle="1" w:styleId="183">
    <w:name w:val="Table Text Char"/>
    <w:link w:val="184"/>
    <w:qFormat/>
    <w:uiPriority w:val="0"/>
    <w:rPr>
      <w:rFonts w:ascii="Arial" w:hAnsi="Arial"/>
      <w:sz w:val="18"/>
      <w:lang w:val="en-US" w:eastAsia="zh-CN" w:bidi="ar-SA"/>
    </w:rPr>
  </w:style>
  <w:style w:type="paragraph" w:customStyle="1" w:styleId="184">
    <w:name w:val="Table Text"/>
    <w:link w:val="183"/>
    <w:qFormat/>
    <w:uiPriority w:val="0"/>
    <w:pPr>
      <w:snapToGrid w:val="0"/>
      <w:spacing w:before="80" w:after="80"/>
    </w:pPr>
    <w:rPr>
      <w:rFonts w:ascii="Arial" w:hAnsi="Arial" w:eastAsia="宋体" w:cs="Times New Roman"/>
      <w:sz w:val="18"/>
      <w:lang w:val="en-US" w:eastAsia="zh-CN" w:bidi="ar-SA"/>
    </w:rPr>
  </w:style>
  <w:style w:type="character" w:customStyle="1" w:styleId="185">
    <w:name w:val="注释标题 Char"/>
    <w:qFormat/>
    <w:uiPriority w:val="0"/>
    <w:rPr>
      <w:kern w:val="2"/>
      <w:sz w:val="21"/>
      <w:szCs w:val="24"/>
    </w:rPr>
  </w:style>
  <w:style w:type="character" w:customStyle="1" w:styleId="186">
    <w:name w:val="标题 8 字符"/>
    <w:qFormat/>
    <w:uiPriority w:val="0"/>
    <w:rPr>
      <w:rFonts w:ascii="Arial" w:hAnsi="Arial" w:eastAsia="黑体"/>
      <w:sz w:val="24"/>
      <w:szCs w:val="24"/>
    </w:rPr>
  </w:style>
  <w:style w:type="character" w:customStyle="1" w:styleId="187">
    <w:name w:val="正文文本缩进 字符"/>
    <w:qFormat/>
    <w:uiPriority w:val="0"/>
    <w:rPr>
      <w:rFonts w:ascii="楷体_GB2312" w:hAnsi="Times New Roman" w:eastAsia="仿宋"/>
      <w:spacing w:val="12"/>
      <w:sz w:val="24"/>
    </w:rPr>
  </w:style>
  <w:style w:type="character" w:customStyle="1" w:styleId="188">
    <w:name w:val="标题 7 字符"/>
    <w:qFormat/>
    <w:uiPriority w:val="0"/>
    <w:rPr>
      <w:rFonts w:ascii="Times New Roman" w:hAnsi="Times New Roman" w:eastAsia="仿宋"/>
      <w:b/>
      <w:bCs/>
      <w:sz w:val="24"/>
      <w:szCs w:val="24"/>
    </w:rPr>
  </w:style>
  <w:style w:type="character" w:customStyle="1" w:styleId="189">
    <w:name w:val="页脚 Char1"/>
    <w:semiHidden/>
    <w:qFormat/>
    <w:uiPriority w:val="99"/>
    <w:rPr>
      <w:rFonts w:ascii="Times New Roman" w:hAnsi="Times New Roman"/>
      <w:kern w:val="2"/>
      <w:sz w:val="18"/>
      <w:szCs w:val="18"/>
    </w:rPr>
  </w:style>
  <w:style w:type="character" w:customStyle="1" w:styleId="190">
    <w:name w:val="结束语 Char1"/>
    <w:semiHidden/>
    <w:qFormat/>
    <w:locked/>
    <w:uiPriority w:val="99"/>
    <w:rPr>
      <w:rFonts w:ascii="Times New Roman" w:hAnsi="Times New Roman" w:eastAsia="仿宋"/>
      <w:sz w:val="32"/>
    </w:rPr>
  </w:style>
  <w:style w:type="character" w:customStyle="1" w:styleId="191">
    <w:name w:val="haikang1"/>
    <w:qFormat/>
    <w:uiPriority w:val="0"/>
    <w:rPr>
      <w:rFonts w:hint="default"/>
      <w:color w:val="000000"/>
      <w:sz w:val="18"/>
      <w:szCs w:val="18"/>
      <w:u w:val="none"/>
    </w:rPr>
  </w:style>
  <w:style w:type="character" w:customStyle="1" w:styleId="192">
    <w:name w:val="尾注文本 字符"/>
    <w:semiHidden/>
    <w:qFormat/>
    <w:uiPriority w:val="0"/>
    <w:rPr>
      <w:rFonts w:ascii="Times New Roman" w:hAnsi="Times New Roman" w:eastAsia="仿宋"/>
      <w:sz w:val="32"/>
    </w:rPr>
  </w:style>
  <w:style w:type="character" w:customStyle="1" w:styleId="193">
    <w:name w:val="标题 7 Char1"/>
    <w:semiHidden/>
    <w:qFormat/>
    <w:uiPriority w:val="0"/>
    <w:rPr>
      <w:b/>
      <w:bCs/>
      <w:kern w:val="2"/>
      <w:sz w:val="24"/>
      <w:szCs w:val="24"/>
    </w:rPr>
  </w:style>
  <w:style w:type="character" w:customStyle="1" w:styleId="194">
    <w:name w:val="正文文本 3 Char"/>
    <w:qFormat/>
    <w:uiPriority w:val="0"/>
    <w:rPr>
      <w:kern w:val="2"/>
      <w:sz w:val="16"/>
      <w:szCs w:val="16"/>
    </w:rPr>
  </w:style>
  <w:style w:type="character" w:customStyle="1" w:styleId="195">
    <w:name w:val="脚注文本 Char1"/>
    <w:semiHidden/>
    <w:qFormat/>
    <w:locked/>
    <w:uiPriority w:val="99"/>
    <w:rPr>
      <w:rFonts w:ascii="Times New Roman" w:hAnsi="Times New Roman" w:eastAsia="仿宋"/>
      <w:sz w:val="18"/>
      <w:szCs w:val="18"/>
    </w:rPr>
  </w:style>
  <w:style w:type="character" w:customStyle="1" w:styleId="196">
    <w:name w:val="GW-标题3 Char Char"/>
    <w:link w:val="197"/>
    <w:qFormat/>
    <w:uiPriority w:val="99"/>
    <w:rPr>
      <w:rFonts w:ascii="仿宋_GB2312" w:eastAsia="仿宋_GB2312"/>
      <w:bCs/>
      <w:kern w:val="44"/>
      <w:sz w:val="32"/>
    </w:rPr>
  </w:style>
  <w:style w:type="paragraph" w:customStyle="1" w:styleId="197">
    <w:name w:val="GW-标题3"/>
    <w:basedOn w:val="1"/>
    <w:link w:val="196"/>
    <w:qFormat/>
    <w:uiPriority w:val="99"/>
    <w:pPr>
      <w:keepNext/>
      <w:keepLines/>
      <w:numPr>
        <w:ilvl w:val="0"/>
        <w:numId w:val="11"/>
      </w:numPr>
      <w:spacing w:before="156" w:beforeLines="50" w:after="156" w:afterLines="50" w:line="360" w:lineRule="auto"/>
      <w:outlineLvl w:val="2"/>
    </w:pPr>
    <w:rPr>
      <w:rFonts w:ascii="仿宋_GB2312" w:eastAsia="仿宋_GB2312"/>
      <w:bCs/>
      <w:kern w:val="44"/>
      <w:sz w:val="32"/>
      <w:szCs w:val="20"/>
    </w:rPr>
  </w:style>
  <w:style w:type="character" w:customStyle="1" w:styleId="198">
    <w:name w:val="无间隔 Char"/>
    <w:link w:val="199"/>
    <w:qFormat/>
    <w:uiPriority w:val="0"/>
    <w:rPr>
      <w:sz w:val="22"/>
      <w:lang w:val="en-US" w:eastAsia="zh-CN" w:bidi="ar-SA"/>
    </w:rPr>
  </w:style>
  <w:style w:type="paragraph" w:customStyle="1" w:styleId="199">
    <w:name w:val="No Spacing1"/>
    <w:link w:val="198"/>
    <w:qFormat/>
    <w:uiPriority w:val="0"/>
    <w:rPr>
      <w:rFonts w:ascii="Calibri" w:hAnsi="Calibri" w:eastAsia="宋体" w:cs="Times New Roman"/>
      <w:sz w:val="22"/>
      <w:lang w:val="en-US" w:eastAsia="zh-CN" w:bidi="ar-SA"/>
    </w:rPr>
  </w:style>
  <w:style w:type="character" w:customStyle="1" w:styleId="200">
    <w:name w:val="页眉 Char1"/>
    <w:qFormat/>
    <w:uiPriority w:val="0"/>
    <w:rPr>
      <w:rFonts w:ascii="Times New Roman" w:hAnsi="Times New Roman"/>
      <w:kern w:val="2"/>
      <w:sz w:val="18"/>
      <w:szCs w:val="18"/>
    </w:rPr>
  </w:style>
  <w:style w:type="character" w:customStyle="1" w:styleId="201">
    <w:name w:val="列出段落 Char1"/>
    <w:link w:val="202"/>
    <w:qFormat/>
    <w:uiPriority w:val="0"/>
    <w:rPr>
      <w:rFonts w:ascii="Calibri" w:hAnsi="Calibri"/>
      <w:kern w:val="2"/>
      <w:sz w:val="21"/>
      <w:szCs w:val="22"/>
    </w:rPr>
  </w:style>
  <w:style w:type="paragraph" w:customStyle="1" w:styleId="202">
    <w:name w:val="List Paragraph"/>
    <w:basedOn w:val="1"/>
    <w:link w:val="201"/>
    <w:qFormat/>
    <w:uiPriority w:val="34"/>
    <w:pPr>
      <w:ind w:firstLine="420" w:firstLineChars="200"/>
    </w:pPr>
    <w:rPr>
      <w:szCs w:val="22"/>
    </w:rPr>
  </w:style>
  <w:style w:type="character" w:customStyle="1" w:styleId="203">
    <w:name w:val="正文缩进(ALT+Z) Char"/>
    <w:link w:val="204"/>
    <w:qFormat/>
    <w:uiPriority w:val="0"/>
    <w:rPr>
      <w:kern w:val="2"/>
      <w:sz w:val="24"/>
      <w:szCs w:val="24"/>
    </w:rPr>
  </w:style>
  <w:style w:type="paragraph" w:customStyle="1" w:styleId="204">
    <w:name w:val="正文缩进(ALT+Z)"/>
    <w:basedOn w:val="1"/>
    <w:link w:val="203"/>
    <w:qFormat/>
    <w:uiPriority w:val="0"/>
    <w:pPr>
      <w:spacing w:line="360" w:lineRule="auto"/>
      <w:ind w:firstLine="200" w:firstLineChars="200"/>
    </w:pPr>
    <w:rPr>
      <w:sz w:val="24"/>
    </w:rPr>
  </w:style>
  <w:style w:type="character" w:customStyle="1" w:styleId="205">
    <w:name w:val="Char Char3"/>
    <w:semiHidden/>
    <w:qFormat/>
    <w:uiPriority w:val="0"/>
    <w:rPr>
      <w:sz w:val="18"/>
      <w:szCs w:val="18"/>
    </w:rPr>
  </w:style>
  <w:style w:type="character" w:customStyle="1" w:styleId="206">
    <w:name w:val="Date Char"/>
    <w:qFormat/>
    <w:uiPriority w:val="0"/>
    <w:rPr>
      <w:rFonts w:ascii="宋体" w:eastAsia="宋体"/>
      <w:kern w:val="2"/>
      <w:sz w:val="24"/>
      <w:lang w:val="en-US" w:eastAsia="zh-CN"/>
    </w:rPr>
  </w:style>
  <w:style w:type="character" w:customStyle="1" w:styleId="207">
    <w:name w:val="HD2 Char"/>
    <w:qFormat/>
    <w:uiPriority w:val="0"/>
    <w:rPr>
      <w:rFonts w:ascii="Arial" w:hAnsi="Arial" w:eastAsia="黑体"/>
      <w:b/>
      <w:bCs/>
      <w:kern w:val="2"/>
      <w:sz w:val="32"/>
      <w:szCs w:val="32"/>
      <w:lang w:val="en-US" w:eastAsia="zh-CN" w:bidi="ar-SA"/>
    </w:rPr>
  </w:style>
  <w:style w:type="character" w:customStyle="1" w:styleId="208">
    <w:name w:val="Table Description Char Char"/>
    <w:link w:val="209"/>
    <w:qFormat/>
    <w:uiPriority w:val="0"/>
    <w:rPr>
      <w:rFonts w:ascii="Arial" w:hAnsi="Arial" w:cs="Arial"/>
      <w:spacing w:val="-4"/>
      <w:kern w:val="2"/>
      <w:sz w:val="21"/>
      <w:szCs w:val="21"/>
    </w:rPr>
  </w:style>
  <w:style w:type="paragraph" w:customStyle="1" w:styleId="209">
    <w:name w:val="Table Description"/>
    <w:basedOn w:val="1"/>
    <w:next w:val="1"/>
    <w:link w:val="208"/>
    <w:qFormat/>
    <w:uiPriority w:val="0"/>
    <w:pPr>
      <w:keepNext/>
      <w:widowControl/>
      <w:topLinePunct/>
      <w:adjustRightInd w:val="0"/>
      <w:snapToGrid w:val="0"/>
      <w:spacing w:before="320" w:beforeLines="0" w:after="80" w:afterLines="0" w:line="240" w:lineRule="atLeast"/>
      <w:ind w:left="1680"/>
      <w:jc w:val="left"/>
      <w:outlineLvl w:val="7"/>
    </w:pPr>
    <w:rPr>
      <w:rFonts w:ascii="Arial" w:hAnsi="Arial"/>
      <w:spacing w:val="-4"/>
      <w:szCs w:val="21"/>
    </w:rPr>
  </w:style>
  <w:style w:type="character" w:customStyle="1" w:styleId="210">
    <w:name w:val="结束语 Char"/>
    <w:qFormat/>
    <w:uiPriority w:val="0"/>
    <w:rPr>
      <w:kern w:val="2"/>
      <w:sz w:val="21"/>
      <w:szCs w:val="24"/>
    </w:rPr>
  </w:style>
  <w:style w:type="character" w:customStyle="1" w:styleId="211">
    <w:name w:val="样式 宋体"/>
    <w:qFormat/>
    <w:uiPriority w:val="0"/>
    <w:rPr>
      <w:rFonts w:ascii="宋体" w:hAnsi="宋体" w:eastAsia="宋体"/>
      <w:sz w:val="24"/>
      <w:szCs w:val="24"/>
    </w:rPr>
  </w:style>
  <w:style w:type="character" w:customStyle="1" w:styleId="212">
    <w:name w:val="宏文本 Char"/>
    <w:qFormat/>
    <w:uiPriority w:val="99"/>
    <w:rPr>
      <w:rFonts w:ascii="Courier New" w:hAnsi="Courier New" w:cs="Courier New"/>
      <w:kern w:val="2"/>
      <w:sz w:val="24"/>
      <w:szCs w:val="24"/>
    </w:rPr>
  </w:style>
  <w:style w:type="character" w:customStyle="1" w:styleId="213">
    <w:name w:val="Char Char1"/>
    <w:qFormat/>
    <w:uiPriority w:val="0"/>
    <w:rPr>
      <w:kern w:val="2"/>
      <w:sz w:val="21"/>
      <w:szCs w:val="24"/>
    </w:rPr>
  </w:style>
  <w:style w:type="character" w:customStyle="1" w:styleId="214">
    <w:name w:val="标题 1 字符"/>
    <w:qFormat/>
    <w:uiPriority w:val="0"/>
    <w:rPr>
      <w:rFonts w:ascii="宋体" w:hAnsi="宋体"/>
      <w:b/>
      <w:spacing w:val="14"/>
      <w:kern w:val="44"/>
      <w:sz w:val="44"/>
      <w:szCs w:val="52"/>
    </w:rPr>
  </w:style>
  <w:style w:type="character" w:customStyle="1" w:styleId="215">
    <w:name w:val="正文文本 2 字符"/>
    <w:qFormat/>
    <w:uiPriority w:val="0"/>
    <w:rPr>
      <w:rFonts w:ascii="Times New Roman" w:hAnsi="Times New Roman" w:eastAsia="仿宋"/>
      <w:sz w:val="32"/>
    </w:rPr>
  </w:style>
  <w:style w:type="character" w:customStyle="1" w:styleId="216">
    <w:name w:val="正文文本缩进 3 字符"/>
    <w:qFormat/>
    <w:uiPriority w:val="0"/>
    <w:rPr>
      <w:rFonts w:ascii="Times New Roman" w:hAnsi="Times New Roman" w:eastAsia="仿宋"/>
      <w:sz w:val="16"/>
      <w:szCs w:val="16"/>
    </w:rPr>
  </w:style>
  <w:style w:type="character" w:customStyle="1" w:styleId="217">
    <w:name w:val="font41"/>
    <w:qFormat/>
    <w:uiPriority w:val="0"/>
    <w:rPr>
      <w:rFonts w:hint="eastAsia" w:ascii="宋体" w:hAnsi="宋体" w:eastAsia="宋体" w:cs="宋体"/>
      <w:color w:val="000000"/>
      <w:sz w:val="28"/>
      <w:szCs w:val="28"/>
      <w:u w:val="none"/>
    </w:rPr>
  </w:style>
  <w:style w:type="character" w:customStyle="1" w:styleId="218">
    <w:name w:val="font01"/>
    <w:qFormat/>
    <w:uiPriority w:val="0"/>
    <w:rPr>
      <w:rFonts w:hint="eastAsia" w:ascii="宋体" w:hAnsi="宋体" w:eastAsia="宋体" w:cs="宋体"/>
      <w:color w:val="000000"/>
      <w:sz w:val="36"/>
      <w:szCs w:val="36"/>
      <w:u w:val="none"/>
    </w:rPr>
  </w:style>
  <w:style w:type="character" w:customStyle="1" w:styleId="219">
    <w:name w:val="信息标题 Char1"/>
    <w:semiHidden/>
    <w:qFormat/>
    <w:locked/>
    <w:uiPriority w:val="99"/>
    <w:rPr>
      <w:rFonts w:ascii="Arial" w:hAnsi="Arial" w:eastAsia="仿宋"/>
      <w:sz w:val="24"/>
      <w:szCs w:val="24"/>
      <w:shd w:val="pct20" w:color="auto" w:fill="auto"/>
    </w:rPr>
  </w:style>
  <w:style w:type="character" w:customStyle="1" w:styleId="220">
    <w:name w:val="font112"/>
    <w:basedOn w:val="88"/>
    <w:qFormat/>
    <w:uiPriority w:val="0"/>
    <w:rPr>
      <w:rFonts w:hint="eastAsia" w:ascii="宋体" w:hAnsi="宋体" w:eastAsia="宋体" w:cs="宋体"/>
      <w:b/>
      <w:bCs/>
      <w:color w:val="000000"/>
      <w:sz w:val="18"/>
      <w:szCs w:val="18"/>
      <w:u w:val="none"/>
    </w:rPr>
  </w:style>
  <w:style w:type="character" w:customStyle="1" w:styleId="221">
    <w:name w:val="宏文本 Char1"/>
    <w:semiHidden/>
    <w:qFormat/>
    <w:locked/>
    <w:uiPriority w:val="99"/>
    <w:rPr>
      <w:rFonts w:ascii="Courier New" w:hAnsi="Courier New"/>
      <w:sz w:val="24"/>
      <w:szCs w:val="24"/>
    </w:rPr>
  </w:style>
  <w:style w:type="character" w:customStyle="1" w:styleId="222">
    <w:name w:val="正文首行缩进 2 字符"/>
    <w:qFormat/>
    <w:uiPriority w:val="0"/>
    <w:rPr>
      <w:rFonts w:ascii="Times New Roman" w:hAnsi="Times New Roman" w:eastAsia="仿宋"/>
      <w:sz w:val="21"/>
    </w:rPr>
  </w:style>
  <w:style w:type="character" w:customStyle="1" w:styleId="223">
    <w:name w:val="电子邮件签名 Char"/>
    <w:qFormat/>
    <w:uiPriority w:val="0"/>
    <w:rPr>
      <w:kern w:val="2"/>
      <w:sz w:val="21"/>
      <w:szCs w:val="24"/>
    </w:rPr>
  </w:style>
  <w:style w:type="character" w:customStyle="1" w:styleId="224">
    <w:name w:val="正文文本缩进 3 Char1"/>
    <w:semiHidden/>
    <w:qFormat/>
    <w:uiPriority w:val="99"/>
    <w:rPr>
      <w:rFonts w:ascii="Times New Roman" w:hAnsi="Times New Roman" w:eastAsia="宋体" w:cs="Times New Roman"/>
      <w:sz w:val="16"/>
      <w:szCs w:val="16"/>
    </w:rPr>
  </w:style>
  <w:style w:type="character" w:customStyle="1" w:styleId="225">
    <w:name w:val="标题 4 Char1"/>
    <w:semiHidden/>
    <w:qFormat/>
    <w:uiPriority w:val="0"/>
    <w:rPr>
      <w:rFonts w:ascii="Cambria" w:hAnsi="Cambria" w:eastAsia="宋体" w:cs="Times New Roman"/>
      <w:b/>
      <w:bCs/>
      <w:kern w:val="2"/>
      <w:sz w:val="28"/>
      <w:szCs w:val="28"/>
    </w:rPr>
  </w:style>
  <w:style w:type="character" w:customStyle="1" w:styleId="226">
    <w:name w:val="批注文字 字符"/>
    <w:semiHidden/>
    <w:qFormat/>
    <w:uiPriority w:val="99"/>
    <w:rPr>
      <w:rFonts w:ascii="Times New Roman" w:hAnsi="Times New Roman" w:eastAsia="仿宋"/>
      <w:sz w:val="32"/>
    </w:rPr>
  </w:style>
  <w:style w:type="character" w:customStyle="1" w:styleId="227">
    <w:name w:val="dandyren_title1"/>
    <w:qFormat/>
    <w:uiPriority w:val="0"/>
    <w:rPr>
      <w:b/>
      <w:bCs/>
      <w:color w:val="FF6633"/>
      <w:sz w:val="18"/>
      <w:szCs w:val="18"/>
    </w:rPr>
  </w:style>
  <w:style w:type="character" w:customStyle="1" w:styleId="228">
    <w:name w:val="脚注文本 Char"/>
    <w:qFormat/>
    <w:uiPriority w:val="99"/>
    <w:rPr>
      <w:kern w:val="2"/>
      <w:sz w:val="18"/>
      <w:szCs w:val="18"/>
    </w:rPr>
  </w:style>
  <w:style w:type="character" w:customStyle="1" w:styleId="229">
    <w:name w:val="普通 (Web) Char"/>
    <w:link w:val="230"/>
    <w:qFormat/>
    <w:uiPriority w:val="0"/>
    <w:rPr>
      <w:rFonts w:ascii="宋体" w:hAnsi="宋体"/>
      <w:sz w:val="24"/>
      <w:szCs w:val="24"/>
    </w:rPr>
  </w:style>
  <w:style w:type="paragraph" w:customStyle="1" w:styleId="230">
    <w:name w:val="普通 (Web)"/>
    <w:basedOn w:val="1"/>
    <w:link w:val="229"/>
    <w:qFormat/>
    <w:uiPriority w:val="0"/>
    <w:pPr>
      <w:widowControl/>
      <w:spacing w:before="100" w:beforeLines="0" w:beforeAutospacing="1" w:after="100" w:afterLines="0" w:afterAutospacing="1"/>
      <w:jc w:val="left"/>
    </w:pPr>
    <w:rPr>
      <w:rFonts w:ascii="宋体" w:hAnsi="宋体"/>
      <w:kern w:val="0"/>
      <w:sz w:val="24"/>
    </w:rPr>
  </w:style>
  <w:style w:type="character" w:customStyle="1" w:styleId="231">
    <w:name w:val="font161"/>
    <w:basedOn w:val="88"/>
    <w:qFormat/>
    <w:uiPriority w:val="0"/>
    <w:rPr>
      <w:rFonts w:ascii="Arial" w:hAnsi="Arial" w:cs="Arial"/>
      <w:color w:val="000000"/>
      <w:sz w:val="20"/>
      <w:szCs w:val="20"/>
      <w:u w:val="none"/>
    </w:rPr>
  </w:style>
  <w:style w:type="character" w:customStyle="1" w:styleId="232">
    <w:name w:val="font141"/>
    <w:basedOn w:val="88"/>
    <w:qFormat/>
    <w:uiPriority w:val="0"/>
    <w:rPr>
      <w:rFonts w:hint="eastAsia" w:ascii="宋体" w:hAnsi="宋体" w:eastAsia="宋体" w:cs="宋体"/>
      <w:color w:val="000000"/>
      <w:sz w:val="20"/>
      <w:szCs w:val="20"/>
      <w:u w:val="none"/>
    </w:rPr>
  </w:style>
  <w:style w:type="character" w:customStyle="1" w:styleId="233">
    <w:name w:val="apple-style-span"/>
    <w:qFormat/>
    <w:uiPriority w:val="0"/>
    <w:rPr>
      <w:rFonts w:cs="Times New Roman"/>
      <w:lang w:bidi="ar-SA"/>
    </w:rPr>
  </w:style>
  <w:style w:type="character" w:customStyle="1" w:styleId="234">
    <w:name w:val="HTML 地址 Char"/>
    <w:qFormat/>
    <w:uiPriority w:val="0"/>
    <w:rPr>
      <w:i/>
      <w:iCs/>
      <w:kern w:val="2"/>
      <w:sz w:val="21"/>
      <w:szCs w:val="24"/>
    </w:rPr>
  </w:style>
  <w:style w:type="character" w:customStyle="1" w:styleId="235">
    <w:name w:val="标题 9 字符"/>
    <w:qFormat/>
    <w:uiPriority w:val="0"/>
    <w:rPr>
      <w:rFonts w:ascii="Arial" w:hAnsi="Arial" w:eastAsia="黑体"/>
      <w:sz w:val="32"/>
      <w:szCs w:val="21"/>
    </w:rPr>
  </w:style>
  <w:style w:type="character" w:customStyle="1" w:styleId="236">
    <w:name w:val="chanpinname"/>
    <w:qFormat/>
    <w:uiPriority w:val="0"/>
  </w:style>
  <w:style w:type="character" w:customStyle="1" w:styleId="237">
    <w:name w:val="电子邮件签名 Char1"/>
    <w:semiHidden/>
    <w:qFormat/>
    <w:locked/>
    <w:uiPriority w:val="99"/>
    <w:rPr>
      <w:rFonts w:ascii="Times New Roman" w:hAnsi="Times New Roman" w:eastAsia="仿宋"/>
      <w:sz w:val="32"/>
    </w:rPr>
  </w:style>
  <w:style w:type="character" w:customStyle="1" w:styleId="238">
    <w:name w:val="ca-0"/>
    <w:qFormat/>
    <w:uiPriority w:val="0"/>
    <w:rPr>
      <w:rFonts w:cs="Times New Roman"/>
      <w:lang w:bidi="ar-SA"/>
    </w:rPr>
  </w:style>
  <w:style w:type="character" w:customStyle="1" w:styleId="239">
    <w:name w:val="正文文本 3 Char1"/>
    <w:semiHidden/>
    <w:qFormat/>
    <w:locked/>
    <w:uiPriority w:val="99"/>
    <w:rPr>
      <w:rFonts w:ascii="Times New Roman" w:hAnsi="Times New Roman" w:eastAsia="仿宋"/>
      <w:sz w:val="16"/>
      <w:szCs w:val="16"/>
    </w:rPr>
  </w:style>
  <w:style w:type="character" w:customStyle="1" w:styleId="240">
    <w:name w:val="正文首行缩进 字符"/>
    <w:qFormat/>
    <w:uiPriority w:val="0"/>
    <w:rPr>
      <w:rFonts w:ascii="Times New Roman" w:hAnsi="Times New Roman" w:eastAsia="仿宋"/>
      <w:sz w:val="32"/>
    </w:rPr>
  </w:style>
  <w:style w:type="character" w:customStyle="1" w:styleId="241">
    <w:name w:val="签名 Char1"/>
    <w:semiHidden/>
    <w:qFormat/>
    <w:locked/>
    <w:uiPriority w:val="99"/>
    <w:rPr>
      <w:rFonts w:ascii="Times New Roman" w:hAnsi="Times New Roman" w:eastAsia="仿宋"/>
      <w:sz w:val="32"/>
    </w:rPr>
  </w:style>
  <w:style w:type="character" w:customStyle="1" w:styleId="242">
    <w:name w:val="Body Text Char"/>
    <w:qFormat/>
    <w:uiPriority w:val="0"/>
    <w:rPr>
      <w:rFonts w:ascii="宋体" w:eastAsia="宋体"/>
      <w:kern w:val="2"/>
      <w:sz w:val="24"/>
      <w:lang w:val="en-US" w:eastAsia="zh-CN"/>
    </w:rPr>
  </w:style>
  <w:style w:type="character" w:customStyle="1" w:styleId="243">
    <w:name w:val="标题 6 Char1"/>
    <w:semiHidden/>
    <w:qFormat/>
    <w:uiPriority w:val="0"/>
    <w:rPr>
      <w:rFonts w:ascii="Cambria" w:hAnsi="Cambria" w:eastAsia="宋体" w:cs="Times New Roman"/>
      <w:b/>
      <w:bCs/>
      <w:kern w:val="2"/>
      <w:sz w:val="24"/>
      <w:szCs w:val="24"/>
    </w:rPr>
  </w:style>
  <w:style w:type="character" w:customStyle="1" w:styleId="244">
    <w:name w:val="标题 5 Char2"/>
    <w:semiHidden/>
    <w:qFormat/>
    <w:uiPriority w:val="0"/>
    <w:rPr>
      <w:b/>
      <w:bCs/>
      <w:kern w:val="2"/>
      <w:sz w:val="28"/>
      <w:szCs w:val="28"/>
    </w:rPr>
  </w:style>
  <w:style w:type="character" w:customStyle="1" w:styleId="245">
    <w:name w:val="称呼 Char"/>
    <w:qFormat/>
    <w:uiPriority w:val="0"/>
    <w:rPr>
      <w:kern w:val="2"/>
      <w:sz w:val="21"/>
      <w:szCs w:val="24"/>
    </w:rPr>
  </w:style>
  <w:style w:type="character" w:customStyle="1" w:styleId="246">
    <w:name w:val="表格标题(居中) Char"/>
    <w:link w:val="247"/>
    <w:qFormat/>
    <w:uiPriority w:val="0"/>
    <w:rPr>
      <w:rFonts w:eastAsia="黑体"/>
      <w:kern w:val="2"/>
      <w:sz w:val="24"/>
    </w:rPr>
  </w:style>
  <w:style w:type="paragraph" w:customStyle="1" w:styleId="247">
    <w:name w:val="表格标题(居中)"/>
    <w:basedOn w:val="1"/>
    <w:link w:val="246"/>
    <w:qFormat/>
    <w:uiPriority w:val="0"/>
    <w:pPr>
      <w:snapToGrid w:val="0"/>
      <w:spacing w:line="300" w:lineRule="auto"/>
      <w:jc w:val="center"/>
    </w:pPr>
    <w:rPr>
      <w:rFonts w:eastAsia="黑体"/>
      <w:sz w:val="24"/>
      <w:szCs w:val="20"/>
    </w:rPr>
  </w:style>
  <w:style w:type="character" w:customStyle="1" w:styleId="248">
    <w:name w:val="正文3号仿宋 Char"/>
    <w:link w:val="249"/>
    <w:qFormat/>
    <w:uiPriority w:val="0"/>
    <w:rPr>
      <w:rFonts w:ascii="宋体" w:hAnsi="宋体"/>
      <w:sz w:val="24"/>
      <w:szCs w:val="24"/>
    </w:rPr>
  </w:style>
  <w:style w:type="paragraph" w:customStyle="1" w:styleId="249">
    <w:name w:val="正文3号仿宋"/>
    <w:basedOn w:val="1"/>
    <w:link w:val="248"/>
    <w:qFormat/>
    <w:uiPriority w:val="0"/>
    <w:pPr>
      <w:adjustRightInd w:val="0"/>
      <w:spacing w:line="360" w:lineRule="auto"/>
      <w:ind w:firstLine="480" w:firstLineChars="200"/>
      <w:textAlignment w:val="baseline"/>
    </w:pPr>
    <w:rPr>
      <w:rFonts w:ascii="宋体" w:hAnsi="宋体"/>
      <w:kern w:val="0"/>
      <w:sz w:val="24"/>
    </w:rPr>
  </w:style>
  <w:style w:type="character" w:customStyle="1" w:styleId="250">
    <w:name w:val="font31"/>
    <w:qFormat/>
    <w:uiPriority w:val="0"/>
    <w:rPr>
      <w:rFonts w:hint="eastAsia" w:ascii="宋体" w:hAnsi="宋体" w:eastAsia="宋体" w:cs="宋体"/>
      <w:color w:val="000000"/>
      <w:sz w:val="21"/>
      <w:szCs w:val="21"/>
      <w:u w:val="none"/>
    </w:rPr>
  </w:style>
  <w:style w:type="character" w:customStyle="1" w:styleId="251">
    <w:name w:val="标题 4 字符"/>
    <w:qFormat/>
    <w:uiPriority w:val="0"/>
    <w:rPr>
      <w:rFonts w:ascii="宋体" w:hAnsi="Arial"/>
      <w:b/>
      <w:bCs/>
      <w:sz w:val="24"/>
      <w:szCs w:val="28"/>
    </w:rPr>
  </w:style>
  <w:style w:type="character" w:customStyle="1" w:styleId="252">
    <w:name w:val="HTML 预设格式 字符"/>
    <w:qFormat/>
    <w:uiPriority w:val="0"/>
    <w:rPr>
      <w:rFonts w:ascii="Courier New" w:hAnsi="Courier New" w:eastAsia="仿宋" w:cs="Courier New"/>
    </w:rPr>
  </w:style>
  <w:style w:type="character" w:customStyle="1" w:styleId="253">
    <w:name w:val="标题 6 字符"/>
    <w:qFormat/>
    <w:uiPriority w:val="0"/>
    <w:rPr>
      <w:rFonts w:ascii="Arial" w:hAnsi="Arial" w:eastAsia="黑体"/>
      <w:b/>
      <w:bCs/>
      <w:sz w:val="24"/>
      <w:szCs w:val="24"/>
    </w:rPr>
  </w:style>
  <w:style w:type="character" w:customStyle="1" w:styleId="254">
    <w:name w:val="标题 8 Char1"/>
    <w:semiHidden/>
    <w:qFormat/>
    <w:uiPriority w:val="0"/>
    <w:rPr>
      <w:rFonts w:ascii="Cambria" w:hAnsi="Cambria" w:eastAsia="宋体" w:cs="Times New Roman"/>
      <w:kern w:val="2"/>
      <w:sz w:val="24"/>
      <w:szCs w:val="24"/>
    </w:rPr>
  </w:style>
  <w:style w:type="character" w:customStyle="1" w:styleId="255">
    <w:name w:val="本级1 Char"/>
    <w:link w:val="256"/>
    <w:qFormat/>
    <w:uiPriority w:val="0"/>
    <w:rPr>
      <w:rFonts w:ascii="仿宋_GB2312" w:hAnsi="仿宋" w:eastAsia="仿宋_GB2312"/>
      <w:b/>
      <w:kern w:val="44"/>
      <w:sz w:val="32"/>
      <w:szCs w:val="24"/>
    </w:rPr>
  </w:style>
  <w:style w:type="paragraph" w:customStyle="1" w:styleId="256">
    <w:name w:val="本级1"/>
    <w:basedOn w:val="2"/>
    <w:link w:val="255"/>
    <w:qFormat/>
    <w:uiPriority w:val="0"/>
    <w:pPr>
      <w:tabs>
        <w:tab w:val="left" w:pos="425"/>
      </w:tabs>
      <w:spacing w:before="100" w:beforeLines="0" w:beforeAutospacing="1" w:after="100" w:afterLines="0" w:afterAutospacing="1" w:line="360" w:lineRule="auto"/>
      <w:ind w:left="425" w:hanging="425"/>
    </w:pPr>
    <w:rPr>
      <w:rFonts w:ascii="仿宋_GB2312" w:hAnsi="仿宋" w:eastAsia="仿宋_GB2312"/>
      <w:sz w:val="32"/>
      <w:szCs w:val="24"/>
    </w:rPr>
  </w:style>
  <w:style w:type="character" w:customStyle="1" w:styleId="257">
    <w:name w:val="副标题 字符"/>
    <w:qFormat/>
    <w:uiPriority w:val="0"/>
    <w:rPr>
      <w:rFonts w:ascii="Arial" w:hAnsi="Arial" w:eastAsia="仿宋" w:cs="Arial"/>
      <w:b/>
      <w:bCs/>
      <w:kern w:val="28"/>
      <w:sz w:val="32"/>
      <w:szCs w:val="32"/>
    </w:rPr>
  </w:style>
  <w:style w:type="character" w:customStyle="1" w:styleId="258">
    <w:name w:val="正文文本缩进 Char"/>
    <w:qFormat/>
    <w:uiPriority w:val="0"/>
    <w:rPr>
      <w:kern w:val="2"/>
      <w:sz w:val="21"/>
      <w:szCs w:val="24"/>
    </w:rPr>
  </w:style>
  <w:style w:type="character" w:customStyle="1" w:styleId="259">
    <w:name w:val="font71"/>
    <w:qFormat/>
    <w:uiPriority w:val="0"/>
    <w:rPr>
      <w:rFonts w:hint="eastAsia" w:ascii="宋体" w:hAnsi="宋体" w:eastAsia="宋体" w:cs="宋体"/>
      <w:color w:val="000000"/>
      <w:sz w:val="21"/>
      <w:szCs w:val="21"/>
      <w:u w:val="none"/>
    </w:rPr>
  </w:style>
  <w:style w:type="character" w:customStyle="1" w:styleId="260">
    <w:name w:val="日期 字符"/>
    <w:qFormat/>
    <w:uiPriority w:val="0"/>
    <w:rPr>
      <w:rFonts w:ascii="Times New Roman" w:hAnsi="Times New Roman" w:eastAsia="仿宋"/>
      <w:sz w:val="32"/>
    </w:rPr>
  </w:style>
  <w:style w:type="character" w:customStyle="1" w:styleId="261">
    <w:name w:val="Table Text Char1"/>
    <w:qFormat/>
    <w:uiPriority w:val="0"/>
    <w:rPr>
      <w:rFonts w:ascii="Arial" w:hAnsi="Arial" w:eastAsia="宋体" w:cs="Arial"/>
      <w:snapToGrid w:val="0"/>
      <w:sz w:val="21"/>
      <w:szCs w:val="21"/>
      <w:lang w:val="en-US" w:eastAsia="zh-CN" w:bidi="ar-SA"/>
    </w:rPr>
  </w:style>
  <w:style w:type="character" w:customStyle="1" w:styleId="262">
    <w:name w:val="称呼 Char1"/>
    <w:semiHidden/>
    <w:qFormat/>
    <w:locked/>
    <w:uiPriority w:val="99"/>
    <w:rPr>
      <w:rFonts w:ascii="Times New Roman" w:hAnsi="Times New Roman" w:eastAsia="仿宋"/>
      <w:sz w:val="32"/>
    </w:rPr>
  </w:style>
  <w:style w:type="character" w:customStyle="1" w:styleId="263">
    <w:name w:val="页眉 字符"/>
    <w:qFormat/>
    <w:uiPriority w:val="0"/>
    <w:rPr>
      <w:rFonts w:ascii="Times New Roman" w:hAnsi="Times New Roman" w:eastAsia="仿宋"/>
      <w:sz w:val="18"/>
      <w:szCs w:val="18"/>
    </w:rPr>
  </w:style>
  <w:style w:type="character" w:customStyle="1" w:styleId="264">
    <w:name w:val="short_text"/>
    <w:qFormat/>
    <w:uiPriority w:val="0"/>
  </w:style>
  <w:style w:type="character" w:customStyle="1" w:styleId="265">
    <w:name w:val="unnamed2"/>
    <w:qFormat/>
    <w:uiPriority w:val="0"/>
  </w:style>
  <w:style w:type="character" w:customStyle="1" w:styleId="266">
    <w:name w:val="页脚 字符"/>
    <w:qFormat/>
    <w:uiPriority w:val="99"/>
    <w:rPr>
      <w:rFonts w:ascii="Times New Roman" w:hAnsi="Times New Roman" w:eastAsia="仿宋"/>
      <w:sz w:val="18"/>
      <w:szCs w:val="18"/>
    </w:rPr>
  </w:style>
  <w:style w:type="character" w:customStyle="1" w:styleId="267">
    <w:name w:val="标题 9 Char1"/>
    <w:semiHidden/>
    <w:qFormat/>
    <w:uiPriority w:val="0"/>
    <w:rPr>
      <w:rFonts w:ascii="Cambria" w:hAnsi="Cambria" w:eastAsia="宋体" w:cs="Times New Roman"/>
      <w:kern w:val="2"/>
      <w:sz w:val="21"/>
      <w:szCs w:val="21"/>
    </w:rPr>
  </w:style>
  <w:style w:type="character" w:customStyle="1" w:styleId="268">
    <w:name w:val="txt"/>
    <w:qFormat/>
    <w:uiPriority w:val="0"/>
  </w:style>
  <w:style w:type="character" w:customStyle="1" w:styleId="269">
    <w:name w:val="ca-11"/>
    <w:qFormat/>
    <w:uiPriority w:val="0"/>
    <w:rPr>
      <w:rFonts w:ascii="宋体" w:eastAsia="宋体" w:cs="Times New Roman"/>
      <w:sz w:val="24"/>
      <w:szCs w:val="24"/>
      <w:lang w:bidi="ar-SA"/>
    </w:rPr>
  </w:style>
  <w:style w:type="character" w:customStyle="1" w:styleId="270">
    <w:name w:val="纯文本 Char1"/>
    <w:qFormat/>
    <w:locked/>
    <w:uiPriority w:val="0"/>
    <w:rPr>
      <w:rFonts w:ascii="宋体" w:hAnsi="宋体"/>
    </w:rPr>
  </w:style>
  <w:style w:type="character" w:customStyle="1" w:styleId="271">
    <w:name w:val="Figure Text Char"/>
    <w:link w:val="272"/>
    <w:qFormat/>
    <w:uiPriority w:val="0"/>
    <w:rPr>
      <w:rFonts w:ascii="Arial" w:hAnsi="Arial" w:cs="Arial"/>
      <w:sz w:val="18"/>
      <w:szCs w:val="18"/>
      <w:lang w:val="en-US" w:eastAsia="en-US" w:bidi="ar-SA"/>
    </w:rPr>
  </w:style>
  <w:style w:type="paragraph" w:customStyle="1" w:styleId="272">
    <w:name w:val="Figure Text"/>
    <w:link w:val="271"/>
    <w:qFormat/>
    <w:uiPriority w:val="0"/>
    <w:pPr>
      <w:widowControl w:val="0"/>
      <w:adjustRightInd w:val="0"/>
      <w:snapToGrid w:val="0"/>
      <w:spacing w:line="240" w:lineRule="atLeast"/>
    </w:pPr>
    <w:rPr>
      <w:rFonts w:ascii="Arial" w:hAnsi="Arial" w:eastAsia="宋体" w:cs="Arial"/>
      <w:sz w:val="18"/>
      <w:szCs w:val="18"/>
      <w:lang w:val="en-US" w:eastAsia="en-US" w:bidi="ar-SA"/>
    </w:rPr>
  </w:style>
  <w:style w:type="character" w:customStyle="1" w:styleId="273">
    <w:name w:val="ca-4"/>
    <w:qFormat/>
    <w:uiPriority w:val="0"/>
    <w:rPr>
      <w:rFonts w:cs="Times New Roman"/>
      <w:lang w:bidi="ar-SA"/>
    </w:rPr>
  </w:style>
  <w:style w:type="character" w:customStyle="1" w:styleId="274">
    <w:name w:val="标题 字符"/>
    <w:qFormat/>
    <w:uiPriority w:val="0"/>
    <w:rPr>
      <w:rFonts w:ascii="宋体" w:hAnsi="Arial" w:cs="Arial"/>
      <w:b/>
      <w:bCs/>
      <w:sz w:val="44"/>
      <w:szCs w:val="32"/>
    </w:rPr>
  </w:style>
  <w:style w:type="character" w:customStyle="1" w:styleId="275">
    <w:name w:val="普通文字1 Char"/>
    <w:qFormat/>
    <w:uiPriority w:val="99"/>
    <w:rPr>
      <w:rFonts w:ascii="宋体" w:eastAsia="宋体"/>
      <w:kern w:val="2"/>
      <w:sz w:val="21"/>
      <w:lang w:val="en-US" w:eastAsia="zh-CN" w:bidi="ar-SA"/>
    </w:rPr>
  </w:style>
  <w:style w:type="character" w:customStyle="1" w:styleId="276">
    <w:name w:val="10f000000"/>
    <w:qFormat/>
    <w:uiPriority w:val="0"/>
  </w:style>
  <w:style w:type="character" w:customStyle="1" w:styleId="277">
    <w:name w:val="正文首行缩进2字 Char"/>
    <w:link w:val="278"/>
    <w:qFormat/>
    <w:uiPriority w:val="0"/>
    <w:rPr>
      <w:rFonts w:eastAsia="楷体_GB2312"/>
      <w:sz w:val="28"/>
      <w:szCs w:val="24"/>
    </w:rPr>
  </w:style>
  <w:style w:type="paragraph" w:customStyle="1" w:styleId="278">
    <w:name w:val="正文首行缩进2字"/>
    <w:basedOn w:val="1"/>
    <w:link w:val="277"/>
    <w:qFormat/>
    <w:uiPriority w:val="0"/>
    <w:pPr>
      <w:ind w:firstLine="560" w:firstLineChars="200"/>
    </w:pPr>
    <w:rPr>
      <w:rFonts w:eastAsia="楷体_GB2312"/>
      <w:kern w:val="0"/>
      <w:sz w:val="28"/>
    </w:rPr>
  </w:style>
  <w:style w:type="character" w:customStyle="1" w:styleId="279">
    <w:name w:val="ca-21"/>
    <w:qFormat/>
    <w:uiPriority w:val="0"/>
    <w:rPr>
      <w:rFonts w:ascii="宋体-18030" w:eastAsia="宋体-18030" w:cs="宋体-18030"/>
      <w:sz w:val="24"/>
      <w:szCs w:val="24"/>
      <w:lang w:bidi="ar-SA"/>
    </w:rPr>
  </w:style>
  <w:style w:type="character" w:customStyle="1" w:styleId="280">
    <w:name w:val="font81"/>
    <w:qFormat/>
    <w:uiPriority w:val="0"/>
    <w:rPr>
      <w:rFonts w:ascii="Arial Unicode MS" w:hAnsi="Arial Unicode MS" w:eastAsia="Arial Unicode MS" w:cs="Arial Unicode MS"/>
      <w:color w:val="000000"/>
      <w:sz w:val="24"/>
      <w:szCs w:val="24"/>
      <w:u w:val="none"/>
    </w:rPr>
  </w:style>
  <w:style w:type="character" w:customStyle="1" w:styleId="281">
    <w:name w:val="正文文本缩进 2 字符"/>
    <w:qFormat/>
    <w:uiPriority w:val="0"/>
    <w:rPr>
      <w:rFonts w:ascii="Times New Roman" w:hAnsi="Times New Roman" w:eastAsia="仿宋"/>
      <w:sz w:val="32"/>
    </w:rPr>
  </w:style>
  <w:style w:type="character" w:customStyle="1" w:styleId="282">
    <w:name w:val="font51"/>
    <w:qFormat/>
    <w:uiPriority w:val="0"/>
    <w:rPr>
      <w:rFonts w:hint="default" w:ascii="Times New Roman" w:hAnsi="Times New Roman" w:cs="Times New Roman"/>
      <w:color w:val="000000"/>
      <w:sz w:val="21"/>
      <w:szCs w:val="21"/>
      <w:u w:val="none"/>
    </w:rPr>
  </w:style>
  <w:style w:type="character" w:customStyle="1" w:styleId="283">
    <w:name w:val="shouchang1"/>
    <w:qFormat/>
    <w:uiPriority w:val="0"/>
    <w:rPr>
      <w:color w:val="000000"/>
      <w:sz w:val="22"/>
      <w:szCs w:val="22"/>
      <w:u w:val="none"/>
    </w:rPr>
  </w:style>
  <w:style w:type="character" w:customStyle="1" w:styleId="284">
    <w:name w:val="样式 标题 1 + 小六"/>
    <w:qFormat/>
    <w:uiPriority w:val="0"/>
    <w:rPr>
      <w:rFonts w:eastAsia="宋体"/>
      <w:sz w:val="13"/>
      <w:szCs w:val="13"/>
    </w:rPr>
  </w:style>
  <w:style w:type="character" w:customStyle="1" w:styleId="285">
    <w:name w:val="文档结构图 字符"/>
    <w:semiHidden/>
    <w:qFormat/>
    <w:uiPriority w:val="0"/>
    <w:rPr>
      <w:rFonts w:ascii="Times New Roman" w:hAnsi="Times New Roman" w:eastAsia="仿宋"/>
      <w:sz w:val="32"/>
      <w:shd w:val="clear" w:color="auto" w:fill="000080"/>
    </w:rPr>
  </w:style>
  <w:style w:type="character" w:customStyle="1" w:styleId="286">
    <w:name w:val="标题 5 字符"/>
    <w:qFormat/>
    <w:uiPriority w:val="0"/>
    <w:rPr>
      <w:rFonts w:ascii="Times New Roman" w:hAnsi="Times New Roman" w:eastAsia="仿宋"/>
      <w:b/>
      <w:bCs/>
      <w:sz w:val="28"/>
      <w:szCs w:val="28"/>
    </w:rPr>
  </w:style>
  <w:style w:type="character" w:customStyle="1" w:styleId="287">
    <w:name w:val="正文2级 Char"/>
    <w:link w:val="288"/>
    <w:qFormat/>
    <w:uiPriority w:val="0"/>
    <w:rPr>
      <w:bCs/>
      <w:kern w:val="44"/>
      <w:sz w:val="24"/>
      <w:szCs w:val="44"/>
      <w:lang w:val="en-US" w:eastAsia="zh-CN" w:bidi="ar-SA"/>
    </w:rPr>
  </w:style>
  <w:style w:type="paragraph" w:customStyle="1" w:styleId="288">
    <w:name w:val="正文2级"/>
    <w:link w:val="287"/>
    <w:qFormat/>
    <w:uiPriority w:val="0"/>
    <w:pPr>
      <w:widowControl w:val="0"/>
      <w:spacing w:after="60" w:line="400" w:lineRule="exact"/>
      <w:jc w:val="both"/>
    </w:pPr>
    <w:rPr>
      <w:rFonts w:ascii="Calibri" w:hAnsi="Calibri" w:eastAsia="宋体" w:cs="Times New Roman"/>
      <w:bCs/>
      <w:kern w:val="44"/>
      <w:sz w:val="24"/>
      <w:szCs w:val="44"/>
      <w:lang w:val="en-US" w:eastAsia="zh-CN" w:bidi="ar-SA"/>
    </w:rPr>
  </w:style>
  <w:style w:type="character" w:customStyle="1" w:styleId="289">
    <w:name w:val="批注主题 字符"/>
    <w:semiHidden/>
    <w:qFormat/>
    <w:uiPriority w:val="99"/>
    <w:rPr>
      <w:rFonts w:ascii="Times New Roman" w:hAnsi="Times New Roman" w:eastAsia="仿宋"/>
      <w:b/>
      <w:bCs/>
      <w:sz w:val="32"/>
    </w:rPr>
  </w:style>
  <w:style w:type="character" w:customStyle="1" w:styleId="290">
    <w:name w:val=" Char Char"/>
    <w:qFormat/>
    <w:uiPriority w:val="0"/>
    <w:rPr>
      <w:kern w:val="2"/>
      <w:sz w:val="21"/>
      <w:szCs w:val="24"/>
    </w:rPr>
  </w:style>
  <w:style w:type="character" w:customStyle="1" w:styleId="291">
    <w:name w:val="文档正文 Char"/>
    <w:link w:val="292"/>
    <w:qFormat/>
    <w:uiPriority w:val="0"/>
    <w:rPr>
      <w:rFonts w:eastAsia="仿宋_GB2312"/>
      <w:kern w:val="2"/>
      <w:sz w:val="28"/>
    </w:rPr>
  </w:style>
  <w:style w:type="paragraph" w:customStyle="1" w:styleId="292">
    <w:name w:val="文档正文"/>
    <w:basedOn w:val="1"/>
    <w:link w:val="291"/>
    <w:qFormat/>
    <w:uiPriority w:val="0"/>
    <w:pPr>
      <w:adjustRightInd w:val="0"/>
      <w:spacing w:line="560" w:lineRule="exact"/>
      <w:ind w:firstLine="567"/>
      <w:textAlignment w:val="baseline"/>
    </w:pPr>
    <w:rPr>
      <w:rFonts w:eastAsia="仿宋_GB2312"/>
      <w:sz w:val="28"/>
      <w:szCs w:val="20"/>
    </w:rPr>
  </w:style>
  <w:style w:type="character" w:customStyle="1" w:styleId="293">
    <w:name w:val="信息标题 Char"/>
    <w:qFormat/>
    <w:uiPriority w:val="0"/>
    <w:rPr>
      <w:rFonts w:ascii="Cambria" w:hAnsi="Cambria" w:eastAsia="宋体" w:cs="Times New Roman"/>
      <w:kern w:val="2"/>
      <w:sz w:val="24"/>
      <w:szCs w:val="24"/>
      <w:shd w:val="pct20" w:color="auto" w:fill="auto"/>
    </w:rPr>
  </w:style>
  <w:style w:type="character" w:customStyle="1" w:styleId="294">
    <w:name w:val="font171"/>
    <w:basedOn w:val="88"/>
    <w:qFormat/>
    <w:uiPriority w:val="0"/>
    <w:rPr>
      <w:rFonts w:ascii="Calibri" w:hAnsi="Calibri" w:cs="Calibri"/>
      <w:color w:val="000000"/>
      <w:sz w:val="20"/>
      <w:szCs w:val="20"/>
      <w:u w:val="none"/>
    </w:rPr>
  </w:style>
  <w:style w:type="character" w:customStyle="1" w:styleId="295">
    <w:name w:val="font181"/>
    <w:basedOn w:val="88"/>
    <w:qFormat/>
    <w:uiPriority w:val="0"/>
    <w:rPr>
      <w:rFonts w:hint="default" w:ascii="Arial" w:hAnsi="Arial" w:cs="Arial"/>
      <w:color w:val="000000"/>
      <w:sz w:val="18"/>
      <w:szCs w:val="18"/>
      <w:u w:val="none"/>
    </w:rPr>
  </w:style>
  <w:style w:type="paragraph" w:customStyle="1" w:styleId="296">
    <w:name w:val="font23"/>
    <w:basedOn w:val="1"/>
    <w:qFormat/>
    <w:uiPriority w:val="99"/>
    <w:pPr>
      <w:widowControl/>
      <w:spacing w:before="100" w:beforeLines="0" w:beforeAutospacing="1" w:after="100" w:afterLines="0" w:afterAutospacing="1"/>
      <w:jc w:val="left"/>
    </w:pPr>
    <w:rPr>
      <w:rFonts w:ascii="宋体" w:cs="宋体"/>
      <w:color w:val="000000"/>
      <w:kern w:val="0"/>
      <w:sz w:val="20"/>
      <w:szCs w:val="20"/>
      <w:lang w:bidi="ar-SA"/>
    </w:rPr>
  </w:style>
  <w:style w:type="paragraph" w:customStyle="1" w:styleId="297">
    <w:name w:val="样式 小四 行距: 1.5 倍行距"/>
    <w:basedOn w:val="1"/>
    <w:qFormat/>
    <w:uiPriority w:val="99"/>
    <w:pPr>
      <w:numPr>
        <w:ilvl w:val="0"/>
        <w:numId w:val="12"/>
      </w:numPr>
    </w:pPr>
  </w:style>
  <w:style w:type="paragraph" w:customStyle="1" w:styleId="298">
    <w:name w:val="def正文"/>
    <w:basedOn w:val="16"/>
    <w:qFormat/>
    <w:uiPriority w:val="99"/>
    <w:pPr>
      <w:widowControl/>
      <w:spacing w:line="360" w:lineRule="auto"/>
      <w:ind w:firstLine="482"/>
      <w:jc w:val="both"/>
    </w:pPr>
    <w:rPr>
      <w:rFonts w:ascii="Times New Roman"/>
      <w:b/>
      <w:color w:val="000000"/>
      <w:kern w:val="0"/>
    </w:rPr>
  </w:style>
  <w:style w:type="paragraph" w:customStyle="1" w:styleId="29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6"/>
      <w:szCs w:val="16"/>
    </w:rPr>
  </w:style>
  <w:style w:type="paragraph" w:customStyle="1" w:styleId="300">
    <w:name w:val="样式 标题 4Alt+4项h4H41.1.1.1 Heading 4Heading FourHead44bul...1"/>
    <w:basedOn w:val="5"/>
    <w:qFormat/>
    <w:uiPriority w:val="99"/>
    <w:pPr>
      <w:numPr>
        <w:ilvl w:val="3"/>
        <w:numId w:val="13"/>
      </w:numPr>
      <w:tabs>
        <w:tab w:val="left" w:pos="1931"/>
        <w:tab w:val="clear" w:pos="851"/>
      </w:tabs>
      <w:spacing w:before="120" w:beforeLines="0" w:after="0" w:afterLines="0" w:line="360" w:lineRule="auto"/>
      <w:ind w:left="1931"/>
      <w:jc w:val="left"/>
    </w:pPr>
    <w:rPr>
      <w:rFonts w:ascii="Times New Roman" w:hAnsi="Times New Roman" w:cs="宋体"/>
      <w:b w:val="0"/>
      <w:bCs w:val="0"/>
      <w:sz w:val="24"/>
      <w:szCs w:val="20"/>
    </w:rPr>
  </w:style>
  <w:style w:type="paragraph" w:customStyle="1" w:styleId="301">
    <w:name w:val="font5"/>
    <w:basedOn w:val="1"/>
    <w:qFormat/>
    <w:uiPriority w:val="0"/>
    <w:pPr>
      <w:widowControl/>
      <w:spacing w:before="100" w:beforeLines="0" w:beforeAutospacing="1" w:after="100" w:afterLines="0" w:afterAutospacing="1"/>
      <w:jc w:val="left"/>
    </w:pPr>
    <w:rPr>
      <w:rFonts w:ascii="宋体" w:cs="宋体"/>
      <w:kern w:val="0"/>
      <w:sz w:val="18"/>
      <w:szCs w:val="18"/>
      <w:lang w:bidi="ar-SA"/>
    </w:rPr>
  </w:style>
  <w:style w:type="paragraph" w:customStyle="1" w:styleId="302">
    <w:name w:val="Step"/>
    <w:basedOn w:val="1"/>
    <w:qFormat/>
    <w:uiPriority w:val="99"/>
    <w:pPr>
      <w:widowControl/>
      <w:tabs>
        <w:tab w:val="left" w:pos="1701"/>
      </w:tabs>
      <w:topLinePunct/>
      <w:adjustRightInd w:val="0"/>
      <w:snapToGrid w:val="0"/>
      <w:spacing w:before="160" w:beforeLines="0" w:after="160" w:afterLines="0" w:line="240" w:lineRule="atLeast"/>
      <w:ind w:left="1701" w:hanging="159"/>
      <w:jc w:val="left"/>
      <w:outlineLvl w:val="5"/>
    </w:pPr>
    <w:rPr>
      <w:rFonts w:ascii="Arial" w:hAnsi="Arial" w:cs="Arial"/>
      <w:snapToGrid w:val="0"/>
      <w:kern w:val="0"/>
      <w:szCs w:val="21"/>
    </w:rPr>
  </w:style>
  <w:style w:type="paragraph" w:customStyle="1" w:styleId="303">
    <w:name w:val="样式 标题 1 + 段前: 1 行 段后: 1 行1"/>
    <w:basedOn w:val="2"/>
    <w:qFormat/>
    <w:uiPriority w:val="99"/>
    <w:pPr>
      <w:numPr>
        <w:ilvl w:val="0"/>
        <w:numId w:val="14"/>
      </w:numPr>
      <w:snapToGrid w:val="0"/>
      <w:spacing w:before="312" w:beforeLines="100" w:after="312" w:afterLines="100" w:line="360" w:lineRule="auto"/>
    </w:pPr>
    <w:rPr>
      <w:rFonts w:cs="宋体"/>
      <w:bCs w:val="0"/>
      <w:sz w:val="32"/>
    </w:rPr>
  </w:style>
  <w:style w:type="paragraph" w:customStyle="1" w:styleId="304">
    <w:name w:val="表格内容五号(V1)"/>
    <w:basedOn w:val="1"/>
    <w:qFormat/>
    <w:uiPriority w:val="99"/>
    <w:pPr>
      <w:jc w:val="center"/>
    </w:pPr>
    <w:rPr>
      <w:rFonts w:cs="Arial Unicode MS"/>
      <w:kern w:val="0"/>
      <w:szCs w:val="21"/>
    </w:rPr>
  </w:style>
  <w:style w:type="paragraph" w:customStyle="1" w:styleId="305">
    <w:name w:val="节"/>
    <w:basedOn w:val="3"/>
    <w:qFormat/>
    <w:uiPriority w:val="99"/>
    <w:pPr>
      <w:tabs>
        <w:tab w:val="left" w:pos="780"/>
      </w:tabs>
      <w:spacing w:line="240" w:lineRule="auto"/>
      <w:ind w:left="780" w:hanging="360"/>
    </w:pPr>
    <w:rPr>
      <w:rFonts w:ascii="黑体"/>
      <w:b w:val="0"/>
      <w:sz w:val="28"/>
      <w:szCs w:val="28"/>
    </w:rPr>
  </w:style>
  <w:style w:type="paragraph" w:customStyle="1" w:styleId="306">
    <w:name w:val="xl73"/>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07">
    <w:name w:val="表3"/>
    <w:basedOn w:val="308"/>
    <w:qFormat/>
    <w:uiPriority w:val="99"/>
    <w:pPr>
      <w:numPr>
        <w:ilvl w:val="0"/>
        <w:numId w:val="15"/>
      </w:numPr>
    </w:pPr>
  </w:style>
  <w:style w:type="paragraph" w:customStyle="1" w:styleId="308">
    <w:name w:val="表2"/>
    <w:basedOn w:val="309"/>
    <w:qFormat/>
    <w:uiPriority w:val="99"/>
    <w:pPr>
      <w:numPr>
        <w:ilvl w:val="0"/>
        <w:numId w:val="16"/>
      </w:numPr>
    </w:pPr>
  </w:style>
  <w:style w:type="paragraph" w:customStyle="1" w:styleId="309">
    <w:name w:val="表1"/>
    <w:basedOn w:val="310"/>
    <w:qFormat/>
    <w:uiPriority w:val="99"/>
  </w:style>
  <w:style w:type="paragraph" w:customStyle="1" w:styleId="310">
    <w:name w:val="表格样式"/>
    <w:basedOn w:val="1"/>
    <w:qFormat/>
    <w:uiPriority w:val="99"/>
    <w:pPr>
      <w:spacing w:before="156" w:beforeLines="0" w:after="156" w:afterLines="0"/>
      <w:jc w:val="center"/>
    </w:pPr>
    <w:rPr>
      <w:rFonts w:ascii="宋体" w:hAnsi="宋体" w:cs="宋体"/>
      <w:b/>
      <w:bCs/>
      <w:kern w:val="0"/>
      <w:szCs w:val="20"/>
    </w:rPr>
  </w:style>
  <w:style w:type="paragraph" w:customStyle="1" w:styleId="311">
    <w:name w:val="题头内容"/>
    <w:basedOn w:val="1"/>
    <w:qFormat/>
    <w:uiPriority w:val="99"/>
    <w:pPr>
      <w:adjustRightInd w:val="0"/>
      <w:spacing w:before="120" w:beforeLines="0" w:after="120" w:afterLines="0" w:line="312" w:lineRule="atLeast"/>
      <w:ind w:right="879" w:firstLine="839"/>
      <w:jc w:val="center"/>
      <w:textAlignment w:val="baseline"/>
    </w:pPr>
    <w:rPr>
      <w:rFonts w:ascii="黑体" w:eastAsia="黑体"/>
      <w:kern w:val="0"/>
      <w:sz w:val="32"/>
      <w:szCs w:val="21"/>
    </w:rPr>
  </w:style>
  <w:style w:type="paragraph" w:customStyle="1" w:styleId="312">
    <w:name w:val=" Char1 Char Char Char"/>
    <w:basedOn w:val="1"/>
    <w:qFormat/>
    <w:uiPriority w:val="0"/>
    <w:pPr>
      <w:spacing w:line="360" w:lineRule="auto"/>
      <w:ind w:firstLine="200" w:firstLineChars="200"/>
    </w:pPr>
    <w:rPr>
      <w:rFonts w:ascii="宋体" w:hAnsi="宋体" w:cs="宋体"/>
      <w:sz w:val="24"/>
    </w:rPr>
  </w:style>
  <w:style w:type="paragraph" w:customStyle="1" w:styleId="313">
    <w:name w:val="xl80"/>
    <w:basedOn w:val="1"/>
    <w:qFormat/>
    <w:uiPriority w:val="99"/>
    <w:pPr>
      <w:widowControl/>
      <w:spacing w:before="100" w:beforeLines="0" w:beforeAutospacing="1" w:after="100" w:afterLines="0" w:afterAutospacing="1"/>
      <w:jc w:val="right"/>
    </w:pPr>
    <w:rPr>
      <w:rFonts w:ascii="宋体" w:cs="宋体"/>
      <w:b/>
      <w:bCs/>
      <w:kern w:val="0"/>
      <w:sz w:val="20"/>
      <w:szCs w:val="20"/>
      <w:lang w:bidi="ar-SA"/>
    </w:rPr>
  </w:style>
  <w:style w:type="paragraph" w:customStyle="1" w:styleId="314">
    <w:name w:val="xl7864"/>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15">
    <w:name w:val="Char Char Char"/>
    <w:basedOn w:val="1"/>
    <w:qFormat/>
    <w:uiPriority w:val="99"/>
    <w:pPr>
      <w:jc w:val="center"/>
    </w:pPr>
    <w:rPr>
      <w:szCs w:val="20"/>
    </w:rPr>
  </w:style>
  <w:style w:type="paragraph" w:customStyle="1" w:styleId="316">
    <w:name w:val="font15"/>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17">
    <w:name w:val="Normal0"/>
    <w:qFormat/>
    <w:uiPriority w:val="99"/>
    <w:rPr>
      <w:rFonts w:ascii="Calibri" w:hAnsi="Calibri" w:eastAsia="宋体" w:cs="Times New Roman"/>
      <w:lang w:val="en-US" w:eastAsia="en-US" w:bidi="ar-SA"/>
    </w:rPr>
  </w:style>
  <w:style w:type="paragraph" w:customStyle="1" w:styleId="318">
    <w:name w:val="xl7869"/>
    <w:basedOn w:val="1"/>
    <w:qFormat/>
    <w:uiPriority w:val="99"/>
    <w:pPr>
      <w:widowControl/>
      <w:spacing w:before="100" w:beforeLines="0" w:beforeAutospacing="1" w:after="100" w:afterLines="0" w:afterAutospacing="1"/>
      <w:jc w:val="left"/>
      <w:textAlignment w:val="bottom"/>
    </w:pPr>
    <w:rPr>
      <w:rFonts w:ascii="宋体" w:hAnsi="宋体" w:cs="宋体"/>
      <w:color w:val="000000"/>
      <w:kern w:val="0"/>
      <w:sz w:val="20"/>
      <w:szCs w:val="20"/>
    </w:rPr>
  </w:style>
  <w:style w:type="paragraph" w:customStyle="1" w:styleId="319">
    <w:name w:val="Char Char2 Char"/>
    <w:basedOn w:val="1"/>
    <w:semiHidden/>
    <w:qFormat/>
    <w:uiPriority w:val="99"/>
    <w:pPr>
      <w:widowControl/>
      <w:spacing w:after="160" w:afterLines="0" w:line="240" w:lineRule="exact"/>
      <w:jc w:val="left"/>
    </w:pPr>
    <w:rPr>
      <w:rFonts w:ascii="Arial" w:hAnsi="Arial"/>
      <w:kern w:val="0"/>
      <w:sz w:val="22"/>
      <w:szCs w:val="22"/>
      <w:lang w:eastAsia="en-US"/>
    </w:rPr>
  </w:style>
  <w:style w:type="paragraph" w:customStyle="1" w:styleId="320">
    <w:name w:val="CM64"/>
    <w:basedOn w:val="99"/>
    <w:next w:val="99"/>
    <w:qFormat/>
    <w:uiPriority w:val="99"/>
    <w:pPr>
      <w:spacing w:after="415" w:afterLines="0"/>
    </w:pPr>
    <w:rPr>
      <w:rFonts w:ascii="黑体" w:eastAsia="黑体" w:cs="Times New Roman"/>
      <w:color w:val="auto"/>
    </w:rPr>
  </w:style>
  <w:style w:type="paragraph" w:customStyle="1" w:styleId="321">
    <w:name w:val="NormalIndent"/>
    <w:basedOn w:val="1"/>
    <w:qFormat/>
    <w:uiPriority w:val="0"/>
    <w:pPr>
      <w:ind w:firstLine="420"/>
      <w:textAlignment w:val="baseline"/>
    </w:pPr>
  </w:style>
  <w:style w:type="paragraph" w:customStyle="1" w:styleId="322">
    <w:name w:val="样式 标题 1l1I1heading 1h11st levell1+toc 1Chapter title1He..."/>
    <w:basedOn w:val="2"/>
    <w:qFormat/>
    <w:uiPriority w:val="99"/>
    <w:pPr>
      <w:tabs>
        <w:tab w:val="left" w:pos="525"/>
      </w:tabs>
      <w:spacing w:line="360" w:lineRule="auto"/>
    </w:pPr>
    <w:rPr>
      <w:rFonts w:eastAsia="黑体"/>
      <w:bCs w:val="0"/>
      <w:sz w:val="28"/>
      <w:szCs w:val="32"/>
    </w:rPr>
  </w:style>
  <w:style w:type="paragraph" w:customStyle="1" w:styleId="323">
    <w:name w:val="xl74"/>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324">
    <w:name w:val="xl81"/>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25">
    <w:name w:val="No Spacing"/>
    <w:qFormat/>
    <w:uiPriority w:val="1"/>
    <w:pPr>
      <w:widowControl w:val="0"/>
      <w:jc w:val="both"/>
    </w:pPr>
    <w:rPr>
      <w:rFonts w:ascii="Calibri" w:hAnsi="Calibri" w:eastAsia="宋体" w:cs="Times New Roman"/>
      <w:kern w:val="2"/>
      <w:sz w:val="21"/>
      <w:lang w:val="en-US" w:eastAsia="zh-CN" w:bidi="ar-SA"/>
    </w:rPr>
  </w:style>
  <w:style w:type="paragraph" w:customStyle="1" w:styleId="326">
    <w:name w:val="二级条标题"/>
    <w:basedOn w:val="1"/>
    <w:next w:val="1"/>
    <w:qFormat/>
    <w:uiPriority w:val="99"/>
    <w:pPr>
      <w:widowControl/>
      <w:numPr>
        <w:ilvl w:val="3"/>
        <w:numId w:val="17"/>
      </w:numPr>
      <w:jc w:val="left"/>
      <w:outlineLvl w:val="3"/>
    </w:pPr>
    <w:rPr>
      <w:rFonts w:eastAsia="黑体"/>
      <w:kern w:val="0"/>
      <w:szCs w:val="20"/>
    </w:rPr>
  </w:style>
  <w:style w:type="paragraph" w:customStyle="1" w:styleId="327">
    <w:name w:val="_Style 326"/>
    <w:basedOn w:val="2"/>
    <w:next w:val="1"/>
    <w:qFormat/>
    <w:uiPriority w:val="39"/>
    <w:pPr>
      <w:spacing w:line="578" w:lineRule="auto"/>
      <w:outlineLvl w:val="9"/>
    </w:pPr>
    <w:rPr>
      <w:bCs w:val="0"/>
      <w:szCs w:val="44"/>
      <w:lang w:val="en-US" w:eastAsia="zh-CN"/>
    </w:rPr>
  </w:style>
  <w:style w:type="paragraph" w:customStyle="1" w:styleId="328">
    <w:name w:val="样式 正文文本缩进 2 + Century Gothic 四号 行距: 多倍行距 1.75 字行"/>
    <w:basedOn w:val="1"/>
    <w:qFormat/>
    <w:uiPriority w:val="99"/>
    <w:pPr>
      <w:adjustRightInd w:val="0"/>
      <w:snapToGrid w:val="0"/>
      <w:spacing w:line="396" w:lineRule="auto"/>
      <w:ind w:firstLine="207" w:firstLineChars="207"/>
    </w:pPr>
    <w:rPr>
      <w:rFonts w:ascii="Century Gothic" w:cs="宋体"/>
      <w:sz w:val="28"/>
      <w:szCs w:val="20"/>
    </w:rPr>
  </w:style>
  <w:style w:type="paragraph" w:customStyle="1" w:styleId="329">
    <w:name w:val="pa-2"/>
    <w:basedOn w:val="1"/>
    <w:qFormat/>
    <w:uiPriority w:val="99"/>
    <w:pPr>
      <w:widowControl/>
      <w:spacing w:before="150" w:beforeLines="0" w:after="150" w:afterLines="0"/>
      <w:jc w:val="left"/>
    </w:pPr>
    <w:rPr>
      <w:rFonts w:ascii="宋体" w:cs="宋体"/>
      <w:kern w:val="0"/>
      <w:sz w:val="24"/>
      <w:lang w:bidi="ar-SA"/>
    </w:rPr>
  </w:style>
  <w:style w:type="paragraph" w:customStyle="1" w:styleId="330">
    <w:name w:val="font20"/>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31">
    <w:name w:val="Char1"/>
    <w:basedOn w:val="1"/>
    <w:qFormat/>
    <w:uiPriority w:val="0"/>
  </w:style>
  <w:style w:type="paragraph" w:customStyle="1" w:styleId="332">
    <w:name w:val="！正文Alt+Z"/>
    <w:basedOn w:val="1"/>
    <w:qFormat/>
    <w:uiPriority w:val="0"/>
    <w:pPr>
      <w:spacing w:line="360" w:lineRule="auto"/>
      <w:ind w:firstLine="200" w:firstLineChars="200"/>
      <w:jc w:val="left"/>
    </w:pPr>
    <w:rPr>
      <w:sz w:val="24"/>
    </w:rPr>
  </w:style>
  <w:style w:type="paragraph" w:customStyle="1" w:styleId="33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6"/>
      <w:szCs w:val="16"/>
    </w:rPr>
  </w:style>
  <w:style w:type="paragraph" w:customStyle="1" w:styleId="334">
    <w:name w:val="Sub Item List"/>
    <w:basedOn w:val="1"/>
    <w:qFormat/>
    <w:uiPriority w:val="99"/>
    <w:pPr>
      <w:widowControl/>
      <w:numPr>
        <w:ilvl w:val="0"/>
        <w:numId w:val="18"/>
      </w:numPr>
      <w:topLinePunct/>
      <w:adjustRightInd w:val="0"/>
      <w:snapToGrid w:val="0"/>
      <w:spacing w:before="80" w:beforeLines="0" w:after="80" w:afterLines="0" w:line="240" w:lineRule="atLeast"/>
      <w:jc w:val="left"/>
    </w:pPr>
    <w:rPr>
      <w:rFonts w:ascii="Arial" w:hAnsi="Arial" w:cs="Arial"/>
      <w:szCs w:val="21"/>
    </w:rPr>
  </w:style>
  <w:style w:type="paragraph" w:customStyle="1" w:styleId="335">
    <w:name w:val="样式3"/>
    <w:basedOn w:val="336"/>
    <w:qFormat/>
    <w:uiPriority w:val="0"/>
    <w:pPr>
      <w:spacing w:line="240" w:lineRule="auto"/>
      <w:ind w:firstLine="0" w:firstLineChars="0"/>
    </w:pPr>
    <w:rPr>
      <w:rFonts w:ascii="Times New Roman" w:hAnsi="Times New Roman"/>
      <w:sz w:val="21"/>
    </w:rPr>
  </w:style>
  <w:style w:type="paragraph" w:customStyle="1" w:styleId="336">
    <w:name w:val="说明正文"/>
    <w:basedOn w:val="1"/>
    <w:qFormat/>
    <w:uiPriority w:val="99"/>
    <w:pPr>
      <w:spacing w:line="360" w:lineRule="auto"/>
      <w:ind w:firstLine="480" w:firstLineChars="200"/>
    </w:pPr>
    <w:rPr>
      <w:rFonts w:ascii="宋体" w:hAnsi="宋体"/>
      <w:sz w:val="24"/>
    </w:rPr>
  </w:style>
  <w:style w:type="paragraph" w:customStyle="1" w:styleId="337">
    <w:name w:val="编号4级"/>
    <w:qFormat/>
    <w:uiPriority w:val="99"/>
    <w:pPr>
      <w:tabs>
        <w:tab w:val="left" w:pos="1843"/>
      </w:tabs>
      <w:spacing w:line="360" w:lineRule="auto"/>
      <w:ind w:left="1843" w:hanging="284"/>
    </w:pPr>
    <w:rPr>
      <w:rFonts w:ascii="Calibri" w:hAnsi="Calibri" w:eastAsia="宋体" w:cs="Times New Roman"/>
      <w:kern w:val="24"/>
      <w:sz w:val="24"/>
      <w:szCs w:val="18"/>
      <w:lang w:val="en-US" w:eastAsia="zh-CN" w:bidi="ar-SA"/>
    </w:rPr>
  </w:style>
  <w:style w:type="paragraph" w:customStyle="1" w:styleId="338">
    <w:name w:val="Char Char Char Char"/>
    <w:basedOn w:val="1"/>
    <w:qFormat/>
    <w:uiPriority w:val="99"/>
    <w:pPr>
      <w:tabs>
        <w:tab w:val="left" w:pos="360"/>
      </w:tabs>
      <w:ind w:firstLine="150" w:firstLineChars="150"/>
    </w:pPr>
    <w:rPr>
      <w:rFonts w:ascii="Arial" w:hAnsi="Arial" w:cs="Arial"/>
      <w:sz w:val="20"/>
      <w:szCs w:val="20"/>
      <w:lang w:bidi="ar-SA"/>
    </w:rPr>
  </w:style>
  <w:style w:type="paragraph" w:customStyle="1" w:styleId="339">
    <w:name w:val="xl7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40">
    <w:name w:val="Char Char"/>
    <w:basedOn w:val="1"/>
    <w:qFormat/>
    <w:uiPriority w:val="99"/>
    <w:rPr>
      <w:rFonts w:ascii="Tahoma" w:hAnsi="Tahoma"/>
      <w:sz w:val="24"/>
      <w:szCs w:val="20"/>
    </w:rPr>
  </w:style>
  <w:style w:type="paragraph" w:customStyle="1" w:styleId="341">
    <w:name w:val="Char Char Char Char1"/>
    <w:basedOn w:val="1"/>
    <w:qFormat/>
    <w:uiPriority w:val="99"/>
    <w:pPr>
      <w:tabs>
        <w:tab w:val="left" w:pos="360"/>
      </w:tabs>
      <w:ind w:firstLine="150" w:firstLineChars="150"/>
    </w:pPr>
    <w:rPr>
      <w:rFonts w:ascii="Arial" w:hAnsi="Arial" w:cs="Arial"/>
      <w:sz w:val="20"/>
      <w:szCs w:val="20"/>
      <w:lang w:bidi="ar-SA"/>
    </w:rPr>
  </w:style>
  <w:style w:type="paragraph" w:customStyle="1" w:styleId="342">
    <w:name w:val="！4级标题Alt+4"/>
    <w:basedOn w:val="1"/>
    <w:next w:val="332"/>
    <w:qFormat/>
    <w:uiPriority w:val="0"/>
    <w:pPr>
      <w:spacing w:line="360" w:lineRule="auto"/>
      <w:ind w:left="400" w:hanging="400" w:hangingChars="400"/>
      <w:jc w:val="left"/>
      <w:outlineLvl w:val="3"/>
    </w:pPr>
    <w:rPr>
      <w:b/>
      <w:bCs/>
      <w:sz w:val="24"/>
    </w:rPr>
  </w:style>
  <w:style w:type="paragraph" w:customStyle="1" w:styleId="343">
    <w:name w:val="xl786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left"/>
    </w:pPr>
    <w:rPr>
      <w:rFonts w:ascii="宋体" w:hAnsi="宋体" w:cs="宋体"/>
      <w:color w:val="000000"/>
      <w:kern w:val="0"/>
      <w:sz w:val="20"/>
      <w:szCs w:val="20"/>
    </w:rPr>
  </w:style>
  <w:style w:type="paragraph" w:customStyle="1" w:styleId="344">
    <w:name w:val="报告正文"/>
    <w:basedOn w:val="1"/>
    <w:qFormat/>
    <w:uiPriority w:val="99"/>
    <w:pPr>
      <w:widowControl/>
      <w:overflowPunct w:val="0"/>
      <w:autoSpaceDE w:val="0"/>
      <w:autoSpaceDN w:val="0"/>
      <w:adjustRightInd w:val="0"/>
      <w:spacing w:after="80" w:afterLines="0" w:line="360" w:lineRule="auto"/>
      <w:ind w:left="570"/>
      <w:textAlignment w:val="baseline"/>
    </w:pPr>
    <w:rPr>
      <w:kern w:val="0"/>
      <w:sz w:val="24"/>
      <w:szCs w:val="20"/>
    </w:rPr>
  </w:style>
  <w:style w:type="paragraph" w:customStyle="1" w:styleId="345">
    <w:name w:val="Char Char Char Char Char Char Char Char Char Char Char Char Char Char Char Char"/>
    <w:basedOn w:val="1"/>
    <w:qFormat/>
    <w:uiPriority w:val="0"/>
    <w:pPr>
      <w:tabs>
        <w:tab w:val="left" w:pos="360"/>
      </w:tabs>
      <w:spacing w:line="360" w:lineRule="auto"/>
      <w:ind w:left="482" w:firstLine="200" w:firstLineChars="200"/>
    </w:pPr>
    <w:rPr>
      <w:rFonts w:ascii="Tahoma" w:hAnsi="Tahoma"/>
      <w:sz w:val="24"/>
      <w:szCs w:val="20"/>
    </w:rPr>
  </w:style>
  <w:style w:type="paragraph" w:customStyle="1" w:styleId="346">
    <w:name w:val="xl7868"/>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仿宋_GB2312" w:hAnsi="宋体" w:eastAsia="仿宋_GB2312" w:cs="宋体"/>
      <w:color w:val="000000"/>
      <w:kern w:val="0"/>
      <w:sz w:val="20"/>
      <w:szCs w:val="20"/>
    </w:rPr>
  </w:style>
  <w:style w:type="paragraph" w:customStyle="1" w:styleId="347">
    <w:name w:val="规格书正文"/>
    <w:basedOn w:val="1"/>
    <w:qFormat/>
    <w:uiPriority w:val="0"/>
    <w:pPr>
      <w:ind w:firstLine="420"/>
    </w:pPr>
    <w:rPr>
      <w:rFonts w:ascii="微软雅黑" w:hAnsi="微软雅黑" w:eastAsia="微软雅黑" w:cs="Times New Roman"/>
      <w:szCs w:val="21"/>
    </w:rPr>
  </w:style>
  <w:style w:type="paragraph" w:customStyle="1" w:styleId="348">
    <w:name w:val="表格正文（5号）"/>
    <w:basedOn w:val="1"/>
    <w:qFormat/>
    <w:uiPriority w:val="99"/>
    <w:pPr>
      <w:adjustRightInd w:val="0"/>
      <w:snapToGrid w:val="0"/>
      <w:spacing w:line="264" w:lineRule="auto"/>
      <w:jc w:val="center"/>
      <w:textAlignment w:val="baseline"/>
    </w:pPr>
    <w:rPr>
      <w:snapToGrid w:val="0"/>
      <w:kern w:val="0"/>
      <w:sz w:val="24"/>
      <w:szCs w:val="20"/>
    </w:rPr>
  </w:style>
  <w:style w:type="paragraph" w:customStyle="1" w:styleId="349">
    <w:name w:val="xl7874"/>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50">
    <w:name w:val="font6"/>
    <w:basedOn w:val="1"/>
    <w:qFormat/>
    <w:uiPriority w:val="0"/>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51">
    <w:name w:val="xl76"/>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52">
    <w:name w:val="pa-0"/>
    <w:basedOn w:val="1"/>
    <w:qFormat/>
    <w:uiPriority w:val="99"/>
    <w:pPr>
      <w:widowControl/>
      <w:spacing w:before="150" w:beforeLines="0" w:after="150" w:afterLines="0"/>
      <w:jc w:val="left"/>
    </w:pPr>
    <w:rPr>
      <w:rFonts w:ascii="宋体" w:cs="宋体"/>
      <w:kern w:val="0"/>
      <w:sz w:val="24"/>
      <w:lang w:bidi="ar-SA"/>
    </w:rPr>
  </w:style>
  <w:style w:type="paragraph" w:customStyle="1" w:styleId="353">
    <w:name w:val="编号2级"/>
    <w:qFormat/>
    <w:uiPriority w:val="99"/>
    <w:pPr>
      <w:spacing w:after="62" w:afterLines="20" w:line="400" w:lineRule="exact"/>
    </w:pPr>
    <w:rPr>
      <w:rFonts w:ascii="Calibri" w:hAnsi="Calibri" w:eastAsia="Times New Roman" w:cs="Times New Roman"/>
      <w:kern w:val="2"/>
      <w:sz w:val="24"/>
      <w:szCs w:val="24"/>
      <w:lang w:val="en-US" w:eastAsia="zh-CN" w:bidi="ar-SA"/>
    </w:rPr>
  </w:style>
  <w:style w:type="paragraph" w:customStyle="1" w:styleId="354">
    <w:name w:val="xl82"/>
    <w:basedOn w:val="1"/>
    <w:qFormat/>
    <w:uiPriority w:val="99"/>
    <w:pPr>
      <w:widowControl/>
      <w:spacing w:before="100" w:beforeLines="0" w:beforeAutospacing="1" w:after="100" w:afterLines="0" w:afterAutospacing="1"/>
    </w:pPr>
    <w:rPr>
      <w:rFonts w:ascii="宋体" w:cs="宋体"/>
      <w:b/>
      <w:bCs/>
      <w:kern w:val="0"/>
      <w:sz w:val="20"/>
      <w:szCs w:val="20"/>
      <w:lang w:bidi="ar-SA"/>
    </w:rPr>
  </w:style>
  <w:style w:type="paragraph" w:customStyle="1" w:styleId="355">
    <w:name w:val=" Char Char Char Char"/>
    <w:basedOn w:val="1"/>
    <w:qFormat/>
    <w:uiPriority w:val="0"/>
    <w:pPr>
      <w:widowControl/>
      <w:spacing w:after="160" w:afterLines="0" w:line="240" w:lineRule="exact"/>
      <w:jc w:val="left"/>
    </w:pPr>
    <w:rPr>
      <w:rFonts w:ascii="Verdana" w:hAnsi="Verdana"/>
      <w:kern w:val="0"/>
      <w:szCs w:val="20"/>
    </w:rPr>
  </w:style>
  <w:style w:type="paragraph" w:customStyle="1" w:styleId="356">
    <w:name w:val="正文文本 21"/>
    <w:basedOn w:val="1"/>
    <w:qFormat/>
    <w:uiPriority w:val="0"/>
    <w:pPr>
      <w:autoSpaceDE w:val="0"/>
      <w:autoSpaceDN w:val="0"/>
      <w:adjustRightInd w:val="0"/>
      <w:spacing w:line="360" w:lineRule="atLeast"/>
      <w:textAlignment w:val="baseline"/>
    </w:pPr>
    <w:rPr>
      <w:kern w:val="0"/>
      <w:sz w:val="24"/>
      <w:szCs w:val="20"/>
    </w:rPr>
  </w:style>
  <w:style w:type="paragraph" w:customStyle="1" w:styleId="357">
    <w:name w:val="Normal"/>
    <w:qFormat/>
    <w:uiPriority w:val="0"/>
    <w:pPr>
      <w:widowControl w:val="0"/>
      <w:jc w:val="both"/>
    </w:pPr>
    <w:rPr>
      <w:rFonts w:ascii="Calibri" w:hAnsi="Calibri" w:eastAsia="Times New Roman" w:cs="Times New Roman"/>
      <w:lang w:val="en-US" w:eastAsia="zh-CN" w:bidi="ar-SA"/>
    </w:rPr>
  </w:style>
  <w:style w:type="paragraph" w:customStyle="1" w:styleId="358">
    <w:name w:val="Normal Paragraph"/>
    <w:basedOn w:val="1"/>
    <w:qFormat/>
    <w:uiPriority w:val="99"/>
    <w:pPr>
      <w:spacing w:before="100" w:beforeLines="0" w:beforeAutospacing="1" w:after="100" w:afterLines="0" w:afterAutospacing="1" w:line="360" w:lineRule="auto"/>
      <w:ind w:firstLine="425"/>
    </w:pPr>
    <w:rPr>
      <w:sz w:val="24"/>
    </w:rPr>
  </w:style>
  <w:style w:type="paragraph" w:customStyle="1" w:styleId="359">
    <w:name w:val="列出段落1"/>
    <w:basedOn w:val="1"/>
    <w:qFormat/>
    <w:uiPriority w:val="34"/>
    <w:pPr>
      <w:ind w:firstLine="420" w:firstLineChars="200"/>
    </w:pPr>
    <w:rPr>
      <w:rFonts w:ascii="Calibri" w:hAnsi="Calibri"/>
      <w:szCs w:val="22"/>
    </w:rPr>
  </w:style>
  <w:style w:type="paragraph" w:customStyle="1" w:styleId="360">
    <w:name w:val="正文3级"/>
    <w:qFormat/>
    <w:uiPriority w:val="99"/>
    <w:pPr>
      <w:widowControl w:val="0"/>
      <w:numPr>
        <w:ilvl w:val="5"/>
        <w:numId w:val="19"/>
      </w:numPr>
      <w:spacing w:after="60" w:line="400" w:lineRule="exact"/>
      <w:jc w:val="both"/>
    </w:pPr>
    <w:rPr>
      <w:rFonts w:ascii="Calibri" w:hAnsi="Calibri" w:eastAsia="宋体" w:cs="Times New Roman"/>
      <w:bCs/>
      <w:kern w:val="44"/>
      <w:sz w:val="24"/>
      <w:szCs w:val="44"/>
      <w:lang w:val="en-US" w:eastAsia="zh-CN" w:bidi="ar-SA"/>
    </w:rPr>
  </w:style>
  <w:style w:type="paragraph" w:customStyle="1" w:styleId="361">
    <w:name w:val="font12"/>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62">
    <w:name w:val="font16"/>
    <w:basedOn w:val="1"/>
    <w:qFormat/>
    <w:uiPriority w:val="99"/>
    <w:pPr>
      <w:widowControl/>
      <w:spacing w:before="100" w:beforeLines="0" w:beforeAutospacing="1" w:after="100" w:afterLines="0" w:afterAutospacing="1"/>
      <w:jc w:val="left"/>
    </w:pPr>
    <w:rPr>
      <w:rFonts w:ascii="宋体" w:cs="宋体"/>
      <w:color w:val="000000"/>
      <w:kern w:val="0"/>
      <w:sz w:val="20"/>
      <w:szCs w:val="20"/>
      <w:lang w:bidi="ar-SA"/>
    </w:rPr>
  </w:style>
  <w:style w:type="paragraph" w:customStyle="1" w:styleId="363">
    <w:name w:val="xl7865"/>
    <w:basedOn w:val="1"/>
    <w:qFormat/>
    <w:uiPriority w:val="99"/>
    <w:pPr>
      <w:widowControl/>
      <w:pBdr>
        <w:top w:val="single" w:color="auto" w:sz="4" w:space="0"/>
        <w:left w:val="single" w:color="auto" w:sz="4" w:space="0"/>
        <w:bottom w:val="single" w:color="auto" w:sz="4" w:space="0"/>
        <w:right w:val="single" w:color="auto" w:sz="4" w:space="0"/>
      </w:pBdr>
      <w:shd w:val="clear" w:color="000000" w:fill="A5A5A5"/>
      <w:spacing w:before="100" w:beforeLines="0" w:beforeAutospacing="1" w:after="100" w:afterLines="0" w:afterAutospacing="1"/>
      <w:jc w:val="center"/>
    </w:pPr>
    <w:rPr>
      <w:rFonts w:ascii="仿宋_GB2312" w:hAnsi="宋体" w:eastAsia="仿宋_GB2312" w:cs="宋体"/>
      <w:b/>
      <w:bCs/>
      <w:color w:val="000000"/>
      <w:kern w:val="0"/>
      <w:sz w:val="20"/>
      <w:szCs w:val="20"/>
    </w:rPr>
  </w:style>
  <w:style w:type="paragraph" w:customStyle="1" w:styleId="364">
    <w:name w:val="正文缩进1"/>
    <w:basedOn w:val="1"/>
    <w:qFormat/>
    <w:uiPriority w:val="99"/>
    <w:pPr>
      <w:spacing w:line="360" w:lineRule="auto"/>
      <w:ind w:firstLine="200" w:firstLineChars="200"/>
      <w:jc w:val="left"/>
    </w:pPr>
    <w:rPr>
      <w:rFonts w:ascii="宋体" w:hAnsi="宋体"/>
      <w:sz w:val="24"/>
      <w:szCs w:val="22"/>
    </w:rPr>
  </w:style>
  <w:style w:type="paragraph" w:customStyle="1" w:styleId="365">
    <w:name w:val="题注5"/>
    <w:basedOn w:val="1"/>
    <w:next w:val="27"/>
    <w:qFormat/>
    <w:uiPriority w:val="0"/>
    <w:pPr>
      <w:numPr>
        <w:ilvl w:val="1"/>
        <w:numId w:val="15"/>
      </w:numPr>
      <w:tabs>
        <w:tab w:val="left" w:pos="0"/>
        <w:tab w:val="left" w:pos="720"/>
        <w:tab w:val="clear" w:pos="840"/>
      </w:tabs>
      <w:spacing w:line="360" w:lineRule="auto"/>
      <w:ind w:left="720" w:hanging="720"/>
    </w:pPr>
    <w:rPr>
      <w:b/>
      <w:color w:val="000000"/>
      <w:sz w:val="28"/>
      <w:szCs w:val="28"/>
    </w:rPr>
  </w:style>
  <w:style w:type="paragraph" w:customStyle="1" w:styleId="366">
    <w:name w:val="编号3级"/>
    <w:qFormat/>
    <w:uiPriority w:val="99"/>
    <w:pPr>
      <w:numPr>
        <w:ilvl w:val="4"/>
        <w:numId w:val="19"/>
      </w:numPr>
      <w:spacing w:line="400" w:lineRule="exact"/>
    </w:pPr>
    <w:rPr>
      <w:rFonts w:ascii="Calibri" w:hAnsi="Calibri" w:eastAsia="宋体" w:cs="Times New Roman"/>
      <w:kern w:val="2"/>
      <w:sz w:val="24"/>
      <w:szCs w:val="24"/>
      <w:lang w:val="en-US" w:eastAsia="zh-CN" w:bidi="ar-SA"/>
    </w:rPr>
  </w:style>
  <w:style w:type="paragraph" w:customStyle="1" w:styleId="36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368">
    <w:name w:val="表格标题小四"/>
    <w:basedOn w:val="1"/>
    <w:next w:val="1"/>
    <w:qFormat/>
    <w:uiPriority w:val="99"/>
    <w:pPr>
      <w:adjustRightInd w:val="0"/>
      <w:snapToGrid w:val="0"/>
      <w:spacing w:line="288" w:lineRule="auto"/>
      <w:jc w:val="center"/>
    </w:pPr>
    <w:rPr>
      <w:rFonts w:eastAsia="黑体"/>
      <w:bCs/>
      <w:snapToGrid w:val="0"/>
      <w:sz w:val="24"/>
    </w:rPr>
  </w:style>
  <w:style w:type="paragraph" w:customStyle="1" w:styleId="369">
    <w:name w:val="正文1级"/>
    <w:qFormat/>
    <w:uiPriority w:val="99"/>
    <w:pPr>
      <w:widowControl w:val="0"/>
      <w:numPr>
        <w:ilvl w:val="1"/>
        <w:numId w:val="19"/>
      </w:numPr>
      <w:spacing w:after="60" w:line="400" w:lineRule="exact"/>
      <w:jc w:val="both"/>
    </w:pPr>
    <w:rPr>
      <w:rFonts w:ascii="Calibri" w:hAnsi="Calibri" w:eastAsia="宋体" w:cs="Times New Roman"/>
      <w:bCs/>
      <w:kern w:val="44"/>
      <w:sz w:val="24"/>
      <w:szCs w:val="44"/>
      <w:lang w:val="en-US" w:eastAsia="zh-CN" w:bidi="ar-SA"/>
    </w:rPr>
  </w:style>
  <w:style w:type="paragraph" w:customStyle="1" w:styleId="370">
    <w:name w:val=" Char Char2 Char"/>
    <w:basedOn w:val="1"/>
    <w:semiHidden/>
    <w:qFormat/>
    <w:uiPriority w:val="0"/>
    <w:pPr>
      <w:widowControl/>
      <w:spacing w:after="160" w:afterLines="0" w:line="240" w:lineRule="exact"/>
      <w:jc w:val="left"/>
    </w:pPr>
    <w:rPr>
      <w:rFonts w:ascii="Arial" w:hAnsi="Arial"/>
      <w:kern w:val="0"/>
      <w:sz w:val="22"/>
      <w:szCs w:val="22"/>
      <w:lang w:eastAsia="en-US"/>
    </w:rPr>
  </w:style>
  <w:style w:type="paragraph" w:customStyle="1" w:styleId="371">
    <w:name w:val="Char1 Char Char Char"/>
    <w:basedOn w:val="1"/>
    <w:qFormat/>
    <w:uiPriority w:val="0"/>
    <w:pPr>
      <w:spacing w:line="360" w:lineRule="auto"/>
      <w:ind w:firstLine="200" w:firstLineChars="200"/>
    </w:pPr>
    <w:rPr>
      <w:rFonts w:ascii="宋体" w:hAnsi="宋体" w:cs="宋体"/>
      <w:sz w:val="24"/>
    </w:rPr>
  </w:style>
  <w:style w:type="paragraph" w:customStyle="1" w:styleId="37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373">
    <w:name w:val="Char Char Char Char Char Char1 Char"/>
    <w:basedOn w:val="1"/>
    <w:qFormat/>
    <w:uiPriority w:val="99"/>
    <w:pPr>
      <w:widowControl/>
      <w:spacing w:after="160" w:afterLines="0" w:line="240" w:lineRule="exact"/>
      <w:jc w:val="left"/>
    </w:pPr>
    <w:rPr>
      <w:rFonts w:ascii="Verdana" w:hAnsi="Verdana"/>
      <w:kern w:val="0"/>
      <w:szCs w:val="20"/>
      <w:lang w:eastAsia="en-US"/>
    </w:rPr>
  </w:style>
  <w:style w:type="paragraph" w:customStyle="1" w:styleId="374">
    <w:name w:val="表格(五号)"/>
    <w:basedOn w:val="1"/>
    <w:qFormat/>
    <w:uiPriority w:val="99"/>
    <w:pPr>
      <w:adjustRightInd w:val="0"/>
      <w:snapToGrid w:val="0"/>
      <w:spacing w:before="60" w:beforeLines="0" w:after="60" w:afterLines="0"/>
      <w:ind w:left="11"/>
      <w:jc w:val="center"/>
    </w:pPr>
    <w:rPr>
      <w:kern w:val="0"/>
      <w:szCs w:val="20"/>
    </w:rPr>
  </w:style>
  <w:style w:type="paragraph" w:customStyle="1" w:styleId="375">
    <w:name w:val="msonormalcxspmiddle"/>
    <w:basedOn w:val="1"/>
    <w:qFormat/>
    <w:uiPriority w:val="99"/>
    <w:pPr>
      <w:widowControl/>
      <w:spacing w:before="100" w:beforeLines="0" w:beforeAutospacing="1" w:after="100" w:afterLines="0" w:afterAutospacing="1"/>
      <w:jc w:val="left"/>
    </w:pPr>
    <w:rPr>
      <w:rFonts w:ascii="宋体" w:cs="宋体"/>
      <w:kern w:val="0"/>
      <w:sz w:val="24"/>
      <w:lang w:bidi="ar-SA"/>
    </w:rPr>
  </w:style>
  <w:style w:type="paragraph" w:customStyle="1" w:styleId="376">
    <w:name w:val="font11"/>
    <w:basedOn w:val="1"/>
    <w:qFormat/>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377">
    <w:name w:val="样式 样式 样式 左侧:  2 字符1 + 首行缩进:  2 字符1 + 首行缩进:  2 字符"/>
    <w:basedOn w:val="1"/>
    <w:qFormat/>
    <w:uiPriority w:val="0"/>
    <w:pPr>
      <w:widowControl/>
      <w:numPr>
        <w:ilvl w:val="0"/>
        <w:numId w:val="20"/>
      </w:numPr>
      <w:adjustRightInd w:val="0"/>
      <w:spacing w:before="60" w:beforeLines="0" w:after="120" w:afterLines="0" w:line="440" w:lineRule="atLeast"/>
      <w:ind w:left="0" w:firstLine="480"/>
      <w:textAlignment w:val="baseline"/>
    </w:pPr>
    <w:rPr>
      <w:sz w:val="24"/>
      <w:szCs w:val="20"/>
    </w:rPr>
  </w:style>
  <w:style w:type="paragraph" w:customStyle="1" w:styleId="378">
    <w:name w:val="文章内容"/>
    <w:basedOn w:val="1"/>
    <w:qFormat/>
    <w:uiPriority w:val="0"/>
    <w:pPr>
      <w:widowControl/>
      <w:wordWrap/>
      <w:spacing w:line="400" w:lineRule="exact"/>
      <w:ind w:firstLine="200" w:firstLineChars="200"/>
    </w:pPr>
    <w:rPr>
      <w:szCs w:val="20"/>
    </w:rPr>
  </w:style>
  <w:style w:type="paragraph" w:customStyle="1" w:styleId="379">
    <w:name w:val="font13"/>
    <w:basedOn w:val="1"/>
    <w:qFormat/>
    <w:uiPriority w:val="99"/>
    <w:pPr>
      <w:widowControl/>
      <w:spacing w:before="100" w:beforeLines="0" w:beforeAutospacing="1" w:after="100" w:afterLines="0" w:afterAutospacing="1"/>
      <w:jc w:val="left"/>
    </w:pPr>
    <w:rPr>
      <w:rFonts w:ascii="宋体" w:cs="宋体"/>
      <w:b/>
      <w:bCs/>
      <w:kern w:val="0"/>
      <w:sz w:val="20"/>
      <w:szCs w:val="20"/>
      <w:lang w:bidi="ar-SA"/>
    </w:rPr>
  </w:style>
  <w:style w:type="paragraph" w:customStyle="1" w:styleId="380">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381">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382">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383">
    <w:name w:val="xl6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84">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kern w:val="0"/>
      <w:sz w:val="16"/>
      <w:szCs w:val="16"/>
    </w:rPr>
  </w:style>
  <w:style w:type="paragraph" w:customStyle="1" w:styleId="385">
    <w:name w:val="_Style 384"/>
    <w:unhideWhenUsed/>
    <w:qFormat/>
    <w:uiPriority w:val="99"/>
    <w:rPr>
      <w:rFonts w:ascii="Calibri" w:hAnsi="Calibri" w:eastAsia="宋体" w:cs="Times New Roman"/>
      <w:kern w:val="2"/>
      <w:sz w:val="21"/>
      <w:szCs w:val="24"/>
      <w:lang w:val="en-US" w:eastAsia="zh-CN" w:bidi="ar-SA"/>
    </w:rPr>
  </w:style>
  <w:style w:type="paragraph" w:customStyle="1" w:styleId="386">
    <w:name w:val="表格样式 5"/>
    <w:qFormat/>
    <w:uiPriority w:val="0"/>
    <w:pPr>
      <w:jc w:val="both"/>
    </w:pPr>
    <w:rPr>
      <w:rFonts w:ascii="微软雅黑" w:hAnsi="微软雅黑" w:eastAsia="微软雅黑" w:cs="Helvetica"/>
      <w:color w:val="FF0000"/>
      <w:sz w:val="21"/>
      <w:szCs w:val="21"/>
      <w:lang w:val="en-US" w:eastAsia="zh-CN" w:bidi="ar-SA"/>
    </w:rPr>
  </w:style>
  <w:style w:type="paragraph" w:customStyle="1" w:styleId="387">
    <w:name w:val="sanxiang2"/>
    <w:basedOn w:val="1"/>
    <w:qFormat/>
    <w:uiPriority w:val="0"/>
    <w:pPr>
      <w:keepNext/>
      <w:snapToGrid w:val="0"/>
      <w:spacing w:before="624" w:beforeLines="200" w:after="312" w:afterLines="100"/>
      <w:jc w:val="center"/>
      <w:outlineLvl w:val="1"/>
    </w:pPr>
    <w:rPr>
      <w:rFonts w:ascii="宋体" w:hAnsi="宋体"/>
      <w:b/>
      <w:w w:val="120"/>
      <w:szCs w:val="21"/>
    </w:rPr>
  </w:style>
  <w:style w:type="paragraph" w:customStyle="1" w:styleId="388">
    <w:name w:val="font18"/>
    <w:basedOn w:val="1"/>
    <w:qFormat/>
    <w:uiPriority w:val="99"/>
    <w:pPr>
      <w:widowControl/>
      <w:spacing w:before="100" w:beforeLines="0" w:beforeAutospacing="1" w:after="100" w:afterLines="0" w:afterAutospacing="1"/>
      <w:jc w:val="left"/>
    </w:pPr>
    <w:rPr>
      <w:rFonts w:ascii="宋体" w:cs="宋体"/>
      <w:b/>
      <w:bCs/>
      <w:color w:val="000000"/>
      <w:kern w:val="0"/>
      <w:sz w:val="20"/>
      <w:szCs w:val="20"/>
      <w:lang w:bidi="ar-SA"/>
    </w:rPr>
  </w:style>
  <w:style w:type="paragraph" w:customStyle="1" w:styleId="389">
    <w:name w:val="font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90">
    <w:name w:val="表格内容"/>
    <w:basedOn w:val="1"/>
    <w:qFormat/>
    <w:uiPriority w:val="99"/>
    <w:pPr>
      <w:spacing w:line="360" w:lineRule="auto"/>
      <w:jc w:val="center"/>
    </w:pPr>
    <w:rPr>
      <w:rFonts w:cs="宋体"/>
      <w:sz w:val="18"/>
      <w:szCs w:val="20"/>
    </w:rPr>
  </w:style>
  <w:style w:type="paragraph" w:customStyle="1" w:styleId="391">
    <w:name w:val="标准小四"/>
    <w:basedOn w:val="1"/>
    <w:qFormat/>
    <w:uiPriority w:val="0"/>
    <w:pPr>
      <w:spacing w:line="360" w:lineRule="auto"/>
      <w:ind w:firstLine="480" w:firstLineChars="200"/>
    </w:pPr>
    <w:rPr>
      <w:rFonts w:ascii="Arial" w:hAnsi="Arial"/>
      <w:sz w:val="24"/>
      <w:szCs w:val="21"/>
    </w:rPr>
  </w:style>
  <w:style w:type="paragraph" w:customStyle="1" w:styleId="392">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93">
    <w:name w:val="内文"/>
    <w:basedOn w:val="1"/>
    <w:qFormat/>
    <w:uiPriority w:val="0"/>
    <w:pPr>
      <w:spacing w:line="360" w:lineRule="auto"/>
    </w:pPr>
    <w:rPr>
      <w:rFonts w:ascii="Calibri" w:hAnsi="Calibri"/>
    </w:rPr>
  </w:style>
  <w:style w:type="paragraph" w:customStyle="1" w:styleId="394">
    <w:name w:val="font22"/>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395">
    <w:name w:val="xl36"/>
    <w:basedOn w:val="1"/>
    <w:qFormat/>
    <w:uiPriority w:val="0"/>
    <w:pPr>
      <w:widowControl/>
      <w:pBdr>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16"/>
      <w:szCs w:val="16"/>
    </w:rPr>
  </w:style>
  <w:style w:type="paragraph" w:customStyle="1" w:styleId="396">
    <w:name w:val="样式5"/>
    <w:basedOn w:val="1"/>
    <w:qFormat/>
    <w:uiPriority w:val="99"/>
    <w:pPr>
      <w:widowControl/>
      <w:numPr>
        <w:ilvl w:val="1"/>
        <w:numId w:val="21"/>
      </w:numPr>
      <w:spacing w:before="156" w:beforeLines="50" w:after="156" w:afterLines="50"/>
    </w:pPr>
    <w:rPr>
      <w:kern w:val="0"/>
    </w:rPr>
  </w:style>
  <w:style w:type="paragraph" w:customStyle="1" w:styleId="397">
    <w:name w:val="p15"/>
    <w:basedOn w:val="1"/>
    <w:qFormat/>
    <w:uiPriority w:val="99"/>
    <w:pPr>
      <w:widowControl/>
    </w:pPr>
    <w:rPr>
      <w:rFonts w:ascii="宋体" w:cs="宋体"/>
      <w:kern w:val="0"/>
      <w:szCs w:val="21"/>
      <w:lang w:bidi="ar-SA"/>
    </w:rPr>
  </w:style>
  <w:style w:type="paragraph" w:customStyle="1" w:styleId="398">
    <w:name w:val="Char Char Char1 Char"/>
    <w:basedOn w:val="1"/>
    <w:qFormat/>
    <w:uiPriority w:val="99"/>
    <w:pPr>
      <w:adjustRightInd w:val="0"/>
      <w:textAlignment w:val="baseline"/>
    </w:pPr>
    <w:rPr>
      <w:bCs/>
      <w:kern w:val="0"/>
    </w:rPr>
  </w:style>
  <w:style w:type="paragraph" w:customStyle="1" w:styleId="399">
    <w:name w:val="默认段落字体 Para Char Char Char Char Char Char Char Char Char1 Char Char Char Char Char Char Char"/>
    <w:basedOn w:val="31"/>
    <w:qFormat/>
    <w:uiPriority w:val="0"/>
    <w:rPr>
      <w:rFonts w:ascii="Tahoma" w:hAnsi="Tahoma"/>
      <w:sz w:val="24"/>
      <w:lang w:val="en-US" w:eastAsia="zh-CN"/>
    </w:rPr>
  </w:style>
  <w:style w:type="paragraph" w:customStyle="1" w:styleId="400">
    <w:name w:val="xl7870"/>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401">
    <w:name w:val="xl7876"/>
    <w:basedOn w:val="1"/>
    <w:qFormat/>
    <w:uiPriority w:val="99"/>
    <w:pPr>
      <w:widowControl/>
      <w:spacing w:before="100" w:beforeLines="0" w:beforeAutospacing="1" w:after="100" w:afterLines="0" w:afterAutospacing="1"/>
      <w:jc w:val="center"/>
    </w:pPr>
    <w:rPr>
      <w:rFonts w:ascii="宋体" w:hAnsi="宋体" w:cs="宋体"/>
      <w:color w:val="000000"/>
      <w:kern w:val="0"/>
      <w:sz w:val="20"/>
      <w:szCs w:val="20"/>
    </w:rPr>
  </w:style>
  <w:style w:type="paragraph" w:customStyle="1" w:styleId="402">
    <w:name w:val="标题5"/>
    <w:basedOn w:val="1"/>
    <w:qFormat/>
    <w:uiPriority w:val="0"/>
    <w:pPr>
      <w:adjustRightInd w:val="0"/>
      <w:snapToGrid w:val="0"/>
      <w:spacing w:line="310" w:lineRule="atLeast"/>
      <w:ind w:firstLine="425"/>
    </w:pPr>
    <w:rPr>
      <w:rFonts w:ascii="Arial" w:hAnsi="Arial" w:eastAsia="黑体"/>
      <w:szCs w:val="20"/>
    </w:rPr>
  </w:style>
  <w:style w:type="paragraph" w:customStyle="1" w:styleId="403">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404">
    <w:name w:val="Notes Heading in Table"/>
    <w:next w:val="1"/>
    <w:qFormat/>
    <w:uiPriority w:val="99"/>
    <w:pPr>
      <w:keepNext/>
      <w:adjustRightInd w:val="0"/>
      <w:snapToGrid w:val="0"/>
      <w:spacing w:before="80" w:after="40" w:line="240" w:lineRule="atLeast"/>
    </w:pPr>
    <w:rPr>
      <w:rFonts w:ascii="Arial" w:hAnsi="Arial" w:eastAsia="黑体" w:cs="Arial"/>
      <w:bCs/>
      <w:kern w:val="2"/>
      <w:sz w:val="18"/>
      <w:szCs w:val="18"/>
      <w:lang w:val="en-US" w:eastAsia="zh-CN" w:bidi="ar-SA"/>
    </w:rPr>
  </w:style>
  <w:style w:type="paragraph" w:customStyle="1" w:styleId="405">
    <w:name w:val="表格"/>
    <w:basedOn w:val="1"/>
    <w:qFormat/>
    <w:uiPriority w:val="99"/>
    <w:pPr>
      <w:adjustRightInd w:val="0"/>
      <w:spacing w:line="400" w:lineRule="atLeast"/>
      <w:textAlignment w:val="baseline"/>
    </w:pPr>
    <w:rPr>
      <w:rFonts w:ascii="仿宋_GB2312" w:eastAsia="仿宋_GB2312"/>
      <w:kern w:val="0"/>
      <w:sz w:val="28"/>
      <w:szCs w:val="20"/>
    </w:rPr>
  </w:style>
  <w:style w:type="paragraph" w:customStyle="1" w:styleId="406">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07">
    <w:name w:val="xl40"/>
    <w:basedOn w:val="1"/>
    <w:qFormat/>
    <w:uiPriority w:val="0"/>
    <w:pPr>
      <w:widowControl/>
      <w:pBdr>
        <w:left w:val="single" w:color="008080" w:sz="4" w:space="0"/>
        <w:bottom w:val="single" w:color="auto" w:sz="4" w:space="0"/>
        <w:right w:val="single" w:color="008080" w:sz="4" w:space="0"/>
      </w:pBdr>
      <w:shd w:val="clear" w:color="9999FF" w:fill="C0C0C0"/>
      <w:spacing w:before="100" w:beforeLines="0" w:beforeAutospacing="1" w:after="100" w:afterLines="0" w:afterAutospacing="1"/>
      <w:jc w:val="center"/>
    </w:pPr>
    <w:rPr>
      <w:rFonts w:ascii="宋体" w:hAnsi="宋体"/>
      <w:b/>
      <w:bCs/>
      <w:color w:val="800000"/>
      <w:kern w:val="0"/>
      <w:sz w:val="24"/>
    </w:rPr>
  </w:style>
  <w:style w:type="paragraph" w:customStyle="1" w:styleId="408">
    <w:name w:val="Char Char1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409">
    <w:name w:val="封面标准文稿编辑信息"/>
    <w:qFormat/>
    <w:uiPriority w:val="0"/>
    <w:pPr>
      <w:spacing w:before="180" w:line="180" w:lineRule="exact"/>
      <w:jc w:val="center"/>
    </w:pPr>
    <w:rPr>
      <w:rFonts w:ascii="宋体" w:hAnsi="Calibri" w:eastAsia="宋体" w:cs="Times New Roman"/>
      <w:sz w:val="21"/>
      <w:lang w:val="en-US" w:eastAsia="zh-CN" w:bidi="ar-SA"/>
    </w:rPr>
  </w:style>
  <w:style w:type="paragraph" w:customStyle="1" w:styleId="410">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left"/>
    </w:pPr>
    <w:rPr>
      <w:rFonts w:ascii="宋体" w:hAnsi="宋体" w:cs="宋体"/>
      <w:kern w:val="0"/>
      <w:sz w:val="16"/>
      <w:szCs w:val="16"/>
    </w:rPr>
  </w:style>
  <w:style w:type="paragraph" w:customStyle="1" w:styleId="411">
    <w:name w:val="样式 标题 3h:33H3Kop 3Vl3Level 3 Headh3sect1.2.3Alt+31.1.1..."/>
    <w:basedOn w:val="4"/>
    <w:qFormat/>
    <w:uiPriority w:val="99"/>
    <w:pPr>
      <w:numPr>
        <w:ilvl w:val="2"/>
        <w:numId w:val="19"/>
      </w:numPr>
      <w:spacing w:before="312" w:beforeLines="0" w:after="312" w:afterLines="0"/>
    </w:pPr>
    <w:rPr>
      <w:rFonts w:cs="宋体"/>
      <w:sz w:val="30"/>
      <w:szCs w:val="20"/>
      <w:lang w:bidi="ar-SA"/>
    </w:rPr>
  </w:style>
  <w:style w:type="paragraph" w:customStyle="1" w:styleId="412">
    <w:name w:val="标题2"/>
    <w:basedOn w:val="413"/>
    <w:qFormat/>
    <w:uiPriority w:val="99"/>
  </w:style>
  <w:style w:type="paragraph" w:customStyle="1" w:styleId="413">
    <w:name w:val="样式 标题 2HD2Heading 2 HiddenHeading 2 CCBSheading 2Titre3H2..."/>
    <w:basedOn w:val="3"/>
    <w:qFormat/>
    <w:uiPriority w:val="99"/>
    <w:pPr>
      <w:spacing w:line="360" w:lineRule="auto"/>
    </w:pPr>
    <w:rPr>
      <w:rFonts w:ascii="宋体" w:eastAsia="宋体" w:cs="宋体"/>
      <w:sz w:val="24"/>
      <w:lang w:bidi="ar-SA"/>
    </w:rPr>
  </w:style>
  <w:style w:type="paragraph" w:customStyle="1" w:styleId="414">
    <w:name w:val="样式 首行缩进:  0.85 厘米 段前: 2.5 磅 段后: 6 磅 行距: 1.5 倍行距"/>
    <w:basedOn w:val="1"/>
    <w:qFormat/>
    <w:uiPriority w:val="99"/>
    <w:pPr>
      <w:spacing w:before="50" w:beforeLines="0" w:after="120" w:afterLines="0" w:line="360" w:lineRule="auto"/>
      <w:ind w:firstLine="480"/>
    </w:pPr>
    <w:rPr>
      <w:rFonts w:cs="宋体"/>
      <w:sz w:val="24"/>
      <w:szCs w:val="20"/>
    </w:rPr>
  </w:style>
  <w:style w:type="paragraph" w:customStyle="1" w:styleId="415">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16"/>
      <w:szCs w:val="16"/>
    </w:rPr>
  </w:style>
  <w:style w:type="paragraph" w:customStyle="1" w:styleId="416">
    <w:name w:val="样式1"/>
    <w:basedOn w:val="5"/>
    <w:qFormat/>
    <w:uiPriority w:val="99"/>
    <w:rPr>
      <w:rFonts w:ascii="宋体" w:hAnsi="宋体"/>
      <w:sz w:val="24"/>
      <w:szCs w:val="24"/>
    </w:rPr>
  </w:style>
  <w:style w:type="paragraph" w:customStyle="1" w:styleId="4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418">
    <w:name w:val="just"/>
    <w:basedOn w:val="1"/>
    <w:qFormat/>
    <w:uiPriority w:val="99"/>
    <w:pPr>
      <w:widowControl/>
      <w:spacing w:before="100" w:beforeLines="0" w:beforeAutospacing="1" w:after="100" w:afterLines="0" w:afterAutospacing="1" w:line="360" w:lineRule="auto"/>
      <w:ind w:firstLine="510"/>
    </w:pPr>
    <w:rPr>
      <w:rFonts w:ascii="Geneva" w:hAnsi="Geneva"/>
      <w:kern w:val="0"/>
      <w:sz w:val="24"/>
    </w:rPr>
  </w:style>
  <w:style w:type="paragraph" w:customStyle="1" w:styleId="419">
    <w:name w:val="无间隔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20">
    <w:name w:val="xl41"/>
    <w:basedOn w:val="1"/>
    <w:qFormat/>
    <w:uiPriority w:val="0"/>
    <w:pPr>
      <w:widowControl/>
      <w:pBdr>
        <w:left w:val="single" w:color="008080" w:sz="4" w:space="0"/>
        <w:bottom w:val="single" w:color="auto" w:sz="4" w:space="0"/>
        <w:right w:val="single" w:color="008080" w:sz="4" w:space="0"/>
      </w:pBdr>
      <w:shd w:val="clear" w:color="9999FF" w:fill="C0C0C0"/>
      <w:spacing w:before="100" w:beforeLines="0" w:beforeAutospacing="1" w:after="100" w:afterLines="0" w:afterAutospacing="1"/>
      <w:jc w:val="center"/>
    </w:pPr>
    <w:rPr>
      <w:rFonts w:ascii="宋体" w:hAnsi="宋体"/>
      <w:b/>
      <w:bCs/>
      <w:color w:val="800000"/>
      <w:kern w:val="0"/>
      <w:sz w:val="24"/>
    </w:rPr>
  </w:style>
  <w:style w:type="paragraph" w:customStyle="1" w:styleId="421">
    <w:name w:val="xl7871"/>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422">
    <w:name w:val="Item Step"/>
    <w:qFormat/>
    <w:uiPriority w:val="99"/>
    <w:pPr>
      <w:tabs>
        <w:tab w:val="left" w:pos="2126"/>
      </w:tabs>
      <w:adjustRightInd w:val="0"/>
      <w:snapToGrid w:val="0"/>
      <w:spacing w:before="80" w:after="80" w:line="240" w:lineRule="atLeast"/>
      <w:ind w:left="2126" w:hanging="425"/>
      <w:jc w:val="both"/>
      <w:outlineLvl w:val="6"/>
    </w:pPr>
    <w:rPr>
      <w:rFonts w:ascii="Arial" w:hAnsi="Arial" w:eastAsia="宋体" w:cs="Arial"/>
      <w:sz w:val="21"/>
      <w:szCs w:val="21"/>
      <w:lang w:val="en-US" w:eastAsia="zh-CN" w:bidi="ar-SA"/>
    </w:rPr>
  </w:style>
  <w:style w:type="paragraph" w:customStyle="1" w:styleId="423">
    <w:name w:val="样式2"/>
    <w:basedOn w:val="1"/>
    <w:qFormat/>
    <w:uiPriority w:val="99"/>
    <w:pPr>
      <w:spacing w:line="360" w:lineRule="auto"/>
      <w:ind w:firstLine="200" w:firstLineChars="200"/>
    </w:pPr>
    <w:rPr>
      <w:rFonts w:ascii="宋体" w:hAnsi="宋体"/>
      <w:sz w:val="24"/>
    </w:rPr>
  </w:style>
  <w:style w:type="paragraph" w:customStyle="1" w:styleId="424">
    <w:name w:val="正文1"/>
    <w:basedOn w:val="1"/>
    <w:qFormat/>
    <w:uiPriority w:val="99"/>
    <w:pPr>
      <w:spacing w:line="360" w:lineRule="auto"/>
      <w:ind w:left="428" w:leftChars="428" w:firstLine="199" w:firstLineChars="199"/>
    </w:pPr>
    <w:rPr>
      <w:rFonts w:ascii="宋体"/>
      <w:color w:val="000000"/>
      <w:sz w:val="24"/>
    </w:rPr>
  </w:style>
  <w:style w:type="paragraph" w:customStyle="1" w:styleId="425">
    <w:name w:val="xl31"/>
    <w:basedOn w:val="1"/>
    <w:qFormat/>
    <w:uiPriority w:val="0"/>
    <w:pPr>
      <w:widowControl/>
      <w:pBdr>
        <w:left w:val="single" w:color="008080" w:sz="4" w:space="0"/>
        <w:right w:val="single" w:color="008080" w:sz="4" w:space="0"/>
      </w:pBdr>
      <w:shd w:val="clear" w:color="9999FF" w:fill="FFFFFF"/>
      <w:spacing w:before="100" w:beforeLines="0" w:beforeAutospacing="1" w:after="100" w:afterLines="0" w:afterAutospacing="1"/>
      <w:jc w:val="left"/>
    </w:pPr>
    <w:rPr>
      <w:rFonts w:ascii="宋体" w:hAnsi="宋体"/>
      <w:color w:val="000000"/>
      <w:kern w:val="0"/>
      <w:sz w:val="24"/>
    </w:rPr>
  </w:style>
  <w:style w:type="paragraph" w:customStyle="1" w:styleId="426">
    <w:name w:val="xl7872"/>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427">
    <w:name w:val="三级条标题"/>
    <w:basedOn w:val="326"/>
    <w:next w:val="1"/>
    <w:qFormat/>
    <w:uiPriority w:val="99"/>
    <w:pPr>
      <w:numPr>
        <w:ilvl w:val="4"/>
        <w:numId w:val="17"/>
      </w:numPr>
      <w:tabs>
        <w:tab w:val="left" w:pos="360"/>
        <w:tab w:val="clear" w:pos="0"/>
      </w:tabs>
      <w:outlineLvl w:val="4"/>
    </w:pPr>
  </w:style>
  <w:style w:type="paragraph" w:customStyle="1" w:styleId="428">
    <w:name w:val="Char Char Char Char Char Char Char"/>
    <w:basedOn w:val="1"/>
    <w:qFormat/>
    <w:uiPriority w:val="99"/>
    <w:pPr>
      <w:widowControl/>
      <w:spacing w:after="160" w:afterLines="0" w:line="240" w:lineRule="exact"/>
      <w:jc w:val="left"/>
    </w:pPr>
    <w:rPr>
      <w:rFonts w:ascii="Verdana" w:hAnsi="Verdana" w:eastAsia="仿宋_GB2312"/>
      <w:kern w:val="0"/>
      <w:sz w:val="24"/>
      <w:szCs w:val="20"/>
      <w:lang w:eastAsia="en-US"/>
    </w:rPr>
  </w:style>
  <w:style w:type="paragraph" w:customStyle="1" w:styleId="429">
    <w:name w:val="表号"/>
    <w:basedOn w:val="1"/>
    <w:next w:val="1"/>
    <w:qFormat/>
    <w:uiPriority w:val="99"/>
    <w:pPr>
      <w:spacing w:before="312" w:beforeLines="100" w:after="156" w:afterLines="50"/>
      <w:jc w:val="center"/>
    </w:pPr>
    <w:rPr>
      <w:rFonts w:eastAsia="黑体"/>
    </w:rPr>
  </w:style>
  <w:style w:type="paragraph" w:customStyle="1" w:styleId="430">
    <w:name w:val="List Paragraph1"/>
    <w:basedOn w:val="1"/>
    <w:qFormat/>
    <w:uiPriority w:val="99"/>
    <w:pPr>
      <w:ind w:firstLine="420" w:firstLineChars="200"/>
    </w:pPr>
    <w:rPr>
      <w:rFonts w:ascii="Calibri" w:hAnsi="Calibri"/>
      <w:szCs w:val="22"/>
    </w:rPr>
  </w:style>
  <w:style w:type="paragraph" w:customStyle="1" w:styleId="431">
    <w:name w:val="默认段落字体 Para Char Char Char Char Char Char Char Char Char Char Char Char Char Char"/>
    <w:basedOn w:val="31"/>
    <w:qFormat/>
    <w:uiPriority w:val="99"/>
  </w:style>
  <w:style w:type="paragraph" w:customStyle="1" w:styleId="432">
    <w:name w:val="font19"/>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33">
    <w:name w:val="！3级标题Alt+3"/>
    <w:basedOn w:val="1"/>
    <w:next w:val="332"/>
    <w:qFormat/>
    <w:uiPriority w:val="0"/>
    <w:pPr>
      <w:spacing w:line="360" w:lineRule="auto"/>
      <w:ind w:left="300" w:hanging="300" w:hangingChars="300"/>
      <w:jc w:val="left"/>
      <w:outlineLvl w:val="2"/>
    </w:pPr>
    <w:rPr>
      <w:b/>
      <w:bCs/>
      <w:sz w:val="28"/>
      <w:szCs w:val="28"/>
    </w:rPr>
  </w:style>
  <w:style w:type="paragraph" w:customStyle="1" w:styleId="434">
    <w:name w:val="封面中部"/>
    <w:basedOn w:val="1"/>
    <w:qFormat/>
    <w:uiPriority w:val="99"/>
    <w:pPr>
      <w:tabs>
        <w:tab w:val="left" w:pos="5040"/>
      </w:tabs>
      <w:adjustRightInd w:val="0"/>
      <w:spacing w:line="300" w:lineRule="auto"/>
      <w:ind w:firstLine="899" w:firstLineChars="281"/>
      <w:textAlignment w:val="baseline"/>
    </w:pPr>
    <w:rPr>
      <w:rFonts w:ascii="黑体" w:eastAsia="黑体"/>
      <w:kern w:val="0"/>
      <w:sz w:val="32"/>
      <w:szCs w:val="32"/>
    </w:rPr>
  </w:style>
  <w:style w:type="paragraph" w:customStyle="1" w:styleId="435">
    <w:name w:val="样式6"/>
    <w:basedOn w:val="1"/>
    <w:qFormat/>
    <w:uiPriority w:val="99"/>
    <w:pPr>
      <w:widowControl/>
      <w:numPr>
        <w:ilvl w:val="1"/>
        <w:numId w:val="22"/>
      </w:numPr>
      <w:tabs>
        <w:tab w:val="left" w:pos="1800"/>
        <w:tab w:val="clear" w:pos="780"/>
      </w:tabs>
      <w:spacing w:before="156" w:beforeLines="50" w:after="156" w:afterLines="50"/>
      <w:ind w:left="1800" w:firstLine="899" w:firstLineChars="428"/>
    </w:pPr>
    <w:rPr>
      <w:kern w:val="0"/>
    </w:rPr>
  </w:style>
  <w:style w:type="paragraph" w:customStyle="1" w:styleId="436">
    <w:name w:val="正文-带编号1)"/>
    <w:basedOn w:val="1"/>
    <w:qFormat/>
    <w:uiPriority w:val="99"/>
    <w:pPr>
      <w:tabs>
        <w:tab w:val="left" w:pos="2409"/>
      </w:tabs>
      <w:spacing w:line="400" w:lineRule="exact"/>
      <w:ind w:left="2410"/>
    </w:pPr>
    <w:rPr>
      <w:rFonts w:ascii="Arial" w:hAnsi="Arial"/>
    </w:rPr>
  </w:style>
  <w:style w:type="paragraph" w:customStyle="1" w:styleId="437">
    <w:name w:val="xl72"/>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38">
    <w:name w:val="Block Label"/>
    <w:basedOn w:val="1"/>
    <w:next w:val="1"/>
    <w:qFormat/>
    <w:uiPriority w:val="99"/>
    <w:pPr>
      <w:keepNext/>
      <w:keepLines/>
      <w:widowControl/>
      <w:topLinePunct/>
      <w:adjustRightInd w:val="0"/>
      <w:snapToGrid w:val="0"/>
      <w:spacing w:before="300" w:beforeLines="0" w:after="80" w:afterLines="0" w:line="240" w:lineRule="atLeast"/>
      <w:jc w:val="left"/>
      <w:outlineLvl w:val="3"/>
    </w:pPr>
    <w:rPr>
      <w:rFonts w:ascii="Arial" w:hAnsi="Arial" w:eastAsia="黑体" w:cs="Book Antiqua"/>
      <w:bCs/>
      <w:kern w:val="0"/>
      <w:sz w:val="26"/>
      <w:szCs w:val="26"/>
    </w:rPr>
  </w:style>
  <w:style w:type="paragraph" w:customStyle="1" w:styleId="439">
    <w:name w:val="xl38"/>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440">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41">
    <w:name w:val="正文－5"/>
    <w:qFormat/>
    <w:uiPriority w:val="0"/>
    <w:pPr>
      <w:widowControl w:val="0"/>
      <w:jc w:val="both"/>
    </w:pPr>
    <w:rPr>
      <w:rFonts w:ascii="宋体" w:hAnsi="宋体" w:eastAsia="宋体" w:cs="Times New Roman"/>
      <w:kern w:val="2"/>
      <w:sz w:val="24"/>
      <w:szCs w:val="24"/>
      <w:lang w:val="en-US" w:eastAsia="zh-CN" w:bidi="ar-SA"/>
    </w:rPr>
  </w:style>
  <w:style w:type="paragraph" w:customStyle="1" w:styleId="442">
    <w:name w:val="Item List in Table"/>
    <w:basedOn w:val="1"/>
    <w:qFormat/>
    <w:uiPriority w:val="99"/>
    <w:pPr>
      <w:numPr>
        <w:ilvl w:val="0"/>
        <w:numId w:val="23"/>
      </w:numPr>
      <w:topLinePunct/>
      <w:adjustRightInd w:val="0"/>
      <w:snapToGrid w:val="0"/>
      <w:spacing w:before="80" w:beforeLines="0" w:after="80" w:afterLines="0" w:line="240" w:lineRule="atLeast"/>
      <w:jc w:val="left"/>
    </w:pPr>
    <w:rPr>
      <w:rFonts w:ascii="Arial" w:hAnsi="Arial" w:cs="Arial"/>
      <w:kern w:val="0"/>
      <w:szCs w:val="21"/>
    </w:rPr>
  </w:style>
  <w:style w:type="paragraph" w:customStyle="1" w:styleId="443">
    <w:name w:val="(符号)四标题1.1"/>
    <w:basedOn w:val="1"/>
    <w:qFormat/>
    <w:uiPriority w:val="0"/>
    <w:pPr>
      <w:numPr>
        <w:ilvl w:val="0"/>
        <w:numId w:val="0"/>
      </w:numPr>
      <w:tabs>
        <w:tab w:val="left" w:pos="576"/>
      </w:tabs>
      <w:spacing w:line="500" w:lineRule="exact"/>
      <w:ind w:left="576" w:hanging="576"/>
    </w:pPr>
    <w:rPr>
      <w:rFonts w:ascii="宋体" w:hAnsi="宋体" w:cs="宋体"/>
      <w:color w:val="000000"/>
      <w:kern w:val="0"/>
      <w:sz w:val="24"/>
      <w:szCs w:val="20"/>
    </w:rPr>
  </w:style>
  <w:style w:type="paragraph" w:customStyle="1" w:styleId="444">
    <w:name w:val=" Char"/>
    <w:basedOn w:val="1"/>
    <w:qFormat/>
    <w:uiPriority w:val="0"/>
  </w:style>
  <w:style w:type="paragraph" w:customStyle="1" w:styleId="445">
    <w:name w:val="10"/>
    <w:basedOn w:val="1"/>
    <w:qFormat/>
    <w:uiPriority w:val="99"/>
    <w:pPr>
      <w:spacing w:line="360" w:lineRule="auto"/>
      <w:ind w:firstLine="454"/>
    </w:pPr>
    <w:rPr>
      <w:rFonts w:ascii="Tahoma" w:hAnsi="Tahoma"/>
      <w:sz w:val="24"/>
      <w:szCs w:val="20"/>
    </w:rPr>
  </w:style>
  <w:style w:type="paragraph" w:customStyle="1" w:styleId="446">
    <w:name w:val="Char"/>
    <w:basedOn w:val="1"/>
    <w:qFormat/>
    <w:uiPriority w:val="0"/>
  </w:style>
  <w:style w:type="paragraph" w:customStyle="1" w:styleId="447">
    <w:name w:val="pa-3"/>
    <w:basedOn w:val="1"/>
    <w:qFormat/>
    <w:uiPriority w:val="99"/>
    <w:pPr>
      <w:widowControl/>
      <w:spacing w:before="150" w:beforeLines="0" w:after="150" w:afterLines="0"/>
      <w:jc w:val="left"/>
    </w:pPr>
    <w:rPr>
      <w:rFonts w:ascii="宋体" w:cs="宋体"/>
      <w:kern w:val="0"/>
      <w:sz w:val="24"/>
      <w:lang w:bidi="ar-SA"/>
    </w:rPr>
  </w:style>
  <w:style w:type="paragraph" w:customStyle="1" w:styleId="44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9">
    <w:name w:val="正文(首行缩进）"/>
    <w:basedOn w:val="1"/>
    <w:qFormat/>
    <w:uiPriority w:val="99"/>
    <w:pPr>
      <w:adjustRightInd w:val="0"/>
      <w:snapToGrid w:val="0"/>
      <w:spacing w:line="288" w:lineRule="auto"/>
      <w:ind w:firstLine="200"/>
      <w:jc w:val="left"/>
      <w:textAlignment w:val="baseline"/>
    </w:pPr>
    <w:rPr>
      <w:rFonts w:ascii="宋体" w:hAnsi="宋体"/>
      <w:kern w:val="0"/>
      <w:sz w:val="24"/>
    </w:rPr>
  </w:style>
  <w:style w:type="paragraph" w:customStyle="1" w:styleId="450">
    <w:name w:val=" Char Char Char Char Char Char Char Char"/>
    <w:basedOn w:val="1"/>
    <w:qFormat/>
    <w:uiPriority w:val="0"/>
    <w:pPr>
      <w:tabs>
        <w:tab w:val="left" w:pos="360"/>
      </w:tabs>
    </w:pPr>
    <w:rPr>
      <w:sz w:val="24"/>
    </w:rPr>
  </w:style>
  <w:style w:type="paragraph" w:customStyle="1" w:styleId="451">
    <w:name w:val="样式 小四 首行缩进:  2 字符"/>
    <w:basedOn w:val="1"/>
    <w:qFormat/>
    <w:uiPriority w:val="99"/>
    <w:pPr>
      <w:spacing w:line="300" w:lineRule="auto"/>
      <w:ind w:firstLine="480" w:firstLineChars="200"/>
    </w:pPr>
    <w:rPr>
      <w:sz w:val="24"/>
      <w:szCs w:val="20"/>
    </w:rPr>
  </w:style>
  <w:style w:type="paragraph" w:customStyle="1" w:styleId="452">
    <w:name w:val="font24"/>
    <w:basedOn w:val="1"/>
    <w:qFormat/>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453">
    <w:name w:val="xl23"/>
    <w:basedOn w:val="1"/>
    <w:qFormat/>
    <w:uiPriority w:val="0"/>
    <w:pPr>
      <w:widowControl/>
      <w:spacing w:before="100" w:beforeLines="0" w:beforeAutospacing="1" w:after="100" w:afterLines="0" w:afterAutospacing="1"/>
    </w:pPr>
    <w:rPr>
      <w:rFonts w:ascii="Arial Unicode MS" w:hAnsi="Arial Unicode MS"/>
      <w:kern w:val="0"/>
      <w:szCs w:val="21"/>
    </w:rPr>
  </w:style>
  <w:style w:type="paragraph" w:customStyle="1" w:styleId="454">
    <w:name w:val="编号1级"/>
    <w:qFormat/>
    <w:uiPriority w:val="99"/>
    <w:pPr>
      <w:spacing w:after="93" w:afterLines="30" w:line="400" w:lineRule="exact"/>
      <w:outlineLvl w:val="8"/>
    </w:pPr>
    <w:rPr>
      <w:rFonts w:ascii="Calibri" w:hAnsi="Calibri" w:eastAsia="宋体" w:cs="Times New Roman"/>
      <w:b/>
      <w:kern w:val="2"/>
      <w:sz w:val="24"/>
      <w:szCs w:val="28"/>
      <w:lang w:val="en-US" w:eastAsia="zh-CN" w:bidi="ar-SA"/>
    </w:rPr>
  </w:style>
  <w:style w:type="paragraph" w:customStyle="1" w:styleId="455">
    <w:name w:val="haikang"/>
    <w:basedOn w:val="1"/>
    <w:qFormat/>
    <w:uiPriority w:val="0"/>
    <w:pPr>
      <w:widowControl/>
      <w:spacing w:before="100" w:beforeLines="0" w:beforeAutospacing="1" w:after="100" w:afterLines="0" w:afterAutospacing="1"/>
      <w:jc w:val="left"/>
    </w:pPr>
    <w:rPr>
      <w:rFonts w:eastAsia="仿宋"/>
      <w:color w:val="000000"/>
      <w:kern w:val="0"/>
      <w:sz w:val="18"/>
      <w:szCs w:val="18"/>
    </w:rPr>
  </w:style>
  <w:style w:type="paragraph" w:customStyle="1" w:styleId="456">
    <w:name w:val="默认段落字体 Para Char"/>
    <w:basedOn w:val="1"/>
    <w:qFormat/>
    <w:uiPriority w:val="0"/>
    <w:rPr>
      <w:rFonts w:cs="Arial"/>
    </w:rPr>
  </w:style>
  <w:style w:type="paragraph" w:customStyle="1" w:styleId="457">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kern w:val="0"/>
      <w:sz w:val="16"/>
      <w:szCs w:val="16"/>
    </w:rPr>
  </w:style>
  <w:style w:type="paragraph" w:customStyle="1" w:styleId="458">
    <w:name w:val="font10"/>
    <w:basedOn w:val="1"/>
    <w:qFormat/>
    <w:uiPriority w:val="99"/>
    <w:pPr>
      <w:widowControl/>
      <w:spacing w:before="100" w:beforeLines="0" w:beforeAutospacing="1" w:after="100" w:afterLines="0" w:afterAutospacing="1"/>
      <w:jc w:val="left"/>
    </w:pPr>
    <w:rPr>
      <w:rFonts w:ascii="宋体" w:cs="宋体"/>
      <w:kern w:val="0"/>
      <w:sz w:val="18"/>
      <w:szCs w:val="18"/>
      <w:lang w:bidi="ar-SA"/>
    </w:rPr>
  </w:style>
  <w:style w:type="paragraph" w:customStyle="1" w:styleId="459">
    <w:name w:val="自由格式"/>
    <w:qFormat/>
    <w:uiPriority w:val="99"/>
    <w:rPr>
      <w:rFonts w:ascii="Helvetica" w:hAnsi="Helvetica" w:eastAsia="ヒラギノ角ゴ Pro W3" w:cs="Times New Roman"/>
      <w:color w:val="000000"/>
      <w:sz w:val="24"/>
      <w:lang w:val="en-US" w:eastAsia="zh-CN" w:bidi="ar-SA"/>
    </w:rPr>
  </w:style>
  <w:style w:type="paragraph" w:customStyle="1" w:styleId="460">
    <w:name w:val="xl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Lines="0" w:beforeAutospacing="1" w:after="100" w:afterLines="0" w:afterAutospacing="1"/>
      <w:jc w:val="center"/>
    </w:pPr>
    <w:rPr>
      <w:rFonts w:ascii="宋体" w:hAnsi="宋体" w:cs="宋体"/>
      <w:color w:val="000000"/>
      <w:kern w:val="0"/>
      <w:sz w:val="16"/>
      <w:szCs w:val="16"/>
    </w:rPr>
  </w:style>
  <w:style w:type="paragraph" w:customStyle="1" w:styleId="461">
    <w:name w:val="默认段落字体 Para Char Char Char Char Char Char Char"/>
    <w:basedOn w:val="1"/>
    <w:qFormat/>
    <w:uiPriority w:val="99"/>
    <w:pPr>
      <w:jc w:val="left"/>
    </w:pPr>
    <w:rPr>
      <w:rFonts w:ascii="Tahoma" w:hAnsi="Tahoma"/>
      <w:sz w:val="24"/>
      <w:szCs w:val="20"/>
    </w:rPr>
  </w:style>
  <w:style w:type="paragraph" w:customStyle="1" w:styleId="462">
    <w:name w:val="xl75"/>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63">
    <w:name w:val="MyPoints"/>
    <w:basedOn w:val="1"/>
    <w:qFormat/>
    <w:uiPriority w:val="99"/>
    <w:pPr>
      <w:widowControl/>
      <w:numPr>
        <w:ilvl w:val="0"/>
        <w:numId w:val="0"/>
      </w:numPr>
      <w:ind w:left="936" w:hanging="360"/>
      <w:jc w:val="left"/>
    </w:pPr>
    <w:rPr>
      <w:rFonts w:ascii="Century Gothic" w:hAnsi="Century Gothic"/>
      <w:kern w:val="0"/>
      <w:sz w:val="20"/>
      <w:szCs w:val="20"/>
      <w:lang w:val="en-GB" w:eastAsia="en-US"/>
    </w:rPr>
  </w:style>
  <w:style w:type="paragraph" w:customStyle="1" w:styleId="464">
    <w:name w:val="图表文字"/>
    <w:qFormat/>
    <w:uiPriority w:val="99"/>
    <w:rPr>
      <w:rFonts w:ascii="Calibri" w:hAnsi="Calibri" w:eastAsia="宋体" w:cs="Times New Roman"/>
      <w:sz w:val="21"/>
      <w:szCs w:val="21"/>
      <w:lang w:val="en-US" w:eastAsia="zh-CN" w:bidi="ar-SA"/>
    </w:rPr>
  </w:style>
  <w:style w:type="paragraph" w:customStyle="1" w:styleId="465">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466">
    <w:name w:val="样式 宋体 小四 行距: 1.5 倍行距"/>
    <w:basedOn w:val="1"/>
    <w:qFormat/>
    <w:uiPriority w:val="99"/>
    <w:pPr>
      <w:spacing w:line="360" w:lineRule="auto"/>
      <w:ind w:firstLine="200" w:firstLineChars="200"/>
    </w:pPr>
    <w:rPr>
      <w:rFonts w:ascii="宋体" w:hAnsi="宋体" w:cs="宋体"/>
      <w:sz w:val="24"/>
      <w:szCs w:val="20"/>
    </w:rPr>
  </w:style>
  <w:style w:type="paragraph" w:customStyle="1" w:styleId="467">
    <w:name w:val="xl68"/>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68">
    <w:name w:val="xl7875"/>
    <w:basedOn w:val="1"/>
    <w:qFormat/>
    <w:uiPriority w:val="99"/>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469">
    <w:name w:val=" Char Char Char Char Char Char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470">
    <w:name w:val="样式 标题 1章H11. heading 1标准章Alt+1h1Huvudrubrikh11h12h13h..."/>
    <w:basedOn w:val="1"/>
    <w:qFormat/>
    <w:uiPriority w:val="99"/>
  </w:style>
  <w:style w:type="paragraph" w:customStyle="1" w:styleId="471">
    <w:name w:val="样式 标题 3标题 3 Char Char Char Char(A-3)sect1.2.3h3H3 + 加粗 段前:..."/>
    <w:basedOn w:val="4"/>
    <w:qFormat/>
    <w:uiPriority w:val="99"/>
    <w:pPr>
      <w:keepNext w:val="0"/>
      <w:tabs>
        <w:tab w:val="left" w:pos="1080"/>
      </w:tabs>
      <w:spacing w:before="120" w:beforeLines="0" w:after="0" w:afterLines="0"/>
    </w:pPr>
    <w:rPr>
      <w:rFonts w:eastAsia="黑体" w:cs="宋体"/>
      <w:b w:val="0"/>
      <w:sz w:val="24"/>
      <w:szCs w:val="20"/>
      <w:lang w:bidi="ar-SA"/>
    </w:rPr>
  </w:style>
  <w:style w:type="paragraph" w:customStyle="1" w:styleId="47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16"/>
      <w:szCs w:val="16"/>
    </w:rPr>
  </w:style>
  <w:style w:type="paragraph" w:customStyle="1" w:styleId="473">
    <w:name w:val="Char2"/>
    <w:basedOn w:val="1"/>
    <w:qFormat/>
    <w:uiPriority w:val="99"/>
  </w:style>
  <w:style w:type="paragraph" w:customStyle="1" w:styleId="474">
    <w:name w:val="xl78"/>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75">
    <w:name w:val="样式 标题 2 + 宋体 小三 段前: 0 磅 段后: 12 磅 行距: 1.5 倍行距"/>
    <w:basedOn w:val="3"/>
    <w:qFormat/>
    <w:uiPriority w:val="99"/>
    <w:pPr>
      <w:numPr>
        <w:ilvl w:val="1"/>
        <w:numId w:val="24"/>
      </w:numPr>
      <w:spacing w:before="0" w:beforeLines="0" w:after="312" w:afterLines="100" w:line="360" w:lineRule="auto"/>
    </w:pPr>
    <w:rPr>
      <w:rFonts w:ascii="宋体" w:hAnsi="宋体" w:eastAsia="宋体" w:cs="宋体"/>
      <w:sz w:val="30"/>
      <w:szCs w:val="20"/>
    </w:rPr>
  </w:style>
  <w:style w:type="paragraph" w:customStyle="1" w:styleId="476">
    <w:name w:val="font14"/>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77">
    <w:name w:val="bt1bt1"/>
    <w:basedOn w:val="2"/>
    <w:qFormat/>
    <w:uiPriority w:val="99"/>
    <w:pPr>
      <w:spacing w:line="240" w:lineRule="auto"/>
      <w:jc w:val="center"/>
    </w:pPr>
    <w:rPr>
      <w:rFonts w:ascii="黑体" w:eastAsia="黑体"/>
      <w:b w:val="0"/>
      <w:bCs w:val="0"/>
      <w:sz w:val="36"/>
      <w:szCs w:val="36"/>
    </w:rPr>
  </w:style>
  <w:style w:type="paragraph" w:customStyle="1" w:styleId="478">
    <w:name w:val="样式 日期 + 行距: 1.5 倍行距"/>
    <w:basedOn w:val="54"/>
    <w:qFormat/>
    <w:uiPriority w:val="99"/>
    <w:pPr>
      <w:widowControl/>
      <w:spacing w:line="360" w:lineRule="auto"/>
      <w:ind w:left="0" w:leftChars="0" w:firstLine="540"/>
    </w:pPr>
    <w:rPr>
      <w:rFonts w:cs="宋体"/>
      <w:kern w:val="0"/>
      <w:szCs w:val="20"/>
    </w:rPr>
  </w:style>
  <w:style w:type="paragraph" w:customStyle="1" w:styleId="479">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480">
    <w:name w:val="Notes Text List in Table"/>
    <w:qFormat/>
    <w:uiPriority w:val="99"/>
    <w:pPr>
      <w:numPr>
        <w:ilvl w:val="0"/>
        <w:numId w:val="24"/>
      </w:numPr>
      <w:spacing w:before="40" w:after="80" w:line="200" w:lineRule="atLeast"/>
      <w:jc w:val="both"/>
    </w:pPr>
    <w:rPr>
      <w:rFonts w:ascii="Arial" w:hAnsi="Arial" w:eastAsia="楷体_GB2312" w:cs="楷体_GB2312"/>
      <w:sz w:val="18"/>
      <w:szCs w:val="18"/>
      <w:lang w:val="en-US" w:eastAsia="zh-CN" w:bidi="ar-SA"/>
    </w:rPr>
  </w:style>
  <w:style w:type="paragraph" w:customStyle="1" w:styleId="481">
    <w:name w:val="(符号)五标题1.1.1"/>
    <w:basedOn w:val="1"/>
    <w:qFormat/>
    <w:uiPriority w:val="0"/>
    <w:pPr>
      <w:numPr>
        <w:ilvl w:val="0"/>
        <w:numId w:val="0"/>
      </w:numPr>
      <w:tabs>
        <w:tab w:val="left" w:pos="862"/>
      </w:tabs>
      <w:spacing w:line="500" w:lineRule="exact"/>
      <w:ind w:left="862" w:hanging="720"/>
    </w:pPr>
    <w:rPr>
      <w:rFonts w:ascii="宋体" w:hAnsi="宋体" w:cs="宋体"/>
      <w:color w:val="000000"/>
      <w:sz w:val="24"/>
      <w:szCs w:val="20"/>
    </w:rPr>
  </w:style>
  <w:style w:type="paragraph" w:customStyle="1" w:styleId="482">
    <w:name w:val="p0"/>
    <w:basedOn w:val="1"/>
    <w:qFormat/>
    <w:uiPriority w:val="0"/>
    <w:pPr>
      <w:widowControl/>
    </w:pPr>
    <w:rPr>
      <w:rFonts w:ascii="Courier New" w:hAnsi="Courier New" w:cs="Courier New"/>
      <w:kern w:val="0"/>
      <w:szCs w:val="21"/>
      <w:lang w:bidi="ar-SA"/>
    </w:rPr>
  </w:style>
  <w:style w:type="paragraph" w:customStyle="1" w:styleId="483">
    <w:name w:val="xl786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000000"/>
      <w:kern w:val="0"/>
      <w:sz w:val="20"/>
      <w:szCs w:val="20"/>
    </w:rPr>
  </w:style>
  <w:style w:type="paragraph" w:customStyle="1" w:styleId="484">
    <w:name w:val="xl39"/>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Arial Unicode MS" w:hAnsi="Arial Unicode MS"/>
      <w:kern w:val="0"/>
      <w:sz w:val="24"/>
    </w:rPr>
  </w:style>
  <w:style w:type="paragraph" w:customStyle="1" w:styleId="485">
    <w:name w:val="xl35"/>
    <w:basedOn w:val="1"/>
    <w:qFormat/>
    <w:uiPriority w:val="0"/>
    <w:pPr>
      <w:widowControl/>
      <w:pBdr>
        <w:top w:val="single" w:color="auto" w:sz="4" w:space="0"/>
        <w:left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16"/>
      <w:szCs w:val="16"/>
    </w:rPr>
  </w:style>
  <w:style w:type="paragraph" w:customStyle="1" w:styleId="486">
    <w:name w:val="手动目录"/>
    <w:basedOn w:val="1"/>
    <w:qFormat/>
    <w:uiPriority w:val="99"/>
    <w:pPr>
      <w:numPr>
        <w:ilvl w:val="0"/>
        <w:numId w:val="25"/>
      </w:numPr>
      <w:tabs>
        <w:tab w:val="clear" w:pos="680"/>
      </w:tabs>
      <w:spacing w:line="360" w:lineRule="auto"/>
    </w:pPr>
    <w:rPr>
      <w:sz w:val="24"/>
    </w:rPr>
  </w:style>
  <w:style w:type="paragraph" w:customStyle="1" w:styleId="487">
    <w:name w:val="Heading 2"/>
    <w:basedOn w:val="1"/>
    <w:qFormat/>
    <w:uiPriority w:val="1"/>
    <w:pPr>
      <w:autoSpaceDE w:val="0"/>
      <w:autoSpaceDN w:val="0"/>
      <w:adjustRightInd w:val="0"/>
      <w:spacing w:before="3" w:beforeLines="0"/>
      <w:ind w:left="120"/>
      <w:jc w:val="left"/>
      <w:outlineLvl w:val="1"/>
    </w:pPr>
    <w:rPr>
      <w:rFonts w:ascii="宋体" w:cs="宋体"/>
      <w:b/>
      <w:bCs/>
      <w:kern w:val="0"/>
      <w:sz w:val="24"/>
    </w:rPr>
  </w:style>
  <w:style w:type="paragraph" w:customStyle="1" w:styleId="488">
    <w:name w:val="font21"/>
    <w:basedOn w:val="1"/>
    <w:qFormat/>
    <w:uiPriority w:val="99"/>
    <w:pPr>
      <w:widowControl/>
      <w:spacing w:before="100" w:beforeLines="0" w:beforeAutospacing="1" w:after="100" w:afterLines="0" w:afterAutospacing="1"/>
      <w:jc w:val="left"/>
    </w:pPr>
    <w:rPr>
      <w:rFonts w:ascii="宋体" w:cs="宋体"/>
      <w:kern w:val="0"/>
      <w:sz w:val="20"/>
      <w:szCs w:val="20"/>
      <w:lang w:bidi="ar-SA"/>
    </w:rPr>
  </w:style>
  <w:style w:type="paragraph" w:customStyle="1" w:styleId="489">
    <w:name w:val="yd正文"/>
    <w:basedOn w:val="1"/>
    <w:qFormat/>
    <w:uiPriority w:val="99"/>
    <w:pPr>
      <w:widowControl/>
      <w:spacing w:line="360" w:lineRule="auto"/>
      <w:ind w:firstLine="482"/>
    </w:pPr>
    <w:rPr>
      <w:rFonts w:ascii="宋体" w:hAnsi="Arial Unicode MS"/>
      <w:bCs/>
      <w:kern w:val="0"/>
      <w:sz w:val="24"/>
    </w:rPr>
  </w:style>
  <w:style w:type="paragraph" w:customStyle="1" w:styleId="490">
    <w:name w:val="xl7873"/>
    <w:basedOn w:val="1"/>
    <w:qFormat/>
    <w:uiPriority w:val="99"/>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491">
    <w:name w:val="Char Char1 Char Char Char Char Char Char Char"/>
    <w:basedOn w:val="1"/>
    <w:qFormat/>
    <w:uiPriority w:val="0"/>
    <w:rPr>
      <w:rFonts w:ascii="Tahoma" w:hAnsi="Tahoma"/>
      <w:sz w:val="24"/>
      <w:szCs w:val="20"/>
    </w:rPr>
  </w:style>
  <w:style w:type="paragraph" w:customStyle="1" w:styleId="492">
    <w:name w:val="xl66"/>
    <w:basedOn w:val="1"/>
    <w:qFormat/>
    <w:uiPriority w:val="99"/>
    <w:pPr>
      <w:widowControl/>
      <w:spacing w:before="100" w:beforeLines="0" w:beforeAutospacing="1" w:after="100" w:afterLines="0" w:afterAutospacing="1"/>
      <w:jc w:val="center"/>
    </w:pPr>
    <w:rPr>
      <w:rFonts w:ascii="宋体" w:cs="宋体"/>
      <w:b/>
      <w:bCs/>
      <w:kern w:val="0"/>
      <w:sz w:val="20"/>
      <w:szCs w:val="20"/>
      <w:lang w:bidi="ar-SA"/>
    </w:rPr>
  </w:style>
  <w:style w:type="paragraph" w:customStyle="1" w:styleId="493">
    <w:name w:val="xl71"/>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94">
    <w:name w:val="xl67"/>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495">
    <w:name w:val="xl7863"/>
    <w:basedOn w:val="1"/>
    <w:qFormat/>
    <w:uiPriority w:val="99"/>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496">
    <w:name w:val="CM19"/>
    <w:basedOn w:val="99"/>
    <w:next w:val="99"/>
    <w:qFormat/>
    <w:uiPriority w:val="99"/>
    <w:pPr>
      <w:spacing w:line="440" w:lineRule="atLeast"/>
    </w:pPr>
    <w:rPr>
      <w:rFonts w:ascii="方正小标宋简体" w:eastAsia="方正小标宋简体" w:cs="Times New Roman"/>
      <w:color w:val="auto"/>
    </w:rPr>
  </w:style>
  <w:style w:type="paragraph" w:customStyle="1" w:styleId="49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16"/>
      <w:szCs w:val="16"/>
    </w:rPr>
  </w:style>
  <w:style w:type="paragraph" w:customStyle="1" w:styleId="498">
    <w:name w:val="Quote1"/>
    <w:basedOn w:val="1"/>
    <w:next w:val="1"/>
    <w:qFormat/>
    <w:uiPriority w:val="99"/>
    <w:pPr>
      <w:widowControl/>
      <w:wordWrap w:val="0"/>
      <w:spacing w:before="200" w:beforeLines="0" w:after="160" w:afterLines="0"/>
      <w:ind w:left="864" w:right="864"/>
      <w:jc w:val="center"/>
    </w:pPr>
    <w:rPr>
      <w:rFonts w:ascii="宋体"/>
      <w:i/>
      <w:color w:val="404040"/>
    </w:rPr>
  </w:style>
  <w:style w:type="paragraph" w:customStyle="1" w:styleId="499">
    <w:name w:val="font7"/>
    <w:basedOn w:val="1"/>
    <w:qFormat/>
    <w:uiPriority w:val="0"/>
    <w:pPr>
      <w:widowControl/>
      <w:spacing w:before="100" w:beforeLines="0" w:beforeAutospacing="1" w:after="100" w:afterLines="0" w:afterAutospacing="1"/>
      <w:jc w:val="left"/>
    </w:pPr>
    <w:rPr>
      <w:rFonts w:ascii="宋体" w:cs="宋体"/>
      <w:kern w:val="0"/>
      <w:sz w:val="20"/>
      <w:szCs w:val="20"/>
      <w:lang w:bidi="ar-SA"/>
    </w:rPr>
  </w:style>
  <w:style w:type="paragraph" w:customStyle="1" w:styleId="500">
    <w:name w:val="编号1"/>
    <w:basedOn w:val="378"/>
    <w:qFormat/>
    <w:uiPriority w:val="0"/>
    <w:pPr>
      <w:numPr>
        <w:ilvl w:val="0"/>
        <w:numId w:val="26"/>
      </w:numPr>
      <w:tabs>
        <w:tab w:val="left" w:pos="964"/>
      </w:tabs>
      <w:ind w:firstLineChars="0"/>
    </w:pPr>
  </w:style>
  <w:style w:type="paragraph" w:customStyle="1" w:styleId="501">
    <w:name w:val="6"/>
    <w:next w:val="1"/>
    <w:qFormat/>
    <w:uiPriority w:val="99"/>
    <w:pPr>
      <w:widowControl w:val="0"/>
      <w:adjustRightInd w:val="0"/>
      <w:spacing w:line="312" w:lineRule="atLeast"/>
      <w:jc w:val="both"/>
      <w:textAlignment w:val="baseline"/>
    </w:pPr>
    <w:rPr>
      <w:rFonts w:ascii="Calibri" w:hAnsi="Calibri" w:eastAsia="仿宋" w:cs="Times New Roman"/>
      <w:sz w:val="32"/>
      <w:lang w:val="en-US" w:eastAsia="zh-CN" w:bidi="ar-SA"/>
    </w:rPr>
  </w:style>
  <w:style w:type="paragraph" w:customStyle="1" w:styleId="502">
    <w:name w:val="pa-1"/>
    <w:basedOn w:val="1"/>
    <w:qFormat/>
    <w:uiPriority w:val="99"/>
    <w:pPr>
      <w:widowControl/>
      <w:spacing w:before="150" w:beforeLines="0" w:after="150" w:afterLines="0"/>
      <w:jc w:val="left"/>
    </w:pPr>
    <w:rPr>
      <w:rFonts w:ascii="宋体" w:cs="宋体"/>
      <w:kern w:val="0"/>
      <w:sz w:val="24"/>
      <w:lang w:bidi="ar-SA"/>
    </w:rPr>
  </w:style>
  <w:style w:type="paragraph" w:customStyle="1" w:styleId="503">
    <w:name w:val="xl77"/>
    <w:basedOn w:val="1"/>
    <w:qFormat/>
    <w:uiPriority w:val="99"/>
    <w:pPr>
      <w:widowControl/>
      <w:spacing w:before="100" w:beforeLines="0" w:beforeAutospacing="1" w:after="100" w:afterLines="0" w:afterAutospacing="1"/>
      <w:jc w:val="center"/>
    </w:pPr>
    <w:rPr>
      <w:rFonts w:ascii="宋体" w:cs="宋体"/>
      <w:kern w:val="0"/>
      <w:sz w:val="20"/>
      <w:szCs w:val="20"/>
      <w:lang w:bidi="ar-SA"/>
    </w:rPr>
  </w:style>
  <w:style w:type="paragraph" w:customStyle="1" w:styleId="504">
    <w:name w:val="Figure Description"/>
    <w:next w:val="9"/>
    <w:qFormat/>
    <w:uiPriority w:val="99"/>
    <w:pPr>
      <w:keepNext/>
      <w:adjustRightInd w:val="0"/>
      <w:snapToGrid w:val="0"/>
      <w:spacing w:before="320" w:after="80" w:line="240" w:lineRule="atLeast"/>
      <w:ind w:left="1701"/>
      <w:outlineLvl w:val="7"/>
    </w:pPr>
    <w:rPr>
      <w:rFonts w:ascii="Arial" w:hAnsi="Arial" w:eastAsia="黑体" w:cs="Arial"/>
      <w:spacing w:val="-4"/>
      <w:kern w:val="2"/>
      <w:sz w:val="21"/>
      <w:szCs w:val="21"/>
      <w:lang w:val="en-US" w:eastAsia="zh-CN" w:bidi="ar-SA"/>
    </w:rPr>
  </w:style>
  <w:style w:type="paragraph" w:customStyle="1" w:styleId="505">
    <w:name w:val="图1"/>
    <w:basedOn w:val="1"/>
    <w:next w:val="1"/>
    <w:qFormat/>
    <w:uiPriority w:val="99"/>
    <w:pPr>
      <w:numPr>
        <w:ilvl w:val="0"/>
        <w:numId w:val="17"/>
      </w:numPr>
      <w:spacing w:before="156" w:beforeLines="50" w:after="312" w:afterLines="100" w:line="360" w:lineRule="auto"/>
      <w:ind w:left="2210" w:hanging="748"/>
      <w:jc w:val="center"/>
    </w:pPr>
    <w:rPr>
      <w:kern w:val="0"/>
      <w:sz w:val="24"/>
    </w:rPr>
  </w:style>
  <w:style w:type="paragraph" w:customStyle="1" w:styleId="506">
    <w:name w:val="font8"/>
    <w:basedOn w:val="1"/>
    <w:qFormat/>
    <w:uiPriority w:val="0"/>
    <w:pPr>
      <w:widowControl/>
      <w:spacing w:before="100" w:beforeLines="0" w:beforeAutospacing="1" w:after="100" w:afterLines="0" w:afterAutospacing="1"/>
      <w:jc w:val="left"/>
    </w:pPr>
    <w:rPr>
      <w:rFonts w:ascii="宋体" w:cs="宋体"/>
      <w:kern w:val="0"/>
      <w:sz w:val="18"/>
      <w:szCs w:val="18"/>
      <w:lang w:bidi="ar-SA"/>
    </w:rPr>
  </w:style>
  <w:style w:type="paragraph" w:customStyle="1" w:styleId="507">
    <w:name w:val="表格文字"/>
    <w:basedOn w:val="1"/>
    <w:qFormat/>
    <w:uiPriority w:val="99"/>
    <w:pPr>
      <w:adjustRightInd w:val="0"/>
      <w:spacing w:line="240" w:lineRule="atLeast"/>
      <w:jc w:val="center"/>
      <w:textAlignment w:val="baseline"/>
    </w:pPr>
    <w:rPr>
      <w:rFonts w:ascii="宋体"/>
      <w:kern w:val="0"/>
      <w:szCs w:val="20"/>
    </w:rPr>
  </w:style>
  <w:style w:type="paragraph" w:customStyle="1" w:styleId="508">
    <w:name w:val="Char Char Char Char Char Char Char Char"/>
    <w:basedOn w:val="1"/>
    <w:qFormat/>
    <w:uiPriority w:val="99"/>
    <w:pPr>
      <w:tabs>
        <w:tab w:val="left" w:pos="360"/>
      </w:tabs>
    </w:pPr>
    <w:rPr>
      <w:sz w:val="24"/>
    </w:rPr>
  </w:style>
  <w:style w:type="paragraph" w:customStyle="1" w:styleId="509">
    <w:name w:val="正文 New New New New"/>
    <w:qFormat/>
    <w:uiPriority w:val="0"/>
    <w:pPr>
      <w:widowControl w:val="0"/>
      <w:jc w:val="both"/>
    </w:pPr>
    <w:rPr>
      <w:rFonts w:ascii="Calibri" w:hAnsi="Calibri" w:eastAsia="宋体" w:cs="Times New Roman"/>
      <w:szCs w:val="24"/>
      <w:lang w:val="en-US" w:eastAsia="zh-CN" w:bidi="ar-SA"/>
    </w:rPr>
  </w:style>
  <w:style w:type="paragraph" w:customStyle="1" w:styleId="510">
    <w:name w:val="表格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511">
    <w:name w:val="ac"/>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customStyle="1" w:styleId="512">
    <w:name w:val="sanxiang3"/>
    <w:basedOn w:val="1"/>
    <w:qFormat/>
    <w:uiPriority w:val="0"/>
    <w:pPr>
      <w:widowControl/>
      <w:tabs>
        <w:tab w:val="left" w:pos="686"/>
        <w:tab w:val="left" w:pos="728"/>
        <w:tab w:val="left" w:pos="966"/>
      </w:tabs>
      <w:spacing w:before="312" w:beforeLines="100" w:after="156" w:afterLines="0" w:line="240" w:lineRule="atLeast"/>
      <w:ind w:left="359" w:hanging="359" w:hangingChars="149"/>
      <w:jc w:val="left"/>
      <w:outlineLvl w:val="2"/>
    </w:pPr>
    <w:rPr>
      <w:rFonts w:ascii="宋体" w:hAnsi="宋体" w:eastAsia="黑体"/>
      <w:b/>
      <w:bCs/>
      <w:kern w:val="0"/>
      <w:sz w:val="24"/>
    </w:rPr>
  </w:style>
  <w:style w:type="paragraph" w:customStyle="1" w:styleId="513">
    <w:name w:val=" Char Char Char Char Char Char1 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514">
    <w:name w:val="font17"/>
    <w:basedOn w:val="1"/>
    <w:qFormat/>
    <w:uiPriority w:val="99"/>
    <w:pPr>
      <w:widowControl/>
      <w:spacing w:before="100" w:beforeLines="0" w:beforeAutospacing="1" w:after="100" w:afterLines="0" w:afterAutospacing="1"/>
      <w:jc w:val="left"/>
    </w:pPr>
    <w:rPr>
      <w:rFonts w:ascii="宋体" w:cs="宋体"/>
      <w:b/>
      <w:bCs/>
      <w:color w:val="000000"/>
      <w:kern w:val="0"/>
      <w:sz w:val="20"/>
      <w:szCs w:val="20"/>
      <w:lang w:bidi="ar-SA"/>
    </w:rPr>
  </w:style>
  <w:style w:type="paragraph" w:customStyle="1" w:styleId="515">
    <w:name w:val="Table Paragraph"/>
    <w:basedOn w:val="1"/>
    <w:qFormat/>
    <w:uiPriority w:val="1"/>
  </w:style>
  <w:style w:type="paragraph" w:customStyle="1" w:styleId="516">
    <w:name w:val="(符号)三标题1."/>
    <w:basedOn w:val="1"/>
    <w:qFormat/>
    <w:uiPriority w:val="0"/>
    <w:pPr>
      <w:numPr>
        <w:ilvl w:val="0"/>
        <w:numId w:val="27"/>
      </w:numPr>
      <w:spacing w:before="140" w:beforeLines="0" w:after="140" w:afterLines="0" w:line="500" w:lineRule="exact"/>
      <w:outlineLvl w:val="2"/>
    </w:pPr>
    <w:rPr>
      <w:rFonts w:ascii="楷体_GB2312" w:hAnsi="宋体" w:eastAsia="楷体_GB2312" w:cs="宋体"/>
      <w:b/>
      <w:bCs/>
      <w:sz w:val="28"/>
      <w:szCs w:val="20"/>
    </w:rPr>
  </w:style>
  <w:style w:type="paragraph" w:customStyle="1" w:styleId="517">
    <w:name w:val="xl70"/>
    <w:basedOn w:val="1"/>
    <w:qFormat/>
    <w:uiPriority w:val="99"/>
    <w:pPr>
      <w:widowControl/>
      <w:spacing w:before="100" w:beforeLines="0" w:beforeAutospacing="1" w:after="100" w:afterLines="0" w:afterAutospacing="1"/>
    </w:pPr>
    <w:rPr>
      <w:rFonts w:ascii="宋体" w:cs="宋体"/>
      <w:kern w:val="0"/>
      <w:sz w:val="20"/>
      <w:szCs w:val="20"/>
      <w:lang w:bidi="ar-SA"/>
    </w:rPr>
  </w:style>
  <w:style w:type="character" w:customStyle="1" w:styleId="518">
    <w:name w:val="font131"/>
    <w:basedOn w:val="88"/>
    <w:qFormat/>
    <w:uiPriority w:val="0"/>
    <w:rPr>
      <w:rFonts w:hint="eastAsia" w:ascii="宋体" w:hAnsi="宋体" w:eastAsia="宋体" w:cs="宋体"/>
      <w:color w:val="000000"/>
      <w:sz w:val="20"/>
      <w:szCs w:val="20"/>
      <w:u w:val="none"/>
    </w:rPr>
  </w:style>
  <w:style w:type="character" w:customStyle="1" w:styleId="519">
    <w:name w:val="font151"/>
    <w:basedOn w:val="88"/>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98</Pages>
  <Words>99</Words>
  <Characters>102</Characters>
  <Lines>1</Lines>
  <Paragraphs>1</Paragraphs>
  <TotalTime>0</TotalTime>
  <ScaleCrop>false</ScaleCrop>
  <LinksUpToDate>false</LinksUpToDate>
  <CharactersWithSpaces>102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2014-09-03T02:31:00Z</dcterms:created>
  <dc:creator>hp</dc:creator>
  <cp:lastModifiedBy>iPad</cp:lastModifiedBy>
  <cp:lastPrinted>2026-03-05T17:37:00Z</cp:lastPrinted>
  <dcterms:modified xsi:type="dcterms:W3CDTF">2026-05-27T22:14:56Z</dcterms:modified>
  <dc:title>乌鲁木齐市公安局重点路段卡口系统采购项目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2052-12.45.1</vt:lpwstr>
  </property>
  <property fmtid="{D5CDD505-2E9C-101B-9397-08002B2CF9AE}" pid="3" name="ICV">
    <vt:lpwstr>3795A385D8434F4C85584F93EEE76C58_13</vt:lpwstr>
  </property>
  <property fmtid="{D5CDD505-2E9C-101B-9397-08002B2CF9AE}" pid="4" name="KSOTemplateDocerSaveRecord">
    <vt:lpwstr>eyJoZGlkIjoiOTc3M2Y5NzIzMDFlZjAyY2Q4Njk5ODkyYjFjNzBiNTQiLCJ1c2VySWQiOiI3MzA3OTYxODUifQ==</vt:lpwstr>
  </property>
</Properties>
</file>