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391D0">
      <w:pPr>
        <w:pageBreakBefore w:val="0"/>
        <w:shd w:val="clear"/>
        <w:topLinePunct w:val="0"/>
        <w:bidi w:val="0"/>
        <w:spacing w:beforeAutospacing="0" w:afterAutospacing="0" w:line="360" w:lineRule="auto"/>
        <w:ind w:left="0" w:leftChars="0" w:right="0" w:rightChars="0" w:firstLine="1044" w:firstLineChars="200"/>
        <w:jc w:val="both"/>
        <w:rPr>
          <w:rFonts w:hint="eastAsia" w:ascii="仿宋" w:hAnsi="仿宋" w:eastAsia="仿宋" w:cs="仿宋"/>
          <w:b/>
          <w:bCs/>
          <w:color w:val="auto"/>
          <w:kern w:val="0"/>
          <w:sz w:val="52"/>
          <w:szCs w:val="52"/>
          <w:highlight w:val="none"/>
          <w:lang w:val="en-US" w:eastAsia="zh"/>
        </w:rPr>
      </w:pPr>
    </w:p>
    <w:p w14:paraId="7E492F97">
      <w:pPr>
        <w:pStyle w:val="8"/>
        <w:keepNext w:val="0"/>
        <w:keepLines w:val="0"/>
        <w:pageBreakBefore w:val="0"/>
        <w:widowControl w:val="0"/>
        <w:kinsoku/>
        <w:wordWrap/>
        <w:overflowPunct/>
        <w:topLinePunct w:val="0"/>
        <w:autoSpaceDE/>
        <w:autoSpaceDN/>
        <w:bidi w:val="0"/>
        <w:snapToGrid/>
        <w:spacing w:beforeAutospacing="0" w:afterAutospacing="0" w:line="360" w:lineRule="auto"/>
        <w:ind w:left="0" w:leftChars="0" w:right="0" w:rightChars="0" w:firstLine="0" w:firstLineChars="0"/>
        <w:textAlignment w:val="auto"/>
        <w:rPr>
          <w:rFonts w:hint="eastAsia" w:ascii="仿宋" w:hAnsi="仿宋" w:eastAsia="仿宋" w:cs="仿宋"/>
          <w:color w:val="auto"/>
          <w:lang w:val="en-US" w:eastAsia="zh"/>
        </w:rPr>
      </w:pPr>
    </w:p>
    <w:p w14:paraId="28006CD6">
      <w:pPr>
        <w:keepNext w:val="0"/>
        <w:keepLines w:val="0"/>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pacing w:val="-28"/>
          <w:highlight w:val="green"/>
        </w:rPr>
      </w:pPr>
      <w:r>
        <w:rPr>
          <w:rFonts w:hint="eastAsia" w:ascii="仿宋" w:hAnsi="仿宋" w:eastAsia="仿宋" w:cs="仿宋"/>
          <w:color w:val="auto"/>
          <w:spacing w:val="-28"/>
          <w:sz w:val="44"/>
          <w:szCs w:val="44"/>
          <w:highlight w:val="none"/>
          <w:lang w:val="en-US" w:eastAsia="zh-CN"/>
        </w:rPr>
        <w:t>丽江职业技术学院教学设备更新提升项目新能源汽车“三电”技术实训中心建设项目</w:t>
      </w:r>
    </w:p>
    <w:p w14:paraId="5F903CD3">
      <w:pPr>
        <w:keepNext w:val="0"/>
        <w:keepLines w:val="0"/>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Cs w:val="44"/>
          <w:highlight w:val="none"/>
          <w:lang w:val="en-US" w:eastAsia="zh-CN"/>
        </w:rPr>
      </w:pPr>
      <w:r>
        <w:rPr>
          <w:rFonts w:hint="eastAsia" w:ascii="仿宋" w:hAnsi="仿宋" w:eastAsia="仿宋" w:cs="仿宋"/>
          <w:color w:val="auto"/>
          <w:sz w:val="44"/>
          <w:szCs w:val="44"/>
          <w:highlight w:val="none"/>
          <w:lang w:val="en-US" w:eastAsia="zh-CN"/>
        </w:rPr>
        <w:t>公开招标</w:t>
      </w:r>
    </w:p>
    <w:p w14:paraId="44F3AD47">
      <w:pPr>
        <w:keepNext w:val="0"/>
        <w:keepLines w:val="0"/>
        <w:pageBreakBefore w:val="0"/>
        <w:widowControl w:val="0"/>
        <w:shd w:val="clear"/>
        <w:tabs>
          <w:tab w:val="left" w:pos="5190"/>
        </w:tabs>
        <w:kinsoku/>
        <w:wordWrap/>
        <w:overflowPunct/>
        <w:topLinePunct w:val="0"/>
        <w:autoSpaceDE/>
        <w:autoSpaceDN/>
        <w:bidi w:val="0"/>
        <w:snapToGrid/>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36"/>
          <w:highlight w:val="none"/>
        </w:rPr>
      </w:pPr>
    </w:p>
    <w:p w14:paraId="2AF95978">
      <w:pPr>
        <w:pStyle w:val="8"/>
        <w:keepNext w:val="0"/>
        <w:keepLines w:val="0"/>
        <w:pageBreakBefore w:val="0"/>
        <w:widowControl w:val="0"/>
        <w:kinsoku/>
        <w:wordWrap/>
        <w:overflowPunct/>
        <w:topLinePunct w:val="0"/>
        <w:autoSpaceDE/>
        <w:autoSpaceDN/>
        <w:bidi w:val="0"/>
        <w:snapToGrid/>
        <w:spacing w:beforeAutospacing="0" w:afterAutospacing="0" w:line="360" w:lineRule="auto"/>
        <w:ind w:left="0" w:leftChars="0" w:right="0" w:rightChars="0" w:firstLine="0" w:firstLineChars="0"/>
        <w:textAlignment w:val="auto"/>
        <w:rPr>
          <w:rFonts w:hint="eastAsia" w:ascii="仿宋" w:hAnsi="仿宋" w:eastAsia="仿宋" w:cs="仿宋"/>
          <w:color w:val="auto"/>
        </w:rPr>
      </w:pPr>
    </w:p>
    <w:p w14:paraId="1A79503B">
      <w:pPr>
        <w:keepNext w:val="0"/>
        <w:keepLines w:val="0"/>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招标文件</w:t>
      </w:r>
    </w:p>
    <w:p w14:paraId="6954D32A">
      <w:pPr>
        <w:keepNext w:val="0"/>
        <w:keepLines w:val="0"/>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highlight w:val="none"/>
        </w:rPr>
      </w:pPr>
    </w:p>
    <w:p w14:paraId="2619E075">
      <w:pPr>
        <w:keepNext w:val="0"/>
        <w:keepLines w:val="0"/>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highlight w:val="none"/>
        </w:rPr>
      </w:pPr>
    </w:p>
    <w:p w14:paraId="1457F83C">
      <w:pPr>
        <w:keepNext w:val="0"/>
        <w:keepLines w:val="0"/>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0000FF"/>
          <w:sz w:val="32"/>
          <w:szCs w:val="32"/>
          <w:highlight w:val="none"/>
          <w:lang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eastAsia="zh-CN"/>
        </w:rPr>
        <w:t>LJZC2026-G1-00307-YNLB-0104</w:t>
      </w:r>
    </w:p>
    <w:p w14:paraId="33B50BC2">
      <w:pPr>
        <w:keepNext w:val="0"/>
        <w:keepLines w:val="0"/>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32"/>
          <w:szCs w:val="32"/>
          <w:highlight w:val="none"/>
          <w:lang w:eastAsia="zh-CN"/>
        </w:rPr>
      </w:pPr>
    </w:p>
    <w:p w14:paraId="4C3B7AA9">
      <w:pPr>
        <w:keepNext w:val="0"/>
        <w:keepLines w:val="0"/>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32"/>
          <w:szCs w:val="32"/>
          <w:highlight w:val="none"/>
          <w:lang w:eastAsia="zh-CN"/>
        </w:rPr>
      </w:pPr>
    </w:p>
    <w:p w14:paraId="341E2BB1">
      <w:pPr>
        <w:keepNext w:val="0"/>
        <w:keepLines w:val="0"/>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32"/>
          <w:szCs w:val="32"/>
          <w:highlight w:val="none"/>
          <w:lang w:eastAsia="zh-CN"/>
        </w:rPr>
      </w:pPr>
    </w:p>
    <w:p w14:paraId="6FD26C46">
      <w:pPr>
        <w:keepNext w:val="0"/>
        <w:keepLines w:val="0"/>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32"/>
          <w:szCs w:val="32"/>
          <w:highlight w:val="none"/>
          <w:lang w:eastAsia="zh-CN"/>
        </w:rPr>
      </w:pPr>
    </w:p>
    <w:p w14:paraId="359A159D">
      <w:pPr>
        <w:pStyle w:val="11"/>
        <w:keepNext w:val="0"/>
        <w:keepLines w:val="0"/>
        <w:pageBreakBefore w:val="0"/>
        <w:widowControl w:val="0"/>
        <w:kinsoku/>
        <w:wordWrap/>
        <w:overflowPunct/>
        <w:topLinePunct w:val="0"/>
        <w:autoSpaceDE/>
        <w:autoSpaceDN/>
        <w:bidi w:val="0"/>
        <w:snapToGrid/>
        <w:spacing w:beforeAutospacing="0" w:afterAutospacing="0" w:line="360" w:lineRule="auto"/>
        <w:ind w:left="0" w:leftChars="0" w:right="0" w:rightChars="0" w:firstLine="0" w:firstLineChars="0"/>
        <w:textAlignment w:val="auto"/>
        <w:rPr>
          <w:rFonts w:hint="eastAsia" w:ascii="仿宋" w:hAnsi="仿宋" w:eastAsia="仿宋" w:cs="仿宋"/>
          <w:color w:val="auto"/>
          <w:highlight w:val="none"/>
          <w:lang w:eastAsia="zh-CN"/>
        </w:rPr>
      </w:pPr>
    </w:p>
    <w:p w14:paraId="653374B3">
      <w:pPr>
        <w:keepNext w:val="0"/>
        <w:keepLines w:val="0"/>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lang w:eastAsia="zh-CN"/>
        </w:rPr>
        <w:t>招标人</w:t>
      </w:r>
      <w:r>
        <w:rPr>
          <w:rFonts w:hint="eastAsia" w:ascii="仿宋" w:hAnsi="仿宋" w:eastAsia="仿宋" w:cs="仿宋"/>
          <w:color w:val="auto"/>
          <w:sz w:val="36"/>
          <w:szCs w:val="36"/>
          <w:highlight w:val="none"/>
        </w:rPr>
        <w:t>：</w:t>
      </w:r>
      <w:r>
        <w:rPr>
          <w:rFonts w:hint="eastAsia" w:ascii="仿宋" w:hAnsi="仿宋" w:eastAsia="仿宋" w:cs="仿宋"/>
          <w:color w:val="auto"/>
          <w:sz w:val="36"/>
          <w:szCs w:val="36"/>
          <w:highlight w:val="none"/>
          <w:lang w:eastAsia="zh-CN"/>
        </w:rPr>
        <w:t>丽江职业技术学院</w:t>
      </w:r>
    </w:p>
    <w:p w14:paraId="0D9CCC8E">
      <w:pPr>
        <w:keepNext w:val="0"/>
        <w:keepLines w:val="0"/>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lang w:eastAsia="zh-CN"/>
        </w:rPr>
        <w:t>采购代理机构</w:t>
      </w:r>
      <w:r>
        <w:rPr>
          <w:rFonts w:hint="eastAsia" w:ascii="仿宋" w:hAnsi="仿宋" w:eastAsia="仿宋" w:cs="仿宋"/>
          <w:color w:val="auto"/>
          <w:sz w:val="36"/>
          <w:szCs w:val="36"/>
          <w:highlight w:val="none"/>
        </w:rPr>
        <w:t>：云南蓝本招标咨询有限公司</w:t>
      </w:r>
    </w:p>
    <w:p w14:paraId="081FC0F3">
      <w:pPr>
        <w:keepNext w:val="0"/>
        <w:keepLines w:val="0"/>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72"/>
          <w:szCs w:val="72"/>
          <w:highlight w:val="none"/>
        </w:rPr>
      </w:pPr>
      <w:r>
        <w:rPr>
          <w:rFonts w:hint="eastAsia" w:ascii="仿宋" w:hAnsi="仿宋" w:eastAsia="仿宋" w:cs="仿宋"/>
          <w:color w:val="auto"/>
          <w:sz w:val="36"/>
          <w:szCs w:val="36"/>
          <w:highlight w:val="none"/>
        </w:rPr>
        <w:t>日期：</w:t>
      </w:r>
      <w:r>
        <w:rPr>
          <w:rFonts w:hint="eastAsia" w:ascii="仿宋" w:hAnsi="仿宋" w:eastAsia="仿宋" w:cs="仿宋"/>
          <w:color w:val="auto"/>
          <w:sz w:val="36"/>
          <w:szCs w:val="36"/>
          <w:highlight w:val="none"/>
          <w:lang w:eastAsia="zh-CN"/>
        </w:rPr>
        <w:t>2026</w:t>
      </w:r>
      <w:r>
        <w:rPr>
          <w:rFonts w:hint="eastAsia" w:ascii="仿宋" w:hAnsi="仿宋" w:eastAsia="仿宋" w:cs="仿宋"/>
          <w:color w:val="auto"/>
          <w:sz w:val="36"/>
          <w:szCs w:val="36"/>
          <w:highlight w:val="none"/>
        </w:rPr>
        <w:t>年</w:t>
      </w:r>
      <w:r>
        <w:rPr>
          <w:rFonts w:hint="eastAsia" w:ascii="仿宋" w:hAnsi="仿宋" w:eastAsia="仿宋" w:cs="仿宋"/>
          <w:color w:val="auto"/>
          <w:sz w:val="36"/>
          <w:szCs w:val="36"/>
          <w:highlight w:val="none"/>
          <w:lang w:val="en-US" w:eastAsia="zh-CN"/>
        </w:rPr>
        <w:t>5</w:t>
      </w:r>
      <w:r>
        <w:rPr>
          <w:rFonts w:hint="eastAsia" w:ascii="仿宋" w:hAnsi="仿宋" w:eastAsia="仿宋" w:cs="仿宋"/>
          <w:color w:val="auto"/>
          <w:sz w:val="36"/>
          <w:szCs w:val="36"/>
          <w:highlight w:val="none"/>
        </w:rPr>
        <w:t>月</w:t>
      </w:r>
    </w:p>
    <w:p w14:paraId="0F9C4746">
      <w:pPr>
        <w:pageBreakBefore w:val="0"/>
        <w:shd w:val="clear"/>
        <w:topLinePunct w:val="0"/>
        <w:bidi w:val="0"/>
        <w:spacing w:beforeAutospacing="0" w:afterAutospacing="0" w:line="360" w:lineRule="auto"/>
        <w:ind w:left="0" w:leftChars="0" w:right="0" w:rightChars="0" w:firstLine="880" w:firstLineChars="200"/>
        <w:rPr>
          <w:rFonts w:hint="eastAsia" w:ascii="仿宋" w:hAnsi="仿宋" w:eastAsia="仿宋" w:cs="仿宋"/>
          <w:bCs/>
          <w:color w:val="auto"/>
          <w:kern w:val="0"/>
          <w:sz w:val="44"/>
          <w:szCs w:val="44"/>
          <w:highlight w:val="none"/>
        </w:rPr>
      </w:pPr>
      <w:r>
        <w:rPr>
          <w:rFonts w:hint="eastAsia" w:ascii="仿宋" w:hAnsi="仿宋" w:eastAsia="仿宋" w:cs="仿宋"/>
          <w:bCs/>
          <w:color w:val="auto"/>
          <w:kern w:val="0"/>
          <w:sz w:val="44"/>
          <w:szCs w:val="44"/>
          <w:highlight w:val="none"/>
        </w:rPr>
        <w:br w:type="page"/>
      </w:r>
    </w:p>
    <w:p w14:paraId="3B42F4BC">
      <w:pPr>
        <w:pStyle w:val="15"/>
        <w:pageBreakBefore w:val="0"/>
        <w:shd w:val="clear"/>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p>
    <w:p w14:paraId="47C33703">
      <w:pPr>
        <w:pStyle w:val="11"/>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highlight w:val="none"/>
        </w:rPr>
      </w:pPr>
    </w:p>
    <w:tbl>
      <w:tblPr>
        <w:tblStyle w:val="28"/>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9"/>
        <w:gridCol w:w="3276"/>
        <w:gridCol w:w="3324"/>
      </w:tblGrid>
      <w:tr w14:paraId="07B6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9" w:hRule="atLeast"/>
          <w:jc w:val="center"/>
        </w:trPr>
        <w:tc>
          <w:tcPr>
            <w:tcW w:w="9879" w:type="dxa"/>
            <w:gridSpan w:val="3"/>
          </w:tcPr>
          <w:p w14:paraId="195ADDA9">
            <w:pPr>
              <w:pStyle w:val="11"/>
              <w:keepNext w:val="0"/>
              <w:keepLines w:val="0"/>
              <w:pageBreakBefore w:val="0"/>
              <w:widowControl w:val="0"/>
              <w:shd w:val="clear"/>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40"/>
                <w:szCs w:val="28"/>
                <w:highlight w:val="none"/>
              </w:rPr>
            </w:pPr>
          </w:p>
          <w:p w14:paraId="7895EB08">
            <w:pPr>
              <w:pageBreakBefore w:val="0"/>
              <w:topLinePunct w:val="0"/>
              <w:bidi w:val="0"/>
              <w:spacing w:line="360" w:lineRule="auto"/>
              <w:rPr>
                <w:rFonts w:hint="eastAsia" w:ascii="仿宋" w:hAnsi="仿宋" w:eastAsia="仿宋" w:cs="仿宋"/>
                <w:color w:val="auto"/>
                <w:sz w:val="40"/>
                <w:szCs w:val="28"/>
                <w:highlight w:val="none"/>
              </w:rPr>
            </w:pPr>
          </w:p>
          <w:p w14:paraId="340519BD">
            <w:pPr>
              <w:pageBreakBefore w:val="0"/>
              <w:topLinePunct w:val="0"/>
              <w:bidi w:val="0"/>
              <w:spacing w:line="360" w:lineRule="auto"/>
              <w:rPr>
                <w:rFonts w:hint="eastAsia" w:ascii="仿宋" w:hAnsi="仿宋" w:eastAsia="仿宋" w:cs="仿宋"/>
                <w:color w:val="auto"/>
                <w:sz w:val="40"/>
                <w:szCs w:val="28"/>
                <w:highlight w:val="none"/>
              </w:rPr>
            </w:pPr>
          </w:p>
          <w:p w14:paraId="38CA200C">
            <w:pPr>
              <w:pStyle w:val="11"/>
              <w:keepNext w:val="0"/>
              <w:keepLines w:val="0"/>
              <w:pageBreakBefore w:val="0"/>
              <w:widowControl w:val="0"/>
              <w:shd w:val="clear"/>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40"/>
                <w:szCs w:val="40"/>
                <w:highlight w:val="none"/>
                <w:lang w:val="en-US" w:eastAsia="zh-CN"/>
              </w:rPr>
            </w:pPr>
            <w:r>
              <w:rPr>
                <w:rFonts w:hint="eastAsia" w:ascii="仿宋" w:hAnsi="仿宋" w:eastAsia="仿宋" w:cs="仿宋"/>
                <w:color w:val="auto"/>
                <w:sz w:val="40"/>
                <w:szCs w:val="40"/>
                <w:highlight w:val="none"/>
                <w:lang w:val="en-US" w:eastAsia="zh-CN"/>
              </w:rPr>
              <w:t>丽江职业技术学院教学设备更新提升项目新能源汽车“三电”技术实训中心建设项目</w:t>
            </w:r>
          </w:p>
          <w:p w14:paraId="73E52974">
            <w:pPr>
              <w:pStyle w:val="11"/>
              <w:keepNext w:val="0"/>
              <w:keepLines w:val="0"/>
              <w:pageBreakBefore w:val="0"/>
              <w:widowControl w:val="0"/>
              <w:shd w:val="clear"/>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40"/>
                <w:szCs w:val="28"/>
                <w:highlight w:val="none"/>
                <w:lang w:val="en-US" w:eastAsia="zh-CN"/>
              </w:rPr>
            </w:pPr>
            <w:r>
              <w:rPr>
                <w:rFonts w:hint="eastAsia" w:ascii="仿宋" w:hAnsi="仿宋" w:eastAsia="仿宋" w:cs="仿宋"/>
                <w:color w:val="auto"/>
                <w:sz w:val="40"/>
                <w:szCs w:val="28"/>
                <w:highlight w:val="none"/>
                <w:lang w:val="en-US" w:eastAsia="zh-CN"/>
              </w:rPr>
              <w:t>公开招标</w:t>
            </w:r>
          </w:p>
          <w:p w14:paraId="57BBB486">
            <w:pPr>
              <w:pStyle w:val="11"/>
              <w:keepNext w:val="0"/>
              <w:keepLines w:val="0"/>
              <w:pageBreakBefore w:val="0"/>
              <w:widowControl w:val="0"/>
              <w:shd w:val="clear"/>
              <w:kinsoku/>
              <w:wordWrap/>
              <w:overflowPunct/>
              <w:topLinePunct w:val="0"/>
              <w:autoSpaceDE/>
              <w:autoSpaceDN/>
              <w:bidi w:val="0"/>
              <w:spacing w:beforeAutospacing="0" w:afterAutospacing="0" w:line="360" w:lineRule="auto"/>
              <w:ind w:left="0" w:leftChars="0" w:right="0" w:rightChars="0" w:firstLine="0" w:firstLineChars="0"/>
              <w:textAlignment w:val="auto"/>
              <w:rPr>
                <w:rFonts w:hint="eastAsia" w:ascii="仿宋" w:hAnsi="仿宋" w:eastAsia="仿宋" w:cs="仿宋"/>
                <w:color w:val="auto"/>
                <w:highlight w:val="none"/>
              </w:rPr>
            </w:pPr>
          </w:p>
          <w:p w14:paraId="6E25A0BB">
            <w:pPr>
              <w:keepNext w:val="0"/>
              <w:keepLines w:val="0"/>
              <w:pageBreakBefore w:val="0"/>
              <w:widowControl w:val="0"/>
              <w:shd w:val="clear"/>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z w:val="72"/>
                <w:szCs w:val="72"/>
                <w:highlight w:val="none"/>
              </w:rPr>
            </w:pPr>
          </w:p>
          <w:p w14:paraId="7A2D1D4C">
            <w:pPr>
              <w:keepNext w:val="0"/>
              <w:keepLines w:val="0"/>
              <w:pageBreakBefore w:val="0"/>
              <w:widowControl w:val="0"/>
              <w:shd w:val="clear"/>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z w:val="28"/>
                <w:highlight w:val="none"/>
              </w:rPr>
            </w:pPr>
            <w:r>
              <w:rPr>
                <w:rFonts w:hint="eastAsia" w:ascii="仿宋" w:hAnsi="仿宋" w:eastAsia="仿宋" w:cs="仿宋"/>
                <w:b/>
                <w:color w:val="auto"/>
                <w:sz w:val="72"/>
                <w:szCs w:val="72"/>
                <w:highlight w:val="none"/>
              </w:rPr>
              <w:t>招标文件</w:t>
            </w:r>
          </w:p>
        </w:tc>
      </w:tr>
      <w:tr w14:paraId="6DF0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879" w:type="dxa"/>
            <w:gridSpan w:val="3"/>
            <w:vAlign w:val="center"/>
          </w:tcPr>
          <w:p w14:paraId="768AEE1E">
            <w:pPr>
              <w:keepNext w:val="0"/>
              <w:keepLines w:val="0"/>
              <w:pageBreakBefore w:val="0"/>
              <w:widowControl w:val="0"/>
              <w:shd w:val="clear"/>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项目名称：</w:t>
            </w:r>
            <w:r>
              <w:rPr>
                <w:rFonts w:hint="eastAsia" w:ascii="仿宋" w:hAnsi="仿宋" w:eastAsia="仿宋" w:cs="仿宋"/>
                <w:color w:val="auto"/>
                <w:sz w:val="28"/>
                <w:highlight w:val="none"/>
                <w:lang w:eastAsia="zh-CN"/>
              </w:rPr>
              <w:t>丽江职业技术学院教学设备更新提升项目新能源汽车“三电”技术实训中心建设项目</w:t>
            </w:r>
          </w:p>
          <w:p w14:paraId="25DBE937">
            <w:pPr>
              <w:keepNext w:val="0"/>
              <w:keepLines w:val="0"/>
              <w:pageBreakBefore w:val="0"/>
              <w:widowControl w:val="0"/>
              <w:shd w:val="clear"/>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仿宋" w:hAnsi="仿宋" w:eastAsia="仿宋" w:cs="仿宋"/>
                <w:b/>
                <w:bCs/>
                <w:color w:val="auto"/>
                <w:sz w:val="28"/>
                <w:szCs w:val="28"/>
                <w:highlight w:val="none"/>
                <w:u w:val="single"/>
                <w:lang w:eastAsia="zh-CN"/>
              </w:rPr>
            </w:pPr>
            <w:r>
              <w:rPr>
                <w:rFonts w:hint="eastAsia" w:ascii="仿宋" w:hAnsi="仿宋" w:eastAsia="仿宋" w:cs="仿宋"/>
                <w:color w:val="auto"/>
                <w:sz w:val="28"/>
                <w:highlight w:val="none"/>
              </w:rPr>
              <w:t>项目编号：</w:t>
            </w:r>
            <w:r>
              <w:rPr>
                <w:rFonts w:hint="eastAsia" w:ascii="仿宋" w:hAnsi="仿宋" w:eastAsia="仿宋" w:cs="仿宋"/>
                <w:color w:val="auto"/>
                <w:sz w:val="28"/>
                <w:highlight w:val="none"/>
                <w:lang w:eastAsia="zh-CN"/>
              </w:rPr>
              <w:t>LJZC2026-G1-00307-YNLB-0104</w:t>
            </w:r>
          </w:p>
        </w:tc>
      </w:tr>
      <w:tr w14:paraId="4C05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279" w:type="dxa"/>
            <w:vAlign w:val="center"/>
          </w:tcPr>
          <w:p w14:paraId="158341CB">
            <w:pPr>
              <w:keepNext w:val="0"/>
              <w:keepLines w:val="0"/>
              <w:pageBreakBefore w:val="0"/>
              <w:widowControl w:val="0"/>
              <w:shd w:val="clear"/>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编制：</w:t>
            </w:r>
            <w:r>
              <w:rPr>
                <w:rFonts w:hint="eastAsia" w:ascii="仿宋" w:hAnsi="仿宋" w:eastAsia="仿宋" w:cs="仿宋"/>
                <w:color w:val="auto"/>
                <w:sz w:val="28"/>
                <w:highlight w:val="none"/>
                <w:lang w:val="en-US" w:eastAsia="zh-CN"/>
              </w:rPr>
              <w:t>杨帆</w:t>
            </w:r>
          </w:p>
        </w:tc>
        <w:tc>
          <w:tcPr>
            <w:tcW w:w="3276" w:type="dxa"/>
            <w:vAlign w:val="center"/>
          </w:tcPr>
          <w:p w14:paraId="70EDB55B">
            <w:pPr>
              <w:pStyle w:val="15"/>
              <w:keepNext w:val="0"/>
              <w:keepLines w:val="0"/>
              <w:pageBreakBefore w:val="0"/>
              <w:widowControl w:val="0"/>
              <w:shd w:val="clear"/>
              <w:kinsoku/>
              <w:wordWrap/>
              <w:overflowPunct/>
              <w:topLinePunct w:val="0"/>
              <w:autoSpaceDE/>
              <w:autoSpaceDN/>
              <w:bidi w:val="0"/>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校核：</w:t>
            </w:r>
            <w:r>
              <w:rPr>
                <w:rFonts w:hint="eastAsia" w:ascii="仿宋" w:hAnsi="仿宋" w:eastAsia="仿宋" w:cs="仿宋"/>
                <w:color w:val="auto"/>
                <w:sz w:val="28"/>
                <w:highlight w:val="none"/>
                <w:lang w:val="en-US" w:eastAsia="zh-CN"/>
              </w:rPr>
              <w:t>王易文</w:t>
            </w:r>
          </w:p>
        </w:tc>
        <w:tc>
          <w:tcPr>
            <w:tcW w:w="3324" w:type="dxa"/>
            <w:vAlign w:val="center"/>
          </w:tcPr>
          <w:p w14:paraId="124AB254">
            <w:pPr>
              <w:pStyle w:val="15"/>
              <w:keepNext w:val="0"/>
              <w:keepLines w:val="0"/>
              <w:pageBreakBefore w:val="0"/>
              <w:widowControl w:val="0"/>
              <w:shd w:val="clear"/>
              <w:kinsoku/>
              <w:wordWrap/>
              <w:overflowPunct/>
              <w:topLinePunct w:val="0"/>
              <w:autoSpaceDE/>
              <w:autoSpaceDN/>
              <w:bidi w:val="0"/>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复核：</w:t>
            </w:r>
            <w:r>
              <w:rPr>
                <w:rFonts w:hint="eastAsia" w:ascii="仿宋" w:hAnsi="仿宋" w:eastAsia="仿宋" w:cs="仿宋"/>
                <w:color w:val="auto"/>
                <w:sz w:val="28"/>
                <w:highlight w:val="none"/>
                <w:lang w:val="en-US" w:eastAsia="zh-CN"/>
              </w:rPr>
              <w:t>李宏英</w:t>
            </w:r>
          </w:p>
        </w:tc>
      </w:tr>
      <w:tr w14:paraId="1CA5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879" w:type="dxa"/>
            <w:gridSpan w:val="3"/>
            <w:vAlign w:val="center"/>
          </w:tcPr>
          <w:p w14:paraId="7CBEAB8F">
            <w:pPr>
              <w:keepNext w:val="0"/>
              <w:keepLines w:val="0"/>
              <w:pageBreakBefore w:val="0"/>
              <w:widowControl w:val="0"/>
              <w:shd w:val="clear"/>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仿宋" w:hAnsi="仿宋" w:eastAsia="仿宋" w:cs="仿宋"/>
                <w:b/>
                <w:bCs/>
                <w:color w:val="auto"/>
                <w:sz w:val="28"/>
                <w:highlight w:val="none"/>
                <w:u w:val="single"/>
                <w:lang w:eastAsia="zh-CN"/>
              </w:rPr>
            </w:pPr>
            <w:r>
              <w:rPr>
                <w:rFonts w:hint="eastAsia" w:ascii="仿宋" w:hAnsi="仿宋" w:eastAsia="仿宋" w:cs="仿宋"/>
                <w:color w:val="auto"/>
                <w:sz w:val="28"/>
                <w:highlight w:val="none"/>
                <w:lang w:eastAsia="zh-CN"/>
              </w:rPr>
              <w:t>招标人</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eastAsia="zh-CN"/>
              </w:rPr>
              <w:t>丽江职业技术学院</w:t>
            </w:r>
          </w:p>
        </w:tc>
      </w:tr>
      <w:tr w14:paraId="7312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79" w:type="dxa"/>
            <w:gridSpan w:val="3"/>
            <w:vAlign w:val="center"/>
          </w:tcPr>
          <w:p w14:paraId="13FD862A">
            <w:pPr>
              <w:keepNext w:val="0"/>
              <w:keepLines w:val="0"/>
              <w:pageBreakBefore w:val="0"/>
              <w:widowControl w:val="0"/>
              <w:shd w:val="clear"/>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rPr>
              <w:t>编制</w:t>
            </w: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lang w:eastAsia="zh-CN"/>
              </w:rPr>
              <w:t>2026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p>
        </w:tc>
      </w:tr>
    </w:tbl>
    <w:p w14:paraId="1893FF32">
      <w:pPr>
        <w:pageBreakBefore w:val="0"/>
        <w:widowControl/>
        <w:shd w:val="clear"/>
        <w:topLinePunct w:val="0"/>
        <w:bidi w:val="0"/>
        <w:spacing w:beforeAutospacing="0" w:afterAutospacing="0" w:line="360" w:lineRule="auto"/>
        <w:ind w:left="0" w:leftChars="0" w:right="0" w:rightChars="0" w:firstLine="880" w:firstLineChars="200"/>
        <w:jc w:val="center"/>
        <w:rPr>
          <w:rFonts w:hint="eastAsia" w:ascii="仿宋" w:hAnsi="仿宋" w:eastAsia="仿宋" w:cs="仿宋"/>
          <w:bCs/>
          <w:color w:val="auto"/>
          <w:kern w:val="0"/>
          <w:sz w:val="44"/>
          <w:szCs w:val="44"/>
          <w:highlight w:val="none"/>
        </w:rPr>
        <w:sectPr>
          <w:headerReference r:id="rId3" w:type="default"/>
          <w:footerReference r:id="rId4" w:type="default"/>
          <w:pgSz w:w="11906" w:h="16838"/>
          <w:pgMar w:top="1418" w:right="1247" w:bottom="1418" w:left="1247" w:header="680" w:footer="680" w:gutter="0"/>
          <w:pgNumType w:start="1"/>
          <w:cols w:space="720" w:num="1"/>
          <w:docGrid w:linePitch="312" w:charSpace="0"/>
        </w:sectPr>
      </w:pPr>
    </w:p>
    <w:p w14:paraId="239AEC85">
      <w:pPr>
        <w:pageBreakBefore w:val="0"/>
        <w:shd w:val="clear"/>
        <w:topLinePunct w:val="0"/>
        <w:bidi w:val="0"/>
        <w:spacing w:beforeAutospacing="0" w:afterAutospacing="0" w:line="360" w:lineRule="auto"/>
        <w:ind w:left="0" w:leftChars="0" w:right="0" w:rightChars="0"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目录</w:t>
      </w:r>
    </w:p>
    <w:p w14:paraId="32EBF6BC">
      <w:pPr>
        <w:pStyle w:val="19"/>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"1-2" \h \u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_Toc21310 </w:instrText>
      </w:r>
      <w:r>
        <w:rPr>
          <w:rFonts w:hint="eastAsia" w:ascii="仿宋" w:hAnsi="仿宋" w:eastAsia="仿宋" w:cs="仿宋"/>
          <w:highlight w:val="none"/>
        </w:rPr>
        <w:fldChar w:fldCharType="separate"/>
      </w:r>
      <w:r>
        <w:rPr>
          <w:rFonts w:hint="eastAsia" w:ascii="仿宋" w:hAnsi="仿宋" w:eastAsia="仿宋" w:cs="仿宋"/>
          <w:highlight w:val="none"/>
        </w:rPr>
        <w:t>第一章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招标公告</w:t>
      </w:r>
      <w:r>
        <w:tab/>
      </w:r>
      <w:r>
        <w:fldChar w:fldCharType="begin"/>
      </w:r>
      <w:r>
        <w:instrText xml:space="preserve"> PAGEREF _Toc21310 \h </w:instrText>
      </w:r>
      <w:r>
        <w:fldChar w:fldCharType="separate"/>
      </w:r>
      <w:r>
        <w:t>1</w:t>
      </w:r>
      <w:r>
        <w:fldChar w:fldCharType="end"/>
      </w:r>
      <w:r>
        <w:rPr>
          <w:rFonts w:hint="eastAsia" w:ascii="仿宋" w:hAnsi="仿宋" w:eastAsia="仿宋" w:cs="仿宋"/>
          <w:color w:val="auto"/>
          <w:highlight w:val="none"/>
        </w:rPr>
        <w:fldChar w:fldCharType="end"/>
      </w:r>
    </w:p>
    <w:p w14:paraId="5DE85219">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_Toc21183 </w:instrText>
      </w:r>
      <w:r>
        <w:rPr>
          <w:rFonts w:hint="eastAsia" w:ascii="仿宋" w:hAnsi="仿宋" w:eastAsia="仿宋" w:cs="仿宋"/>
          <w:highlight w:val="none"/>
        </w:rPr>
        <w:fldChar w:fldCharType="separate"/>
      </w:r>
      <w:r>
        <w:rPr>
          <w:rFonts w:hint="eastAsia" w:ascii="仿宋" w:hAnsi="仿宋" w:eastAsia="仿宋" w:cs="仿宋"/>
          <w:szCs w:val="30"/>
          <w:highlight w:val="none"/>
        </w:rPr>
        <w:t>一、项目基本情况</w:t>
      </w:r>
      <w:r>
        <w:tab/>
      </w:r>
      <w:r>
        <w:fldChar w:fldCharType="begin"/>
      </w:r>
      <w:r>
        <w:instrText xml:space="preserve"> PAGEREF _Toc21183 \h </w:instrText>
      </w:r>
      <w:r>
        <w:fldChar w:fldCharType="separate"/>
      </w:r>
      <w:r>
        <w:t>1</w:t>
      </w:r>
      <w:r>
        <w:fldChar w:fldCharType="end"/>
      </w:r>
      <w:r>
        <w:rPr>
          <w:rFonts w:hint="eastAsia" w:ascii="仿宋" w:hAnsi="仿宋" w:eastAsia="仿宋" w:cs="仿宋"/>
          <w:color w:val="auto"/>
          <w:highlight w:val="none"/>
        </w:rPr>
        <w:fldChar w:fldCharType="end"/>
      </w:r>
    </w:p>
    <w:p w14:paraId="773A51FD">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_Toc17179 </w:instrText>
      </w:r>
      <w:r>
        <w:rPr>
          <w:rFonts w:hint="eastAsia" w:ascii="仿宋" w:hAnsi="仿宋" w:eastAsia="仿宋" w:cs="仿宋"/>
          <w:highlight w:val="none"/>
        </w:rPr>
        <w:fldChar w:fldCharType="separate"/>
      </w:r>
      <w:r>
        <w:rPr>
          <w:rFonts w:hint="eastAsia" w:ascii="仿宋" w:hAnsi="仿宋" w:eastAsia="仿宋" w:cs="仿宋"/>
          <w:szCs w:val="30"/>
          <w:highlight w:val="none"/>
        </w:rPr>
        <w:t>二、申请人的资格要求</w:t>
      </w:r>
      <w:r>
        <w:tab/>
      </w:r>
      <w:r>
        <w:fldChar w:fldCharType="begin"/>
      </w:r>
      <w:r>
        <w:instrText xml:space="preserve"> PAGEREF _Toc17179 \h </w:instrText>
      </w:r>
      <w:r>
        <w:fldChar w:fldCharType="separate"/>
      </w:r>
      <w:r>
        <w:t>2</w:t>
      </w:r>
      <w:r>
        <w:fldChar w:fldCharType="end"/>
      </w:r>
      <w:r>
        <w:rPr>
          <w:rFonts w:hint="eastAsia" w:ascii="仿宋" w:hAnsi="仿宋" w:eastAsia="仿宋" w:cs="仿宋"/>
          <w:color w:val="auto"/>
          <w:highlight w:val="none"/>
        </w:rPr>
        <w:fldChar w:fldCharType="end"/>
      </w:r>
    </w:p>
    <w:p w14:paraId="1428A6CF">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_Toc2203 </w:instrText>
      </w:r>
      <w:r>
        <w:rPr>
          <w:rFonts w:hint="eastAsia" w:ascii="仿宋" w:hAnsi="仿宋" w:eastAsia="仿宋" w:cs="仿宋"/>
          <w:highlight w:val="none"/>
        </w:rPr>
        <w:fldChar w:fldCharType="separate"/>
      </w:r>
      <w:r>
        <w:rPr>
          <w:rFonts w:hint="eastAsia" w:ascii="仿宋" w:hAnsi="仿宋" w:eastAsia="仿宋" w:cs="仿宋"/>
          <w:szCs w:val="30"/>
          <w:highlight w:val="none"/>
        </w:rPr>
        <w:t>三、获取招标文件</w:t>
      </w:r>
      <w:r>
        <w:tab/>
      </w:r>
      <w:r>
        <w:fldChar w:fldCharType="begin"/>
      </w:r>
      <w:r>
        <w:instrText xml:space="preserve"> PAGEREF _Toc2203 \h </w:instrText>
      </w:r>
      <w:r>
        <w:fldChar w:fldCharType="separate"/>
      </w:r>
      <w:r>
        <w:t>4</w:t>
      </w:r>
      <w:r>
        <w:fldChar w:fldCharType="end"/>
      </w:r>
      <w:r>
        <w:rPr>
          <w:rFonts w:hint="eastAsia" w:ascii="仿宋" w:hAnsi="仿宋" w:eastAsia="仿宋" w:cs="仿宋"/>
          <w:color w:val="auto"/>
          <w:highlight w:val="none"/>
        </w:rPr>
        <w:fldChar w:fldCharType="end"/>
      </w:r>
    </w:p>
    <w:p w14:paraId="5FA5E028">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_Toc2769 </w:instrText>
      </w:r>
      <w:r>
        <w:rPr>
          <w:rFonts w:hint="eastAsia" w:ascii="仿宋" w:hAnsi="仿宋" w:eastAsia="仿宋" w:cs="仿宋"/>
          <w:highlight w:val="none"/>
        </w:rPr>
        <w:fldChar w:fldCharType="separate"/>
      </w:r>
      <w:r>
        <w:rPr>
          <w:rFonts w:hint="eastAsia" w:ascii="仿宋" w:hAnsi="仿宋" w:eastAsia="仿宋" w:cs="仿宋"/>
          <w:szCs w:val="30"/>
          <w:highlight w:val="none"/>
        </w:rPr>
        <w:t>四、提交投标文件截止时间、开标时间和地点</w:t>
      </w:r>
      <w:r>
        <w:tab/>
      </w:r>
      <w:r>
        <w:fldChar w:fldCharType="begin"/>
      </w:r>
      <w:r>
        <w:instrText xml:space="preserve"> PAGEREF _Toc2769 \h </w:instrText>
      </w:r>
      <w:r>
        <w:fldChar w:fldCharType="separate"/>
      </w:r>
      <w:r>
        <w:t>4</w:t>
      </w:r>
      <w:r>
        <w:fldChar w:fldCharType="end"/>
      </w:r>
      <w:r>
        <w:rPr>
          <w:rFonts w:hint="eastAsia" w:ascii="仿宋" w:hAnsi="仿宋" w:eastAsia="仿宋" w:cs="仿宋"/>
          <w:color w:val="auto"/>
          <w:highlight w:val="none"/>
        </w:rPr>
        <w:fldChar w:fldCharType="end"/>
      </w:r>
    </w:p>
    <w:p w14:paraId="3A7CE420">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_Toc2234 </w:instrText>
      </w:r>
      <w:r>
        <w:rPr>
          <w:rFonts w:hint="eastAsia" w:ascii="仿宋" w:hAnsi="仿宋" w:eastAsia="仿宋" w:cs="仿宋"/>
          <w:highlight w:val="none"/>
        </w:rPr>
        <w:fldChar w:fldCharType="separate"/>
      </w:r>
      <w:r>
        <w:rPr>
          <w:rFonts w:hint="eastAsia" w:ascii="仿宋" w:hAnsi="仿宋" w:eastAsia="仿宋" w:cs="仿宋"/>
          <w:szCs w:val="30"/>
          <w:highlight w:val="none"/>
        </w:rPr>
        <w:t>五、公告期限</w:t>
      </w:r>
      <w:r>
        <w:tab/>
      </w:r>
      <w:r>
        <w:fldChar w:fldCharType="begin"/>
      </w:r>
      <w:r>
        <w:instrText xml:space="preserve"> PAGEREF _Toc2234 \h </w:instrText>
      </w:r>
      <w:r>
        <w:fldChar w:fldCharType="separate"/>
      </w:r>
      <w:r>
        <w:t>4</w:t>
      </w:r>
      <w:r>
        <w:fldChar w:fldCharType="end"/>
      </w:r>
      <w:r>
        <w:rPr>
          <w:rFonts w:hint="eastAsia" w:ascii="仿宋" w:hAnsi="仿宋" w:eastAsia="仿宋" w:cs="仿宋"/>
          <w:color w:val="auto"/>
          <w:highlight w:val="none"/>
        </w:rPr>
        <w:fldChar w:fldCharType="end"/>
      </w:r>
    </w:p>
    <w:p w14:paraId="192F31C5">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_Toc19283 </w:instrText>
      </w:r>
      <w:r>
        <w:rPr>
          <w:rFonts w:hint="eastAsia" w:ascii="仿宋" w:hAnsi="仿宋" w:eastAsia="仿宋" w:cs="仿宋"/>
          <w:highlight w:val="none"/>
        </w:rPr>
        <w:fldChar w:fldCharType="separate"/>
      </w:r>
      <w:r>
        <w:rPr>
          <w:rFonts w:hint="eastAsia" w:ascii="仿宋" w:hAnsi="仿宋" w:eastAsia="仿宋" w:cs="仿宋"/>
          <w:szCs w:val="30"/>
          <w:highlight w:val="none"/>
        </w:rPr>
        <w:t>六、其他补充事宜</w:t>
      </w:r>
      <w:r>
        <w:tab/>
      </w:r>
      <w:r>
        <w:fldChar w:fldCharType="begin"/>
      </w:r>
      <w:r>
        <w:instrText xml:space="preserve"> PAGEREF _Toc19283 \h </w:instrText>
      </w:r>
      <w:r>
        <w:fldChar w:fldCharType="separate"/>
      </w:r>
      <w:r>
        <w:t>4</w:t>
      </w:r>
      <w:r>
        <w:fldChar w:fldCharType="end"/>
      </w:r>
      <w:r>
        <w:rPr>
          <w:rFonts w:hint="eastAsia" w:ascii="仿宋" w:hAnsi="仿宋" w:eastAsia="仿宋" w:cs="仿宋"/>
          <w:color w:val="auto"/>
          <w:highlight w:val="none"/>
        </w:rPr>
        <w:fldChar w:fldCharType="end"/>
      </w:r>
    </w:p>
    <w:p w14:paraId="365852C0">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_Toc12479 </w:instrText>
      </w:r>
      <w:r>
        <w:rPr>
          <w:rFonts w:hint="eastAsia" w:ascii="仿宋" w:hAnsi="仿宋" w:eastAsia="仿宋" w:cs="仿宋"/>
          <w:highlight w:val="none"/>
        </w:rPr>
        <w:fldChar w:fldCharType="separate"/>
      </w:r>
      <w:r>
        <w:rPr>
          <w:rFonts w:hint="eastAsia" w:ascii="仿宋" w:hAnsi="仿宋" w:eastAsia="仿宋" w:cs="仿宋"/>
          <w:szCs w:val="30"/>
          <w:highlight w:val="none"/>
        </w:rPr>
        <w:t>七、对本次招标提出询问，请按以下方式联系</w:t>
      </w:r>
      <w:r>
        <w:tab/>
      </w:r>
      <w:r>
        <w:fldChar w:fldCharType="begin"/>
      </w:r>
      <w:r>
        <w:instrText xml:space="preserve"> PAGEREF _Toc12479 \h </w:instrText>
      </w:r>
      <w:r>
        <w:fldChar w:fldCharType="separate"/>
      </w:r>
      <w:r>
        <w:t>5</w:t>
      </w:r>
      <w:r>
        <w:fldChar w:fldCharType="end"/>
      </w:r>
      <w:r>
        <w:rPr>
          <w:rFonts w:hint="eastAsia" w:ascii="仿宋" w:hAnsi="仿宋" w:eastAsia="仿宋" w:cs="仿宋"/>
          <w:color w:val="auto"/>
          <w:highlight w:val="none"/>
        </w:rPr>
        <w:fldChar w:fldCharType="end"/>
      </w:r>
    </w:p>
    <w:p w14:paraId="50374D39">
      <w:pPr>
        <w:pStyle w:val="19"/>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_Toc4677 </w:instrText>
      </w:r>
      <w:r>
        <w:rPr>
          <w:rFonts w:hint="eastAsia" w:ascii="仿宋" w:hAnsi="仿宋" w:eastAsia="仿宋" w:cs="仿宋"/>
          <w:highlight w:val="none"/>
        </w:rPr>
        <w:fldChar w:fldCharType="separate"/>
      </w:r>
      <w:r>
        <w:rPr>
          <w:rFonts w:hint="eastAsia" w:ascii="仿宋" w:hAnsi="仿宋" w:eastAsia="仿宋" w:cs="仿宋"/>
          <w:highlight w:val="none"/>
        </w:rPr>
        <w:t>第二章</w:t>
      </w:r>
      <w:r>
        <w:rPr>
          <w:rFonts w:hint="eastAsia" w:ascii="仿宋" w:hAnsi="仿宋" w:eastAsia="仿宋" w:cs="仿宋"/>
          <w:highlight w:val="none"/>
          <w:lang w:val="en-US" w:eastAsia="zh-CN"/>
        </w:rPr>
        <w:t xml:space="preserve">  </w:t>
      </w:r>
      <w:r>
        <w:rPr>
          <w:rFonts w:hint="eastAsia" w:ascii="仿宋" w:hAnsi="仿宋" w:eastAsia="仿宋" w:cs="仿宋"/>
          <w:spacing w:val="10"/>
          <w:highlight w:val="none"/>
        </w:rPr>
        <w:t>投标人</w:t>
      </w:r>
      <w:r>
        <w:rPr>
          <w:rFonts w:hint="eastAsia" w:ascii="仿宋" w:hAnsi="仿宋" w:eastAsia="仿宋" w:cs="仿宋"/>
          <w:highlight w:val="none"/>
        </w:rPr>
        <w:t>须知</w:t>
      </w:r>
      <w:r>
        <w:tab/>
      </w:r>
      <w:r>
        <w:fldChar w:fldCharType="begin"/>
      </w:r>
      <w:r>
        <w:instrText xml:space="preserve"> PAGEREF _Toc4677 \h </w:instrText>
      </w:r>
      <w:r>
        <w:fldChar w:fldCharType="separate"/>
      </w:r>
      <w:r>
        <w:t>6</w:t>
      </w:r>
      <w:r>
        <w:fldChar w:fldCharType="end"/>
      </w:r>
      <w:r>
        <w:rPr>
          <w:rFonts w:hint="eastAsia" w:ascii="仿宋" w:hAnsi="仿宋" w:eastAsia="仿宋" w:cs="仿宋"/>
          <w:color w:val="auto"/>
          <w:highlight w:val="none"/>
        </w:rPr>
        <w:fldChar w:fldCharType="end"/>
      </w:r>
    </w:p>
    <w:p w14:paraId="43C38A21">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_Toc11271 </w:instrText>
      </w:r>
      <w:r>
        <w:rPr>
          <w:rFonts w:hint="eastAsia" w:ascii="仿宋" w:hAnsi="仿宋" w:eastAsia="仿宋" w:cs="仿宋"/>
          <w:highlight w:val="none"/>
        </w:rPr>
        <w:fldChar w:fldCharType="separate"/>
      </w:r>
      <w:r>
        <w:rPr>
          <w:rFonts w:hint="eastAsia" w:ascii="仿宋" w:hAnsi="仿宋" w:eastAsia="仿宋" w:cs="仿宋"/>
          <w:spacing w:val="10"/>
          <w:highlight w:val="none"/>
        </w:rPr>
        <w:t>投标人</w:t>
      </w:r>
      <w:r>
        <w:rPr>
          <w:rFonts w:hint="eastAsia" w:ascii="仿宋" w:hAnsi="仿宋" w:eastAsia="仿宋" w:cs="仿宋"/>
          <w:highlight w:val="none"/>
        </w:rPr>
        <w:t>须知前附表</w:t>
      </w:r>
      <w:r>
        <w:tab/>
      </w:r>
      <w:r>
        <w:fldChar w:fldCharType="begin"/>
      </w:r>
      <w:r>
        <w:instrText xml:space="preserve"> PAGEREF _Toc11271 \h </w:instrText>
      </w:r>
      <w:r>
        <w:fldChar w:fldCharType="separate"/>
      </w:r>
      <w:r>
        <w:t>6</w:t>
      </w:r>
      <w:r>
        <w:fldChar w:fldCharType="end"/>
      </w:r>
      <w:r>
        <w:rPr>
          <w:rFonts w:hint="eastAsia" w:ascii="仿宋" w:hAnsi="仿宋" w:eastAsia="仿宋" w:cs="仿宋"/>
          <w:color w:val="auto"/>
          <w:highlight w:val="none"/>
        </w:rPr>
        <w:fldChar w:fldCharType="end"/>
      </w:r>
    </w:p>
    <w:p w14:paraId="420516C2">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_Toc2228 </w:instrText>
      </w:r>
      <w:r>
        <w:rPr>
          <w:rFonts w:hint="eastAsia" w:ascii="仿宋" w:hAnsi="仿宋" w:eastAsia="仿宋" w:cs="仿宋"/>
          <w:highlight w:val="none"/>
        </w:rPr>
        <w:fldChar w:fldCharType="separate"/>
      </w:r>
      <w:r>
        <w:rPr>
          <w:rFonts w:hint="eastAsia" w:ascii="仿宋" w:hAnsi="仿宋" w:eastAsia="仿宋" w:cs="仿宋"/>
          <w:szCs w:val="30"/>
          <w:highlight w:val="none"/>
        </w:rPr>
        <w:t>一、总则</w:t>
      </w:r>
      <w:r>
        <w:tab/>
      </w:r>
      <w:r>
        <w:fldChar w:fldCharType="begin"/>
      </w:r>
      <w:r>
        <w:instrText xml:space="preserve"> PAGEREF _Toc2228 \h </w:instrText>
      </w:r>
      <w:r>
        <w:fldChar w:fldCharType="separate"/>
      </w:r>
      <w:r>
        <w:t>16</w:t>
      </w:r>
      <w:r>
        <w:fldChar w:fldCharType="end"/>
      </w:r>
      <w:r>
        <w:rPr>
          <w:rFonts w:hint="eastAsia" w:ascii="仿宋" w:hAnsi="仿宋" w:eastAsia="仿宋" w:cs="仿宋"/>
          <w:color w:val="auto"/>
          <w:highlight w:val="none"/>
        </w:rPr>
        <w:fldChar w:fldCharType="end"/>
      </w:r>
    </w:p>
    <w:p w14:paraId="5D0A74A9">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_Toc1541 </w:instrText>
      </w:r>
      <w:r>
        <w:rPr>
          <w:rFonts w:hint="eastAsia" w:ascii="仿宋" w:hAnsi="仿宋" w:eastAsia="仿宋" w:cs="仿宋"/>
          <w:highlight w:val="none"/>
        </w:rPr>
        <w:fldChar w:fldCharType="separate"/>
      </w:r>
      <w:r>
        <w:rPr>
          <w:rFonts w:hint="eastAsia" w:ascii="仿宋" w:hAnsi="仿宋" w:eastAsia="仿宋" w:cs="仿宋"/>
          <w:szCs w:val="30"/>
          <w:highlight w:val="none"/>
        </w:rPr>
        <w:t>二、招标文件</w:t>
      </w:r>
      <w:r>
        <w:tab/>
      </w:r>
      <w:r>
        <w:fldChar w:fldCharType="begin"/>
      </w:r>
      <w:r>
        <w:instrText xml:space="preserve"> PAGEREF _Toc1541 \h </w:instrText>
      </w:r>
      <w:r>
        <w:fldChar w:fldCharType="separate"/>
      </w:r>
      <w:r>
        <w:t>19</w:t>
      </w:r>
      <w:r>
        <w:fldChar w:fldCharType="end"/>
      </w:r>
      <w:r>
        <w:rPr>
          <w:rFonts w:hint="eastAsia" w:ascii="仿宋" w:hAnsi="仿宋" w:eastAsia="仿宋" w:cs="仿宋"/>
          <w:color w:val="auto"/>
          <w:highlight w:val="none"/>
        </w:rPr>
        <w:fldChar w:fldCharType="end"/>
      </w:r>
    </w:p>
    <w:p w14:paraId="12C2999A">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_Toc24695 </w:instrText>
      </w:r>
      <w:r>
        <w:rPr>
          <w:rFonts w:hint="eastAsia" w:ascii="仿宋" w:hAnsi="仿宋" w:eastAsia="仿宋" w:cs="仿宋"/>
          <w:highlight w:val="none"/>
        </w:rPr>
        <w:fldChar w:fldCharType="separate"/>
      </w:r>
      <w:r>
        <w:rPr>
          <w:rFonts w:hint="eastAsia" w:ascii="仿宋" w:hAnsi="仿宋" w:eastAsia="仿宋" w:cs="仿宋"/>
          <w:szCs w:val="30"/>
          <w:highlight w:val="none"/>
        </w:rPr>
        <w:t>三、投标文件</w:t>
      </w:r>
      <w:r>
        <w:tab/>
      </w:r>
      <w:r>
        <w:fldChar w:fldCharType="begin"/>
      </w:r>
      <w:r>
        <w:instrText xml:space="preserve"> PAGEREF _Toc24695 \h </w:instrText>
      </w:r>
      <w:r>
        <w:fldChar w:fldCharType="separate"/>
      </w:r>
      <w:r>
        <w:t>19</w:t>
      </w:r>
      <w:r>
        <w:fldChar w:fldCharType="end"/>
      </w:r>
      <w:r>
        <w:rPr>
          <w:rFonts w:hint="eastAsia" w:ascii="仿宋" w:hAnsi="仿宋" w:eastAsia="仿宋" w:cs="仿宋"/>
          <w:color w:val="auto"/>
          <w:highlight w:val="none"/>
        </w:rPr>
        <w:fldChar w:fldCharType="end"/>
      </w:r>
    </w:p>
    <w:p w14:paraId="21787619">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_Toc29853 </w:instrText>
      </w:r>
      <w:r>
        <w:rPr>
          <w:rFonts w:hint="eastAsia" w:ascii="仿宋" w:hAnsi="仿宋" w:eastAsia="仿宋" w:cs="仿宋"/>
          <w:highlight w:val="none"/>
        </w:rPr>
        <w:fldChar w:fldCharType="separate"/>
      </w:r>
      <w:r>
        <w:rPr>
          <w:rFonts w:hint="eastAsia" w:ascii="仿宋" w:hAnsi="仿宋" w:eastAsia="仿宋" w:cs="仿宋"/>
          <w:szCs w:val="30"/>
          <w:highlight w:val="none"/>
        </w:rPr>
        <w:t>四、投标</w:t>
      </w:r>
      <w:r>
        <w:tab/>
      </w:r>
      <w:r>
        <w:fldChar w:fldCharType="begin"/>
      </w:r>
      <w:r>
        <w:instrText xml:space="preserve"> PAGEREF _Toc29853 \h </w:instrText>
      </w:r>
      <w:r>
        <w:fldChar w:fldCharType="separate"/>
      </w:r>
      <w:r>
        <w:t>23</w:t>
      </w:r>
      <w:r>
        <w:fldChar w:fldCharType="end"/>
      </w:r>
      <w:r>
        <w:rPr>
          <w:rFonts w:hint="eastAsia" w:ascii="仿宋" w:hAnsi="仿宋" w:eastAsia="仿宋" w:cs="仿宋"/>
          <w:color w:val="auto"/>
          <w:highlight w:val="none"/>
        </w:rPr>
        <w:fldChar w:fldCharType="end"/>
      </w:r>
    </w:p>
    <w:p w14:paraId="3B6559F7">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_Toc15786 </w:instrText>
      </w:r>
      <w:r>
        <w:rPr>
          <w:rFonts w:hint="eastAsia" w:ascii="仿宋" w:hAnsi="仿宋" w:eastAsia="仿宋" w:cs="仿宋"/>
          <w:highlight w:val="none"/>
        </w:rPr>
        <w:fldChar w:fldCharType="separate"/>
      </w:r>
      <w:r>
        <w:rPr>
          <w:rFonts w:hint="eastAsia" w:ascii="仿宋" w:hAnsi="仿宋" w:eastAsia="仿宋" w:cs="仿宋"/>
          <w:szCs w:val="30"/>
          <w:highlight w:val="none"/>
        </w:rPr>
        <w:t>五、开标</w:t>
      </w:r>
      <w:r>
        <w:tab/>
      </w:r>
      <w:r>
        <w:fldChar w:fldCharType="begin"/>
      </w:r>
      <w:r>
        <w:instrText xml:space="preserve"> PAGEREF _Toc15786 \h </w:instrText>
      </w:r>
      <w:r>
        <w:fldChar w:fldCharType="separate"/>
      </w:r>
      <w:r>
        <w:t>24</w:t>
      </w:r>
      <w:r>
        <w:fldChar w:fldCharType="end"/>
      </w:r>
      <w:r>
        <w:rPr>
          <w:rFonts w:hint="eastAsia" w:ascii="仿宋" w:hAnsi="仿宋" w:eastAsia="仿宋" w:cs="仿宋"/>
          <w:color w:val="auto"/>
          <w:highlight w:val="none"/>
        </w:rPr>
        <w:fldChar w:fldCharType="end"/>
      </w:r>
    </w:p>
    <w:p w14:paraId="43C957E3">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_Toc16952 </w:instrText>
      </w:r>
      <w:r>
        <w:rPr>
          <w:rFonts w:hint="eastAsia" w:ascii="仿宋" w:hAnsi="仿宋" w:eastAsia="仿宋" w:cs="仿宋"/>
          <w:highlight w:val="none"/>
        </w:rPr>
        <w:fldChar w:fldCharType="separate"/>
      </w:r>
      <w:r>
        <w:rPr>
          <w:rFonts w:hint="eastAsia" w:ascii="仿宋" w:hAnsi="仿宋" w:eastAsia="仿宋" w:cs="仿宋"/>
          <w:szCs w:val="30"/>
          <w:highlight w:val="none"/>
        </w:rPr>
        <w:t>六、评标</w:t>
      </w:r>
      <w:r>
        <w:tab/>
      </w:r>
      <w:r>
        <w:fldChar w:fldCharType="begin"/>
      </w:r>
      <w:r>
        <w:instrText xml:space="preserve"> PAGEREF _Toc16952 \h </w:instrText>
      </w:r>
      <w:r>
        <w:fldChar w:fldCharType="separate"/>
      </w:r>
      <w:r>
        <w:t>25</w:t>
      </w:r>
      <w:r>
        <w:fldChar w:fldCharType="end"/>
      </w:r>
      <w:r>
        <w:rPr>
          <w:rFonts w:hint="eastAsia" w:ascii="仿宋" w:hAnsi="仿宋" w:eastAsia="仿宋" w:cs="仿宋"/>
          <w:color w:val="auto"/>
          <w:highlight w:val="none"/>
        </w:rPr>
        <w:fldChar w:fldCharType="end"/>
      </w:r>
    </w:p>
    <w:p w14:paraId="71BEB25E">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_Toc1245 </w:instrText>
      </w:r>
      <w:r>
        <w:rPr>
          <w:rFonts w:hint="eastAsia" w:ascii="仿宋" w:hAnsi="仿宋" w:eastAsia="仿宋" w:cs="仿宋"/>
          <w:highlight w:val="none"/>
        </w:rPr>
        <w:fldChar w:fldCharType="separate"/>
      </w:r>
      <w:r>
        <w:rPr>
          <w:rFonts w:hint="eastAsia" w:ascii="仿宋" w:hAnsi="仿宋" w:eastAsia="仿宋" w:cs="仿宋"/>
          <w:szCs w:val="30"/>
          <w:highlight w:val="none"/>
        </w:rPr>
        <w:t>七、中标结果</w:t>
      </w:r>
      <w:r>
        <w:tab/>
      </w:r>
      <w:r>
        <w:fldChar w:fldCharType="begin"/>
      </w:r>
      <w:r>
        <w:instrText xml:space="preserve"> PAGEREF _Toc1245 \h </w:instrText>
      </w:r>
      <w:r>
        <w:fldChar w:fldCharType="separate"/>
      </w:r>
      <w:r>
        <w:t>27</w:t>
      </w:r>
      <w:r>
        <w:fldChar w:fldCharType="end"/>
      </w:r>
      <w:r>
        <w:rPr>
          <w:rFonts w:hint="eastAsia" w:ascii="仿宋" w:hAnsi="仿宋" w:eastAsia="仿宋" w:cs="仿宋"/>
          <w:color w:val="auto"/>
          <w:highlight w:val="none"/>
        </w:rPr>
        <w:fldChar w:fldCharType="end"/>
      </w:r>
    </w:p>
    <w:p w14:paraId="49EF155B">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_Toc15789 </w:instrText>
      </w:r>
      <w:r>
        <w:rPr>
          <w:rFonts w:hint="eastAsia" w:ascii="仿宋" w:hAnsi="仿宋" w:eastAsia="仿宋" w:cs="仿宋"/>
          <w:highlight w:val="none"/>
        </w:rPr>
        <w:fldChar w:fldCharType="separate"/>
      </w:r>
      <w:r>
        <w:rPr>
          <w:rFonts w:hint="eastAsia" w:ascii="仿宋" w:hAnsi="仿宋" w:eastAsia="仿宋" w:cs="仿宋"/>
          <w:szCs w:val="30"/>
          <w:highlight w:val="none"/>
        </w:rPr>
        <w:t>八、其他事项</w:t>
      </w:r>
      <w:r>
        <w:tab/>
      </w:r>
      <w:r>
        <w:fldChar w:fldCharType="begin"/>
      </w:r>
      <w:r>
        <w:instrText xml:space="preserve"> PAGEREF _Toc15789 \h </w:instrText>
      </w:r>
      <w:r>
        <w:fldChar w:fldCharType="separate"/>
      </w:r>
      <w:r>
        <w:t>28</w:t>
      </w:r>
      <w:r>
        <w:fldChar w:fldCharType="end"/>
      </w:r>
      <w:r>
        <w:rPr>
          <w:rFonts w:hint="eastAsia" w:ascii="仿宋" w:hAnsi="仿宋" w:eastAsia="仿宋" w:cs="仿宋"/>
          <w:color w:val="auto"/>
          <w:highlight w:val="none"/>
        </w:rPr>
        <w:fldChar w:fldCharType="end"/>
      </w:r>
    </w:p>
    <w:p w14:paraId="39BAA98D">
      <w:pPr>
        <w:pStyle w:val="19"/>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_Toc31732 </w:instrText>
      </w:r>
      <w:r>
        <w:rPr>
          <w:rFonts w:hint="eastAsia" w:ascii="仿宋" w:hAnsi="仿宋" w:eastAsia="仿宋" w:cs="仿宋"/>
          <w:highlight w:val="none"/>
        </w:rPr>
        <w:fldChar w:fldCharType="separate"/>
      </w:r>
      <w:r>
        <w:rPr>
          <w:rFonts w:hint="eastAsia" w:ascii="仿宋" w:hAnsi="仿宋" w:eastAsia="仿宋" w:cs="仿宋"/>
          <w:highlight w:val="none"/>
        </w:rPr>
        <w:t>第三章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合同书样式及主要条款</w:t>
      </w:r>
      <w:r>
        <w:tab/>
      </w:r>
      <w:r>
        <w:fldChar w:fldCharType="begin"/>
      </w:r>
      <w:r>
        <w:instrText xml:space="preserve"> PAGEREF _Toc31732 \h </w:instrText>
      </w:r>
      <w:r>
        <w:fldChar w:fldCharType="separate"/>
      </w:r>
      <w:r>
        <w:t>29</w:t>
      </w:r>
      <w:r>
        <w:fldChar w:fldCharType="end"/>
      </w:r>
      <w:r>
        <w:rPr>
          <w:rFonts w:hint="eastAsia" w:ascii="仿宋" w:hAnsi="仿宋" w:eastAsia="仿宋" w:cs="仿宋"/>
          <w:color w:val="auto"/>
          <w:highlight w:val="none"/>
        </w:rPr>
        <w:fldChar w:fldCharType="end"/>
      </w:r>
    </w:p>
    <w:p w14:paraId="06F204AB">
      <w:pPr>
        <w:pStyle w:val="19"/>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_Toc1581 </w:instrText>
      </w:r>
      <w:r>
        <w:rPr>
          <w:rFonts w:hint="eastAsia" w:ascii="仿宋" w:hAnsi="仿宋" w:eastAsia="仿宋" w:cs="仿宋"/>
          <w:highlight w:val="none"/>
        </w:rPr>
        <w:fldChar w:fldCharType="separate"/>
      </w:r>
      <w:r>
        <w:rPr>
          <w:rFonts w:hint="eastAsia" w:ascii="仿宋" w:hAnsi="仿宋" w:eastAsia="仿宋" w:cs="仿宋"/>
          <w:highlight w:val="none"/>
        </w:rPr>
        <w:t>第四章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投标文件格式</w:t>
      </w:r>
      <w:r>
        <w:tab/>
      </w:r>
      <w:r>
        <w:fldChar w:fldCharType="begin"/>
      </w:r>
      <w:r>
        <w:instrText xml:space="preserve"> PAGEREF _Toc1581 \h </w:instrText>
      </w:r>
      <w:r>
        <w:fldChar w:fldCharType="separate"/>
      </w:r>
      <w:r>
        <w:t>35</w:t>
      </w:r>
      <w:r>
        <w:fldChar w:fldCharType="end"/>
      </w:r>
      <w:r>
        <w:rPr>
          <w:rFonts w:hint="eastAsia" w:ascii="仿宋" w:hAnsi="仿宋" w:eastAsia="仿宋" w:cs="仿宋"/>
          <w:color w:val="auto"/>
          <w:highlight w:val="none"/>
        </w:rPr>
        <w:fldChar w:fldCharType="end"/>
      </w:r>
    </w:p>
    <w:p w14:paraId="6ECB6C69">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_Toc23239 </w:instrText>
      </w:r>
      <w:r>
        <w:rPr>
          <w:rFonts w:hint="eastAsia" w:ascii="仿宋" w:hAnsi="仿宋" w:eastAsia="仿宋" w:cs="仿宋"/>
          <w:highlight w:val="none"/>
        </w:rPr>
        <w:fldChar w:fldCharType="separate"/>
      </w:r>
      <w:r>
        <w:rPr>
          <w:rFonts w:hint="eastAsia" w:ascii="仿宋" w:hAnsi="仿宋" w:eastAsia="仿宋" w:cs="仿宋"/>
          <w:szCs w:val="30"/>
          <w:highlight w:val="none"/>
        </w:rPr>
        <w:t>一、投标文件封面</w:t>
      </w:r>
      <w:r>
        <w:tab/>
      </w:r>
      <w:r>
        <w:fldChar w:fldCharType="begin"/>
      </w:r>
      <w:r>
        <w:instrText xml:space="preserve"> PAGEREF _Toc23239 \h </w:instrText>
      </w:r>
      <w:r>
        <w:fldChar w:fldCharType="separate"/>
      </w:r>
      <w:r>
        <w:t>35</w:t>
      </w:r>
      <w:r>
        <w:fldChar w:fldCharType="end"/>
      </w:r>
      <w:r>
        <w:rPr>
          <w:rFonts w:hint="eastAsia" w:ascii="仿宋" w:hAnsi="仿宋" w:eastAsia="仿宋" w:cs="仿宋"/>
          <w:color w:val="auto"/>
          <w:highlight w:val="none"/>
        </w:rPr>
        <w:fldChar w:fldCharType="end"/>
      </w:r>
    </w:p>
    <w:p w14:paraId="3937AF95">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_Toc31701 </w:instrText>
      </w:r>
      <w:r>
        <w:rPr>
          <w:rFonts w:hint="eastAsia" w:ascii="仿宋" w:hAnsi="仿宋" w:eastAsia="仿宋" w:cs="仿宋"/>
          <w:highlight w:val="none"/>
        </w:rPr>
        <w:fldChar w:fldCharType="separate"/>
      </w:r>
      <w:r>
        <w:rPr>
          <w:rFonts w:hint="eastAsia" w:ascii="仿宋" w:hAnsi="仿宋" w:eastAsia="仿宋" w:cs="仿宋"/>
          <w:szCs w:val="30"/>
          <w:highlight w:val="none"/>
        </w:rPr>
        <w:t>二、开标一览表</w:t>
      </w:r>
      <w:r>
        <w:tab/>
      </w:r>
      <w:r>
        <w:fldChar w:fldCharType="begin"/>
      </w:r>
      <w:r>
        <w:instrText xml:space="preserve"> PAGEREF _Toc31701 \h </w:instrText>
      </w:r>
      <w:r>
        <w:fldChar w:fldCharType="separate"/>
      </w:r>
      <w:r>
        <w:t>36</w:t>
      </w:r>
      <w:r>
        <w:fldChar w:fldCharType="end"/>
      </w:r>
      <w:r>
        <w:rPr>
          <w:rFonts w:hint="eastAsia" w:ascii="仿宋" w:hAnsi="仿宋" w:eastAsia="仿宋" w:cs="仿宋"/>
          <w:color w:val="auto"/>
          <w:highlight w:val="none"/>
        </w:rPr>
        <w:fldChar w:fldCharType="end"/>
      </w:r>
    </w:p>
    <w:p w14:paraId="7CD95B06">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_Toc4613 </w:instrText>
      </w:r>
      <w:r>
        <w:rPr>
          <w:rFonts w:hint="eastAsia" w:ascii="仿宋" w:hAnsi="仿宋" w:eastAsia="仿宋" w:cs="仿宋"/>
          <w:highlight w:val="none"/>
        </w:rPr>
        <w:fldChar w:fldCharType="separate"/>
      </w:r>
      <w:r>
        <w:rPr>
          <w:rFonts w:hint="eastAsia" w:ascii="仿宋" w:hAnsi="仿宋" w:eastAsia="仿宋" w:cs="仿宋"/>
          <w:szCs w:val="30"/>
          <w:highlight w:val="none"/>
          <w:lang w:val="en-US" w:eastAsia="zh-CN"/>
        </w:rPr>
        <w:t>三</w:t>
      </w:r>
      <w:r>
        <w:rPr>
          <w:rFonts w:hint="eastAsia" w:ascii="仿宋" w:hAnsi="仿宋" w:eastAsia="仿宋" w:cs="仿宋"/>
          <w:szCs w:val="30"/>
          <w:highlight w:val="none"/>
        </w:rPr>
        <w:t>、资格审查文件部分</w:t>
      </w:r>
      <w:r>
        <w:tab/>
      </w:r>
      <w:r>
        <w:fldChar w:fldCharType="begin"/>
      </w:r>
      <w:r>
        <w:instrText xml:space="preserve"> PAGEREF _Toc4613 \h </w:instrText>
      </w:r>
      <w:r>
        <w:fldChar w:fldCharType="separate"/>
      </w:r>
      <w:r>
        <w:t>37</w:t>
      </w:r>
      <w:r>
        <w:fldChar w:fldCharType="end"/>
      </w:r>
      <w:r>
        <w:rPr>
          <w:rFonts w:hint="eastAsia" w:ascii="仿宋" w:hAnsi="仿宋" w:eastAsia="仿宋" w:cs="仿宋"/>
          <w:color w:val="auto"/>
          <w:highlight w:val="none"/>
        </w:rPr>
        <w:fldChar w:fldCharType="end"/>
      </w:r>
    </w:p>
    <w:p w14:paraId="3249F9F4">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_Toc8601 </w:instrText>
      </w:r>
      <w:r>
        <w:rPr>
          <w:rFonts w:hint="eastAsia" w:ascii="仿宋" w:hAnsi="仿宋" w:eastAsia="仿宋" w:cs="仿宋"/>
          <w:highlight w:val="none"/>
        </w:rPr>
        <w:fldChar w:fldCharType="separate"/>
      </w:r>
      <w:r>
        <w:rPr>
          <w:rFonts w:hint="eastAsia" w:ascii="仿宋" w:hAnsi="仿宋" w:eastAsia="仿宋" w:cs="仿宋"/>
          <w:szCs w:val="30"/>
          <w:highlight w:val="none"/>
          <w:lang w:val="en-US" w:eastAsia="zh-CN"/>
        </w:rPr>
        <w:t>四</w:t>
      </w:r>
      <w:r>
        <w:rPr>
          <w:rFonts w:hint="eastAsia" w:ascii="仿宋" w:hAnsi="仿宋" w:eastAsia="仿宋" w:cs="仿宋"/>
          <w:szCs w:val="30"/>
          <w:highlight w:val="none"/>
        </w:rPr>
        <w:t>、技术标部分</w:t>
      </w:r>
      <w:r>
        <w:tab/>
      </w:r>
      <w:r>
        <w:fldChar w:fldCharType="begin"/>
      </w:r>
      <w:r>
        <w:instrText xml:space="preserve"> PAGEREF _Toc8601 \h </w:instrText>
      </w:r>
      <w:r>
        <w:fldChar w:fldCharType="separate"/>
      </w:r>
      <w:r>
        <w:t>39</w:t>
      </w:r>
      <w:r>
        <w:fldChar w:fldCharType="end"/>
      </w:r>
      <w:r>
        <w:rPr>
          <w:rFonts w:hint="eastAsia" w:ascii="仿宋" w:hAnsi="仿宋" w:eastAsia="仿宋" w:cs="仿宋"/>
          <w:color w:val="auto"/>
          <w:highlight w:val="none"/>
        </w:rPr>
        <w:fldChar w:fldCharType="end"/>
      </w:r>
    </w:p>
    <w:p w14:paraId="098BD545">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_Toc485 </w:instrText>
      </w:r>
      <w:r>
        <w:rPr>
          <w:rFonts w:hint="eastAsia" w:ascii="仿宋" w:hAnsi="仿宋" w:eastAsia="仿宋" w:cs="仿宋"/>
          <w:highlight w:val="none"/>
        </w:rPr>
        <w:fldChar w:fldCharType="separate"/>
      </w:r>
      <w:r>
        <w:rPr>
          <w:rFonts w:hint="eastAsia" w:ascii="仿宋" w:hAnsi="仿宋" w:eastAsia="仿宋" w:cs="仿宋"/>
          <w:szCs w:val="30"/>
          <w:highlight w:val="none"/>
          <w:lang w:eastAsia="zh-CN"/>
        </w:rPr>
        <w:t>五</w:t>
      </w:r>
      <w:r>
        <w:rPr>
          <w:rFonts w:hint="eastAsia" w:ascii="仿宋" w:hAnsi="仿宋" w:eastAsia="仿宋" w:cs="仿宋"/>
          <w:szCs w:val="30"/>
          <w:highlight w:val="none"/>
        </w:rPr>
        <w:t>、商务标部分</w:t>
      </w:r>
      <w:r>
        <w:tab/>
      </w:r>
      <w:r>
        <w:fldChar w:fldCharType="begin"/>
      </w:r>
      <w:r>
        <w:instrText xml:space="preserve"> PAGEREF _Toc485 \h </w:instrText>
      </w:r>
      <w:r>
        <w:fldChar w:fldCharType="separate"/>
      </w:r>
      <w:r>
        <w:t>42</w:t>
      </w:r>
      <w:r>
        <w:fldChar w:fldCharType="end"/>
      </w:r>
      <w:r>
        <w:rPr>
          <w:rFonts w:hint="eastAsia" w:ascii="仿宋" w:hAnsi="仿宋" w:eastAsia="仿宋" w:cs="仿宋"/>
          <w:color w:val="auto"/>
          <w:highlight w:val="none"/>
        </w:rPr>
        <w:fldChar w:fldCharType="end"/>
      </w:r>
    </w:p>
    <w:p w14:paraId="6FF12793">
      <w:pPr>
        <w:pStyle w:val="19"/>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_Toc25496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第五章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采购需求</w:t>
      </w:r>
      <w:r>
        <w:tab/>
      </w:r>
      <w:r>
        <w:fldChar w:fldCharType="begin"/>
      </w:r>
      <w:r>
        <w:instrText xml:space="preserve"> PAGEREF _Toc25496 \h </w:instrText>
      </w:r>
      <w:r>
        <w:fldChar w:fldCharType="separate"/>
      </w:r>
      <w:r>
        <w:t>58</w:t>
      </w:r>
      <w:r>
        <w:fldChar w:fldCharType="end"/>
      </w:r>
      <w:r>
        <w:rPr>
          <w:rFonts w:hint="eastAsia" w:ascii="仿宋" w:hAnsi="仿宋" w:eastAsia="仿宋" w:cs="仿宋"/>
          <w:color w:val="auto"/>
          <w:highlight w:val="none"/>
        </w:rPr>
        <w:fldChar w:fldCharType="end"/>
      </w:r>
    </w:p>
    <w:p w14:paraId="7831F9F0">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_Toc26538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eastAsia="zh-CN"/>
        </w:rPr>
        <w:t>一、</w:t>
      </w:r>
      <w:r>
        <w:rPr>
          <w:rFonts w:hint="eastAsia" w:ascii="仿宋" w:hAnsi="仿宋" w:eastAsia="仿宋" w:cs="仿宋"/>
          <w:bCs/>
          <w:i w:val="0"/>
          <w:iCs w:val="0"/>
          <w:caps w:val="0"/>
          <w:spacing w:val="0"/>
          <w:szCs w:val="24"/>
          <w:shd w:val="clear" w:fill="FFFFFF"/>
        </w:rPr>
        <w:t>采购标的需实现的功能或者目标，以及为落实政府采购政策需满足的要求</w:t>
      </w:r>
      <w:r>
        <w:rPr>
          <w:rFonts w:hint="eastAsia" w:ascii="仿宋" w:hAnsi="仿宋" w:eastAsia="仿宋" w:cs="仿宋"/>
          <w:i w:val="0"/>
          <w:iCs w:val="0"/>
          <w:caps w:val="0"/>
          <w:spacing w:val="0"/>
          <w:szCs w:val="24"/>
          <w:shd w:val="clear" w:fill="FFFFFF"/>
        </w:rPr>
        <w:t>‌：</w:t>
      </w:r>
      <w:r>
        <w:tab/>
      </w:r>
      <w:r>
        <w:fldChar w:fldCharType="begin"/>
      </w:r>
      <w:r>
        <w:instrText xml:space="preserve"> PAGEREF _Toc26538 \h </w:instrText>
      </w:r>
      <w:r>
        <w:fldChar w:fldCharType="separate"/>
      </w:r>
      <w:r>
        <w:t>58</w:t>
      </w:r>
      <w:r>
        <w:fldChar w:fldCharType="end"/>
      </w:r>
      <w:r>
        <w:rPr>
          <w:rFonts w:hint="eastAsia" w:ascii="仿宋" w:hAnsi="仿宋" w:eastAsia="仿宋" w:cs="仿宋"/>
          <w:color w:val="auto"/>
          <w:highlight w:val="none"/>
        </w:rPr>
        <w:fldChar w:fldCharType="end"/>
      </w:r>
    </w:p>
    <w:p w14:paraId="17D42457">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_Toc3365 </w:instrText>
      </w:r>
      <w:r>
        <w:rPr>
          <w:rFonts w:hint="eastAsia" w:ascii="仿宋" w:hAnsi="仿宋" w:eastAsia="仿宋" w:cs="仿宋"/>
          <w:highlight w:val="none"/>
        </w:rPr>
        <w:fldChar w:fldCharType="separate"/>
      </w:r>
      <w:r>
        <w:rPr>
          <w:rFonts w:hint="eastAsia" w:ascii="仿宋" w:hAnsi="仿宋" w:eastAsia="仿宋" w:cs="仿宋"/>
          <w:i w:val="0"/>
          <w:iCs w:val="0"/>
          <w:caps w:val="0"/>
          <w:spacing w:val="0"/>
          <w:szCs w:val="24"/>
          <w:shd w:val="clear" w:fill="FFFFFF"/>
          <w:lang w:val="en-US" w:eastAsia="zh-CN"/>
        </w:rPr>
        <w:t>二、</w:t>
      </w:r>
      <w:r>
        <w:rPr>
          <w:rFonts w:hint="eastAsia" w:ascii="仿宋" w:hAnsi="仿宋" w:eastAsia="仿宋" w:cs="仿宋"/>
          <w:bCs/>
          <w:i w:val="0"/>
          <w:iCs w:val="0"/>
          <w:caps w:val="0"/>
          <w:spacing w:val="0"/>
          <w:szCs w:val="24"/>
          <w:shd w:val="clear" w:fill="FFFFFF"/>
        </w:rPr>
        <w:t>采购标的需执行的国家相关标准、行业标准、地方标准或者其他标准、规范</w:t>
      </w:r>
      <w:r>
        <w:rPr>
          <w:rFonts w:hint="eastAsia" w:ascii="仿宋" w:hAnsi="仿宋" w:eastAsia="仿宋" w:cs="仿宋"/>
          <w:bCs/>
          <w:i w:val="0"/>
          <w:iCs w:val="0"/>
          <w:caps w:val="0"/>
          <w:spacing w:val="0"/>
          <w:szCs w:val="24"/>
          <w:shd w:val="clear" w:fill="FFFFFF"/>
          <w:lang w:eastAsia="zh-CN"/>
        </w:rPr>
        <w:t>：</w:t>
      </w:r>
      <w:r>
        <w:rPr>
          <w:rFonts w:hint="eastAsia" w:ascii="仿宋" w:hAnsi="仿宋" w:eastAsia="仿宋" w:cs="仿宋"/>
          <w:i w:val="0"/>
          <w:iCs w:val="0"/>
          <w:caps w:val="0"/>
          <w:spacing w:val="0"/>
          <w:szCs w:val="24"/>
          <w:shd w:val="clear" w:fill="FFFFFF"/>
        </w:rPr>
        <w:t>‌</w:t>
      </w:r>
      <w:r>
        <w:tab/>
      </w:r>
      <w:r>
        <w:fldChar w:fldCharType="begin"/>
      </w:r>
      <w:r>
        <w:instrText xml:space="preserve"> PAGEREF _Toc3365 \h </w:instrText>
      </w:r>
      <w:r>
        <w:fldChar w:fldCharType="separate"/>
      </w:r>
      <w:r>
        <w:t>58</w:t>
      </w:r>
      <w:r>
        <w:fldChar w:fldCharType="end"/>
      </w:r>
      <w:r>
        <w:rPr>
          <w:rFonts w:hint="eastAsia" w:ascii="仿宋" w:hAnsi="仿宋" w:eastAsia="仿宋" w:cs="仿宋"/>
          <w:color w:val="auto"/>
          <w:highlight w:val="none"/>
        </w:rPr>
        <w:fldChar w:fldCharType="end"/>
      </w:r>
    </w:p>
    <w:p w14:paraId="1429F637">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_Toc16394 </w:instrText>
      </w:r>
      <w:r>
        <w:rPr>
          <w:rFonts w:hint="eastAsia" w:ascii="仿宋" w:hAnsi="仿宋" w:eastAsia="仿宋" w:cs="仿宋"/>
          <w:highlight w:val="none"/>
        </w:rPr>
        <w:fldChar w:fldCharType="separate"/>
      </w:r>
      <w:r>
        <w:rPr>
          <w:rFonts w:hint="eastAsia" w:ascii="仿宋" w:hAnsi="仿宋" w:eastAsia="仿宋" w:cs="仿宋"/>
          <w:bCs/>
          <w:i w:val="0"/>
          <w:iCs w:val="0"/>
          <w:caps w:val="0"/>
          <w:spacing w:val="0"/>
          <w:szCs w:val="24"/>
          <w:shd w:val="clear" w:fill="FFFFFF"/>
        </w:rPr>
        <w:t>三、 采购标的</w:t>
      </w:r>
      <w:r>
        <w:rPr>
          <w:rFonts w:hint="eastAsia" w:ascii="仿宋" w:hAnsi="仿宋" w:eastAsia="仿宋" w:cs="仿宋"/>
          <w:bCs/>
          <w:i w:val="0"/>
          <w:iCs w:val="0"/>
          <w:caps w:val="0"/>
          <w:spacing w:val="0"/>
          <w:szCs w:val="24"/>
          <w:shd w:val="clear" w:fill="FFFFFF"/>
          <w:lang w:val="en-US" w:eastAsia="zh-CN"/>
        </w:rPr>
        <w:t>技术、服务</w:t>
      </w:r>
      <w:r>
        <w:rPr>
          <w:rFonts w:hint="eastAsia" w:ascii="仿宋" w:hAnsi="仿宋" w:eastAsia="仿宋" w:cs="仿宋"/>
          <w:bCs/>
          <w:i w:val="0"/>
          <w:iCs w:val="0"/>
          <w:caps w:val="0"/>
          <w:spacing w:val="0"/>
          <w:szCs w:val="24"/>
          <w:shd w:val="clear" w:fill="FFFFFF"/>
        </w:rPr>
        <w:t>要求</w:t>
      </w:r>
      <w:r>
        <w:tab/>
      </w:r>
      <w:r>
        <w:fldChar w:fldCharType="begin"/>
      </w:r>
      <w:r>
        <w:instrText xml:space="preserve"> PAGEREF _Toc16394 \h </w:instrText>
      </w:r>
      <w:r>
        <w:fldChar w:fldCharType="separate"/>
      </w:r>
      <w:r>
        <w:t>58</w:t>
      </w:r>
      <w:r>
        <w:fldChar w:fldCharType="end"/>
      </w:r>
      <w:r>
        <w:rPr>
          <w:rFonts w:hint="eastAsia" w:ascii="仿宋" w:hAnsi="仿宋" w:eastAsia="仿宋" w:cs="仿宋"/>
          <w:color w:val="auto"/>
          <w:highlight w:val="none"/>
        </w:rPr>
        <w:fldChar w:fldCharType="end"/>
      </w:r>
    </w:p>
    <w:p w14:paraId="13FCFCB9">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_Toc12827 </w:instrText>
      </w:r>
      <w:r>
        <w:rPr>
          <w:rFonts w:hint="eastAsia" w:ascii="仿宋" w:hAnsi="仿宋" w:eastAsia="仿宋" w:cs="仿宋"/>
          <w:highlight w:val="none"/>
        </w:rPr>
        <w:fldChar w:fldCharType="separate"/>
      </w:r>
      <w:r>
        <w:rPr>
          <w:rFonts w:hint="eastAsia" w:ascii="仿宋" w:hAnsi="仿宋" w:eastAsia="仿宋" w:cs="仿宋"/>
          <w:bCs/>
          <w:i w:val="0"/>
          <w:iCs w:val="0"/>
          <w:caps w:val="0"/>
          <w:spacing w:val="0"/>
          <w:szCs w:val="24"/>
          <w:shd w:val="clear" w:fill="FFFFFF"/>
          <w:lang w:val="en-US" w:eastAsia="zh-CN"/>
        </w:rPr>
        <w:t>四、</w:t>
      </w:r>
      <w:r>
        <w:rPr>
          <w:rFonts w:hint="eastAsia" w:ascii="仿宋" w:hAnsi="仿宋" w:eastAsia="仿宋" w:cs="仿宋"/>
          <w:bCs/>
          <w:i w:val="0"/>
          <w:iCs w:val="0"/>
          <w:caps w:val="0"/>
          <w:spacing w:val="0"/>
          <w:szCs w:val="24"/>
          <w:shd w:val="clear" w:fill="FFFFFF"/>
        </w:rPr>
        <w:t>采购</w:t>
      </w:r>
      <w:r>
        <w:rPr>
          <w:rFonts w:hint="eastAsia" w:ascii="仿宋" w:hAnsi="仿宋" w:eastAsia="仿宋" w:cs="仿宋"/>
          <w:bCs/>
          <w:i w:val="0"/>
          <w:iCs w:val="0"/>
          <w:caps w:val="0"/>
          <w:spacing w:val="0"/>
          <w:szCs w:val="24"/>
          <w:shd w:val="clear" w:fill="FFFFFF"/>
          <w:lang w:val="en-US" w:eastAsia="zh-CN"/>
        </w:rPr>
        <w:t>标的的数量、采购项目交付或实施的时间和地点</w:t>
      </w:r>
      <w:r>
        <w:rPr>
          <w:rFonts w:hint="eastAsia" w:ascii="仿宋" w:hAnsi="仿宋" w:eastAsia="仿宋" w:cs="仿宋"/>
          <w:i w:val="0"/>
          <w:iCs w:val="0"/>
          <w:caps w:val="0"/>
          <w:spacing w:val="0"/>
          <w:szCs w:val="24"/>
          <w:shd w:val="clear" w:fill="FFFFFF"/>
        </w:rPr>
        <w:t>‌：</w:t>
      </w:r>
      <w:r>
        <w:tab/>
      </w:r>
      <w:r>
        <w:fldChar w:fldCharType="begin"/>
      </w:r>
      <w:r>
        <w:instrText xml:space="preserve"> PAGEREF _Toc12827 \h </w:instrText>
      </w:r>
      <w:r>
        <w:fldChar w:fldCharType="separate"/>
      </w:r>
      <w:r>
        <w:t>131</w:t>
      </w:r>
      <w:r>
        <w:fldChar w:fldCharType="end"/>
      </w:r>
      <w:r>
        <w:rPr>
          <w:rFonts w:hint="eastAsia" w:ascii="仿宋" w:hAnsi="仿宋" w:eastAsia="仿宋" w:cs="仿宋"/>
          <w:color w:val="auto"/>
          <w:highlight w:val="none"/>
        </w:rPr>
        <w:fldChar w:fldCharType="end"/>
      </w:r>
    </w:p>
    <w:p w14:paraId="33FEE6E5">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_Toc22027 </w:instrText>
      </w:r>
      <w:r>
        <w:rPr>
          <w:rFonts w:hint="eastAsia" w:ascii="仿宋" w:hAnsi="仿宋" w:eastAsia="仿宋" w:cs="仿宋"/>
          <w:highlight w:val="none"/>
        </w:rPr>
        <w:fldChar w:fldCharType="separate"/>
      </w:r>
      <w:r>
        <w:rPr>
          <w:rFonts w:hint="eastAsia" w:ascii="仿宋" w:hAnsi="仿宋" w:eastAsia="仿宋" w:cs="仿宋"/>
          <w:szCs w:val="24"/>
          <w:highlight w:val="none"/>
          <w:lang w:val="en-US" w:eastAsia="zh-CN"/>
        </w:rPr>
        <w:t>五、</w:t>
      </w:r>
      <w:r>
        <w:rPr>
          <w:rFonts w:hint="eastAsia" w:ascii="仿宋" w:hAnsi="仿宋" w:eastAsia="仿宋" w:cs="仿宋"/>
          <w:bCs/>
          <w:i w:val="0"/>
          <w:iCs w:val="0"/>
          <w:caps w:val="0"/>
          <w:spacing w:val="0"/>
          <w:szCs w:val="24"/>
          <w:shd w:val="clear" w:fill="FFFFFF"/>
        </w:rPr>
        <w:t>采购标的</w:t>
      </w:r>
      <w:r>
        <w:rPr>
          <w:rFonts w:hint="eastAsia" w:ascii="仿宋" w:hAnsi="仿宋" w:eastAsia="仿宋" w:cs="仿宋"/>
          <w:bCs/>
          <w:i w:val="0"/>
          <w:iCs w:val="0"/>
          <w:caps w:val="0"/>
          <w:spacing w:val="0"/>
          <w:szCs w:val="24"/>
          <w:shd w:val="clear" w:fill="FFFFFF"/>
          <w:lang w:val="en-US" w:eastAsia="zh-CN"/>
        </w:rPr>
        <w:t>需满足的服务标准、期限、效率等要求</w:t>
      </w:r>
      <w:r>
        <w:rPr>
          <w:rFonts w:hint="eastAsia" w:ascii="仿宋" w:hAnsi="仿宋" w:eastAsia="仿宋" w:cs="仿宋"/>
          <w:i w:val="0"/>
          <w:iCs w:val="0"/>
          <w:caps w:val="0"/>
          <w:spacing w:val="0"/>
          <w:szCs w:val="24"/>
          <w:shd w:val="clear" w:fill="FFFFFF"/>
        </w:rPr>
        <w:t>‌：</w:t>
      </w:r>
      <w:r>
        <w:tab/>
      </w:r>
      <w:r>
        <w:fldChar w:fldCharType="begin"/>
      </w:r>
      <w:r>
        <w:instrText xml:space="preserve"> PAGEREF _Toc22027 \h </w:instrText>
      </w:r>
      <w:r>
        <w:fldChar w:fldCharType="separate"/>
      </w:r>
      <w:r>
        <w:t>132</w:t>
      </w:r>
      <w:r>
        <w:fldChar w:fldCharType="end"/>
      </w:r>
      <w:r>
        <w:rPr>
          <w:rFonts w:hint="eastAsia" w:ascii="仿宋" w:hAnsi="仿宋" w:eastAsia="仿宋" w:cs="仿宋"/>
          <w:color w:val="auto"/>
          <w:highlight w:val="none"/>
        </w:rPr>
        <w:fldChar w:fldCharType="end"/>
      </w:r>
    </w:p>
    <w:p w14:paraId="0F81594A">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_Toc2430 </w:instrText>
      </w:r>
      <w:r>
        <w:rPr>
          <w:rFonts w:hint="eastAsia" w:ascii="仿宋" w:hAnsi="仿宋" w:eastAsia="仿宋" w:cs="仿宋"/>
          <w:highlight w:val="none"/>
        </w:rPr>
        <w:fldChar w:fldCharType="separate"/>
      </w:r>
      <w:r>
        <w:rPr>
          <w:rFonts w:hint="eastAsia" w:ascii="仿宋" w:hAnsi="仿宋" w:eastAsia="仿宋" w:cs="仿宋"/>
          <w:i w:val="0"/>
          <w:iCs w:val="0"/>
          <w:caps w:val="0"/>
          <w:spacing w:val="0"/>
          <w:szCs w:val="24"/>
          <w:shd w:val="clear" w:fill="FFFFFF"/>
          <w:lang w:val="en-US" w:eastAsia="zh-CN"/>
        </w:rPr>
        <w:t>六、</w:t>
      </w:r>
      <w:r>
        <w:rPr>
          <w:rFonts w:hint="eastAsia" w:ascii="仿宋" w:hAnsi="仿宋" w:eastAsia="仿宋" w:cs="仿宋"/>
          <w:bCs/>
          <w:i w:val="0"/>
          <w:iCs w:val="0"/>
          <w:caps w:val="0"/>
          <w:spacing w:val="0"/>
          <w:szCs w:val="24"/>
          <w:shd w:val="clear" w:fill="FFFFFF"/>
        </w:rPr>
        <w:t>采购标的验收标准</w:t>
      </w:r>
      <w:r>
        <w:rPr>
          <w:rFonts w:hint="eastAsia" w:ascii="仿宋" w:hAnsi="仿宋" w:eastAsia="仿宋" w:cs="仿宋"/>
          <w:i w:val="0"/>
          <w:iCs w:val="0"/>
          <w:caps w:val="0"/>
          <w:spacing w:val="0"/>
          <w:szCs w:val="24"/>
          <w:shd w:val="clear" w:fill="FFFFFF"/>
        </w:rPr>
        <w:t>‌：</w:t>
      </w:r>
      <w:r>
        <w:tab/>
      </w:r>
      <w:r>
        <w:fldChar w:fldCharType="begin"/>
      </w:r>
      <w:r>
        <w:instrText xml:space="preserve"> PAGEREF _Toc2430 \h </w:instrText>
      </w:r>
      <w:r>
        <w:fldChar w:fldCharType="separate"/>
      </w:r>
      <w:r>
        <w:t>133</w:t>
      </w:r>
      <w:r>
        <w:fldChar w:fldCharType="end"/>
      </w:r>
      <w:r>
        <w:rPr>
          <w:rFonts w:hint="eastAsia" w:ascii="仿宋" w:hAnsi="仿宋" w:eastAsia="仿宋" w:cs="仿宋"/>
          <w:color w:val="auto"/>
          <w:highlight w:val="none"/>
        </w:rPr>
        <w:fldChar w:fldCharType="end"/>
      </w:r>
    </w:p>
    <w:p w14:paraId="785BCF5F">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_Toc12336 </w:instrText>
      </w:r>
      <w:r>
        <w:rPr>
          <w:rFonts w:hint="eastAsia" w:ascii="仿宋" w:hAnsi="仿宋" w:eastAsia="仿宋" w:cs="仿宋"/>
          <w:highlight w:val="none"/>
        </w:rPr>
        <w:fldChar w:fldCharType="separate"/>
      </w:r>
      <w:r>
        <w:rPr>
          <w:rFonts w:hint="eastAsia" w:ascii="仿宋" w:hAnsi="仿宋" w:eastAsia="仿宋" w:cs="仿宋"/>
          <w:bCs/>
          <w:spacing w:val="10"/>
          <w:kern w:val="0"/>
          <w:szCs w:val="24"/>
          <w:lang w:val="en-US" w:eastAsia="zh-CN" w:bidi="ar-SA"/>
        </w:rPr>
        <w:t xml:space="preserve">七、 </w:t>
      </w:r>
      <w:r>
        <w:rPr>
          <w:rFonts w:hint="eastAsia" w:ascii="仿宋" w:hAnsi="仿宋" w:eastAsia="仿宋" w:cs="仿宋"/>
          <w:bCs/>
          <w:i w:val="0"/>
          <w:iCs w:val="0"/>
          <w:caps w:val="0"/>
          <w:spacing w:val="0"/>
          <w:szCs w:val="24"/>
          <w:shd w:val="clear" w:fill="FFFFFF"/>
        </w:rPr>
        <w:t>采购标的的其他技术、服务等要求</w:t>
      </w:r>
      <w:r>
        <w:rPr>
          <w:rFonts w:hint="eastAsia" w:ascii="仿宋" w:hAnsi="仿宋" w:eastAsia="仿宋" w:cs="仿宋"/>
          <w:bCs/>
          <w:i w:val="0"/>
          <w:iCs w:val="0"/>
          <w:caps w:val="0"/>
          <w:spacing w:val="0"/>
          <w:szCs w:val="24"/>
          <w:shd w:val="clear" w:fill="FFFFFF"/>
          <w:lang w:val="en-US" w:eastAsia="zh-CN"/>
        </w:rPr>
        <w:t>:</w:t>
      </w:r>
      <w:r>
        <w:rPr>
          <w:rFonts w:hint="eastAsia" w:ascii="仿宋" w:hAnsi="仿宋" w:eastAsia="仿宋" w:cs="仿宋"/>
          <w:i w:val="0"/>
          <w:iCs w:val="0"/>
          <w:caps w:val="0"/>
          <w:spacing w:val="0"/>
          <w:szCs w:val="24"/>
          <w:shd w:val="clear" w:fill="FFFFFF"/>
        </w:rPr>
        <w:t>‌</w:t>
      </w:r>
      <w:r>
        <w:tab/>
      </w:r>
      <w:r>
        <w:fldChar w:fldCharType="begin"/>
      </w:r>
      <w:r>
        <w:instrText xml:space="preserve"> PAGEREF _Toc12336 \h </w:instrText>
      </w:r>
      <w:r>
        <w:fldChar w:fldCharType="separate"/>
      </w:r>
      <w:r>
        <w:t>134</w:t>
      </w:r>
      <w:r>
        <w:fldChar w:fldCharType="end"/>
      </w:r>
      <w:r>
        <w:rPr>
          <w:rFonts w:hint="eastAsia" w:ascii="仿宋" w:hAnsi="仿宋" w:eastAsia="仿宋" w:cs="仿宋"/>
          <w:color w:val="auto"/>
          <w:highlight w:val="none"/>
        </w:rPr>
        <w:fldChar w:fldCharType="end"/>
      </w:r>
    </w:p>
    <w:p w14:paraId="07318BB8">
      <w:pPr>
        <w:pStyle w:val="19"/>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_Toc8485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第六章  资格审查标准</w:t>
      </w:r>
      <w:r>
        <w:tab/>
      </w:r>
      <w:r>
        <w:fldChar w:fldCharType="begin"/>
      </w:r>
      <w:r>
        <w:instrText xml:space="preserve"> PAGEREF _Toc8485 \h </w:instrText>
      </w:r>
      <w:r>
        <w:fldChar w:fldCharType="separate"/>
      </w:r>
      <w:r>
        <w:t>135</w:t>
      </w:r>
      <w:r>
        <w:fldChar w:fldCharType="end"/>
      </w:r>
      <w:r>
        <w:rPr>
          <w:rFonts w:hint="eastAsia" w:ascii="仿宋" w:hAnsi="仿宋" w:eastAsia="仿宋" w:cs="仿宋"/>
          <w:color w:val="auto"/>
          <w:highlight w:val="none"/>
        </w:rPr>
        <w:fldChar w:fldCharType="end"/>
      </w:r>
    </w:p>
    <w:p w14:paraId="01C2E769">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_Toc26262 </w:instrText>
      </w:r>
      <w:r>
        <w:rPr>
          <w:rFonts w:hint="eastAsia" w:ascii="仿宋" w:hAnsi="仿宋" w:eastAsia="仿宋" w:cs="仿宋"/>
          <w:highlight w:val="none"/>
        </w:rPr>
        <w:fldChar w:fldCharType="separate"/>
      </w:r>
      <w:r>
        <w:rPr>
          <w:rFonts w:hint="eastAsia" w:ascii="仿宋" w:hAnsi="仿宋" w:eastAsia="仿宋" w:cs="仿宋"/>
          <w:szCs w:val="28"/>
          <w:highlight w:val="none"/>
        </w:rPr>
        <w:t>评标办法前附表</w:t>
      </w:r>
      <w:r>
        <w:tab/>
      </w:r>
      <w:r>
        <w:fldChar w:fldCharType="begin"/>
      </w:r>
      <w:r>
        <w:instrText xml:space="preserve"> PAGEREF _Toc26262 \h </w:instrText>
      </w:r>
      <w:r>
        <w:fldChar w:fldCharType="separate"/>
      </w:r>
      <w:r>
        <w:t>135</w:t>
      </w:r>
      <w:r>
        <w:fldChar w:fldCharType="end"/>
      </w:r>
      <w:r>
        <w:rPr>
          <w:rFonts w:hint="eastAsia" w:ascii="仿宋" w:hAnsi="仿宋" w:eastAsia="仿宋" w:cs="仿宋"/>
          <w:color w:val="auto"/>
          <w:highlight w:val="none"/>
        </w:rPr>
        <w:fldChar w:fldCharType="end"/>
      </w:r>
    </w:p>
    <w:p w14:paraId="2F8D511D">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_Toc14087 </w:instrText>
      </w:r>
      <w:r>
        <w:rPr>
          <w:rFonts w:hint="eastAsia" w:ascii="仿宋" w:hAnsi="仿宋" w:eastAsia="仿宋" w:cs="仿宋"/>
          <w:highlight w:val="none"/>
        </w:rPr>
        <w:fldChar w:fldCharType="separate"/>
      </w:r>
      <w:r>
        <w:rPr>
          <w:rFonts w:hint="eastAsia" w:ascii="仿宋" w:hAnsi="仿宋" w:eastAsia="仿宋" w:cs="仿宋"/>
          <w:szCs w:val="28"/>
          <w:highlight w:val="none"/>
        </w:rPr>
        <w:t>1.资格审查</w:t>
      </w:r>
      <w:r>
        <w:tab/>
      </w:r>
      <w:r>
        <w:fldChar w:fldCharType="begin"/>
      </w:r>
      <w:r>
        <w:instrText xml:space="preserve"> PAGEREF _Toc14087 \h </w:instrText>
      </w:r>
      <w:r>
        <w:fldChar w:fldCharType="separate"/>
      </w:r>
      <w:r>
        <w:t>135</w:t>
      </w:r>
      <w:r>
        <w:fldChar w:fldCharType="end"/>
      </w:r>
      <w:r>
        <w:rPr>
          <w:rFonts w:hint="eastAsia" w:ascii="仿宋" w:hAnsi="仿宋" w:eastAsia="仿宋" w:cs="仿宋"/>
          <w:color w:val="auto"/>
          <w:highlight w:val="none"/>
        </w:rPr>
        <w:fldChar w:fldCharType="end"/>
      </w:r>
    </w:p>
    <w:p w14:paraId="34905484">
      <w:pPr>
        <w:pStyle w:val="19"/>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_Toc26200 </w:instrText>
      </w:r>
      <w:r>
        <w:rPr>
          <w:rFonts w:hint="eastAsia" w:ascii="仿宋" w:hAnsi="仿宋" w:eastAsia="仿宋" w:cs="仿宋"/>
          <w:highlight w:val="none"/>
        </w:rPr>
        <w:fldChar w:fldCharType="separate"/>
      </w:r>
      <w:r>
        <w:rPr>
          <w:rFonts w:hint="eastAsia" w:ascii="仿宋" w:hAnsi="仿宋" w:eastAsia="仿宋" w:cs="仿宋"/>
          <w:highlight w:val="none"/>
          <w:lang w:eastAsia="zh-CN"/>
        </w:rPr>
        <w:t>第</w:t>
      </w:r>
      <w:r>
        <w:rPr>
          <w:rFonts w:hint="eastAsia" w:ascii="仿宋" w:hAnsi="仿宋" w:eastAsia="仿宋" w:cs="仿宋"/>
          <w:highlight w:val="none"/>
          <w:lang w:val="en-US" w:eastAsia="zh-CN"/>
        </w:rPr>
        <w:t>七</w:t>
      </w:r>
      <w:r>
        <w:rPr>
          <w:rFonts w:hint="eastAsia" w:ascii="仿宋" w:hAnsi="仿宋" w:eastAsia="仿宋" w:cs="仿宋"/>
          <w:highlight w:val="none"/>
          <w:lang w:eastAsia="zh-CN"/>
        </w:rPr>
        <w:t>章</w:t>
      </w:r>
      <w:r>
        <w:rPr>
          <w:rFonts w:hint="eastAsia" w:ascii="仿宋" w:hAnsi="仿宋" w:eastAsia="仿宋" w:cs="仿宋"/>
          <w:highlight w:val="none"/>
          <w:lang w:val="en-US" w:eastAsia="zh-CN"/>
        </w:rPr>
        <w:t xml:space="preserve">  </w:t>
      </w:r>
      <w:r>
        <w:rPr>
          <w:rFonts w:hint="eastAsia" w:ascii="仿宋" w:hAnsi="仿宋" w:eastAsia="仿宋" w:cs="仿宋"/>
          <w:highlight w:val="none"/>
          <w:lang w:eastAsia="zh-CN"/>
        </w:rPr>
        <w:t>评标办法</w:t>
      </w:r>
      <w:r>
        <w:tab/>
      </w:r>
      <w:r>
        <w:fldChar w:fldCharType="begin"/>
      </w:r>
      <w:r>
        <w:instrText xml:space="preserve"> PAGEREF _Toc26200 \h </w:instrText>
      </w:r>
      <w:r>
        <w:fldChar w:fldCharType="separate"/>
      </w:r>
      <w:r>
        <w:t>136</w:t>
      </w:r>
      <w:r>
        <w:fldChar w:fldCharType="end"/>
      </w:r>
      <w:r>
        <w:rPr>
          <w:rFonts w:hint="eastAsia" w:ascii="仿宋" w:hAnsi="仿宋" w:eastAsia="仿宋" w:cs="仿宋"/>
          <w:color w:val="auto"/>
          <w:highlight w:val="none"/>
        </w:rPr>
        <w:fldChar w:fldCharType="end"/>
      </w:r>
    </w:p>
    <w:p w14:paraId="50B9F89D">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_Toc11688 </w:instrText>
      </w:r>
      <w:r>
        <w:rPr>
          <w:rFonts w:hint="eastAsia" w:ascii="仿宋" w:hAnsi="仿宋" w:eastAsia="仿宋" w:cs="仿宋"/>
          <w:highlight w:val="none"/>
        </w:rPr>
        <w:fldChar w:fldCharType="separate"/>
      </w:r>
      <w:r>
        <w:rPr>
          <w:rFonts w:hint="eastAsia" w:ascii="仿宋" w:hAnsi="仿宋" w:eastAsia="仿宋" w:cs="仿宋"/>
          <w:szCs w:val="28"/>
          <w:highlight w:val="none"/>
        </w:rPr>
        <w:t>评标办法前附表</w:t>
      </w:r>
      <w:r>
        <w:tab/>
      </w:r>
      <w:r>
        <w:fldChar w:fldCharType="begin"/>
      </w:r>
      <w:r>
        <w:instrText xml:space="preserve"> PAGEREF _Toc11688 \h </w:instrText>
      </w:r>
      <w:r>
        <w:fldChar w:fldCharType="separate"/>
      </w:r>
      <w:r>
        <w:t>136</w:t>
      </w:r>
      <w:r>
        <w:fldChar w:fldCharType="end"/>
      </w:r>
      <w:r>
        <w:rPr>
          <w:rFonts w:hint="eastAsia" w:ascii="仿宋" w:hAnsi="仿宋" w:eastAsia="仿宋" w:cs="仿宋"/>
          <w:color w:val="auto"/>
          <w:highlight w:val="none"/>
        </w:rPr>
        <w:fldChar w:fldCharType="end"/>
      </w:r>
    </w:p>
    <w:p w14:paraId="1CE19ABC">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_Toc29277 </w:instrText>
      </w:r>
      <w:r>
        <w:rPr>
          <w:rFonts w:hint="eastAsia" w:ascii="仿宋" w:hAnsi="仿宋" w:eastAsia="仿宋" w:cs="仿宋"/>
          <w:highlight w:val="none"/>
        </w:rPr>
        <w:fldChar w:fldCharType="separate"/>
      </w:r>
      <w:r>
        <w:rPr>
          <w:rFonts w:hint="eastAsia" w:ascii="仿宋" w:hAnsi="仿宋" w:eastAsia="仿宋" w:cs="仿宋"/>
          <w:szCs w:val="30"/>
          <w:highlight w:val="none"/>
        </w:rPr>
        <w:t>一、评标方法</w:t>
      </w:r>
      <w:r>
        <w:tab/>
      </w:r>
      <w:r>
        <w:fldChar w:fldCharType="begin"/>
      </w:r>
      <w:r>
        <w:instrText xml:space="preserve"> PAGEREF _Toc29277 \h </w:instrText>
      </w:r>
      <w:r>
        <w:fldChar w:fldCharType="separate"/>
      </w:r>
      <w:r>
        <w:t>143</w:t>
      </w:r>
      <w:r>
        <w:fldChar w:fldCharType="end"/>
      </w:r>
      <w:r>
        <w:rPr>
          <w:rFonts w:hint="eastAsia" w:ascii="仿宋" w:hAnsi="仿宋" w:eastAsia="仿宋" w:cs="仿宋"/>
          <w:color w:val="auto"/>
          <w:highlight w:val="none"/>
        </w:rPr>
        <w:fldChar w:fldCharType="end"/>
      </w:r>
    </w:p>
    <w:p w14:paraId="733DF0E7">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_Toc17664 </w:instrText>
      </w:r>
      <w:r>
        <w:rPr>
          <w:rFonts w:hint="eastAsia" w:ascii="仿宋" w:hAnsi="仿宋" w:eastAsia="仿宋" w:cs="仿宋"/>
          <w:highlight w:val="none"/>
        </w:rPr>
        <w:fldChar w:fldCharType="separate"/>
      </w:r>
      <w:r>
        <w:rPr>
          <w:rFonts w:hint="eastAsia" w:ascii="仿宋" w:hAnsi="仿宋" w:eastAsia="仿宋" w:cs="仿宋"/>
          <w:szCs w:val="30"/>
          <w:highlight w:val="none"/>
          <w:lang w:val="en-US" w:eastAsia="zh-CN"/>
        </w:rPr>
        <w:t>二</w:t>
      </w:r>
      <w:r>
        <w:rPr>
          <w:rFonts w:hint="eastAsia" w:ascii="仿宋" w:hAnsi="仿宋" w:eastAsia="仿宋" w:cs="仿宋"/>
          <w:szCs w:val="30"/>
          <w:highlight w:val="none"/>
        </w:rPr>
        <w:t>、评标原则</w:t>
      </w:r>
      <w:r>
        <w:tab/>
      </w:r>
      <w:r>
        <w:fldChar w:fldCharType="begin"/>
      </w:r>
      <w:r>
        <w:instrText xml:space="preserve"> PAGEREF _Toc17664 \h </w:instrText>
      </w:r>
      <w:r>
        <w:fldChar w:fldCharType="separate"/>
      </w:r>
      <w:r>
        <w:t>145</w:t>
      </w:r>
      <w:r>
        <w:fldChar w:fldCharType="end"/>
      </w:r>
      <w:r>
        <w:rPr>
          <w:rFonts w:hint="eastAsia" w:ascii="仿宋" w:hAnsi="仿宋" w:eastAsia="仿宋" w:cs="仿宋"/>
          <w:color w:val="auto"/>
          <w:highlight w:val="none"/>
        </w:rPr>
        <w:fldChar w:fldCharType="end"/>
      </w:r>
    </w:p>
    <w:p w14:paraId="069B5A37">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_Toc22721 </w:instrText>
      </w:r>
      <w:r>
        <w:rPr>
          <w:rFonts w:hint="eastAsia" w:ascii="仿宋" w:hAnsi="仿宋" w:eastAsia="仿宋" w:cs="仿宋"/>
          <w:highlight w:val="none"/>
        </w:rPr>
        <w:fldChar w:fldCharType="separate"/>
      </w:r>
      <w:r>
        <w:rPr>
          <w:rFonts w:hint="eastAsia" w:ascii="仿宋" w:hAnsi="仿宋" w:eastAsia="仿宋" w:cs="仿宋"/>
          <w:szCs w:val="30"/>
          <w:highlight w:val="none"/>
          <w:lang w:val="en-US" w:eastAsia="zh-CN"/>
        </w:rPr>
        <w:t>三</w:t>
      </w:r>
      <w:r>
        <w:rPr>
          <w:rFonts w:hint="eastAsia" w:ascii="仿宋" w:hAnsi="仿宋" w:eastAsia="仿宋" w:cs="仿宋"/>
          <w:szCs w:val="30"/>
          <w:highlight w:val="none"/>
        </w:rPr>
        <w:t>、评标纪律</w:t>
      </w:r>
      <w:r>
        <w:tab/>
      </w:r>
      <w:r>
        <w:fldChar w:fldCharType="begin"/>
      </w:r>
      <w:r>
        <w:instrText xml:space="preserve"> PAGEREF _Toc22721 \h </w:instrText>
      </w:r>
      <w:r>
        <w:fldChar w:fldCharType="separate"/>
      </w:r>
      <w:r>
        <w:t>146</w:t>
      </w:r>
      <w:r>
        <w:fldChar w:fldCharType="end"/>
      </w:r>
      <w:r>
        <w:rPr>
          <w:rFonts w:hint="eastAsia" w:ascii="仿宋" w:hAnsi="仿宋" w:eastAsia="仿宋" w:cs="仿宋"/>
          <w:color w:val="auto"/>
          <w:highlight w:val="none"/>
        </w:rPr>
        <w:fldChar w:fldCharType="end"/>
      </w:r>
    </w:p>
    <w:p w14:paraId="2C2A7B3F">
      <w:pPr>
        <w:pStyle w:val="23"/>
        <w:tabs>
          <w:tab w:val="right" w:leader="dot" w:pos="9412"/>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_Toc28855 </w:instrText>
      </w:r>
      <w:r>
        <w:rPr>
          <w:rFonts w:hint="eastAsia" w:ascii="仿宋" w:hAnsi="仿宋" w:eastAsia="仿宋" w:cs="仿宋"/>
          <w:highlight w:val="none"/>
        </w:rPr>
        <w:fldChar w:fldCharType="separate"/>
      </w:r>
      <w:r>
        <w:rPr>
          <w:rFonts w:hint="eastAsia" w:ascii="仿宋" w:hAnsi="仿宋" w:eastAsia="仿宋" w:cs="仿宋"/>
          <w:szCs w:val="30"/>
          <w:highlight w:val="none"/>
          <w:lang w:val="en-US" w:eastAsia="zh-CN"/>
        </w:rPr>
        <w:t>四</w:t>
      </w:r>
      <w:r>
        <w:rPr>
          <w:rFonts w:hint="eastAsia" w:ascii="仿宋" w:hAnsi="仿宋" w:eastAsia="仿宋" w:cs="仿宋"/>
          <w:szCs w:val="30"/>
          <w:highlight w:val="none"/>
        </w:rPr>
        <w:t>、评标程序和标准</w:t>
      </w:r>
      <w:r>
        <w:tab/>
      </w:r>
      <w:r>
        <w:fldChar w:fldCharType="begin"/>
      </w:r>
      <w:r>
        <w:instrText xml:space="preserve"> PAGEREF _Toc28855 \h </w:instrText>
      </w:r>
      <w:r>
        <w:fldChar w:fldCharType="separate"/>
      </w:r>
      <w:r>
        <w:t>146</w:t>
      </w:r>
      <w:r>
        <w:fldChar w:fldCharType="end"/>
      </w:r>
      <w:r>
        <w:rPr>
          <w:rFonts w:hint="eastAsia" w:ascii="仿宋" w:hAnsi="仿宋" w:eastAsia="仿宋" w:cs="仿宋"/>
          <w:color w:val="auto"/>
          <w:highlight w:val="none"/>
        </w:rPr>
        <w:fldChar w:fldCharType="end"/>
      </w:r>
    </w:p>
    <w:p w14:paraId="4D2CF3B1">
      <w:pPr>
        <w:pStyle w:val="9"/>
        <w:keepNext w:val="0"/>
        <w:keepLines w:val="0"/>
        <w:pageBreakBefore w:val="0"/>
        <w:widowControl w:val="0"/>
        <w:shd w:val="clear"/>
        <w:kinsoku/>
        <w:wordWrap/>
        <w:overflowPunct/>
        <w:topLinePunct w:val="0"/>
        <w:autoSpaceDE/>
        <w:autoSpaceDN/>
        <w:bidi w:val="0"/>
        <w:adjustRightInd/>
        <w:snapToGrid/>
        <w:spacing w:before="0" w:beforeAutospacing="0" w:afterAutospacing="0" w:line="360" w:lineRule="auto"/>
        <w:ind w:left="0" w:leftChars="0" w:right="0" w:rightChars="0" w:firstLine="480" w:firstLineChars="200"/>
        <w:textAlignment w:val="auto"/>
        <w:rPr>
          <w:rFonts w:hint="eastAsia" w:ascii="仿宋" w:hAnsi="仿宋" w:eastAsia="仿宋" w:cs="仿宋"/>
          <w:color w:val="auto"/>
          <w:highlight w:val="none"/>
        </w:rPr>
        <w:sectPr>
          <w:footerReference r:id="rId5" w:type="default"/>
          <w:pgSz w:w="11906" w:h="16838"/>
          <w:pgMar w:top="1418" w:right="1247" w:bottom="1418" w:left="1247" w:header="850" w:footer="851" w:gutter="0"/>
          <w:pgNumType w:start="1"/>
          <w:cols w:space="720" w:num="1"/>
          <w:docGrid w:linePitch="312" w:charSpace="0"/>
        </w:sectPr>
      </w:pPr>
      <w:r>
        <w:rPr>
          <w:rFonts w:hint="eastAsia" w:ascii="仿宋" w:hAnsi="仿宋" w:eastAsia="仿宋" w:cs="仿宋"/>
          <w:color w:val="auto"/>
          <w:highlight w:val="none"/>
        </w:rPr>
        <w:fldChar w:fldCharType="end"/>
      </w:r>
      <w:bookmarkStart w:id="0" w:name="_Toc244341279"/>
      <w:bookmarkStart w:id="1" w:name="_Toc364392598"/>
      <w:bookmarkStart w:id="2" w:name="_Toc13887"/>
      <w:bookmarkStart w:id="3" w:name="_Toc4779"/>
      <w:bookmarkStart w:id="4" w:name="_Toc5293"/>
      <w:bookmarkStart w:id="5" w:name="_Toc23332"/>
      <w:bookmarkStart w:id="6" w:name="_Toc18506"/>
    </w:p>
    <w:p w14:paraId="79F61F1B">
      <w:pPr>
        <w:pStyle w:val="2"/>
        <w:pageBreakBefore w:val="0"/>
        <w:shd w:val="clear"/>
        <w:topLinePunct w:val="0"/>
        <w:bidi w:val="0"/>
        <w:spacing w:beforeAutospacing="0" w:afterAutospacing="0" w:line="360" w:lineRule="auto"/>
        <w:ind w:left="0" w:leftChars="0" w:right="0" w:rightChars="0" w:firstLine="883" w:firstLineChars="200"/>
        <w:outlineLvl w:val="0"/>
        <w:rPr>
          <w:rFonts w:hint="eastAsia" w:ascii="仿宋" w:hAnsi="仿宋" w:eastAsia="仿宋" w:cs="仿宋"/>
          <w:color w:val="auto"/>
          <w:highlight w:val="none"/>
        </w:rPr>
      </w:pPr>
      <w:bookmarkStart w:id="7" w:name="_Toc12793"/>
      <w:bookmarkStart w:id="8" w:name="_Toc21310"/>
      <w:r>
        <w:rPr>
          <w:rFonts w:hint="eastAsia" w:ascii="仿宋" w:hAnsi="仿宋" w:eastAsia="仿宋" w:cs="仿宋"/>
          <w:color w:val="auto"/>
          <w:highlight w:val="none"/>
        </w:rPr>
        <w:t>第一章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招标</w:t>
      </w:r>
      <w:bookmarkEnd w:id="0"/>
      <w:bookmarkEnd w:id="1"/>
      <w:r>
        <w:rPr>
          <w:rFonts w:hint="eastAsia" w:ascii="仿宋" w:hAnsi="仿宋" w:eastAsia="仿宋" w:cs="仿宋"/>
          <w:color w:val="auto"/>
          <w:highlight w:val="none"/>
        </w:rPr>
        <w:t>公告</w:t>
      </w:r>
      <w:bookmarkEnd w:id="2"/>
      <w:bookmarkEnd w:id="3"/>
      <w:bookmarkEnd w:id="4"/>
      <w:bookmarkEnd w:id="5"/>
      <w:bookmarkEnd w:id="6"/>
      <w:bookmarkEnd w:id="7"/>
      <w:bookmarkEnd w:id="8"/>
    </w:p>
    <w:p w14:paraId="347085E3">
      <w:pPr>
        <w:keepNext w:val="0"/>
        <w:keepLines w:val="0"/>
        <w:pageBreakBefore w:val="0"/>
        <w:widowControl w:val="0"/>
        <w:pBdr>
          <w:top w:val="single" w:color="auto" w:sz="4" w:space="6"/>
          <w:left w:val="single" w:color="auto" w:sz="4" w:space="4"/>
          <w:bottom w:val="single" w:color="auto" w:sz="4" w:space="1"/>
          <w:right w:val="single" w:color="auto" w:sz="4" w:space="4"/>
        </w:pBdr>
        <w:shd w:val="clear"/>
        <w:kinsoku/>
        <w:wordWrap/>
        <w:overflowPunct/>
        <w:topLinePunct w:val="0"/>
        <w:autoSpaceDE w:val="0"/>
        <w:autoSpaceDN w:val="0"/>
        <w:bidi w:val="0"/>
        <w:adjustRightInd w:val="0"/>
        <w:snapToGrid/>
        <w:spacing w:beforeAutospacing="0" w:afterAutospacing="0" w:line="360" w:lineRule="auto"/>
        <w:ind w:left="0" w:leftChars="0" w:right="0" w:rightChars="0" w:firstLine="482" w:firstLineChars="200"/>
        <w:jc w:val="center"/>
        <w:textAlignment w:val="auto"/>
        <w:rPr>
          <w:rFonts w:hint="eastAsia" w:ascii="仿宋" w:hAnsi="仿宋" w:eastAsia="仿宋" w:cs="仿宋"/>
          <w:b/>
          <w:color w:val="auto"/>
          <w:kern w:val="0"/>
          <w:sz w:val="24"/>
          <w:szCs w:val="22"/>
          <w:highlight w:val="none"/>
          <w:u w:val="none"/>
          <w:lang w:val="en-US" w:eastAsia="zh-CN"/>
        </w:rPr>
      </w:pPr>
      <w:bookmarkStart w:id="9" w:name="_Toc29102"/>
      <w:bookmarkStart w:id="10" w:name="_Toc1850"/>
      <w:bookmarkStart w:id="11" w:name="_Toc13484"/>
      <w:bookmarkStart w:id="12" w:name="_Toc17257"/>
      <w:bookmarkStart w:id="13" w:name="_Toc7911"/>
      <w:r>
        <w:rPr>
          <w:rFonts w:hint="eastAsia" w:ascii="仿宋" w:hAnsi="仿宋" w:eastAsia="仿宋" w:cs="仿宋"/>
          <w:b/>
          <w:color w:val="auto"/>
          <w:kern w:val="0"/>
          <w:sz w:val="24"/>
          <w:szCs w:val="22"/>
          <w:highlight w:val="none"/>
          <w:u w:val="none"/>
          <w:lang w:val="en-US" w:eastAsia="zh-CN"/>
        </w:rPr>
        <w:t>项目概况</w:t>
      </w:r>
    </w:p>
    <w:p w14:paraId="2E356E8B">
      <w:pPr>
        <w:keepNext w:val="0"/>
        <w:keepLines w:val="0"/>
        <w:pageBreakBefore w:val="0"/>
        <w:widowControl w:val="0"/>
        <w:pBdr>
          <w:top w:val="single" w:color="auto" w:sz="4" w:space="6"/>
          <w:left w:val="single" w:color="auto" w:sz="4" w:space="4"/>
          <w:bottom w:val="single" w:color="auto" w:sz="4" w:space="1"/>
          <w:right w:val="single" w:color="auto" w:sz="4" w:space="4"/>
        </w:pBdr>
        <w:shd w:val="clear"/>
        <w:kinsoku/>
        <w:wordWrap/>
        <w:overflowPunct/>
        <w:topLinePunct w:val="0"/>
        <w:autoSpaceDE w:val="0"/>
        <w:autoSpaceDN w:val="0"/>
        <w:bidi w:val="0"/>
        <w:adjustRightInd w:val="0"/>
        <w:snapToGrid/>
        <w:spacing w:beforeAutospacing="0" w:afterAutospacing="0" w:line="360" w:lineRule="auto"/>
        <w:ind w:left="0" w:leftChars="0" w:right="0" w:rightChars="0" w:firstLine="482" w:firstLineChars="200"/>
        <w:jc w:val="both"/>
        <w:textAlignment w:val="auto"/>
        <w:rPr>
          <w:rFonts w:hint="eastAsia" w:ascii="仿宋" w:hAnsi="仿宋" w:eastAsia="仿宋" w:cs="仿宋"/>
          <w:color w:val="auto"/>
          <w:sz w:val="24"/>
          <w:highlight w:val="none"/>
        </w:rPr>
      </w:pPr>
      <w:r>
        <w:rPr>
          <w:rFonts w:hint="eastAsia" w:ascii="仿宋" w:hAnsi="仿宋" w:eastAsia="仿宋" w:cs="仿宋"/>
          <w:b/>
          <w:color w:val="auto"/>
          <w:kern w:val="0"/>
          <w:sz w:val="24"/>
          <w:szCs w:val="22"/>
          <w:highlight w:val="none"/>
          <w:u w:val="none"/>
          <w:lang w:eastAsia="zh-CN"/>
        </w:rPr>
        <w:t>丽江职业技术学院教学设备更新提升项目新能源汽车“三电”技术实训中心建设项目</w:t>
      </w:r>
      <w:r>
        <w:rPr>
          <w:rFonts w:hint="eastAsia" w:ascii="仿宋" w:hAnsi="仿宋" w:eastAsia="仿宋" w:cs="仿宋"/>
          <w:b/>
          <w:color w:val="auto"/>
          <w:kern w:val="0"/>
          <w:sz w:val="24"/>
          <w:szCs w:val="22"/>
          <w:highlight w:val="none"/>
          <w:u w:val="none"/>
        </w:rPr>
        <w:t>公开招标</w:t>
      </w:r>
      <w:r>
        <w:rPr>
          <w:rFonts w:hint="eastAsia" w:ascii="仿宋" w:hAnsi="仿宋" w:eastAsia="仿宋" w:cs="仿宋"/>
          <w:bCs/>
          <w:color w:val="auto"/>
          <w:kern w:val="0"/>
          <w:sz w:val="24"/>
          <w:szCs w:val="22"/>
          <w:highlight w:val="none"/>
        </w:rPr>
        <w:t>的潜在投标人</w:t>
      </w:r>
      <w:r>
        <w:rPr>
          <w:rFonts w:hint="eastAsia" w:ascii="仿宋" w:hAnsi="仿宋" w:eastAsia="仿宋" w:cs="仿宋"/>
          <w:bCs/>
          <w:color w:val="auto"/>
          <w:sz w:val="24"/>
          <w:highlight w:val="none"/>
        </w:rPr>
        <w:t>应</w:t>
      </w:r>
      <w:r>
        <w:rPr>
          <w:rFonts w:hint="eastAsia" w:ascii="仿宋" w:hAnsi="仿宋" w:eastAsia="仿宋" w:cs="仿宋"/>
          <w:b w:val="0"/>
          <w:bCs/>
          <w:color w:val="auto"/>
          <w:sz w:val="24"/>
          <w:highlight w:val="none"/>
        </w:rPr>
        <w:t>在</w:t>
      </w:r>
      <w:r>
        <w:rPr>
          <w:rFonts w:hint="eastAsia" w:ascii="仿宋" w:hAnsi="仿宋" w:eastAsia="仿宋" w:cs="仿宋"/>
          <w:b/>
          <w:bCs/>
          <w:color w:val="auto"/>
          <w:sz w:val="24"/>
          <w:highlight w:val="none"/>
          <w:lang w:eastAsia="zh-CN"/>
        </w:rPr>
        <w:t>政采云平台（https:www.zcygov.cn）</w:t>
      </w:r>
      <w:r>
        <w:rPr>
          <w:rStyle w:val="32"/>
          <w:rFonts w:hint="eastAsia" w:ascii="仿宋" w:hAnsi="仿宋" w:eastAsia="仿宋" w:cs="仿宋"/>
          <w:b/>
          <w:color w:val="auto"/>
          <w:sz w:val="24"/>
          <w:szCs w:val="22"/>
          <w:highlight w:val="none"/>
        </w:rPr>
        <w:fldChar w:fldCharType="begin"/>
      </w:r>
      <w:r>
        <w:rPr>
          <w:rStyle w:val="32"/>
          <w:rFonts w:hint="eastAsia" w:ascii="仿宋" w:hAnsi="仿宋" w:eastAsia="仿宋" w:cs="仿宋"/>
          <w:b/>
          <w:color w:val="auto"/>
          <w:sz w:val="24"/>
          <w:szCs w:val="22"/>
          <w:highlight w:val="none"/>
        </w:rPr>
        <w:instrText xml:space="preserve"> HYPERLINK "http://116.55.195.54:8001/#/homePage，点击切换至\“丽江市\”）获取招标文件，并于2022年" </w:instrText>
      </w:r>
      <w:r>
        <w:rPr>
          <w:rStyle w:val="32"/>
          <w:rFonts w:hint="eastAsia" w:ascii="仿宋" w:hAnsi="仿宋" w:eastAsia="仿宋" w:cs="仿宋"/>
          <w:b/>
          <w:color w:val="auto"/>
          <w:sz w:val="24"/>
          <w:szCs w:val="22"/>
          <w:highlight w:val="none"/>
        </w:rPr>
        <w:fldChar w:fldCharType="separate"/>
      </w:r>
      <w:r>
        <w:rPr>
          <w:rStyle w:val="32"/>
          <w:rFonts w:hint="eastAsia" w:ascii="仿宋" w:hAnsi="仿宋" w:eastAsia="仿宋" w:cs="仿宋"/>
          <w:b w:val="0"/>
          <w:bCs/>
          <w:color w:val="auto"/>
          <w:sz w:val="24"/>
          <w:szCs w:val="22"/>
          <w:highlight w:val="none"/>
        </w:rPr>
        <w:t>获取招标文件，</w:t>
      </w:r>
      <w:r>
        <w:rPr>
          <w:rStyle w:val="32"/>
          <w:rFonts w:hint="eastAsia" w:ascii="仿宋" w:hAnsi="仿宋" w:eastAsia="仿宋" w:cs="仿宋"/>
          <w:b/>
          <w:color w:val="auto"/>
          <w:sz w:val="24"/>
          <w:szCs w:val="22"/>
          <w:highlight w:val="none"/>
        </w:rPr>
        <w:t>并于</w:t>
      </w:r>
      <w:r>
        <w:rPr>
          <w:rStyle w:val="32"/>
          <w:rFonts w:hint="eastAsia" w:ascii="仿宋" w:hAnsi="仿宋" w:eastAsia="仿宋" w:cs="仿宋"/>
          <w:b/>
          <w:color w:val="auto"/>
          <w:sz w:val="24"/>
          <w:szCs w:val="22"/>
          <w:highlight w:val="none"/>
          <w:lang w:eastAsia="zh-CN"/>
        </w:rPr>
        <w:t>2026</w:t>
      </w:r>
      <w:r>
        <w:rPr>
          <w:rStyle w:val="32"/>
          <w:rFonts w:hint="eastAsia" w:ascii="仿宋" w:hAnsi="仿宋" w:eastAsia="仿宋" w:cs="仿宋"/>
          <w:b/>
          <w:color w:val="auto"/>
          <w:sz w:val="24"/>
          <w:szCs w:val="22"/>
          <w:highlight w:val="none"/>
          <w:lang w:val="en-US" w:eastAsia="zh-CN"/>
        </w:rPr>
        <w:t>-</w:t>
      </w:r>
      <w:r>
        <w:rPr>
          <w:rStyle w:val="32"/>
          <w:rFonts w:hint="eastAsia" w:ascii="仿宋" w:hAnsi="仿宋" w:eastAsia="仿宋" w:cs="仿宋"/>
          <w:b/>
          <w:color w:val="auto"/>
          <w:sz w:val="24"/>
          <w:szCs w:val="22"/>
          <w:highlight w:val="none"/>
        </w:rPr>
        <w:fldChar w:fldCharType="end"/>
      </w:r>
      <w:r>
        <w:rPr>
          <w:rStyle w:val="32"/>
          <w:rFonts w:hint="eastAsia" w:ascii="仿宋" w:hAnsi="仿宋" w:eastAsia="仿宋" w:cs="仿宋"/>
          <w:b/>
          <w:color w:val="auto"/>
          <w:sz w:val="24"/>
          <w:szCs w:val="22"/>
          <w:highlight w:val="none"/>
          <w:lang w:val="en-US" w:eastAsia="zh-CN"/>
        </w:rPr>
        <w:t>05-30  09:30</w:t>
      </w:r>
      <w:r>
        <w:rPr>
          <w:rStyle w:val="32"/>
          <w:rFonts w:hint="eastAsia" w:ascii="仿宋" w:hAnsi="仿宋" w:eastAsia="仿宋" w:cs="仿宋"/>
          <w:b/>
          <w:color w:val="auto"/>
          <w:sz w:val="24"/>
          <w:szCs w:val="22"/>
          <w:highlight w:val="none"/>
          <w:u w:val="none"/>
        </w:rPr>
        <w:t>（</w:t>
      </w:r>
      <w:r>
        <w:rPr>
          <w:rFonts w:hint="eastAsia" w:ascii="仿宋" w:hAnsi="仿宋" w:eastAsia="仿宋" w:cs="仿宋"/>
          <w:b/>
          <w:color w:val="auto"/>
          <w:sz w:val="24"/>
          <w:highlight w:val="none"/>
          <w:u w:val="none"/>
        </w:rPr>
        <w:t>北京时间）</w:t>
      </w:r>
      <w:r>
        <w:rPr>
          <w:rFonts w:hint="eastAsia" w:ascii="仿宋" w:hAnsi="仿宋" w:eastAsia="仿宋" w:cs="仿宋"/>
          <w:bCs/>
          <w:color w:val="auto"/>
          <w:sz w:val="24"/>
          <w:highlight w:val="none"/>
        </w:rPr>
        <w:t>前</w:t>
      </w:r>
      <w:r>
        <w:rPr>
          <w:rFonts w:hint="eastAsia" w:ascii="仿宋" w:hAnsi="仿宋" w:eastAsia="仿宋" w:cs="仿宋"/>
          <w:bCs/>
          <w:color w:val="auto"/>
          <w:sz w:val="24"/>
          <w:highlight w:val="none"/>
          <w:lang w:val="en-US" w:eastAsia="zh-CN"/>
        </w:rPr>
        <w:t>递交</w:t>
      </w:r>
      <w:r>
        <w:rPr>
          <w:rFonts w:hint="eastAsia" w:ascii="仿宋" w:hAnsi="仿宋" w:eastAsia="仿宋" w:cs="仿宋"/>
          <w:bCs/>
          <w:color w:val="auto"/>
          <w:sz w:val="24"/>
          <w:highlight w:val="none"/>
        </w:rPr>
        <w:t>投标文件。</w:t>
      </w:r>
    </w:p>
    <w:p w14:paraId="7A9FC924">
      <w:pPr>
        <w:pStyle w:val="3"/>
        <w:pageBreakBefore w:val="0"/>
        <w:shd w:val="clear"/>
        <w:topLinePunct w:val="0"/>
        <w:bidi w:val="0"/>
        <w:spacing w:beforeAutospacing="0" w:afterAutospacing="0" w:line="360" w:lineRule="auto"/>
        <w:ind w:left="0" w:leftChars="0" w:right="0" w:rightChars="0" w:firstLine="600" w:firstLineChars="200"/>
        <w:jc w:val="left"/>
        <w:outlineLvl w:val="1"/>
        <w:rPr>
          <w:rFonts w:hint="eastAsia" w:ascii="仿宋" w:hAnsi="仿宋" w:eastAsia="仿宋" w:cs="仿宋"/>
          <w:color w:val="auto"/>
          <w:highlight w:val="none"/>
        </w:rPr>
      </w:pPr>
      <w:bookmarkStart w:id="14" w:name="_Toc28332"/>
      <w:bookmarkStart w:id="15" w:name="_Toc21183"/>
      <w:r>
        <w:rPr>
          <w:rFonts w:hint="eastAsia" w:ascii="仿宋" w:hAnsi="仿宋" w:eastAsia="仿宋" w:cs="仿宋"/>
          <w:color w:val="auto"/>
          <w:sz w:val="30"/>
          <w:szCs w:val="30"/>
          <w:highlight w:val="none"/>
        </w:rPr>
        <w:t>一、项目基本情况</w:t>
      </w:r>
      <w:bookmarkEnd w:id="9"/>
      <w:bookmarkEnd w:id="10"/>
      <w:bookmarkEnd w:id="11"/>
      <w:bookmarkEnd w:id="12"/>
      <w:bookmarkEnd w:id="14"/>
      <w:bookmarkEnd w:id="15"/>
    </w:p>
    <w:p w14:paraId="2E9776B9">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1.项目编号：LJZC2026-G1-00307-YNLB-0104</w:t>
      </w:r>
    </w:p>
    <w:p w14:paraId="2AA9F15B">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2.项目名称：丽江职业技术学院教学设备更新提升项目新能源汽车“三电”技术实训中心建设项目</w:t>
      </w:r>
    </w:p>
    <w:p w14:paraId="18E7EDFD">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3.预算金额</w:t>
      </w:r>
      <w:r>
        <w:rPr>
          <w:rFonts w:hint="eastAsia" w:ascii="仿宋" w:hAnsi="仿宋" w:eastAsia="仿宋" w:cs="仿宋"/>
          <w:color w:val="auto"/>
          <w:sz w:val="24"/>
          <w:szCs w:val="22"/>
          <w:highlight w:val="none"/>
          <w:lang w:eastAsia="zh-CN"/>
        </w:rPr>
        <w:t>：</w:t>
      </w:r>
      <w:r>
        <w:rPr>
          <w:rFonts w:hint="eastAsia" w:ascii="仿宋" w:hAnsi="仿宋" w:eastAsia="仿宋" w:cs="仿宋"/>
          <w:i w:val="0"/>
          <w:iCs w:val="0"/>
          <w:color w:val="auto"/>
          <w:kern w:val="0"/>
          <w:sz w:val="24"/>
          <w:szCs w:val="24"/>
          <w:highlight w:val="none"/>
          <w:u w:val="none"/>
          <w:lang w:val="en-US" w:eastAsia="zh-CN" w:bidi="ar"/>
        </w:rPr>
        <w:t>372.488万元</w:t>
      </w:r>
    </w:p>
    <w:p w14:paraId="2B50C13E">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strike/>
          <w:dstrike w:val="0"/>
          <w:color w:val="auto"/>
          <w:sz w:val="24"/>
          <w:szCs w:val="22"/>
          <w:highlight w:val="none"/>
          <w:lang w:val="en-US"/>
        </w:rPr>
      </w:pPr>
      <w:r>
        <w:rPr>
          <w:rFonts w:hint="eastAsia" w:ascii="仿宋" w:hAnsi="仿宋" w:eastAsia="仿宋" w:cs="仿宋"/>
          <w:color w:val="auto"/>
          <w:sz w:val="24"/>
          <w:szCs w:val="22"/>
          <w:highlight w:val="none"/>
          <w:lang w:val="en-US" w:eastAsia="zh-CN"/>
        </w:rPr>
        <w:t>4.</w:t>
      </w:r>
      <w:r>
        <w:rPr>
          <w:rFonts w:hint="eastAsia" w:ascii="仿宋" w:hAnsi="仿宋" w:eastAsia="仿宋" w:cs="仿宋"/>
          <w:color w:val="auto"/>
          <w:sz w:val="24"/>
          <w:szCs w:val="22"/>
          <w:highlight w:val="none"/>
        </w:rPr>
        <w:t>最高限价</w:t>
      </w:r>
      <w:r>
        <w:rPr>
          <w:rFonts w:hint="eastAsia" w:ascii="仿宋" w:hAnsi="仿宋" w:eastAsia="仿宋" w:cs="仿宋"/>
          <w:color w:val="auto"/>
          <w:sz w:val="24"/>
          <w:szCs w:val="22"/>
          <w:highlight w:val="none"/>
          <w:lang w:eastAsia="zh-CN"/>
        </w:rPr>
        <w:t>：</w:t>
      </w:r>
      <w:r>
        <w:rPr>
          <w:rFonts w:hint="eastAsia" w:ascii="仿宋" w:hAnsi="仿宋" w:eastAsia="仿宋" w:cs="仿宋"/>
          <w:i w:val="0"/>
          <w:iCs w:val="0"/>
          <w:color w:val="auto"/>
          <w:kern w:val="0"/>
          <w:sz w:val="24"/>
          <w:szCs w:val="24"/>
          <w:highlight w:val="none"/>
          <w:u w:val="none"/>
          <w:lang w:val="en-US" w:eastAsia="zh-CN" w:bidi="ar"/>
        </w:rPr>
        <w:t>372.488万元</w:t>
      </w:r>
    </w:p>
    <w:p w14:paraId="5DF1D525">
      <w:pPr>
        <w:pageBreakBefore w:val="0"/>
        <w:kinsoku/>
        <w:wordWrap/>
        <w:overflowPunct/>
        <w:topLinePunct w:val="0"/>
        <w:autoSpaceDE/>
        <w:autoSpaceDN/>
        <w:bidi w:val="0"/>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5.采购需求：</w:t>
      </w:r>
    </w:p>
    <w:tbl>
      <w:tblPr>
        <w:tblStyle w:val="2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67"/>
        <w:gridCol w:w="875"/>
        <w:gridCol w:w="4570"/>
        <w:gridCol w:w="658"/>
        <w:gridCol w:w="658"/>
      </w:tblGrid>
      <w:tr w14:paraId="3B32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shd w:val="clear" w:color="auto" w:fill="auto"/>
            <w:vAlign w:val="center"/>
          </w:tcPr>
          <w:p w14:paraId="0EA5DA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t>模块</w:t>
            </w:r>
          </w:p>
        </w:tc>
        <w:tc>
          <w:tcPr>
            <w:tcW w:w="875" w:type="dxa"/>
            <w:shd w:val="clear" w:color="auto" w:fill="auto"/>
            <w:vAlign w:val="center"/>
          </w:tcPr>
          <w:p w14:paraId="3FE926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t>序号</w:t>
            </w:r>
          </w:p>
        </w:tc>
        <w:tc>
          <w:tcPr>
            <w:tcW w:w="4570" w:type="dxa"/>
            <w:shd w:val="clear" w:color="auto" w:fill="auto"/>
            <w:noWrap/>
            <w:vAlign w:val="center"/>
          </w:tcPr>
          <w:p w14:paraId="3734D8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t>产品名称</w:t>
            </w:r>
          </w:p>
        </w:tc>
        <w:tc>
          <w:tcPr>
            <w:tcW w:w="0" w:type="auto"/>
            <w:shd w:val="clear" w:color="auto" w:fill="auto"/>
            <w:noWrap/>
            <w:vAlign w:val="center"/>
          </w:tcPr>
          <w:p w14:paraId="542CE3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t>数量</w:t>
            </w:r>
          </w:p>
        </w:tc>
        <w:tc>
          <w:tcPr>
            <w:tcW w:w="658" w:type="dxa"/>
            <w:shd w:val="clear" w:color="auto" w:fill="auto"/>
            <w:noWrap/>
            <w:vAlign w:val="center"/>
          </w:tcPr>
          <w:p w14:paraId="30F3A5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t>单位</w:t>
            </w:r>
          </w:p>
        </w:tc>
      </w:tr>
      <w:tr w14:paraId="1E0D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vMerge w:val="restart"/>
            <w:shd w:val="clear" w:color="auto" w:fill="auto"/>
            <w:vAlign w:val="center"/>
          </w:tcPr>
          <w:p w14:paraId="3B592F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t>低压电工作业培训考证教室</w:t>
            </w:r>
          </w:p>
        </w:tc>
        <w:tc>
          <w:tcPr>
            <w:tcW w:w="875" w:type="dxa"/>
            <w:shd w:val="clear" w:color="auto" w:fill="auto"/>
            <w:vAlign w:val="center"/>
          </w:tcPr>
          <w:p w14:paraId="53AF1128">
            <w:pPr>
              <w:keepNext w:val="0"/>
              <w:keepLines w:val="0"/>
              <w:widowControl/>
              <w:numPr>
                <w:ilvl w:val="0"/>
                <w:numId w:val="2"/>
              </w:numPr>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4775EC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安全用具使用(K1)</w:t>
            </w:r>
          </w:p>
        </w:tc>
        <w:tc>
          <w:tcPr>
            <w:tcW w:w="0" w:type="auto"/>
            <w:vMerge w:val="restart"/>
            <w:shd w:val="clear" w:color="auto" w:fill="auto"/>
            <w:noWrap/>
            <w:vAlign w:val="center"/>
          </w:tcPr>
          <w:p w14:paraId="06B6BB5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t>1</w:t>
            </w:r>
          </w:p>
        </w:tc>
        <w:tc>
          <w:tcPr>
            <w:tcW w:w="658" w:type="dxa"/>
            <w:vMerge w:val="restart"/>
            <w:shd w:val="clear" w:color="auto" w:fill="auto"/>
            <w:noWrap/>
            <w:vAlign w:val="center"/>
          </w:tcPr>
          <w:p w14:paraId="3606D5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t>套</w:t>
            </w:r>
          </w:p>
        </w:tc>
      </w:tr>
      <w:tr w14:paraId="66B7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3E3CED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p>
        </w:tc>
        <w:tc>
          <w:tcPr>
            <w:tcW w:w="875" w:type="dxa"/>
            <w:shd w:val="clear" w:color="auto" w:fill="auto"/>
            <w:vAlign w:val="center"/>
          </w:tcPr>
          <w:p w14:paraId="7B374066">
            <w:pPr>
              <w:keepNext w:val="0"/>
              <w:keepLines w:val="0"/>
              <w:widowControl/>
              <w:numPr>
                <w:ilvl w:val="0"/>
                <w:numId w:val="2"/>
              </w:numPr>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77A042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作业现场安全隐患排除(K2)</w:t>
            </w:r>
          </w:p>
        </w:tc>
        <w:tc>
          <w:tcPr>
            <w:tcW w:w="0" w:type="auto"/>
            <w:vMerge w:val="continue"/>
            <w:shd w:val="clear" w:color="auto" w:fill="auto"/>
            <w:noWrap/>
            <w:vAlign w:val="center"/>
          </w:tcPr>
          <w:p w14:paraId="665745C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p>
        </w:tc>
        <w:tc>
          <w:tcPr>
            <w:tcW w:w="658" w:type="dxa"/>
            <w:vMerge w:val="continue"/>
            <w:shd w:val="clear" w:color="auto" w:fill="auto"/>
            <w:noWrap/>
            <w:vAlign w:val="center"/>
          </w:tcPr>
          <w:p w14:paraId="1F8932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p>
        </w:tc>
      </w:tr>
      <w:tr w14:paraId="0852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5B9987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p>
        </w:tc>
        <w:tc>
          <w:tcPr>
            <w:tcW w:w="875" w:type="dxa"/>
            <w:shd w:val="clear" w:color="auto" w:fill="auto"/>
            <w:vAlign w:val="center"/>
          </w:tcPr>
          <w:p w14:paraId="065374A8">
            <w:pPr>
              <w:keepNext w:val="0"/>
              <w:keepLines w:val="0"/>
              <w:widowControl/>
              <w:numPr>
                <w:ilvl w:val="0"/>
                <w:numId w:val="2"/>
              </w:numPr>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0096D3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低压电工作业安全操作技术实操设备（K3）</w:t>
            </w:r>
          </w:p>
        </w:tc>
        <w:tc>
          <w:tcPr>
            <w:tcW w:w="0" w:type="auto"/>
            <w:vMerge w:val="continue"/>
            <w:shd w:val="clear" w:color="auto" w:fill="auto"/>
            <w:noWrap/>
            <w:vAlign w:val="center"/>
          </w:tcPr>
          <w:p w14:paraId="6C93EA5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p>
        </w:tc>
        <w:tc>
          <w:tcPr>
            <w:tcW w:w="658" w:type="dxa"/>
            <w:vMerge w:val="continue"/>
            <w:shd w:val="clear" w:color="auto" w:fill="auto"/>
            <w:noWrap/>
            <w:vAlign w:val="center"/>
          </w:tcPr>
          <w:p w14:paraId="486EB4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p>
        </w:tc>
      </w:tr>
      <w:tr w14:paraId="612F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0B09C3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p>
        </w:tc>
        <w:tc>
          <w:tcPr>
            <w:tcW w:w="875" w:type="dxa"/>
            <w:shd w:val="clear" w:color="auto" w:fill="auto"/>
            <w:vAlign w:val="center"/>
          </w:tcPr>
          <w:p w14:paraId="068B8DE0">
            <w:pPr>
              <w:keepNext w:val="0"/>
              <w:keepLines w:val="0"/>
              <w:widowControl/>
              <w:numPr>
                <w:ilvl w:val="0"/>
                <w:numId w:val="2"/>
              </w:numPr>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495B82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触电事故现场应急处置</w:t>
            </w:r>
          </w:p>
        </w:tc>
        <w:tc>
          <w:tcPr>
            <w:tcW w:w="0" w:type="auto"/>
            <w:shd w:val="clear" w:color="auto" w:fill="auto"/>
            <w:noWrap/>
            <w:vAlign w:val="center"/>
          </w:tcPr>
          <w:p w14:paraId="2BF151D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w:t>
            </w:r>
          </w:p>
        </w:tc>
        <w:tc>
          <w:tcPr>
            <w:tcW w:w="658" w:type="dxa"/>
            <w:shd w:val="clear" w:color="auto" w:fill="auto"/>
            <w:noWrap/>
            <w:vAlign w:val="center"/>
          </w:tcPr>
          <w:p w14:paraId="79B600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46FC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1DADAD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p>
        </w:tc>
        <w:tc>
          <w:tcPr>
            <w:tcW w:w="875" w:type="dxa"/>
            <w:shd w:val="clear" w:color="auto" w:fill="auto"/>
            <w:vAlign w:val="center"/>
          </w:tcPr>
          <w:p w14:paraId="7D9F84A2">
            <w:pPr>
              <w:keepNext w:val="0"/>
              <w:keepLines w:val="0"/>
              <w:widowControl/>
              <w:numPr>
                <w:ilvl w:val="0"/>
                <w:numId w:val="2"/>
              </w:numPr>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11D5C6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创伤包扎模拟人</w:t>
            </w:r>
          </w:p>
        </w:tc>
        <w:tc>
          <w:tcPr>
            <w:tcW w:w="0" w:type="auto"/>
            <w:shd w:val="clear" w:color="auto" w:fill="auto"/>
            <w:noWrap/>
            <w:vAlign w:val="center"/>
          </w:tcPr>
          <w:p w14:paraId="15C71E4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w:t>
            </w:r>
          </w:p>
        </w:tc>
        <w:tc>
          <w:tcPr>
            <w:tcW w:w="658" w:type="dxa"/>
            <w:shd w:val="clear" w:color="auto" w:fill="auto"/>
            <w:noWrap/>
            <w:vAlign w:val="center"/>
          </w:tcPr>
          <w:p w14:paraId="69DF35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33D6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0" w:type="auto"/>
            <w:vMerge w:val="continue"/>
            <w:shd w:val="clear" w:color="auto" w:fill="auto"/>
            <w:vAlign w:val="center"/>
          </w:tcPr>
          <w:p w14:paraId="3A0AD5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p>
        </w:tc>
        <w:tc>
          <w:tcPr>
            <w:tcW w:w="875" w:type="dxa"/>
            <w:shd w:val="clear" w:color="auto" w:fill="auto"/>
            <w:vAlign w:val="center"/>
          </w:tcPr>
          <w:p w14:paraId="4452C219">
            <w:pPr>
              <w:keepNext w:val="0"/>
              <w:keepLines w:val="0"/>
              <w:widowControl/>
              <w:numPr>
                <w:ilvl w:val="0"/>
                <w:numId w:val="2"/>
              </w:numPr>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511E92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心肺复苏模拟人</w:t>
            </w:r>
          </w:p>
        </w:tc>
        <w:tc>
          <w:tcPr>
            <w:tcW w:w="0" w:type="auto"/>
            <w:shd w:val="clear" w:color="auto" w:fill="auto"/>
            <w:noWrap/>
            <w:vAlign w:val="center"/>
          </w:tcPr>
          <w:p w14:paraId="40A43E9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w:t>
            </w:r>
          </w:p>
        </w:tc>
        <w:tc>
          <w:tcPr>
            <w:tcW w:w="658" w:type="dxa"/>
            <w:shd w:val="clear" w:color="auto" w:fill="auto"/>
            <w:noWrap/>
            <w:vAlign w:val="center"/>
          </w:tcPr>
          <w:p w14:paraId="0B2C3F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7DB9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11797F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p>
        </w:tc>
        <w:tc>
          <w:tcPr>
            <w:tcW w:w="875" w:type="dxa"/>
            <w:shd w:val="clear" w:color="auto" w:fill="auto"/>
            <w:vAlign w:val="center"/>
          </w:tcPr>
          <w:p w14:paraId="3CD40D41">
            <w:pPr>
              <w:keepNext w:val="0"/>
              <w:keepLines w:val="0"/>
              <w:widowControl/>
              <w:numPr>
                <w:ilvl w:val="0"/>
                <w:numId w:val="2"/>
              </w:numPr>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1C1841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灭火器的选择和使用实操考核设备</w:t>
            </w:r>
          </w:p>
        </w:tc>
        <w:tc>
          <w:tcPr>
            <w:tcW w:w="0" w:type="auto"/>
            <w:shd w:val="clear" w:color="auto" w:fill="auto"/>
            <w:noWrap/>
            <w:vAlign w:val="center"/>
          </w:tcPr>
          <w:p w14:paraId="0AACFD8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w:t>
            </w:r>
          </w:p>
        </w:tc>
        <w:tc>
          <w:tcPr>
            <w:tcW w:w="658" w:type="dxa"/>
            <w:shd w:val="clear" w:color="auto" w:fill="auto"/>
            <w:noWrap/>
            <w:vAlign w:val="center"/>
          </w:tcPr>
          <w:p w14:paraId="45B5DD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318D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31BAB3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p>
        </w:tc>
        <w:tc>
          <w:tcPr>
            <w:tcW w:w="875" w:type="dxa"/>
            <w:shd w:val="clear" w:color="auto" w:fill="auto"/>
            <w:vAlign w:val="center"/>
          </w:tcPr>
          <w:p w14:paraId="52759725">
            <w:pPr>
              <w:keepNext w:val="0"/>
              <w:keepLines w:val="0"/>
              <w:widowControl/>
              <w:numPr>
                <w:ilvl w:val="0"/>
                <w:numId w:val="2"/>
              </w:numPr>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753294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拾音扩音系统</w:t>
            </w:r>
          </w:p>
        </w:tc>
        <w:tc>
          <w:tcPr>
            <w:tcW w:w="0" w:type="auto"/>
            <w:shd w:val="clear" w:color="auto" w:fill="auto"/>
            <w:noWrap/>
            <w:vAlign w:val="center"/>
          </w:tcPr>
          <w:p w14:paraId="1CC8A87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w:t>
            </w:r>
          </w:p>
        </w:tc>
        <w:tc>
          <w:tcPr>
            <w:tcW w:w="658" w:type="dxa"/>
            <w:shd w:val="clear" w:color="auto" w:fill="auto"/>
            <w:noWrap/>
            <w:vAlign w:val="center"/>
          </w:tcPr>
          <w:p w14:paraId="5C9058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0E1F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41805A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p>
        </w:tc>
        <w:tc>
          <w:tcPr>
            <w:tcW w:w="875" w:type="dxa"/>
            <w:shd w:val="clear" w:color="auto" w:fill="auto"/>
            <w:vAlign w:val="center"/>
          </w:tcPr>
          <w:p w14:paraId="520C43FD">
            <w:pPr>
              <w:keepNext w:val="0"/>
              <w:keepLines w:val="0"/>
              <w:widowControl/>
              <w:numPr>
                <w:ilvl w:val="0"/>
                <w:numId w:val="2"/>
              </w:numPr>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44FB4B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便携式音响（配话筒）</w:t>
            </w:r>
          </w:p>
        </w:tc>
        <w:tc>
          <w:tcPr>
            <w:tcW w:w="0" w:type="auto"/>
            <w:shd w:val="clear" w:color="auto" w:fill="auto"/>
            <w:noWrap/>
            <w:vAlign w:val="center"/>
          </w:tcPr>
          <w:p w14:paraId="3B91DB6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w:t>
            </w:r>
          </w:p>
        </w:tc>
        <w:tc>
          <w:tcPr>
            <w:tcW w:w="658" w:type="dxa"/>
            <w:shd w:val="clear" w:color="auto" w:fill="auto"/>
            <w:noWrap/>
            <w:vAlign w:val="center"/>
          </w:tcPr>
          <w:p w14:paraId="1AF649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4F79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3CFBB6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p>
        </w:tc>
        <w:tc>
          <w:tcPr>
            <w:tcW w:w="875" w:type="dxa"/>
            <w:shd w:val="clear" w:color="auto" w:fill="auto"/>
            <w:vAlign w:val="center"/>
          </w:tcPr>
          <w:p w14:paraId="34B55A38">
            <w:pPr>
              <w:keepNext w:val="0"/>
              <w:keepLines w:val="0"/>
              <w:widowControl/>
              <w:numPr>
                <w:ilvl w:val="0"/>
                <w:numId w:val="2"/>
              </w:numPr>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21572D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文化建设</w:t>
            </w:r>
          </w:p>
        </w:tc>
        <w:tc>
          <w:tcPr>
            <w:tcW w:w="0" w:type="auto"/>
            <w:shd w:val="clear" w:color="auto" w:fill="auto"/>
            <w:noWrap/>
            <w:vAlign w:val="center"/>
          </w:tcPr>
          <w:p w14:paraId="38002D3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w:t>
            </w:r>
          </w:p>
        </w:tc>
        <w:tc>
          <w:tcPr>
            <w:tcW w:w="658" w:type="dxa"/>
            <w:shd w:val="clear" w:color="auto" w:fill="auto"/>
            <w:noWrap/>
            <w:vAlign w:val="center"/>
          </w:tcPr>
          <w:p w14:paraId="5F44D3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3339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shd w:val="clear" w:color="auto" w:fill="auto"/>
            <w:vAlign w:val="center"/>
          </w:tcPr>
          <w:p w14:paraId="51768594">
            <w:pPr>
              <w:keepNext w:val="0"/>
              <w:keepLines w:val="0"/>
              <w:widowControl/>
              <w:suppressLineNumbers w:val="0"/>
              <w:snapToGrid w:val="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2"/>
                <w:szCs w:val="22"/>
                <w:u w:val="none"/>
                <w:lang w:val="en-US" w:eastAsia="zh-Hans" w:bidi="ar"/>
                <w14:textFill>
                  <w14:solidFill>
                    <w14:schemeClr w14:val="tx1"/>
                  </w14:solidFill>
                </w14:textFill>
              </w:rPr>
              <w:t>新能源电工电子实训室</w:t>
            </w:r>
          </w:p>
        </w:tc>
        <w:tc>
          <w:tcPr>
            <w:tcW w:w="875" w:type="dxa"/>
            <w:shd w:val="clear" w:color="auto" w:fill="auto"/>
            <w:vAlign w:val="center"/>
          </w:tcPr>
          <w:p w14:paraId="57E94770">
            <w:pPr>
              <w:numPr>
                <w:ilvl w:val="0"/>
                <w:numId w:val="3"/>
              </w:num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4570" w:type="dxa"/>
            <w:shd w:val="clear" w:color="auto" w:fill="auto"/>
            <w:noWrap/>
            <w:vAlign w:val="center"/>
          </w:tcPr>
          <w:p w14:paraId="63AF4C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sz w:val="22"/>
                <w:szCs w:val="21"/>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电工电子综合操作实训台</w:t>
            </w:r>
          </w:p>
        </w:tc>
        <w:tc>
          <w:tcPr>
            <w:tcW w:w="0" w:type="auto"/>
            <w:shd w:val="clear" w:color="auto" w:fill="auto"/>
            <w:noWrap/>
            <w:vAlign w:val="center"/>
          </w:tcPr>
          <w:p w14:paraId="03CF65B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sz w:val="22"/>
                <w:szCs w:val="21"/>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w:t>
            </w:r>
          </w:p>
        </w:tc>
        <w:tc>
          <w:tcPr>
            <w:tcW w:w="658" w:type="dxa"/>
            <w:shd w:val="clear" w:color="auto" w:fill="auto"/>
            <w:noWrap/>
            <w:vAlign w:val="center"/>
          </w:tcPr>
          <w:p w14:paraId="6BB1A1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sz w:val="22"/>
                <w:szCs w:val="21"/>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53E0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02E948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875" w:type="dxa"/>
            <w:shd w:val="clear" w:color="auto" w:fill="auto"/>
            <w:vAlign w:val="center"/>
          </w:tcPr>
          <w:p w14:paraId="7164011A">
            <w:pPr>
              <w:numPr>
                <w:ilvl w:val="0"/>
                <w:numId w:val="3"/>
              </w:numPr>
              <w:snapToGrid w:val="0"/>
              <w:ind w:left="0" w:leftChars="0" w:right="0" w:rightChars="0" w:firstLine="0" w:firstLineChars="0"/>
              <w:jc w:val="center"/>
              <w:rPr>
                <w:rFonts w:hint="eastAsia" w:ascii="仿宋" w:hAnsi="仿宋" w:eastAsia="仿宋" w:cs="仿宋"/>
                <w:color w:val="000000" w:themeColor="text1"/>
                <w:sz w:val="22"/>
                <w14:textFill>
                  <w14:solidFill>
                    <w14:schemeClr w14:val="tx1"/>
                  </w14:solidFill>
                </w14:textFill>
              </w:rPr>
            </w:pPr>
          </w:p>
        </w:tc>
        <w:tc>
          <w:tcPr>
            <w:tcW w:w="4570" w:type="dxa"/>
            <w:shd w:val="clear" w:color="auto" w:fill="auto"/>
            <w:vAlign w:val="center"/>
          </w:tcPr>
          <w:p w14:paraId="25774D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sz w:val="22"/>
                <w:szCs w:val="21"/>
                <w:highlight w:val="yellow"/>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电工电子实训箱</w:t>
            </w:r>
          </w:p>
        </w:tc>
        <w:tc>
          <w:tcPr>
            <w:tcW w:w="0" w:type="auto"/>
            <w:shd w:val="clear" w:color="auto" w:fill="auto"/>
            <w:noWrap/>
            <w:vAlign w:val="center"/>
          </w:tcPr>
          <w:p w14:paraId="72B7735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sz w:val="22"/>
                <w:szCs w:val="21"/>
                <w:highlight w:val="yellow"/>
                <w:u w:val="none"/>
                <w:lang w:val="en-US"/>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40</w:t>
            </w:r>
          </w:p>
        </w:tc>
        <w:tc>
          <w:tcPr>
            <w:tcW w:w="658" w:type="dxa"/>
            <w:shd w:val="clear" w:color="auto" w:fill="auto"/>
            <w:noWrap/>
            <w:vAlign w:val="center"/>
          </w:tcPr>
          <w:p w14:paraId="1D403D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sz w:val="22"/>
                <w:szCs w:val="21"/>
                <w:highlight w:val="yellow"/>
                <w:u w:val="none"/>
                <w:lang w:val="en-US"/>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2358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113CA4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875" w:type="dxa"/>
            <w:shd w:val="clear" w:color="auto" w:fill="auto"/>
            <w:vAlign w:val="center"/>
          </w:tcPr>
          <w:p w14:paraId="5E0E06D4">
            <w:pPr>
              <w:numPr>
                <w:ilvl w:val="0"/>
                <w:numId w:val="3"/>
              </w:numPr>
              <w:snapToGrid w:val="0"/>
              <w:ind w:left="0" w:leftChars="0" w:right="0" w:rightChars="0" w:firstLine="0" w:firstLineChars="0"/>
              <w:jc w:val="center"/>
              <w:rPr>
                <w:rFonts w:hint="eastAsia" w:ascii="仿宋" w:hAnsi="仿宋" w:eastAsia="仿宋" w:cs="仿宋"/>
                <w:color w:val="000000" w:themeColor="text1"/>
                <w:sz w:val="22"/>
                <w14:textFill>
                  <w14:solidFill>
                    <w14:schemeClr w14:val="tx1"/>
                  </w14:solidFill>
                </w14:textFill>
              </w:rPr>
            </w:pPr>
          </w:p>
        </w:tc>
        <w:tc>
          <w:tcPr>
            <w:tcW w:w="4570" w:type="dxa"/>
            <w:shd w:val="clear" w:color="auto" w:fill="auto"/>
            <w:noWrap/>
            <w:vAlign w:val="center"/>
          </w:tcPr>
          <w:p w14:paraId="12BDB3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sz w:val="22"/>
                <w:szCs w:val="21"/>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高压安全控制与防护实训平台</w:t>
            </w:r>
          </w:p>
        </w:tc>
        <w:tc>
          <w:tcPr>
            <w:tcW w:w="0" w:type="auto"/>
            <w:shd w:val="clear" w:color="auto" w:fill="auto"/>
            <w:noWrap/>
            <w:vAlign w:val="center"/>
          </w:tcPr>
          <w:p w14:paraId="5899544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sz w:val="22"/>
                <w:szCs w:val="21"/>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w:t>
            </w:r>
          </w:p>
        </w:tc>
        <w:tc>
          <w:tcPr>
            <w:tcW w:w="658" w:type="dxa"/>
            <w:shd w:val="clear" w:color="auto" w:fill="auto"/>
            <w:noWrap/>
            <w:vAlign w:val="center"/>
          </w:tcPr>
          <w:p w14:paraId="5A2357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sz w:val="22"/>
                <w:szCs w:val="21"/>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25FE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383F95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p>
        </w:tc>
        <w:tc>
          <w:tcPr>
            <w:tcW w:w="875" w:type="dxa"/>
            <w:shd w:val="clear" w:color="auto" w:fill="auto"/>
            <w:vAlign w:val="center"/>
          </w:tcPr>
          <w:p w14:paraId="7C285023">
            <w:pPr>
              <w:numPr>
                <w:ilvl w:val="0"/>
                <w:numId w:val="3"/>
              </w:num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4570" w:type="dxa"/>
            <w:shd w:val="clear" w:color="auto" w:fill="auto"/>
            <w:noWrap/>
            <w:vAlign w:val="center"/>
          </w:tcPr>
          <w:p w14:paraId="7FD10B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霍尔电流传感器实训台</w:t>
            </w:r>
          </w:p>
        </w:tc>
        <w:tc>
          <w:tcPr>
            <w:tcW w:w="0" w:type="auto"/>
            <w:shd w:val="clear" w:color="auto" w:fill="auto"/>
            <w:noWrap/>
            <w:vAlign w:val="center"/>
          </w:tcPr>
          <w:p w14:paraId="1EE01F9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w:t>
            </w:r>
          </w:p>
        </w:tc>
        <w:tc>
          <w:tcPr>
            <w:tcW w:w="658" w:type="dxa"/>
            <w:shd w:val="clear" w:color="auto" w:fill="auto"/>
            <w:noWrap/>
            <w:vAlign w:val="center"/>
          </w:tcPr>
          <w:p w14:paraId="60DF69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6216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260B54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p>
        </w:tc>
        <w:tc>
          <w:tcPr>
            <w:tcW w:w="875" w:type="dxa"/>
            <w:shd w:val="clear" w:color="auto" w:fill="auto"/>
            <w:vAlign w:val="center"/>
          </w:tcPr>
          <w:p w14:paraId="4FC00D3E">
            <w:pPr>
              <w:numPr>
                <w:ilvl w:val="0"/>
                <w:numId w:val="3"/>
              </w:num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4570" w:type="dxa"/>
            <w:shd w:val="clear" w:color="auto" w:fill="auto"/>
            <w:noWrap/>
            <w:vAlign w:val="center"/>
          </w:tcPr>
          <w:p w14:paraId="1CE21F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绝缘钩</w:t>
            </w:r>
          </w:p>
        </w:tc>
        <w:tc>
          <w:tcPr>
            <w:tcW w:w="0" w:type="auto"/>
            <w:shd w:val="clear" w:color="auto" w:fill="auto"/>
            <w:noWrap/>
            <w:vAlign w:val="center"/>
          </w:tcPr>
          <w:p w14:paraId="057BC33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w:t>
            </w:r>
          </w:p>
        </w:tc>
        <w:tc>
          <w:tcPr>
            <w:tcW w:w="658" w:type="dxa"/>
            <w:shd w:val="clear" w:color="auto" w:fill="auto"/>
            <w:noWrap/>
            <w:vAlign w:val="center"/>
          </w:tcPr>
          <w:p w14:paraId="069743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62B3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17AACD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p>
        </w:tc>
        <w:tc>
          <w:tcPr>
            <w:tcW w:w="875" w:type="dxa"/>
            <w:shd w:val="clear" w:color="auto" w:fill="auto"/>
            <w:vAlign w:val="center"/>
          </w:tcPr>
          <w:p w14:paraId="1D736A9E">
            <w:pPr>
              <w:numPr>
                <w:ilvl w:val="0"/>
                <w:numId w:val="3"/>
              </w:num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4570" w:type="dxa"/>
            <w:shd w:val="clear" w:color="auto" w:fill="auto"/>
            <w:noWrap/>
            <w:vAlign w:val="center"/>
          </w:tcPr>
          <w:p w14:paraId="301947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新能源专业万用表</w:t>
            </w:r>
          </w:p>
        </w:tc>
        <w:tc>
          <w:tcPr>
            <w:tcW w:w="0" w:type="auto"/>
            <w:shd w:val="clear" w:color="auto" w:fill="auto"/>
            <w:noWrap/>
            <w:vAlign w:val="center"/>
          </w:tcPr>
          <w:p w14:paraId="6F503CE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40</w:t>
            </w:r>
          </w:p>
        </w:tc>
        <w:tc>
          <w:tcPr>
            <w:tcW w:w="658" w:type="dxa"/>
            <w:shd w:val="clear" w:color="auto" w:fill="auto"/>
            <w:noWrap/>
            <w:vAlign w:val="center"/>
          </w:tcPr>
          <w:p w14:paraId="72FC12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441E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4EE7F7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p>
        </w:tc>
        <w:tc>
          <w:tcPr>
            <w:tcW w:w="875" w:type="dxa"/>
            <w:shd w:val="clear" w:color="auto" w:fill="auto"/>
            <w:vAlign w:val="center"/>
          </w:tcPr>
          <w:p w14:paraId="0B8571D0">
            <w:pPr>
              <w:numPr>
                <w:ilvl w:val="0"/>
                <w:numId w:val="3"/>
              </w:num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4570" w:type="dxa"/>
            <w:shd w:val="clear" w:color="auto" w:fill="auto"/>
            <w:noWrap/>
            <w:vAlign w:val="center"/>
          </w:tcPr>
          <w:p w14:paraId="328B88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kern w:val="2"/>
                <w:sz w:val="22"/>
                <w:szCs w:val="21"/>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示波器</w:t>
            </w:r>
          </w:p>
        </w:tc>
        <w:tc>
          <w:tcPr>
            <w:tcW w:w="0" w:type="auto"/>
            <w:shd w:val="clear" w:color="auto" w:fill="auto"/>
            <w:noWrap/>
            <w:vAlign w:val="center"/>
          </w:tcPr>
          <w:p w14:paraId="538DCD7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w:t>
            </w:r>
          </w:p>
        </w:tc>
        <w:tc>
          <w:tcPr>
            <w:tcW w:w="658" w:type="dxa"/>
            <w:shd w:val="clear" w:color="auto" w:fill="auto"/>
            <w:noWrap/>
            <w:vAlign w:val="center"/>
          </w:tcPr>
          <w:p w14:paraId="5AAF86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1B5E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2D74D9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p>
        </w:tc>
        <w:tc>
          <w:tcPr>
            <w:tcW w:w="875" w:type="dxa"/>
            <w:shd w:val="clear" w:color="auto" w:fill="auto"/>
            <w:vAlign w:val="center"/>
          </w:tcPr>
          <w:p w14:paraId="49563F18">
            <w:pPr>
              <w:numPr>
                <w:ilvl w:val="0"/>
                <w:numId w:val="3"/>
              </w:num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4570" w:type="dxa"/>
            <w:shd w:val="clear" w:color="auto" w:fill="auto"/>
            <w:noWrap/>
            <w:vAlign w:val="center"/>
          </w:tcPr>
          <w:p w14:paraId="0DC920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kern w:val="2"/>
                <w:sz w:val="22"/>
                <w:szCs w:val="21"/>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手持式绝缘电阻测试仪</w:t>
            </w:r>
          </w:p>
        </w:tc>
        <w:tc>
          <w:tcPr>
            <w:tcW w:w="0" w:type="auto"/>
            <w:shd w:val="clear" w:color="auto" w:fill="auto"/>
            <w:noWrap/>
            <w:vAlign w:val="center"/>
          </w:tcPr>
          <w:p w14:paraId="1D9B220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40</w:t>
            </w:r>
          </w:p>
        </w:tc>
        <w:tc>
          <w:tcPr>
            <w:tcW w:w="658" w:type="dxa"/>
            <w:shd w:val="clear" w:color="auto" w:fill="auto"/>
            <w:noWrap/>
            <w:vAlign w:val="center"/>
          </w:tcPr>
          <w:p w14:paraId="77C37F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50DC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76A034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p>
        </w:tc>
        <w:tc>
          <w:tcPr>
            <w:tcW w:w="875" w:type="dxa"/>
            <w:shd w:val="clear" w:color="auto" w:fill="auto"/>
            <w:vAlign w:val="center"/>
          </w:tcPr>
          <w:p w14:paraId="6A3817A9">
            <w:pPr>
              <w:numPr>
                <w:ilvl w:val="0"/>
                <w:numId w:val="3"/>
              </w:num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4570" w:type="dxa"/>
            <w:shd w:val="clear" w:color="auto" w:fill="auto"/>
            <w:noWrap/>
            <w:vAlign w:val="center"/>
          </w:tcPr>
          <w:p w14:paraId="2A47B8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绝缘工作台</w:t>
            </w:r>
          </w:p>
        </w:tc>
        <w:tc>
          <w:tcPr>
            <w:tcW w:w="0" w:type="auto"/>
            <w:shd w:val="clear" w:color="auto" w:fill="auto"/>
            <w:noWrap/>
            <w:vAlign w:val="center"/>
          </w:tcPr>
          <w:p w14:paraId="1A49926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20</w:t>
            </w:r>
          </w:p>
        </w:tc>
        <w:tc>
          <w:tcPr>
            <w:tcW w:w="658" w:type="dxa"/>
            <w:shd w:val="clear" w:color="auto" w:fill="auto"/>
            <w:noWrap/>
            <w:vAlign w:val="center"/>
          </w:tcPr>
          <w:p w14:paraId="39548F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5BD0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196F6A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p>
        </w:tc>
        <w:tc>
          <w:tcPr>
            <w:tcW w:w="875" w:type="dxa"/>
            <w:shd w:val="clear" w:color="auto" w:fill="auto"/>
            <w:vAlign w:val="center"/>
          </w:tcPr>
          <w:p w14:paraId="1178E804">
            <w:pPr>
              <w:numPr>
                <w:ilvl w:val="0"/>
                <w:numId w:val="3"/>
              </w:num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4570" w:type="dxa"/>
            <w:shd w:val="clear" w:color="auto" w:fill="auto"/>
            <w:noWrap/>
            <w:vAlign w:val="center"/>
          </w:tcPr>
          <w:p w14:paraId="202DE6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文化建设</w:t>
            </w:r>
          </w:p>
        </w:tc>
        <w:tc>
          <w:tcPr>
            <w:tcW w:w="0" w:type="auto"/>
            <w:shd w:val="clear" w:color="auto" w:fill="auto"/>
            <w:noWrap/>
            <w:vAlign w:val="center"/>
          </w:tcPr>
          <w:p w14:paraId="64A4BCE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w:t>
            </w:r>
          </w:p>
        </w:tc>
        <w:tc>
          <w:tcPr>
            <w:tcW w:w="658" w:type="dxa"/>
            <w:shd w:val="clear" w:color="auto" w:fill="auto"/>
            <w:noWrap/>
            <w:vAlign w:val="center"/>
          </w:tcPr>
          <w:p w14:paraId="393008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1F30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3A60E1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p>
        </w:tc>
        <w:tc>
          <w:tcPr>
            <w:tcW w:w="875" w:type="dxa"/>
            <w:shd w:val="clear" w:color="auto" w:fill="auto"/>
            <w:vAlign w:val="center"/>
          </w:tcPr>
          <w:p w14:paraId="3C760BF0">
            <w:pPr>
              <w:numPr>
                <w:ilvl w:val="0"/>
                <w:numId w:val="3"/>
              </w:num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4570" w:type="dxa"/>
            <w:shd w:val="clear" w:color="auto" w:fill="auto"/>
            <w:noWrap/>
            <w:vAlign w:val="center"/>
          </w:tcPr>
          <w:p w14:paraId="11A73A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人员防护套装</w:t>
            </w:r>
          </w:p>
        </w:tc>
        <w:tc>
          <w:tcPr>
            <w:tcW w:w="0" w:type="auto"/>
            <w:shd w:val="clear" w:color="auto" w:fill="auto"/>
            <w:noWrap/>
            <w:vAlign w:val="center"/>
          </w:tcPr>
          <w:p w14:paraId="3C716BE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40</w:t>
            </w:r>
          </w:p>
        </w:tc>
        <w:tc>
          <w:tcPr>
            <w:tcW w:w="658" w:type="dxa"/>
            <w:shd w:val="clear" w:color="auto" w:fill="auto"/>
            <w:noWrap/>
            <w:vAlign w:val="center"/>
          </w:tcPr>
          <w:p w14:paraId="61D652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4060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528311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p>
        </w:tc>
        <w:tc>
          <w:tcPr>
            <w:tcW w:w="875" w:type="dxa"/>
            <w:shd w:val="clear" w:color="auto" w:fill="auto"/>
            <w:vAlign w:val="center"/>
          </w:tcPr>
          <w:p w14:paraId="61055BC6">
            <w:pPr>
              <w:numPr>
                <w:ilvl w:val="0"/>
                <w:numId w:val="3"/>
              </w:num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4570" w:type="dxa"/>
            <w:shd w:val="clear" w:color="auto" w:fill="auto"/>
            <w:noWrap/>
            <w:vAlign w:val="center"/>
          </w:tcPr>
          <w:p w14:paraId="2521B6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工位安全防护套装</w:t>
            </w:r>
          </w:p>
        </w:tc>
        <w:tc>
          <w:tcPr>
            <w:tcW w:w="0" w:type="auto"/>
            <w:shd w:val="clear" w:color="auto" w:fill="auto"/>
            <w:noWrap/>
            <w:vAlign w:val="center"/>
          </w:tcPr>
          <w:p w14:paraId="76DB280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10</w:t>
            </w:r>
          </w:p>
        </w:tc>
        <w:tc>
          <w:tcPr>
            <w:tcW w:w="658" w:type="dxa"/>
            <w:shd w:val="clear" w:color="auto" w:fill="auto"/>
            <w:noWrap/>
            <w:vAlign w:val="center"/>
          </w:tcPr>
          <w:p w14:paraId="2F72DF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3E34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49CC8E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p>
        </w:tc>
        <w:tc>
          <w:tcPr>
            <w:tcW w:w="875" w:type="dxa"/>
            <w:shd w:val="clear" w:color="auto" w:fill="auto"/>
            <w:vAlign w:val="center"/>
          </w:tcPr>
          <w:p w14:paraId="53E3537E">
            <w:pPr>
              <w:numPr>
                <w:ilvl w:val="0"/>
                <w:numId w:val="3"/>
              </w:num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4570" w:type="dxa"/>
            <w:shd w:val="clear" w:color="auto" w:fill="auto"/>
            <w:noWrap/>
            <w:vAlign w:val="center"/>
          </w:tcPr>
          <w:p w14:paraId="55BE2D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拾音扩音系统</w:t>
            </w:r>
          </w:p>
        </w:tc>
        <w:tc>
          <w:tcPr>
            <w:tcW w:w="0" w:type="auto"/>
            <w:shd w:val="clear" w:color="auto" w:fill="auto"/>
            <w:noWrap/>
            <w:vAlign w:val="center"/>
          </w:tcPr>
          <w:p w14:paraId="1E20176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w:t>
            </w:r>
          </w:p>
        </w:tc>
        <w:tc>
          <w:tcPr>
            <w:tcW w:w="658" w:type="dxa"/>
            <w:shd w:val="clear" w:color="auto" w:fill="auto"/>
            <w:noWrap/>
            <w:vAlign w:val="center"/>
          </w:tcPr>
          <w:p w14:paraId="35BC82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799D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063171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p>
        </w:tc>
        <w:tc>
          <w:tcPr>
            <w:tcW w:w="875" w:type="dxa"/>
            <w:shd w:val="clear" w:color="auto" w:fill="auto"/>
            <w:vAlign w:val="center"/>
          </w:tcPr>
          <w:p w14:paraId="680B5397">
            <w:pPr>
              <w:numPr>
                <w:ilvl w:val="0"/>
                <w:numId w:val="3"/>
              </w:num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4570" w:type="dxa"/>
            <w:shd w:val="clear" w:color="auto" w:fill="auto"/>
            <w:noWrap/>
            <w:vAlign w:val="center"/>
          </w:tcPr>
          <w:p w14:paraId="2993D4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实训操作台</w:t>
            </w:r>
          </w:p>
        </w:tc>
        <w:tc>
          <w:tcPr>
            <w:tcW w:w="0" w:type="auto"/>
            <w:shd w:val="clear" w:color="auto" w:fill="auto"/>
            <w:noWrap/>
            <w:vAlign w:val="center"/>
          </w:tcPr>
          <w:p w14:paraId="5607E81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25</w:t>
            </w:r>
          </w:p>
        </w:tc>
        <w:tc>
          <w:tcPr>
            <w:tcW w:w="658" w:type="dxa"/>
            <w:shd w:val="clear" w:color="auto" w:fill="auto"/>
            <w:noWrap/>
            <w:vAlign w:val="center"/>
          </w:tcPr>
          <w:p w14:paraId="36D4A6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1133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shd w:val="clear" w:color="auto" w:fill="auto"/>
            <w:vAlign w:val="center"/>
          </w:tcPr>
          <w:p w14:paraId="707425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2"/>
                <w:szCs w:val="22"/>
                <w:u w:val="none"/>
                <w:lang w:val="en-US" w:eastAsia="zh-Hans" w:bidi="ar"/>
                <w14:textFill>
                  <w14:solidFill>
                    <w14:schemeClr w14:val="tx1"/>
                  </w14:solidFill>
                </w14:textFill>
              </w:rPr>
              <w:t>动力电池及充电系统实训室</w:t>
            </w:r>
          </w:p>
        </w:tc>
        <w:tc>
          <w:tcPr>
            <w:tcW w:w="875" w:type="dxa"/>
            <w:shd w:val="clear" w:color="auto" w:fill="auto"/>
            <w:vAlign w:val="center"/>
          </w:tcPr>
          <w:p w14:paraId="30743CB9">
            <w:pPr>
              <w:keepNext w:val="0"/>
              <w:keepLines w:val="0"/>
              <w:widowControl/>
              <w:numPr>
                <w:ilvl w:val="0"/>
                <w:numId w:val="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sz w:val="22"/>
                <w:szCs w:val="21"/>
                <w:u w:val="none"/>
                <w14:textFill>
                  <w14:solidFill>
                    <w14:schemeClr w14:val="tx1"/>
                  </w14:solidFill>
                </w14:textFill>
              </w:rPr>
            </w:pPr>
          </w:p>
        </w:tc>
        <w:tc>
          <w:tcPr>
            <w:tcW w:w="4570" w:type="dxa"/>
            <w:shd w:val="clear" w:color="auto" w:fill="auto"/>
            <w:noWrap/>
            <w:vAlign w:val="center"/>
          </w:tcPr>
          <w:p w14:paraId="5FBE29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sz w:val="22"/>
                <w:szCs w:val="21"/>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BMS管理系统综合检测实训平台</w:t>
            </w:r>
          </w:p>
        </w:tc>
        <w:tc>
          <w:tcPr>
            <w:tcW w:w="0" w:type="auto"/>
            <w:shd w:val="clear" w:color="auto" w:fill="auto"/>
            <w:noWrap/>
            <w:vAlign w:val="center"/>
          </w:tcPr>
          <w:p w14:paraId="21D609E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sz w:val="22"/>
                <w:szCs w:val="21"/>
                <w:u w:val="non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2"/>
                <w:szCs w:val="21"/>
                <w:u w:val="none"/>
                <w:lang w:val="en-US" w:eastAsia="zh-CN"/>
                <w14:textFill>
                  <w14:solidFill>
                    <w14:schemeClr w14:val="tx1"/>
                  </w14:solidFill>
                </w14:textFill>
              </w:rPr>
              <w:t>1</w:t>
            </w:r>
          </w:p>
        </w:tc>
        <w:tc>
          <w:tcPr>
            <w:tcW w:w="658" w:type="dxa"/>
            <w:shd w:val="clear" w:color="auto" w:fill="auto"/>
            <w:noWrap/>
            <w:vAlign w:val="center"/>
          </w:tcPr>
          <w:p w14:paraId="38F4EF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1253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36715B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875" w:type="dxa"/>
            <w:shd w:val="clear" w:color="auto" w:fill="auto"/>
            <w:vAlign w:val="center"/>
          </w:tcPr>
          <w:p w14:paraId="78CC0C54">
            <w:pPr>
              <w:keepNext w:val="0"/>
              <w:keepLines w:val="0"/>
              <w:widowControl/>
              <w:numPr>
                <w:ilvl w:val="0"/>
                <w:numId w:val="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sz w:val="22"/>
                <w:szCs w:val="21"/>
                <w:u w:val="none"/>
                <w14:textFill>
                  <w14:solidFill>
                    <w14:schemeClr w14:val="tx1"/>
                  </w14:solidFill>
                </w14:textFill>
              </w:rPr>
            </w:pPr>
          </w:p>
        </w:tc>
        <w:tc>
          <w:tcPr>
            <w:tcW w:w="4570" w:type="dxa"/>
            <w:shd w:val="clear" w:color="auto" w:fill="auto"/>
            <w:noWrap/>
            <w:vAlign w:val="center"/>
          </w:tcPr>
          <w:p w14:paraId="242E18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sz w:val="22"/>
                <w:szCs w:val="21"/>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动力电池模组检测实训平台（实车模组）</w:t>
            </w:r>
          </w:p>
        </w:tc>
        <w:tc>
          <w:tcPr>
            <w:tcW w:w="0" w:type="auto"/>
            <w:shd w:val="clear" w:color="auto" w:fill="auto"/>
            <w:noWrap/>
            <w:vAlign w:val="center"/>
          </w:tcPr>
          <w:p w14:paraId="0E5CACA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sz w:val="22"/>
                <w:szCs w:val="21"/>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w:t>
            </w:r>
          </w:p>
        </w:tc>
        <w:tc>
          <w:tcPr>
            <w:tcW w:w="658" w:type="dxa"/>
            <w:shd w:val="clear" w:color="auto" w:fill="auto"/>
            <w:noWrap/>
            <w:vAlign w:val="center"/>
          </w:tcPr>
          <w:p w14:paraId="65805E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6304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6D664B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875" w:type="dxa"/>
            <w:shd w:val="clear" w:color="auto" w:fill="auto"/>
            <w:vAlign w:val="center"/>
          </w:tcPr>
          <w:p w14:paraId="289922BF">
            <w:pPr>
              <w:keepNext w:val="0"/>
              <w:keepLines w:val="0"/>
              <w:widowControl/>
              <w:numPr>
                <w:ilvl w:val="0"/>
                <w:numId w:val="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sz w:val="22"/>
                <w:szCs w:val="21"/>
                <w:u w:val="none"/>
                <w14:textFill>
                  <w14:solidFill>
                    <w14:schemeClr w14:val="tx1"/>
                  </w14:solidFill>
                </w14:textFill>
              </w:rPr>
            </w:pPr>
          </w:p>
        </w:tc>
        <w:tc>
          <w:tcPr>
            <w:tcW w:w="4570" w:type="dxa"/>
            <w:shd w:val="clear" w:color="auto" w:fill="auto"/>
            <w:noWrap/>
            <w:vAlign w:val="center"/>
          </w:tcPr>
          <w:p w14:paraId="4ED5C2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sz w:val="22"/>
                <w:szCs w:val="21"/>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锂电池智能均衡仪</w:t>
            </w:r>
          </w:p>
        </w:tc>
        <w:tc>
          <w:tcPr>
            <w:tcW w:w="0" w:type="auto"/>
            <w:shd w:val="clear" w:color="auto" w:fill="auto"/>
            <w:noWrap/>
            <w:vAlign w:val="center"/>
          </w:tcPr>
          <w:p w14:paraId="422DF61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sz w:val="22"/>
                <w:szCs w:val="21"/>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w:t>
            </w:r>
          </w:p>
        </w:tc>
        <w:tc>
          <w:tcPr>
            <w:tcW w:w="658" w:type="dxa"/>
            <w:shd w:val="clear" w:color="auto" w:fill="auto"/>
            <w:noWrap/>
            <w:vAlign w:val="center"/>
          </w:tcPr>
          <w:p w14:paraId="2F671D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6FB6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19BA14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875" w:type="dxa"/>
            <w:shd w:val="clear" w:color="auto" w:fill="auto"/>
            <w:vAlign w:val="center"/>
          </w:tcPr>
          <w:p w14:paraId="3A7A704C">
            <w:pPr>
              <w:keepNext w:val="0"/>
              <w:keepLines w:val="0"/>
              <w:widowControl/>
              <w:numPr>
                <w:ilvl w:val="0"/>
                <w:numId w:val="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sz w:val="22"/>
                <w:szCs w:val="21"/>
                <w:u w:val="none"/>
                <w14:textFill>
                  <w14:solidFill>
                    <w14:schemeClr w14:val="tx1"/>
                  </w14:solidFill>
                </w14:textFill>
              </w:rPr>
            </w:pPr>
          </w:p>
        </w:tc>
        <w:tc>
          <w:tcPr>
            <w:tcW w:w="4570" w:type="dxa"/>
            <w:shd w:val="clear" w:color="auto" w:fill="auto"/>
            <w:noWrap/>
            <w:vAlign w:val="center"/>
          </w:tcPr>
          <w:p w14:paraId="05EA2A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sz w:val="22"/>
                <w:szCs w:val="21"/>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交直流充电设备装配与测试实训平台</w:t>
            </w:r>
          </w:p>
        </w:tc>
        <w:tc>
          <w:tcPr>
            <w:tcW w:w="0" w:type="auto"/>
            <w:shd w:val="clear" w:color="auto" w:fill="auto"/>
            <w:noWrap/>
            <w:vAlign w:val="center"/>
          </w:tcPr>
          <w:p w14:paraId="06C0D2D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sz w:val="22"/>
                <w:szCs w:val="21"/>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w:t>
            </w:r>
          </w:p>
        </w:tc>
        <w:tc>
          <w:tcPr>
            <w:tcW w:w="658" w:type="dxa"/>
            <w:shd w:val="clear" w:color="auto" w:fill="auto"/>
            <w:noWrap/>
            <w:vAlign w:val="center"/>
          </w:tcPr>
          <w:p w14:paraId="7D3768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1E54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141E2C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875" w:type="dxa"/>
            <w:shd w:val="clear" w:color="auto" w:fill="auto"/>
            <w:vAlign w:val="center"/>
          </w:tcPr>
          <w:p w14:paraId="4756A3CC">
            <w:pPr>
              <w:keepNext w:val="0"/>
              <w:keepLines w:val="0"/>
              <w:widowControl/>
              <w:numPr>
                <w:ilvl w:val="0"/>
                <w:numId w:val="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sz w:val="22"/>
                <w:szCs w:val="21"/>
                <w:u w:val="none"/>
                <w14:textFill>
                  <w14:solidFill>
                    <w14:schemeClr w14:val="tx1"/>
                  </w14:solidFill>
                </w14:textFill>
              </w:rPr>
            </w:pPr>
          </w:p>
        </w:tc>
        <w:tc>
          <w:tcPr>
            <w:tcW w:w="4570" w:type="dxa"/>
            <w:shd w:val="clear" w:color="auto" w:fill="auto"/>
            <w:noWrap/>
            <w:vAlign w:val="center"/>
          </w:tcPr>
          <w:p w14:paraId="61B3F8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sz w:val="22"/>
                <w:szCs w:val="21"/>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OBC/DC-DC综合测试台</w:t>
            </w:r>
          </w:p>
        </w:tc>
        <w:tc>
          <w:tcPr>
            <w:tcW w:w="0" w:type="auto"/>
            <w:shd w:val="clear" w:color="auto" w:fill="auto"/>
            <w:noWrap/>
            <w:vAlign w:val="center"/>
          </w:tcPr>
          <w:p w14:paraId="20A18AA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sz w:val="22"/>
                <w:szCs w:val="21"/>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w:t>
            </w:r>
          </w:p>
        </w:tc>
        <w:tc>
          <w:tcPr>
            <w:tcW w:w="658" w:type="dxa"/>
            <w:shd w:val="clear" w:color="auto" w:fill="auto"/>
            <w:noWrap/>
            <w:vAlign w:val="center"/>
          </w:tcPr>
          <w:p w14:paraId="18E2FB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714A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5DCDCE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875" w:type="dxa"/>
            <w:shd w:val="clear" w:color="auto" w:fill="auto"/>
            <w:vAlign w:val="center"/>
          </w:tcPr>
          <w:p w14:paraId="61FA8FF1">
            <w:pPr>
              <w:keepNext w:val="0"/>
              <w:keepLines w:val="0"/>
              <w:widowControl/>
              <w:numPr>
                <w:ilvl w:val="0"/>
                <w:numId w:val="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02714C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落地式充电桩（交流）</w:t>
            </w:r>
          </w:p>
        </w:tc>
        <w:tc>
          <w:tcPr>
            <w:tcW w:w="0" w:type="auto"/>
            <w:shd w:val="clear" w:color="auto" w:fill="auto"/>
            <w:noWrap/>
            <w:vAlign w:val="center"/>
          </w:tcPr>
          <w:p w14:paraId="375FB0F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w:t>
            </w:r>
          </w:p>
        </w:tc>
        <w:tc>
          <w:tcPr>
            <w:tcW w:w="658" w:type="dxa"/>
            <w:shd w:val="clear" w:color="auto" w:fill="auto"/>
            <w:noWrap/>
            <w:vAlign w:val="center"/>
          </w:tcPr>
          <w:p w14:paraId="6E84E2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1164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3214E4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875" w:type="dxa"/>
            <w:shd w:val="clear" w:color="auto" w:fill="auto"/>
            <w:vAlign w:val="center"/>
          </w:tcPr>
          <w:p w14:paraId="04C0678F">
            <w:pPr>
              <w:keepNext w:val="0"/>
              <w:keepLines w:val="0"/>
              <w:widowControl/>
              <w:numPr>
                <w:ilvl w:val="0"/>
                <w:numId w:val="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5193E5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动力电池被动均衡实训箱</w:t>
            </w:r>
          </w:p>
        </w:tc>
        <w:tc>
          <w:tcPr>
            <w:tcW w:w="0" w:type="auto"/>
            <w:shd w:val="clear" w:color="auto" w:fill="auto"/>
            <w:noWrap/>
            <w:vAlign w:val="center"/>
          </w:tcPr>
          <w:p w14:paraId="130F783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w:t>
            </w:r>
          </w:p>
        </w:tc>
        <w:tc>
          <w:tcPr>
            <w:tcW w:w="658" w:type="dxa"/>
            <w:shd w:val="clear" w:color="auto" w:fill="auto"/>
            <w:noWrap/>
            <w:vAlign w:val="center"/>
          </w:tcPr>
          <w:p w14:paraId="614186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1CE3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30ACD4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875" w:type="dxa"/>
            <w:shd w:val="clear" w:color="auto" w:fill="auto"/>
            <w:vAlign w:val="center"/>
          </w:tcPr>
          <w:p w14:paraId="32295761">
            <w:pPr>
              <w:keepNext w:val="0"/>
              <w:keepLines w:val="0"/>
              <w:widowControl/>
              <w:numPr>
                <w:ilvl w:val="0"/>
                <w:numId w:val="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5D4306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kern w:val="2"/>
                <w:sz w:val="22"/>
                <w:szCs w:val="21"/>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绝缘工具套装</w:t>
            </w:r>
          </w:p>
        </w:tc>
        <w:tc>
          <w:tcPr>
            <w:tcW w:w="0" w:type="auto"/>
            <w:shd w:val="clear" w:color="auto" w:fill="auto"/>
            <w:noWrap/>
            <w:vAlign w:val="center"/>
          </w:tcPr>
          <w:p w14:paraId="44C7704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w:t>
            </w:r>
          </w:p>
        </w:tc>
        <w:tc>
          <w:tcPr>
            <w:tcW w:w="658" w:type="dxa"/>
            <w:shd w:val="clear" w:color="auto" w:fill="auto"/>
            <w:noWrap/>
            <w:vAlign w:val="center"/>
          </w:tcPr>
          <w:p w14:paraId="0989C9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2733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5A88DC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875" w:type="dxa"/>
            <w:shd w:val="clear" w:color="auto" w:fill="auto"/>
            <w:vAlign w:val="center"/>
          </w:tcPr>
          <w:p w14:paraId="43765A16">
            <w:pPr>
              <w:keepNext w:val="0"/>
              <w:keepLines w:val="0"/>
              <w:widowControl/>
              <w:numPr>
                <w:ilvl w:val="0"/>
                <w:numId w:val="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679347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kern w:val="2"/>
                <w:sz w:val="22"/>
                <w:szCs w:val="21"/>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数字钳形表</w:t>
            </w:r>
          </w:p>
        </w:tc>
        <w:tc>
          <w:tcPr>
            <w:tcW w:w="0" w:type="auto"/>
            <w:shd w:val="clear" w:color="auto" w:fill="auto"/>
            <w:noWrap/>
            <w:vAlign w:val="center"/>
          </w:tcPr>
          <w:p w14:paraId="4793B9F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w:t>
            </w:r>
          </w:p>
        </w:tc>
        <w:tc>
          <w:tcPr>
            <w:tcW w:w="658" w:type="dxa"/>
            <w:shd w:val="clear" w:color="auto" w:fill="auto"/>
            <w:noWrap/>
            <w:vAlign w:val="center"/>
          </w:tcPr>
          <w:p w14:paraId="64E9DF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6A63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670EF4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875" w:type="dxa"/>
            <w:shd w:val="clear" w:color="auto" w:fill="auto"/>
            <w:vAlign w:val="center"/>
          </w:tcPr>
          <w:p w14:paraId="0DF11BB2">
            <w:pPr>
              <w:keepNext w:val="0"/>
              <w:keepLines w:val="0"/>
              <w:widowControl/>
              <w:numPr>
                <w:ilvl w:val="0"/>
                <w:numId w:val="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4BF619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绝缘电阻测试仪</w:t>
            </w:r>
          </w:p>
        </w:tc>
        <w:tc>
          <w:tcPr>
            <w:tcW w:w="0" w:type="auto"/>
            <w:shd w:val="clear" w:color="auto" w:fill="auto"/>
            <w:noWrap/>
            <w:vAlign w:val="center"/>
          </w:tcPr>
          <w:p w14:paraId="5014539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w:t>
            </w:r>
          </w:p>
        </w:tc>
        <w:tc>
          <w:tcPr>
            <w:tcW w:w="658" w:type="dxa"/>
            <w:shd w:val="clear" w:color="auto" w:fill="auto"/>
            <w:noWrap/>
            <w:vAlign w:val="center"/>
          </w:tcPr>
          <w:p w14:paraId="4BEF2A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135D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74E7A7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875" w:type="dxa"/>
            <w:shd w:val="clear" w:color="auto" w:fill="auto"/>
            <w:vAlign w:val="center"/>
          </w:tcPr>
          <w:p w14:paraId="09308C2F">
            <w:pPr>
              <w:keepNext w:val="0"/>
              <w:keepLines w:val="0"/>
              <w:widowControl/>
              <w:numPr>
                <w:ilvl w:val="0"/>
                <w:numId w:val="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42FD47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电池内阻测试仪</w:t>
            </w:r>
          </w:p>
        </w:tc>
        <w:tc>
          <w:tcPr>
            <w:tcW w:w="0" w:type="auto"/>
            <w:shd w:val="clear" w:color="auto" w:fill="auto"/>
            <w:noWrap/>
            <w:vAlign w:val="center"/>
          </w:tcPr>
          <w:p w14:paraId="48D1231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w:t>
            </w:r>
          </w:p>
        </w:tc>
        <w:tc>
          <w:tcPr>
            <w:tcW w:w="658" w:type="dxa"/>
            <w:shd w:val="clear" w:color="auto" w:fill="auto"/>
            <w:noWrap/>
            <w:vAlign w:val="center"/>
          </w:tcPr>
          <w:p w14:paraId="46E30D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48AC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158471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875" w:type="dxa"/>
            <w:shd w:val="clear" w:color="auto" w:fill="auto"/>
            <w:vAlign w:val="center"/>
          </w:tcPr>
          <w:p w14:paraId="63387B59">
            <w:pPr>
              <w:keepNext w:val="0"/>
              <w:keepLines w:val="0"/>
              <w:widowControl/>
              <w:numPr>
                <w:ilvl w:val="0"/>
                <w:numId w:val="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1B5EE4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万用接线盒</w:t>
            </w:r>
          </w:p>
        </w:tc>
        <w:tc>
          <w:tcPr>
            <w:tcW w:w="0" w:type="auto"/>
            <w:shd w:val="clear" w:color="auto" w:fill="auto"/>
            <w:noWrap/>
            <w:vAlign w:val="center"/>
          </w:tcPr>
          <w:p w14:paraId="637E8E4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w:t>
            </w:r>
          </w:p>
        </w:tc>
        <w:tc>
          <w:tcPr>
            <w:tcW w:w="658" w:type="dxa"/>
            <w:shd w:val="clear" w:color="auto" w:fill="auto"/>
            <w:noWrap/>
            <w:vAlign w:val="center"/>
          </w:tcPr>
          <w:p w14:paraId="7DD9B1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00F0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195C2D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875" w:type="dxa"/>
            <w:shd w:val="clear" w:color="auto" w:fill="auto"/>
            <w:vAlign w:val="center"/>
          </w:tcPr>
          <w:p w14:paraId="5886539E">
            <w:pPr>
              <w:keepNext w:val="0"/>
              <w:keepLines w:val="0"/>
              <w:widowControl/>
              <w:numPr>
                <w:ilvl w:val="0"/>
                <w:numId w:val="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69DD80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文化建设</w:t>
            </w:r>
          </w:p>
        </w:tc>
        <w:tc>
          <w:tcPr>
            <w:tcW w:w="0" w:type="auto"/>
            <w:shd w:val="clear" w:color="auto" w:fill="auto"/>
            <w:noWrap/>
            <w:vAlign w:val="center"/>
          </w:tcPr>
          <w:p w14:paraId="75BE3B1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w:t>
            </w:r>
          </w:p>
        </w:tc>
        <w:tc>
          <w:tcPr>
            <w:tcW w:w="658" w:type="dxa"/>
            <w:shd w:val="clear" w:color="auto" w:fill="auto"/>
            <w:noWrap/>
            <w:vAlign w:val="center"/>
          </w:tcPr>
          <w:p w14:paraId="225232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055F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4A671D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875" w:type="dxa"/>
            <w:shd w:val="clear" w:color="auto" w:fill="auto"/>
            <w:vAlign w:val="center"/>
          </w:tcPr>
          <w:p w14:paraId="15186444">
            <w:pPr>
              <w:keepNext w:val="0"/>
              <w:keepLines w:val="0"/>
              <w:widowControl/>
              <w:numPr>
                <w:ilvl w:val="0"/>
                <w:numId w:val="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3BB6CF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人员防护套装</w:t>
            </w:r>
          </w:p>
        </w:tc>
        <w:tc>
          <w:tcPr>
            <w:tcW w:w="0" w:type="auto"/>
            <w:shd w:val="clear" w:color="auto" w:fill="auto"/>
            <w:noWrap/>
            <w:vAlign w:val="center"/>
          </w:tcPr>
          <w:p w14:paraId="02800C9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10</w:t>
            </w:r>
          </w:p>
        </w:tc>
        <w:tc>
          <w:tcPr>
            <w:tcW w:w="658" w:type="dxa"/>
            <w:shd w:val="clear" w:color="auto" w:fill="auto"/>
            <w:noWrap/>
            <w:vAlign w:val="center"/>
          </w:tcPr>
          <w:p w14:paraId="295B8F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50EB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12639B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875" w:type="dxa"/>
            <w:shd w:val="clear" w:color="auto" w:fill="auto"/>
            <w:vAlign w:val="center"/>
          </w:tcPr>
          <w:p w14:paraId="2AE9174E">
            <w:pPr>
              <w:keepNext w:val="0"/>
              <w:keepLines w:val="0"/>
              <w:widowControl/>
              <w:numPr>
                <w:ilvl w:val="0"/>
                <w:numId w:val="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305195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工位安全防护套装</w:t>
            </w:r>
          </w:p>
        </w:tc>
        <w:tc>
          <w:tcPr>
            <w:tcW w:w="0" w:type="auto"/>
            <w:shd w:val="clear" w:color="auto" w:fill="auto"/>
            <w:noWrap/>
            <w:vAlign w:val="center"/>
          </w:tcPr>
          <w:p w14:paraId="55AC566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5</w:t>
            </w:r>
          </w:p>
        </w:tc>
        <w:tc>
          <w:tcPr>
            <w:tcW w:w="658" w:type="dxa"/>
            <w:shd w:val="clear" w:color="auto" w:fill="auto"/>
            <w:noWrap/>
            <w:vAlign w:val="center"/>
          </w:tcPr>
          <w:p w14:paraId="1EA8AE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2C42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189AB8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875" w:type="dxa"/>
            <w:shd w:val="clear" w:color="auto" w:fill="auto"/>
            <w:vAlign w:val="center"/>
          </w:tcPr>
          <w:p w14:paraId="0D89D18E">
            <w:pPr>
              <w:keepNext w:val="0"/>
              <w:keepLines w:val="0"/>
              <w:widowControl/>
              <w:numPr>
                <w:ilvl w:val="0"/>
                <w:numId w:val="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597F61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highlight w:val="yellow"/>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拾音扩音系统</w:t>
            </w:r>
          </w:p>
        </w:tc>
        <w:tc>
          <w:tcPr>
            <w:tcW w:w="0" w:type="auto"/>
            <w:shd w:val="clear" w:color="auto" w:fill="auto"/>
            <w:noWrap/>
            <w:vAlign w:val="center"/>
          </w:tcPr>
          <w:p w14:paraId="234FB7C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w:t>
            </w:r>
          </w:p>
        </w:tc>
        <w:tc>
          <w:tcPr>
            <w:tcW w:w="658" w:type="dxa"/>
            <w:shd w:val="clear" w:color="auto" w:fill="auto"/>
            <w:noWrap/>
            <w:vAlign w:val="center"/>
          </w:tcPr>
          <w:p w14:paraId="5AF01F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3A74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shd w:val="clear" w:color="auto" w:fill="auto"/>
            <w:vAlign w:val="center"/>
          </w:tcPr>
          <w:p w14:paraId="4777B6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2"/>
                <w:szCs w:val="22"/>
                <w:u w:val="none"/>
                <w:lang w:val="en-US" w:eastAsia="zh-CN" w:bidi="ar"/>
                <w14:textFill>
                  <w14:solidFill>
                    <w14:schemeClr w14:val="tx1"/>
                  </w14:solidFill>
                </w14:textFill>
              </w:rPr>
              <w:t>新能源汽车电器与辅助电子实训室</w:t>
            </w:r>
          </w:p>
        </w:tc>
        <w:tc>
          <w:tcPr>
            <w:tcW w:w="875" w:type="dxa"/>
            <w:shd w:val="clear" w:color="auto" w:fill="auto"/>
            <w:vAlign w:val="center"/>
          </w:tcPr>
          <w:p w14:paraId="1DD9EF05">
            <w:pPr>
              <w:numPr>
                <w:ilvl w:val="0"/>
                <w:numId w:val="5"/>
              </w:numPr>
              <w:snapToGrid w:val="0"/>
              <w:ind w:left="0" w:leftChars="0" w:right="0" w:rightChars="0" w:firstLine="0" w:firstLineChars="0"/>
              <w:jc w:val="center"/>
              <w:rPr>
                <w:rFonts w:hint="eastAsia" w:ascii="仿宋" w:hAnsi="仿宋" w:eastAsia="仿宋" w:cs="仿宋"/>
                <w:color w:val="000000" w:themeColor="text1"/>
                <w:sz w:val="22"/>
                <w14:textFill>
                  <w14:solidFill>
                    <w14:schemeClr w14:val="tx1"/>
                  </w14:solidFill>
                </w14:textFill>
              </w:rPr>
            </w:pPr>
          </w:p>
        </w:tc>
        <w:tc>
          <w:tcPr>
            <w:tcW w:w="4570" w:type="dxa"/>
            <w:shd w:val="clear" w:color="auto" w:fill="auto"/>
            <w:noWrap/>
            <w:vAlign w:val="center"/>
          </w:tcPr>
          <w:p w14:paraId="51C34A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新能源汽车全车照明系统实训平台</w:t>
            </w:r>
          </w:p>
        </w:tc>
        <w:tc>
          <w:tcPr>
            <w:tcW w:w="0" w:type="auto"/>
            <w:shd w:val="clear" w:color="auto" w:fill="auto"/>
            <w:noWrap/>
            <w:vAlign w:val="center"/>
          </w:tcPr>
          <w:p w14:paraId="6D460FC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w:t>
            </w:r>
          </w:p>
        </w:tc>
        <w:tc>
          <w:tcPr>
            <w:tcW w:w="658" w:type="dxa"/>
            <w:shd w:val="clear" w:color="auto" w:fill="auto"/>
            <w:noWrap/>
            <w:vAlign w:val="center"/>
          </w:tcPr>
          <w:p w14:paraId="0249BE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5B26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44783F81">
            <w:p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875" w:type="dxa"/>
            <w:shd w:val="clear" w:color="auto" w:fill="auto"/>
            <w:vAlign w:val="center"/>
          </w:tcPr>
          <w:p w14:paraId="70F81BB5">
            <w:pPr>
              <w:numPr>
                <w:ilvl w:val="0"/>
                <w:numId w:val="5"/>
              </w:numPr>
              <w:snapToGrid w:val="0"/>
              <w:ind w:left="0" w:leftChars="0" w:right="0" w:rightChars="0" w:firstLine="0" w:firstLineChars="0"/>
              <w:jc w:val="center"/>
              <w:rPr>
                <w:rFonts w:hint="eastAsia" w:ascii="仿宋" w:hAnsi="仿宋" w:eastAsia="仿宋" w:cs="仿宋"/>
                <w:color w:val="000000" w:themeColor="text1"/>
                <w:sz w:val="22"/>
                <w14:textFill>
                  <w14:solidFill>
                    <w14:schemeClr w14:val="tx1"/>
                  </w14:solidFill>
                </w14:textFill>
              </w:rPr>
            </w:pPr>
          </w:p>
        </w:tc>
        <w:tc>
          <w:tcPr>
            <w:tcW w:w="4570" w:type="dxa"/>
            <w:shd w:val="clear" w:color="auto" w:fill="auto"/>
            <w:noWrap/>
            <w:vAlign w:val="center"/>
          </w:tcPr>
          <w:p w14:paraId="663322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新能源汽车舒适系统实训平台</w:t>
            </w:r>
          </w:p>
        </w:tc>
        <w:tc>
          <w:tcPr>
            <w:tcW w:w="0" w:type="auto"/>
            <w:shd w:val="clear" w:color="auto" w:fill="auto"/>
            <w:noWrap/>
            <w:vAlign w:val="center"/>
          </w:tcPr>
          <w:p w14:paraId="7E233C2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w:t>
            </w:r>
          </w:p>
        </w:tc>
        <w:tc>
          <w:tcPr>
            <w:tcW w:w="658" w:type="dxa"/>
            <w:shd w:val="clear" w:color="auto" w:fill="auto"/>
            <w:noWrap/>
            <w:vAlign w:val="center"/>
          </w:tcPr>
          <w:p w14:paraId="55791D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29D0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21B325E2">
            <w:p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875" w:type="dxa"/>
            <w:shd w:val="clear" w:color="auto" w:fill="auto"/>
            <w:vAlign w:val="center"/>
          </w:tcPr>
          <w:p w14:paraId="5F8BE3C5">
            <w:pPr>
              <w:numPr>
                <w:ilvl w:val="0"/>
                <w:numId w:val="5"/>
              </w:numPr>
              <w:snapToGrid w:val="0"/>
              <w:ind w:left="0" w:leftChars="0" w:right="0" w:rightChars="0" w:firstLine="0" w:firstLineChars="0"/>
              <w:jc w:val="center"/>
              <w:rPr>
                <w:rFonts w:hint="eastAsia" w:ascii="仿宋" w:hAnsi="仿宋" w:eastAsia="仿宋" w:cs="仿宋"/>
                <w:color w:val="000000" w:themeColor="text1"/>
                <w:sz w:val="22"/>
                <w14:textFill>
                  <w14:solidFill>
                    <w14:schemeClr w14:val="tx1"/>
                  </w14:solidFill>
                </w14:textFill>
              </w:rPr>
            </w:pPr>
          </w:p>
        </w:tc>
        <w:tc>
          <w:tcPr>
            <w:tcW w:w="4570" w:type="dxa"/>
            <w:shd w:val="clear" w:color="auto" w:fill="auto"/>
            <w:noWrap/>
            <w:vAlign w:val="center"/>
          </w:tcPr>
          <w:p w14:paraId="2815AC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压缩机综合性能检测台</w:t>
            </w:r>
          </w:p>
        </w:tc>
        <w:tc>
          <w:tcPr>
            <w:tcW w:w="0" w:type="auto"/>
            <w:shd w:val="clear" w:color="auto" w:fill="auto"/>
            <w:noWrap/>
            <w:vAlign w:val="center"/>
          </w:tcPr>
          <w:p w14:paraId="7AA2CCC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w:t>
            </w:r>
          </w:p>
        </w:tc>
        <w:tc>
          <w:tcPr>
            <w:tcW w:w="658" w:type="dxa"/>
            <w:shd w:val="clear" w:color="auto" w:fill="auto"/>
            <w:noWrap/>
            <w:vAlign w:val="center"/>
          </w:tcPr>
          <w:p w14:paraId="25250E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6DFE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5F922AB1">
            <w:p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875" w:type="dxa"/>
            <w:shd w:val="clear" w:color="auto" w:fill="auto"/>
            <w:vAlign w:val="center"/>
          </w:tcPr>
          <w:p w14:paraId="5E169C5A">
            <w:pPr>
              <w:numPr>
                <w:ilvl w:val="0"/>
                <w:numId w:val="5"/>
              </w:numPr>
              <w:snapToGrid w:val="0"/>
              <w:ind w:left="0" w:leftChars="0" w:right="0" w:rightChars="0" w:firstLine="0" w:firstLineChars="0"/>
              <w:jc w:val="center"/>
              <w:rPr>
                <w:rFonts w:hint="eastAsia" w:ascii="仿宋" w:hAnsi="仿宋" w:eastAsia="仿宋" w:cs="仿宋"/>
                <w:color w:val="000000" w:themeColor="text1"/>
                <w:sz w:val="22"/>
                <w14:textFill>
                  <w14:solidFill>
                    <w14:schemeClr w14:val="tx1"/>
                  </w14:solidFill>
                </w14:textFill>
              </w:rPr>
            </w:pPr>
          </w:p>
        </w:tc>
        <w:tc>
          <w:tcPr>
            <w:tcW w:w="4570" w:type="dxa"/>
            <w:shd w:val="clear" w:color="auto" w:fill="auto"/>
            <w:vAlign w:val="center"/>
          </w:tcPr>
          <w:p w14:paraId="6A4666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PTC综合测试台</w:t>
            </w:r>
          </w:p>
        </w:tc>
        <w:tc>
          <w:tcPr>
            <w:tcW w:w="0" w:type="auto"/>
            <w:shd w:val="clear" w:color="auto" w:fill="auto"/>
            <w:noWrap/>
            <w:vAlign w:val="center"/>
          </w:tcPr>
          <w:p w14:paraId="576746D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w:t>
            </w:r>
          </w:p>
        </w:tc>
        <w:tc>
          <w:tcPr>
            <w:tcW w:w="658" w:type="dxa"/>
            <w:shd w:val="clear" w:color="auto" w:fill="auto"/>
            <w:noWrap/>
            <w:vAlign w:val="center"/>
          </w:tcPr>
          <w:p w14:paraId="5432F3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1EDF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2EA8D0F4">
            <w:p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875" w:type="dxa"/>
            <w:shd w:val="clear" w:color="auto" w:fill="auto"/>
            <w:vAlign w:val="center"/>
          </w:tcPr>
          <w:p w14:paraId="43225495">
            <w:pPr>
              <w:numPr>
                <w:ilvl w:val="0"/>
                <w:numId w:val="5"/>
              </w:numPr>
              <w:snapToGrid w:val="0"/>
              <w:ind w:left="0" w:leftChars="0" w:right="0" w:rightChars="0" w:firstLine="0" w:firstLineChars="0"/>
              <w:jc w:val="center"/>
              <w:rPr>
                <w:rFonts w:hint="eastAsia" w:ascii="仿宋" w:hAnsi="仿宋" w:eastAsia="仿宋" w:cs="仿宋"/>
                <w:color w:val="000000" w:themeColor="text1"/>
                <w:sz w:val="22"/>
                <w14:textFill>
                  <w14:solidFill>
                    <w14:schemeClr w14:val="tx1"/>
                  </w14:solidFill>
                </w14:textFill>
              </w:rPr>
            </w:pPr>
          </w:p>
        </w:tc>
        <w:tc>
          <w:tcPr>
            <w:tcW w:w="4570" w:type="dxa"/>
            <w:shd w:val="clear" w:color="auto" w:fill="auto"/>
            <w:noWrap/>
            <w:vAlign w:val="center"/>
          </w:tcPr>
          <w:p w14:paraId="01BF6D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i w:val="0"/>
                <w:iCs w:val="0"/>
                <w:color w:val="000000" w:themeColor="text1"/>
                <w:kern w:val="0"/>
                <w:sz w:val="22"/>
                <w:szCs w:val="24"/>
                <w:u w:val="none"/>
                <w:lang w:val="en-US" w:eastAsia="zh-CN" w:bidi="ar"/>
                <w14:textFill>
                  <w14:solidFill>
                    <w14:schemeClr w14:val="tx1"/>
                  </w14:solidFill>
                </w14:textFill>
              </w:rPr>
              <w:t>热泵空调控制系统实训平台</w:t>
            </w:r>
          </w:p>
        </w:tc>
        <w:tc>
          <w:tcPr>
            <w:tcW w:w="0" w:type="auto"/>
            <w:shd w:val="clear" w:color="auto" w:fill="auto"/>
            <w:noWrap/>
            <w:vAlign w:val="center"/>
          </w:tcPr>
          <w:p w14:paraId="5C0A238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i w:val="0"/>
                <w:iCs w:val="0"/>
                <w:color w:val="000000" w:themeColor="text1"/>
                <w:kern w:val="0"/>
                <w:sz w:val="22"/>
                <w:szCs w:val="24"/>
                <w:u w:val="none"/>
                <w:lang w:val="en-US" w:eastAsia="zh-CN" w:bidi="ar"/>
                <w14:textFill>
                  <w14:solidFill>
                    <w14:schemeClr w14:val="tx1"/>
                  </w14:solidFill>
                </w14:textFill>
              </w:rPr>
              <w:t>2</w:t>
            </w:r>
          </w:p>
        </w:tc>
        <w:tc>
          <w:tcPr>
            <w:tcW w:w="658" w:type="dxa"/>
            <w:shd w:val="clear" w:color="auto" w:fill="auto"/>
            <w:noWrap/>
            <w:vAlign w:val="center"/>
          </w:tcPr>
          <w:p w14:paraId="37B037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i w:val="0"/>
                <w:iCs w:val="0"/>
                <w:color w:val="000000" w:themeColor="text1"/>
                <w:kern w:val="0"/>
                <w:sz w:val="22"/>
                <w:szCs w:val="24"/>
                <w:u w:val="none"/>
                <w:lang w:val="en-US" w:eastAsia="zh-CN" w:bidi="ar"/>
                <w14:textFill>
                  <w14:solidFill>
                    <w14:schemeClr w14:val="tx1"/>
                  </w14:solidFill>
                </w14:textFill>
              </w:rPr>
              <w:t>套</w:t>
            </w:r>
          </w:p>
        </w:tc>
      </w:tr>
      <w:tr w14:paraId="0A1C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1940BF56">
            <w:p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875" w:type="dxa"/>
            <w:shd w:val="clear" w:color="auto" w:fill="auto"/>
            <w:vAlign w:val="center"/>
          </w:tcPr>
          <w:p w14:paraId="6C4B5C2D">
            <w:pPr>
              <w:numPr>
                <w:ilvl w:val="0"/>
                <w:numId w:val="5"/>
              </w:numPr>
              <w:snapToGrid w:val="0"/>
              <w:ind w:left="0" w:leftChars="0" w:right="0" w:rightChars="0" w:firstLine="0" w:firstLineChars="0"/>
              <w:jc w:val="center"/>
              <w:rPr>
                <w:rFonts w:hint="eastAsia" w:ascii="仿宋" w:hAnsi="仿宋" w:eastAsia="仿宋" w:cs="仿宋"/>
                <w:color w:val="000000" w:themeColor="text1"/>
                <w:sz w:val="22"/>
                <w14:textFill>
                  <w14:solidFill>
                    <w14:schemeClr w14:val="tx1"/>
                  </w14:solidFill>
                </w14:textFill>
              </w:rPr>
            </w:pPr>
          </w:p>
        </w:tc>
        <w:tc>
          <w:tcPr>
            <w:tcW w:w="4570" w:type="dxa"/>
            <w:shd w:val="clear" w:color="auto" w:fill="auto"/>
            <w:noWrap/>
            <w:vAlign w:val="center"/>
          </w:tcPr>
          <w:p w14:paraId="1765BB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i w:val="0"/>
                <w:iCs w:val="0"/>
                <w:color w:val="000000" w:themeColor="text1"/>
                <w:kern w:val="0"/>
                <w:sz w:val="22"/>
                <w:szCs w:val="24"/>
                <w:u w:val="none"/>
                <w:lang w:val="en-US" w:eastAsia="zh-CN" w:bidi="ar"/>
                <w14:textFill>
                  <w14:solidFill>
                    <w14:schemeClr w14:val="tx1"/>
                  </w14:solidFill>
                </w14:textFill>
              </w:rPr>
              <w:t>汽车电控与车载CAN网络故障诊断实验系统</w:t>
            </w:r>
          </w:p>
        </w:tc>
        <w:tc>
          <w:tcPr>
            <w:tcW w:w="0" w:type="auto"/>
            <w:shd w:val="clear" w:color="auto" w:fill="auto"/>
            <w:noWrap/>
            <w:vAlign w:val="center"/>
          </w:tcPr>
          <w:p w14:paraId="65DD5CF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color w:val="000000" w:themeColor="text1"/>
                <w:sz w:val="22"/>
                <w:lang w:val="en-US" w:eastAsia="zh-CN"/>
                <w14:textFill>
                  <w14:solidFill>
                    <w14:schemeClr w14:val="tx1"/>
                  </w14:solidFill>
                </w14:textFill>
              </w:rPr>
              <w:t>20</w:t>
            </w:r>
          </w:p>
        </w:tc>
        <w:tc>
          <w:tcPr>
            <w:tcW w:w="658" w:type="dxa"/>
            <w:shd w:val="clear" w:color="auto" w:fill="auto"/>
            <w:noWrap/>
            <w:vAlign w:val="center"/>
          </w:tcPr>
          <w:p w14:paraId="4EA487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i w:val="0"/>
                <w:iCs w:val="0"/>
                <w:color w:val="000000" w:themeColor="text1"/>
                <w:kern w:val="0"/>
                <w:sz w:val="22"/>
                <w:szCs w:val="24"/>
                <w:u w:val="none"/>
                <w:lang w:val="en-US" w:eastAsia="zh-CN" w:bidi="ar"/>
                <w14:textFill>
                  <w14:solidFill>
                    <w14:schemeClr w14:val="tx1"/>
                  </w14:solidFill>
                </w14:textFill>
              </w:rPr>
              <w:t>套</w:t>
            </w:r>
          </w:p>
        </w:tc>
      </w:tr>
      <w:tr w14:paraId="23CC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613CDA56">
            <w:p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875" w:type="dxa"/>
            <w:shd w:val="clear" w:color="auto" w:fill="auto"/>
            <w:vAlign w:val="center"/>
          </w:tcPr>
          <w:p w14:paraId="749D6BB6">
            <w:pPr>
              <w:numPr>
                <w:ilvl w:val="0"/>
                <w:numId w:val="5"/>
              </w:numPr>
              <w:snapToGrid w:val="0"/>
              <w:ind w:left="0" w:leftChars="0" w:right="0" w:rightChars="0" w:firstLine="0" w:firstLineChars="0"/>
              <w:jc w:val="center"/>
              <w:rPr>
                <w:rFonts w:hint="eastAsia" w:ascii="仿宋" w:hAnsi="仿宋" w:eastAsia="仿宋" w:cs="仿宋"/>
                <w:color w:val="000000" w:themeColor="text1"/>
                <w:sz w:val="22"/>
                <w14:textFill>
                  <w14:solidFill>
                    <w14:schemeClr w14:val="tx1"/>
                  </w14:solidFill>
                </w14:textFill>
              </w:rPr>
            </w:pPr>
          </w:p>
        </w:tc>
        <w:tc>
          <w:tcPr>
            <w:tcW w:w="4570" w:type="dxa"/>
            <w:shd w:val="clear" w:color="auto" w:fill="auto"/>
            <w:noWrap/>
            <w:vAlign w:val="center"/>
          </w:tcPr>
          <w:p w14:paraId="595F2D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工具和量具套装</w:t>
            </w:r>
          </w:p>
        </w:tc>
        <w:tc>
          <w:tcPr>
            <w:tcW w:w="0" w:type="auto"/>
            <w:shd w:val="clear" w:color="auto" w:fill="auto"/>
            <w:noWrap/>
            <w:vAlign w:val="center"/>
          </w:tcPr>
          <w:p w14:paraId="088BDC2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w:t>
            </w:r>
          </w:p>
        </w:tc>
        <w:tc>
          <w:tcPr>
            <w:tcW w:w="658" w:type="dxa"/>
            <w:shd w:val="clear" w:color="auto" w:fill="auto"/>
            <w:noWrap/>
            <w:vAlign w:val="center"/>
          </w:tcPr>
          <w:p w14:paraId="6716BC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1D83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0F9DC3FA">
            <w:p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875" w:type="dxa"/>
            <w:shd w:val="clear" w:color="auto" w:fill="auto"/>
            <w:vAlign w:val="center"/>
          </w:tcPr>
          <w:p w14:paraId="451F574D">
            <w:pPr>
              <w:numPr>
                <w:ilvl w:val="0"/>
                <w:numId w:val="5"/>
              </w:numPr>
              <w:snapToGrid w:val="0"/>
              <w:ind w:left="0" w:leftChars="0" w:right="0" w:rightChars="0" w:firstLine="0" w:firstLineChars="0"/>
              <w:jc w:val="center"/>
              <w:rPr>
                <w:rFonts w:hint="eastAsia" w:ascii="仿宋" w:hAnsi="仿宋" w:eastAsia="仿宋" w:cs="仿宋"/>
                <w:color w:val="000000" w:themeColor="text1"/>
                <w:sz w:val="22"/>
                <w14:textFill>
                  <w14:solidFill>
                    <w14:schemeClr w14:val="tx1"/>
                  </w14:solidFill>
                </w14:textFill>
              </w:rPr>
            </w:pPr>
          </w:p>
        </w:tc>
        <w:tc>
          <w:tcPr>
            <w:tcW w:w="4570" w:type="dxa"/>
            <w:shd w:val="clear" w:color="auto" w:fill="auto"/>
            <w:noWrap/>
            <w:vAlign w:val="center"/>
          </w:tcPr>
          <w:p w14:paraId="6B25FA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绝缘电阻测试仪</w:t>
            </w:r>
          </w:p>
        </w:tc>
        <w:tc>
          <w:tcPr>
            <w:tcW w:w="0" w:type="auto"/>
            <w:shd w:val="clear" w:color="auto" w:fill="auto"/>
            <w:noWrap/>
            <w:vAlign w:val="center"/>
          </w:tcPr>
          <w:p w14:paraId="0C5BBAB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w:t>
            </w:r>
          </w:p>
        </w:tc>
        <w:tc>
          <w:tcPr>
            <w:tcW w:w="658" w:type="dxa"/>
            <w:shd w:val="clear" w:color="auto" w:fill="auto"/>
            <w:noWrap/>
            <w:vAlign w:val="center"/>
          </w:tcPr>
          <w:p w14:paraId="4859E9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0A90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367BDE19">
            <w:p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875" w:type="dxa"/>
            <w:shd w:val="clear" w:color="auto" w:fill="auto"/>
            <w:vAlign w:val="center"/>
          </w:tcPr>
          <w:p w14:paraId="0D29D005">
            <w:pPr>
              <w:numPr>
                <w:ilvl w:val="0"/>
                <w:numId w:val="5"/>
              </w:numPr>
              <w:snapToGrid w:val="0"/>
              <w:ind w:left="0" w:leftChars="0" w:right="0" w:rightChars="0" w:firstLine="0" w:firstLineChars="0"/>
              <w:jc w:val="center"/>
              <w:rPr>
                <w:rFonts w:hint="eastAsia" w:ascii="仿宋" w:hAnsi="仿宋" w:eastAsia="仿宋" w:cs="仿宋"/>
                <w:color w:val="000000" w:themeColor="text1"/>
                <w:sz w:val="22"/>
                <w14:textFill>
                  <w14:solidFill>
                    <w14:schemeClr w14:val="tx1"/>
                  </w14:solidFill>
                </w14:textFill>
              </w:rPr>
            </w:pPr>
          </w:p>
        </w:tc>
        <w:tc>
          <w:tcPr>
            <w:tcW w:w="4570" w:type="dxa"/>
            <w:shd w:val="clear" w:color="auto" w:fill="auto"/>
            <w:noWrap/>
            <w:vAlign w:val="center"/>
          </w:tcPr>
          <w:p w14:paraId="1A8038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空调压力表套装</w:t>
            </w:r>
          </w:p>
        </w:tc>
        <w:tc>
          <w:tcPr>
            <w:tcW w:w="0" w:type="auto"/>
            <w:shd w:val="clear" w:color="auto" w:fill="auto"/>
            <w:noWrap/>
            <w:vAlign w:val="center"/>
          </w:tcPr>
          <w:p w14:paraId="1F98F11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4</w:t>
            </w:r>
          </w:p>
        </w:tc>
        <w:tc>
          <w:tcPr>
            <w:tcW w:w="658" w:type="dxa"/>
            <w:shd w:val="clear" w:color="auto" w:fill="auto"/>
            <w:noWrap/>
            <w:vAlign w:val="center"/>
          </w:tcPr>
          <w:p w14:paraId="480EBE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6848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68507457">
            <w:p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875" w:type="dxa"/>
            <w:shd w:val="clear" w:color="auto" w:fill="auto"/>
            <w:vAlign w:val="center"/>
          </w:tcPr>
          <w:p w14:paraId="5E7C2E2B">
            <w:pPr>
              <w:numPr>
                <w:ilvl w:val="0"/>
                <w:numId w:val="5"/>
              </w:numPr>
              <w:snapToGrid w:val="0"/>
              <w:ind w:left="0" w:leftChars="0" w:right="0" w:rightChars="0" w:firstLine="0" w:firstLineChars="0"/>
              <w:jc w:val="center"/>
              <w:rPr>
                <w:rFonts w:hint="eastAsia" w:ascii="仿宋" w:hAnsi="仿宋" w:eastAsia="仿宋" w:cs="仿宋"/>
                <w:color w:val="000000" w:themeColor="text1"/>
                <w:sz w:val="22"/>
                <w14:textFill>
                  <w14:solidFill>
                    <w14:schemeClr w14:val="tx1"/>
                  </w14:solidFill>
                </w14:textFill>
              </w:rPr>
            </w:pPr>
          </w:p>
        </w:tc>
        <w:tc>
          <w:tcPr>
            <w:tcW w:w="4570" w:type="dxa"/>
            <w:shd w:val="clear" w:color="auto" w:fill="auto"/>
            <w:noWrap/>
            <w:vAlign w:val="center"/>
          </w:tcPr>
          <w:p w14:paraId="0D3659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文化建设</w:t>
            </w:r>
          </w:p>
        </w:tc>
        <w:tc>
          <w:tcPr>
            <w:tcW w:w="0" w:type="auto"/>
            <w:shd w:val="clear" w:color="auto" w:fill="auto"/>
            <w:noWrap/>
            <w:vAlign w:val="center"/>
          </w:tcPr>
          <w:p w14:paraId="34EF548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w:t>
            </w:r>
          </w:p>
        </w:tc>
        <w:tc>
          <w:tcPr>
            <w:tcW w:w="658" w:type="dxa"/>
            <w:shd w:val="clear" w:color="auto" w:fill="auto"/>
            <w:noWrap/>
            <w:vAlign w:val="center"/>
          </w:tcPr>
          <w:p w14:paraId="7C3FDD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29BD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712E5CD2">
            <w:p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875" w:type="dxa"/>
            <w:shd w:val="clear" w:color="auto" w:fill="auto"/>
            <w:vAlign w:val="center"/>
          </w:tcPr>
          <w:p w14:paraId="096836E8">
            <w:pPr>
              <w:numPr>
                <w:ilvl w:val="0"/>
                <w:numId w:val="5"/>
              </w:num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4570" w:type="dxa"/>
            <w:shd w:val="clear" w:color="auto" w:fill="auto"/>
            <w:noWrap/>
            <w:vAlign w:val="center"/>
          </w:tcPr>
          <w:p w14:paraId="5590FA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人员防护套装</w:t>
            </w:r>
          </w:p>
        </w:tc>
        <w:tc>
          <w:tcPr>
            <w:tcW w:w="0" w:type="auto"/>
            <w:shd w:val="clear" w:color="auto" w:fill="auto"/>
            <w:noWrap/>
            <w:vAlign w:val="center"/>
          </w:tcPr>
          <w:p w14:paraId="3D599A9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10</w:t>
            </w:r>
          </w:p>
        </w:tc>
        <w:tc>
          <w:tcPr>
            <w:tcW w:w="658" w:type="dxa"/>
            <w:shd w:val="clear" w:color="auto" w:fill="auto"/>
            <w:noWrap/>
            <w:vAlign w:val="center"/>
          </w:tcPr>
          <w:p w14:paraId="4F08B2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365D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38C66C80">
            <w:p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875" w:type="dxa"/>
            <w:shd w:val="clear" w:color="auto" w:fill="auto"/>
            <w:vAlign w:val="center"/>
          </w:tcPr>
          <w:p w14:paraId="4A81B839">
            <w:pPr>
              <w:numPr>
                <w:ilvl w:val="0"/>
                <w:numId w:val="5"/>
              </w:numPr>
              <w:snapToGrid w:val="0"/>
              <w:ind w:left="0" w:leftChars="0" w:right="0" w:rightChars="0" w:firstLine="0" w:firstLineChars="0"/>
              <w:jc w:val="center"/>
              <w:rPr>
                <w:rFonts w:hint="eastAsia" w:ascii="仿宋" w:hAnsi="仿宋" w:eastAsia="仿宋" w:cs="仿宋"/>
                <w:color w:val="000000" w:themeColor="text1"/>
                <w:sz w:val="22"/>
                <w:lang w:val="en-US" w:eastAsia="zh-CN"/>
                <w14:textFill>
                  <w14:solidFill>
                    <w14:schemeClr w14:val="tx1"/>
                  </w14:solidFill>
                </w14:textFill>
              </w:rPr>
            </w:pPr>
          </w:p>
        </w:tc>
        <w:tc>
          <w:tcPr>
            <w:tcW w:w="4570" w:type="dxa"/>
            <w:shd w:val="clear" w:color="auto" w:fill="auto"/>
            <w:noWrap/>
            <w:vAlign w:val="center"/>
          </w:tcPr>
          <w:p w14:paraId="1F1F2C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工位安全防护套装</w:t>
            </w:r>
          </w:p>
        </w:tc>
        <w:tc>
          <w:tcPr>
            <w:tcW w:w="0" w:type="auto"/>
            <w:shd w:val="clear" w:color="auto" w:fill="auto"/>
            <w:noWrap/>
            <w:vAlign w:val="center"/>
          </w:tcPr>
          <w:p w14:paraId="0ED7040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5</w:t>
            </w:r>
          </w:p>
        </w:tc>
        <w:tc>
          <w:tcPr>
            <w:tcW w:w="658" w:type="dxa"/>
            <w:shd w:val="clear" w:color="auto" w:fill="auto"/>
            <w:noWrap/>
            <w:vAlign w:val="center"/>
          </w:tcPr>
          <w:p w14:paraId="215932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r w14:paraId="0C95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62B14D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875" w:type="dxa"/>
            <w:shd w:val="clear" w:color="auto" w:fill="auto"/>
            <w:vAlign w:val="center"/>
          </w:tcPr>
          <w:p w14:paraId="2202B4B8">
            <w:pPr>
              <w:keepNext w:val="0"/>
              <w:keepLines w:val="0"/>
              <w:widowControl/>
              <w:numPr>
                <w:ilvl w:val="0"/>
                <w:numId w:val="5"/>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p>
        </w:tc>
        <w:tc>
          <w:tcPr>
            <w:tcW w:w="4570" w:type="dxa"/>
            <w:shd w:val="clear" w:color="auto" w:fill="auto"/>
            <w:noWrap/>
            <w:vAlign w:val="center"/>
          </w:tcPr>
          <w:p w14:paraId="5618FF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000000" w:themeColor="text1"/>
                <w:kern w:val="2"/>
                <w:sz w:val="22"/>
                <w:szCs w:val="21"/>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拾音扩音系统</w:t>
            </w:r>
          </w:p>
        </w:tc>
        <w:tc>
          <w:tcPr>
            <w:tcW w:w="0" w:type="auto"/>
            <w:shd w:val="clear" w:color="auto" w:fill="auto"/>
            <w:noWrap/>
            <w:vAlign w:val="center"/>
          </w:tcPr>
          <w:p w14:paraId="1DED090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w:t>
            </w:r>
          </w:p>
        </w:tc>
        <w:tc>
          <w:tcPr>
            <w:tcW w:w="658" w:type="dxa"/>
            <w:shd w:val="clear" w:color="auto" w:fill="auto"/>
            <w:noWrap/>
            <w:vAlign w:val="center"/>
          </w:tcPr>
          <w:p w14:paraId="0AA529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themeColor="text1"/>
                <w:kern w:val="0"/>
                <w:sz w:val="22"/>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套</w:t>
            </w:r>
          </w:p>
        </w:tc>
      </w:tr>
    </w:tbl>
    <w:p w14:paraId="7C62FD12">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480" w:firstLineChars="200"/>
        <w:contextualSpacing/>
        <w:textAlignment w:val="auto"/>
        <w:rPr>
          <w:rFonts w:hint="eastAsia" w:ascii="仿宋" w:hAnsi="仿宋" w:eastAsia="仿宋" w:cs="仿宋"/>
          <w:b/>
          <w:bCs/>
          <w:color w:val="auto"/>
          <w:sz w:val="24"/>
          <w:szCs w:val="22"/>
          <w:highlight w:val="none"/>
          <w:lang w:val="en-US" w:eastAsia="zh-CN"/>
        </w:rPr>
      </w:pPr>
      <w:r>
        <w:rPr>
          <w:rFonts w:hint="eastAsia" w:ascii="仿宋" w:hAnsi="仿宋" w:eastAsia="仿宋" w:cs="仿宋"/>
          <w:color w:val="auto"/>
          <w:sz w:val="24"/>
          <w:szCs w:val="22"/>
          <w:highlight w:val="none"/>
          <w:lang w:val="en-US" w:eastAsia="zh-CN"/>
        </w:rPr>
        <w:t>注：投标人须对所投项目的产品进行整体投标报价，不得缺项漏项，否则按不响应招标文件实质性要求处理。本项目不允许进口产品参与投标，</w:t>
      </w:r>
      <w:r>
        <w:rPr>
          <w:rFonts w:hint="eastAsia" w:ascii="仿宋" w:hAnsi="仿宋" w:eastAsia="仿宋" w:cs="仿宋"/>
          <w:b/>
          <w:bCs/>
          <w:color w:val="auto"/>
          <w:sz w:val="24"/>
          <w:szCs w:val="22"/>
          <w:highlight w:val="none"/>
          <w:lang w:val="en-US" w:eastAsia="zh-CN"/>
        </w:rPr>
        <w:t>进口产品是指通过中国海关报关验放进入中国境内且产自关境外的产品。</w:t>
      </w:r>
    </w:p>
    <w:p w14:paraId="0ABE2813">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480" w:firstLineChars="200"/>
        <w:contextualSpacing/>
        <w:textAlignment w:val="auto"/>
        <w:rPr>
          <w:rFonts w:hint="eastAsia" w:ascii="仿宋" w:hAnsi="仿宋" w:eastAsia="仿宋" w:cs="仿宋"/>
          <w:b/>
          <w:bCs/>
          <w:color w:val="auto"/>
          <w:sz w:val="24"/>
          <w:szCs w:val="22"/>
          <w:highlight w:val="none"/>
          <w:lang w:val="en-US" w:eastAsia="zh-CN"/>
        </w:rPr>
      </w:pPr>
      <w:r>
        <w:rPr>
          <w:rFonts w:hint="eastAsia" w:ascii="仿宋" w:hAnsi="仿宋" w:eastAsia="仿宋" w:cs="仿宋"/>
          <w:color w:val="auto"/>
          <w:sz w:val="24"/>
          <w:szCs w:val="22"/>
          <w:highlight w:val="none"/>
          <w:lang w:val="en-US" w:eastAsia="zh-CN"/>
        </w:rPr>
        <w:t>6</w:t>
      </w:r>
      <w:r>
        <w:rPr>
          <w:rFonts w:hint="eastAsia" w:ascii="仿宋" w:hAnsi="仿宋" w:eastAsia="仿宋" w:cs="仿宋"/>
          <w:b/>
          <w:bCs/>
          <w:color w:val="auto"/>
          <w:sz w:val="24"/>
          <w:szCs w:val="22"/>
          <w:highlight w:val="none"/>
          <w:lang w:val="en-US" w:eastAsia="zh-CN"/>
        </w:rPr>
        <w:t>.</w:t>
      </w:r>
      <w:r>
        <w:rPr>
          <w:rFonts w:hint="eastAsia" w:ascii="仿宋" w:hAnsi="仿宋" w:eastAsia="仿宋" w:cs="仿宋"/>
          <w:color w:val="auto"/>
          <w:sz w:val="24"/>
          <w:szCs w:val="24"/>
          <w:highlight w:val="none"/>
          <w:lang w:val="en-US" w:eastAsia="zh-CN"/>
        </w:rPr>
        <w:t>交货期限：</w:t>
      </w:r>
      <w:r>
        <w:rPr>
          <w:rFonts w:hint="eastAsia" w:ascii="仿宋" w:hAnsi="仿宋" w:eastAsia="仿宋" w:cs="仿宋"/>
          <w:color w:val="auto"/>
          <w:sz w:val="24"/>
          <w:szCs w:val="22"/>
          <w:highlight w:val="none"/>
          <w:lang w:val="en-US" w:eastAsia="zh-CN"/>
        </w:rPr>
        <w:t>设备送达招标人指定地点并按规范安装调试完毕时间为合同签订生效后3个月内。</w:t>
      </w:r>
    </w:p>
    <w:p w14:paraId="01F01B7D">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480" w:firstLineChars="200"/>
        <w:contextualSpacing/>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7.合同履行期限：自合同签订之日起，至质保期期限届满之日止。</w:t>
      </w:r>
    </w:p>
    <w:p w14:paraId="51B132E9">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480" w:firstLineChars="200"/>
        <w:contextualSpacing/>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8.本项目（不接受）联合体投标。</w:t>
      </w:r>
    </w:p>
    <w:p w14:paraId="3CB8CBBE">
      <w:pPr>
        <w:pStyle w:val="3"/>
        <w:pageBreakBefore w:val="0"/>
        <w:shd w:val="clear"/>
        <w:topLinePunct w:val="0"/>
        <w:bidi w:val="0"/>
        <w:spacing w:beforeAutospacing="0" w:afterAutospacing="0" w:line="360" w:lineRule="auto"/>
        <w:ind w:left="0" w:leftChars="0" w:right="0" w:rightChars="0" w:firstLine="600" w:firstLineChars="200"/>
        <w:jc w:val="left"/>
        <w:outlineLvl w:val="1"/>
        <w:rPr>
          <w:rFonts w:hint="eastAsia" w:ascii="仿宋" w:hAnsi="仿宋" w:eastAsia="仿宋" w:cs="仿宋"/>
          <w:color w:val="auto"/>
          <w:highlight w:val="none"/>
        </w:rPr>
      </w:pPr>
      <w:bookmarkStart w:id="16" w:name="_Toc9535"/>
      <w:bookmarkStart w:id="17" w:name="_Toc26128"/>
      <w:bookmarkStart w:id="18" w:name="_Toc4204"/>
      <w:bookmarkStart w:id="19" w:name="_Toc17179"/>
      <w:bookmarkStart w:id="20" w:name="_Toc24218"/>
      <w:bookmarkStart w:id="21" w:name="_Toc13422"/>
      <w:bookmarkStart w:id="22" w:name="_Toc27622"/>
      <w:r>
        <w:rPr>
          <w:rFonts w:hint="eastAsia" w:ascii="仿宋" w:hAnsi="仿宋" w:eastAsia="仿宋" w:cs="仿宋"/>
          <w:color w:val="auto"/>
          <w:sz w:val="30"/>
          <w:szCs w:val="30"/>
          <w:highlight w:val="none"/>
        </w:rPr>
        <w:t>二、申请人的资格要求</w:t>
      </w:r>
      <w:bookmarkEnd w:id="16"/>
      <w:bookmarkEnd w:id="17"/>
      <w:bookmarkEnd w:id="18"/>
      <w:bookmarkEnd w:id="19"/>
      <w:bookmarkEnd w:id="20"/>
      <w:bookmarkEnd w:id="21"/>
      <w:bookmarkEnd w:id="22"/>
    </w:p>
    <w:p w14:paraId="1371B4CD">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rPr>
        <w:t>1.满足《中华人民共和国政府采购法》第二十二条规定</w:t>
      </w:r>
      <w:r>
        <w:rPr>
          <w:rFonts w:hint="eastAsia" w:ascii="仿宋" w:hAnsi="仿宋" w:eastAsia="仿宋" w:cs="仿宋"/>
          <w:color w:val="auto"/>
          <w:sz w:val="24"/>
          <w:szCs w:val="22"/>
          <w:highlight w:val="none"/>
          <w:lang w:eastAsia="zh-CN"/>
        </w:rPr>
        <w:t>。</w:t>
      </w:r>
    </w:p>
    <w:p w14:paraId="378C7650">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rPr>
        <w:t>1.1具有独立承担民事责任的能力</w:t>
      </w:r>
      <w:r>
        <w:rPr>
          <w:rFonts w:hint="eastAsia" w:ascii="仿宋" w:hAnsi="仿宋" w:eastAsia="仿宋" w:cs="仿宋"/>
          <w:color w:val="auto"/>
          <w:sz w:val="24"/>
          <w:szCs w:val="22"/>
          <w:highlight w:val="none"/>
          <w:lang w:eastAsia="zh-CN"/>
        </w:rPr>
        <w:t>；</w:t>
      </w:r>
    </w:p>
    <w:p w14:paraId="7322C108">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①若</w:t>
      </w: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为企业法人：</w:t>
      </w:r>
      <w:r>
        <w:rPr>
          <w:rFonts w:hint="eastAsia" w:ascii="仿宋" w:hAnsi="仿宋" w:eastAsia="仿宋" w:cs="仿宋"/>
          <w:color w:val="auto"/>
          <w:sz w:val="24"/>
          <w:highlight w:val="none"/>
          <w:lang w:val="en-US" w:eastAsia="zh-CN"/>
        </w:rPr>
        <w:t>则</w:t>
      </w:r>
      <w:r>
        <w:rPr>
          <w:rFonts w:hint="eastAsia" w:ascii="仿宋" w:hAnsi="仿宋" w:eastAsia="仿宋" w:cs="仿宋"/>
          <w:color w:val="auto"/>
          <w:sz w:val="24"/>
          <w:highlight w:val="none"/>
        </w:rPr>
        <w:t>提供“营业执照”；②若</w:t>
      </w: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为事业法人：</w:t>
      </w:r>
      <w:r>
        <w:rPr>
          <w:rFonts w:hint="eastAsia" w:ascii="仿宋" w:hAnsi="仿宋" w:eastAsia="仿宋" w:cs="仿宋"/>
          <w:color w:val="auto"/>
          <w:sz w:val="24"/>
          <w:highlight w:val="none"/>
          <w:lang w:val="en-US" w:eastAsia="zh-CN"/>
        </w:rPr>
        <w:t>则</w:t>
      </w:r>
      <w:r>
        <w:rPr>
          <w:rFonts w:hint="eastAsia" w:ascii="仿宋" w:hAnsi="仿宋" w:eastAsia="仿宋" w:cs="仿宋"/>
          <w:color w:val="auto"/>
          <w:sz w:val="24"/>
          <w:highlight w:val="none"/>
        </w:rPr>
        <w:t>提供“事业单位法人证书或统一社会信用代码证书”；③若</w:t>
      </w: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为其他组织：</w:t>
      </w:r>
      <w:r>
        <w:rPr>
          <w:rFonts w:hint="eastAsia" w:ascii="仿宋" w:hAnsi="仿宋" w:eastAsia="仿宋" w:cs="仿宋"/>
          <w:color w:val="auto"/>
          <w:sz w:val="24"/>
          <w:highlight w:val="none"/>
          <w:lang w:val="en-US" w:eastAsia="zh-CN"/>
        </w:rPr>
        <w:t>则</w:t>
      </w:r>
      <w:r>
        <w:rPr>
          <w:rFonts w:hint="eastAsia" w:ascii="仿宋" w:hAnsi="仿宋" w:eastAsia="仿宋" w:cs="仿宋"/>
          <w:color w:val="auto"/>
          <w:sz w:val="24"/>
          <w:highlight w:val="none"/>
        </w:rPr>
        <w:t>提供“对应主管部门颁发的准许执业证明文件或营业执照”；④若</w:t>
      </w: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为自然人：</w:t>
      </w:r>
      <w:r>
        <w:rPr>
          <w:rFonts w:hint="eastAsia" w:ascii="仿宋" w:hAnsi="仿宋" w:eastAsia="仿宋" w:cs="仿宋"/>
          <w:color w:val="auto"/>
          <w:sz w:val="24"/>
          <w:highlight w:val="none"/>
          <w:lang w:val="en-US" w:eastAsia="zh-CN"/>
        </w:rPr>
        <w:t>则</w:t>
      </w:r>
      <w:r>
        <w:rPr>
          <w:rFonts w:hint="eastAsia" w:ascii="仿宋" w:hAnsi="仿宋" w:eastAsia="仿宋" w:cs="仿宋"/>
          <w:color w:val="auto"/>
          <w:sz w:val="24"/>
          <w:highlight w:val="none"/>
        </w:rPr>
        <w:t>提供“身份证明材料”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注：上述材料需提供扫描件</w:t>
      </w:r>
      <w:r>
        <w:rPr>
          <w:rFonts w:hint="eastAsia" w:ascii="仿宋" w:hAnsi="仿宋" w:eastAsia="仿宋" w:cs="仿宋"/>
          <w:color w:val="auto"/>
          <w:sz w:val="24"/>
          <w:highlight w:val="none"/>
          <w:lang w:eastAsia="zh-CN"/>
        </w:rPr>
        <w:t>）</w:t>
      </w:r>
    </w:p>
    <w:p w14:paraId="04329ABA">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rPr>
        <w:t>1.2</w:t>
      </w:r>
      <w:r>
        <w:rPr>
          <w:rFonts w:hint="eastAsia" w:ascii="仿宋" w:hAnsi="仿宋" w:eastAsia="仿宋" w:cs="仿宋"/>
          <w:color w:val="auto"/>
          <w:sz w:val="24"/>
          <w:szCs w:val="22"/>
          <w:highlight w:val="none"/>
          <w:lang w:val="en-US" w:eastAsia="zh-CN"/>
        </w:rPr>
        <w:t>具</w:t>
      </w:r>
      <w:r>
        <w:rPr>
          <w:rFonts w:hint="eastAsia" w:ascii="仿宋" w:hAnsi="仿宋" w:eastAsia="仿宋" w:cs="仿宋"/>
          <w:color w:val="auto"/>
          <w:sz w:val="24"/>
          <w:szCs w:val="22"/>
          <w:highlight w:val="none"/>
        </w:rPr>
        <w:t>有良好的商业信誉和健全的财务会计制度</w:t>
      </w:r>
      <w:r>
        <w:rPr>
          <w:rFonts w:hint="eastAsia" w:ascii="仿宋" w:hAnsi="仿宋" w:eastAsia="仿宋" w:cs="仿宋"/>
          <w:color w:val="auto"/>
          <w:sz w:val="24"/>
          <w:szCs w:val="22"/>
          <w:highlight w:val="none"/>
          <w:lang w:eastAsia="zh-CN"/>
        </w:rPr>
        <w:t>；</w:t>
      </w:r>
    </w:p>
    <w:p w14:paraId="00B0C3BB">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green"/>
          <w:lang w:eastAsia="zh-CN"/>
        </w:rPr>
      </w:pPr>
      <w:r>
        <w:rPr>
          <w:rFonts w:hint="eastAsia" w:ascii="仿宋" w:hAnsi="仿宋" w:eastAsia="仿宋" w:cs="仿宋"/>
          <w:color w:val="auto"/>
          <w:sz w:val="24"/>
          <w:szCs w:val="22"/>
          <w:highlight w:val="none"/>
          <w:lang w:eastAsia="zh-CN"/>
        </w:rPr>
        <w:t>①提供2022年（含2022年）至今任意一年度经审计的财务会计报告及</w:t>
      </w:r>
      <w:r>
        <w:rPr>
          <w:rFonts w:hint="eastAsia" w:ascii="仿宋" w:hAnsi="仿宋" w:eastAsia="仿宋" w:cs="仿宋"/>
          <w:color w:val="auto"/>
          <w:sz w:val="24"/>
          <w:highlight w:val="none"/>
        </w:rPr>
        <w:t>财务报表（</w:t>
      </w:r>
      <w:r>
        <w:rPr>
          <w:rFonts w:hint="eastAsia" w:ascii="仿宋" w:hAnsi="仿宋" w:eastAsia="仿宋" w:cs="仿宋"/>
          <w:color w:val="auto"/>
          <w:sz w:val="24"/>
          <w:highlight w:val="none"/>
          <w:lang w:val="en-US" w:eastAsia="zh-CN"/>
        </w:rPr>
        <w:t>至少</w:t>
      </w:r>
      <w:r>
        <w:rPr>
          <w:rFonts w:hint="eastAsia" w:ascii="仿宋" w:hAnsi="仿宋" w:eastAsia="仿宋" w:cs="仿宋"/>
          <w:color w:val="auto"/>
          <w:sz w:val="24"/>
          <w:highlight w:val="none"/>
        </w:rPr>
        <w:t>包括资产负债表、利润表、现金流量表）</w:t>
      </w:r>
      <w:r>
        <w:rPr>
          <w:rFonts w:hint="eastAsia" w:ascii="仿宋" w:hAnsi="仿宋" w:eastAsia="仿宋" w:cs="仿宋"/>
          <w:color w:val="auto"/>
          <w:sz w:val="24"/>
          <w:szCs w:val="22"/>
          <w:highlight w:val="none"/>
          <w:lang w:eastAsia="zh-CN"/>
        </w:rPr>
        <w:t>，成立不满1年的，提供自成立至今的财务报表（包括资产负债表、利润表、现金流量表）（</w:t>
      </w:r>
      <w:r>
        <w:rPr>
          <w:rFonts w:hint="eastAsia" w:ascii="仿宋" w:hAnsi="仿宋" w:eastAsia="仿宋" w:cs="仿宋"/>
          <w:color w:val="auto"/>
          <w:sz w:val="24"/>
          <w:szCs w:val="22"/>
          <w:highlight w:val="none"/>
          <w:lang w:val="en-US" w:eastAsia="zh-CN"/>
        </w:rPr>
        <w:t>若</w:t>
      </w:r>
      <w:r>
        <w:rPr>
          <w:rFonts w:hint="eastAsia" w:ascii="仿宋" w:hAnsi="仿宋" w:eastAsia="仿宋" w:cs="仿宋"/>
          <w:color w:val="auto"/>
          <w:sz w:val="24"/>
          <w:highlight w:val="none"/>
        </w:rPr>
        <w:t>投标人为自然人的</w:t>
      </w:r>
      <w:r>
        <w:rPr>
          <w:rFonts w:hint="eastAsia" w:ascii="仿宋" w:hAnsi="仿宋" w:eastAsia="仿宋" w:cs="仿宋"/>
          <w:color w:val="auto"/>
          <w:sz w:val="24"/>
          <w:highlight w:val="none"/>
          <w:lang w:val="en-US" w:eastAsia="zh-CN"/>
        </w:rPr>
        <w:t>也可</w:t>
      </w:r>
      <w:r>
        <w:rPr>
          <w:rFonts w:hint="eastAsia" w:ascii="仿宋" w:hAnsi="仿宋" w:eastAsia="仿宋" w:cs="仿宋"/>
          <w:color w:val="auto"/>
          <w:sz w:val="24"/>
          <w:highlight w:val="none"/>
        </w:rPr>
        <w:t>提供承诺函</w:t>
      </w:r>
      <w:r>
        <w:rPr>
          <w:rFonts w:hint="eastAsia" w:ascii="仿宋" w:hAnsi="仿宋" w:eastAsia="仿宋" w:cs="仿宋"/>
          <w:color w:val="auto"/>
          <w:sz w:val="24"/>
          <w:szCs w:val="22"/>
          <w:highlight w:val="none"/>
          <w:lang w:val="en-US" w:eastAsia="zh-CN"/>
        </w:rPr>
        <w:t>，若为</w:t>
      </w:r>
      <w:r>
        <w:rPr>
          <w:rFonts w:hint="eastAsia" w:ascii="仿宋" w:hAnsi="仿宋" w:eastAsia="仿宋" w:cs="仿宋"/>
          <w:color w:val="auto"/>
          <w:sz w:val="24"/>
          <w:highlight w:val="none"/>
        </w:rPr>
        <w:t>非营利性单位或者社会团体或者其他机关事业单位</w:t>
      </w:r>
      <w:r>
        <w:rPr>
          <w:rFonts w:hint="eastAsia" w:ascii="仿宋" w:hAnsi="仿宋" w:eastAsia="仿宋" w:cs="仿宋"/>
          <w:color w:val="auto"/>
          <w:sz w:val="24"/>
          <w:highlight w:val="none"/>
          <w:lang w:val="en-US" w:eastAsia="zh-CN"/>
        </w:rPr>
        <w:t>提供</w:t>
      </w:r>
      <w:r>
        <w:rPr>
          <w:rFonts w:hint="eastAsia" w:ascii="仿宋" w:hAnsi="仿宋" w:eastAsia="仿宋" w:cs="仿宋"/>
          <w:color w:val="auto"/>
          <w:sz w:val="24"/>
          <w:highlight w:val="none"/>
        </w:rPr>
        <w:t>符合财务</w:t>
      </w:r>
      <w:r>
        <w:rPr>
          <w:rFonts w:hint="eastAsia" w:ascii="仿宋" w:hAnsi="仿宋" w:eastAsia="仿宋" w:cs="仿宋"/>
          <w:color w:val="auto"/>
          <w:sz w:val="24"/>
          <w:highlight w:val="none"/>
          <w:lang w:eastAsia="zh-CN"/>
        </w:rPr>
        <w:t>会计制度</w:t>
      </w:r>
      <w:r>
        <w:rPr>
          <w:rFonts w:hint="eastAsia" w:ascii="仿宋" w:hAnsi="仿宋" w:eastAsia="仿宋" w:cs="仿宋"/>
          <w:color w:val="auto"/>
          <w:sz w:val="24"/>
          <w:highlight w:val="none"/>
          <w:lang w:val="en-US" w:eastAsia="zh-CN"/>
        </w:rPr>
        <w:t>要求</w:t>
      </w:r>
      <w:r>
        <w:rPr>
          <w:rFonts w:hint="eastAsia" w:ascii="仿宋" w:hAnsi="仿宋" w:eastAsia="仿宋" w:cs="仿宋"/>
          <w:color w:val="auto"/>
          <w:sz w:val="24"/>
          <w:highlight w:val="none"/>
          <w:lang w:eastAsia="zh-CN"/>
        </w:rPr>
        <w:t>的证明材料或者提供承诺函）</w:t>
      </w:r>
      <w:r>
        <w:rPr>
          <w:rFonts w:hint="eastAsia" w:ascii="仿宋" w:hAnsi="仿宋" w:eastAsia="仿宋" w:cs="仿宋"/>
          <w:color w:val="auto"/>
          <w:sz w:val="24"/>
          <w:szCs w:val="22"/>
          <w:highlight w:val="none"/>
          <w:lang w:eastAsia="zh-CN"/>
        </w:rPr>
        <w:t>；②提供在提交投标文件截止时间前六个月内银行开具的资信证明或银行存款证明或其他财务说明；③提供财政部门认可的政府采购专业担保机构对投标人进行资信审查后出具的投标担保函。（注：上述①—③项证明材料，提供任意一项即可）</w:t>
      </w:r>
    </w:p>
    <w:p w14:paraId="501B06C5">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1.3具有履行合同所必需的设备和专业技术能力；（提供书面声明或证明材料）</w:t>
      </w:r>
    </w:p>
    <w:p w14:paraId="0FB2A825">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rPr>
        <w:t>1.4有依法缴纳税收和社会保障资金的良好记录；</w:t>
      </w:r>
    </w:p>
    <w:p w14:paraId="0CEF3B04">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lang w:eastAsia="zh-CN"/>
        </w:rPr>
        <w:t>①提供税款所属时期</w:t>
      </w:r>
      <w:r>
        <w:rPr>
          <w:rFonts w:hint="eastAsia" w:ascii="仿宋" w:hAnsi="仿宋" w:eastAsia="仿宋" w:cs="仿宋"/>
          <w:color w:val="auto"/>
          <w:sz w:val="24"/>
          <w:szCs w:val="22"/>
          <w:highlight w:val="none"/>
          <w:lang w:val="en-US" w:eastAsia="zh-CN"/>
        </w:rPr>
        <w:t>在</w:t>
      </w:r>
      <w:r>
        <w:rPr>
          <w:rFonts w:hint="eastAsia" w:ascii="仿宋" w:hAnsi="仿宋" w:eastAsia="仿宋" w:cs="仿宋"/>
          <w:color w:val="auto"/>
          <w:sz w:val="24"/>
          <w:szCs w:val="22"/>
          <w:highlight w:val="none"/>
          <w:lang w:eastAsia="zh-CN"/>
        </w:rPr>
        <w:t>202</w:t>
      </w:r>
      <w:r>
        <w:rPr>
          <w:rFonts w:hint="eastAsia" w:ascii="仿宋" w:hAnsi="仿宋" w:eastAsia="仿宋" w:cs="仿宋"/>
          <w:color w:val="auto"/>
          <w:sz w:val="24"/>
          <w:szCs w:val="22"/>
          <w:highlight w:val="none"/>
          <w:lang w:val="en-US" w:eastAsia="zh-CN"/>
        </w:rPr>
        <w:t>5</w:t>
      </w:r>
      <w:r>
        <w:rPr>
          <w:rFonts w:hint="eastAsia" w:ascii="仿宋" w:hAnsi="仿宋" w:eastAsia="仿宋" w:cs="仿宋"/>
          <w:color w:val="auto"/>
          <w:sz w:val="24"/>
          <w:szCs w:val="22"/>
          <w:highlight w:val="none"/>
          <w:lang w:eastAsia="zh-CN"/>
        </w:rPr>
        <w:t>年</w:t>
      </w:r>
      <w:r>
        <w:rPr>
          <w:rFonts w:hint="eastAsia" w:ascii="仿宋" w:hAnsi="仿宋" w:eastAsia="仿宋" w:cs="仿宋"/>
          <w:color w:val="auto"/>
          <w:sz w:val="24"/>
          <w:szCs w:val="22"/>
          <w:highlight w:val="none"/>
          <w:lang w:val="en-US" w:eastAsia="zh-CN"/>
        </w:rPr>
        <w:t>5</w:t>
      </w:r>
      <w:r>
        <w:rPr>
          <w:rFonts w:hint="eastAsia" w:ascii="仿宋" w:hAnsi="仿宋" w:eastAsia="仿宋" w:cs="仿宋"/>
          <w:color w:val="auto"/>
          <w:sz w:val="24"/>
          <w:szCs w:val="22"/>
          <w:highlight w:val="none"/>
          <w:lang w:eastAsia="zh-CN"/>
        </w:rPr>
        <w:t>月至投标文件提交截止时间任意3个月的税务局税收通用缴款书扫描件或银行电子缴税（费）凭证或税务局出具纳税情况的相关证明（注：成立未满或刚满3个月的投标人提供自成立以来的相关纳税证明或情况说明；依法免税的，应提供依法免税的相关证明文件）；②提供</w:t>
      </w:r>
      <w:r>
        <w:rPr>
          <w:rFonts w:hint="eastAsia" w:ascii="仿宋" w:hAnsi="仿宋" w:eastAsia="仿宋" w:cs="仿宋"/>
          <w:color w:val="auto"/>
          <w:sz w:val="24"/>
          <w:szCs w:val="22"/>
          <w:highlight w:val="none"/>
          <w:lang w:val="en-US" w:eastAsia="zh-CN"/>
        </w:rPr>
        <w:t>税</w:t>
      </w:r>
      <w:r>
        <w:rPr>
          <w:rFonts w:hint="eastAsia" w:ascii="仿宋" w:hAnsi="仿宋" w:eastAsia="仿宋" w:cs="仿宋"/>
          <w:color w:val="auto"/>
          <w:sz w:val="24"/>
          <w:szCs w:val="22"/>
          <w:highlight w:val="none"/>
          <w:lang w:eastAsia="zh-CN"/>
        </w:rPr>
        <w:t>款所属时期</w:t>
      </w:r>
      <w:r>
        <w:rPr>
          <w:rFonts w:hint="eastAsia" w:ascii="仿宋" w:hAnsi="仿宋" w:eastAsia="仿宋" w:cs="仿宋"/>
          <w:color w:val="auto"/>
          <w:sz w:val="24"/>
          <w:szCs w:val="22"/>
          <w:highlight w:val="none"/>
          <w:lang w:val="en-US" w:eastAsia="zh-CN"/>
        </w:rPr>
        <w:t>在</w:t>
      </w:r>
      <w:r>
        <w:rPr>
          <w:rFonts w:hint="eastAsia" w:ascii="仿宋" w:hAnsi="仿宋" w:eastAsia="仿宋" w:cs="仿宋"/>
          <w:color w:val="auto"/>
          <w:sz w:val="24"/>
          <w:szCs w:val="22"/>
          <w:highlight w:val="none"/>
          <w:lang w:eastAsia="zh-CN"/>
        </w:rPr>
        <w:t>202</w:t>
      </w:r>
      <w:r>
        <w:rPr>
          <w:rFonts w:hint="eastAsia" w:ascii="仿宋" w:hAnsi="仿宋" w:eastAsia="仿宋" w:cs="仿宋"/>
          <w:color w:val="auto"/>
          <w:sz w:val="24"/>
          <w:szCs w:val="22"/>
          <w:highlight w:val="none"/>
          <w:lang w:val="en-US" w:eastAsia="zh-CN"/>
        </w:rPr>
        <w:t>5</w:t>
      </w:r>
      <w:r>
        <w:rPr>
          <w:rFonts w:hint="eastAsia" w:ascii="仿宋" w:hAnsi="仿宋" w:eastAsia="仿宋" w:cs="仿宋"/>
          <w:color w:val="auto"/>
          <w:sz w:val="24"/>
          <w:szCs w:val="22"/>
          <w:highlight w:val="none"/>
          <w:lang w:eastAsia="zh-CN"/>
        </w:rPr>
        <w:t>年</w:t>
      </w:r>
      <w:r>
        <w:rPr>
          <w:rFonts w:hint="eastAsia" w:ascii="仿宋" w:hAnsi="仿宋" w:eastAsia="仿宋" w:cs="仿宋"/>
          <w:color w:val="auto"/>
          <w:sz w:val="24"/>
          <w:szCs w:val="22"/>
          <w:highlight w:val="none"/>
          <w:lang w:val="en-US" w:eastAsia="zh-CN"/>
        </w:rPr>
        <w:t>5</w:t>
      </w:r>
      <w:r>
        <w:rPr>
          <w:rFonts w:hint="eastAsia" w:ascii="仿宋" w:hAnsi="仿宋" w:eastAsia="仿宋" w:cs="仿宋"/>
          <w:color w:val="auto"/>
          <w:sz w:val="24"/>
          <w:szCs w:val="22"/>
          <w:highlight w:val="none"/>
          <w:lang w:eastAsia="zh-CN"/>
        </w:rPr>
        <w:t>月至投标文件提交截止时间任意3个月的社会保险费缴款书扫描件或银行电子缴税（费）凭证或社保管理部门出具的有效的缴款证明。（成立未满或刚满3个月的提供成立以来社会保障资金缴纳凭证或相关情况说明；依法不需要缴纳社会保障资金的投标人，应提供相应文件证明其不需要缴纳社会保障资金）</w:t>
      </w:r>
    </w:p>
    <w:p w14:paraId="4EFF7BD1">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1.5</w:t>
      </w:r>
      <w:r>
        <w:rPr>
          <w:rFonts w:hint="eastAsia" w:ascii="仿宋" w:hAnsi="仿宋" w:eastAsia="仿宋" w:cs="仿宋"/>
          <w:color w:val="auto"/>
          <w:sz w:val="24"/>
          <w:szCs w:val="22"/>
          <w:highlight w:val="none"/>
          <w:lang w:eastAsia="zh-CN"/>
        </w:rPr>
        <w:t>参加政府采购活动前三年内，在经营活动中没有重大违法记录</w:t>
      </w:r>
      <w:r>
        <w:rPr>
          <w:rFonts w:hint="eastAsia" w:ascii="仿宋" w:hAnsi="仿宋" w:eastAsia="仿宋" w:cs="仿宋"/>
          <w:color w:val="auto"/>
          <w:sz w:val="24"/>
          <w:szCs w:val="22"/>
          <w:highlight w:val="none"/>
        </w:rPr>
        <w:t>；（</w:t>
      </w:r>
      <w:r>
        <w:rPr>
          <w:rFonts w:hint="eastAsia" w:ascii="仿宋" w:hAnsi="仿宋" w:eastAsia="仿宋" w:cs="仿宋"/>
          <w:color w:val="auto"/>
          <w:sz w:val="24"/>
          <w:szCs w:val="22"/>
          <w:highlight w:val="none"/>
          <w:lang w:val="en-US" w:eastAsia="zh-CN"/>
        </w:rPr>
        <w:t>提供书面声明</w:t>
      </w:r>
      <w:r>
        <w:rPr>
          <w:rFonts w:hint="eastAsia" w:ascii="仿宋" w:hAnsi="仿宋" w:eastAsia="仿宋" w:cs="仿宋"/>
          <w:color w:val="auto"/>
          <w:sz w:val="24"/>
          <w:szCs w:val="22"/>
          <w:highlight w:val="none"/>
        </w:rPr>
        <w:t>）</w:t>
      </w:r>
    </w:p>
    <w:p w14:paraId="648F44E4">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1.6法律、行政法规规定的其他条件；</w:t>
      </w:r>
    </w:p>
    <w:p w14:paraId="44F41643">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①投标人未被列入“信用中国”网站（www.creditchina.gov.cn）失信被执行人、重大税收违法失信主体、政府采购严重违法失信行为记录名单，</w:t>
      </w:r>
      <w:r>
        <w:rPr>
          <w:rFonts w:hint="eastAsia" w:ascii="仿宋" w:hAnsi="仿宋" w:eastAsia="仿宋" w:cs="仿宋"/>
          <w:color w:val="auto"/>
          <w:sz w:val="24"/>
          <w:szCs w:val="22"/>
          <w:highlight w:val="none"/>
          <w:lang w:val="en-US" w:eastAsia="zh-CN"/>
        </w:rPr>
        <w:t>未被列入</w:t>
      </w:r>
      <w:r>
        <w:rPr>
          <w:rFonts w:hint="eastAsia" w:ascii="仿宋" w:hAnsi="仿宋" w:eastAsia="仿宋" w:cs="仿宋"/>
          <w:color w:val="auto"/>
          <w:sz w:val="24"/>
          <w:szCs w:val="22"/>
          <w:highlight w:val="none"/>
          <w:lang w:eastAsia="zh-CN"/>
        </w:rPr>
        <w:t>“中国政府采购网”网站（www.ccgp.gov.cn）政府采购严重违法失信行为记录名单（由招标人或</w:t>
      </w:r>
      <w:r>
        <w:rPr>
          <w:rFonts w:hint="eastAsia" w:ascii="仿宋" w:hAnsi="仿宋" w:eastAsia="仿宋" w:cs="仿宋"/>
          <w:color w:val="auto"/>
          <w:sz w:val="24"/>
          <w:szCs w:val="22"/>
          <w:highlight w:val="none"/>
          <w:lang w:val="en-US" w:eastAsia="zh-CN"/>
        </w:rPr>
        <w:t>采购代理机构在开标当天</w:t>
      </w:r>
      <w:r>
        <w:rPr>
          <w:rFonts w:hint="eastAsia" w:ascii="仿宋" w:hAnsi="仿宋" w:eastAsia="仿宋" w:cs="仿宋"/>
          <w:color w:val="auto"/>
          <w:sz w:val="24"/>
          <w:szCs w:val="22"/>
          <w:highlight w:val="none"/>
          <w:lang w:eastAsia="zh-CN"/>
        </w:rPr>
        <w:t>进行查询，</w:t>
      </w:r>
      <w:r>
        <w:rPr>
          <w:rFonts w:hint="eastAsia" w:ascii="仿宋" w:hAnsi="仿宋" w:eastAsia="仿宋" w:cs="仿宋"/>
          <w:color w:val="auto"/>
          <w:sz w:val="24"/>
          <w:szCs w:val="22"/>
          <w:highlight w:val="none"/>
          <w:lang w:val="en-US" w:eastAsia="zh-CN"/>
        </w:rPr>
        <w:t>投标人无需查询</w:t>
      </w:r>
      <w:r>
        <w:rPr>
          <w:rFonts w:hint="eastAsia" w:ascii="仿宋" w:hAnsi="仿宋" w:eastAsia="仿宋" w:cs="仿宋"/>
          <w:color w:val="auto"/>
          <w:sz w:val="24"/>
          <w:szCs w:val="22"/>
          <w:highlight w:val="none"/>
          <w:lang w:eastAsia="zh-CN"/>
        </w:rPr>
        <w:t>）；②</w:t>
      </w:r>
      <w:r>
        <w:rPr>
          <w:rFonts w:hint="eastAsia" w:ascii="仿宋" w:hAnsi="仿宋" w:eastAsia="仿宋" w:cs="仿宋"/>
          <w:color w:val="auto"/>
          <w:sz w:val="24"/>
          <w:szCs w:val="22"/>
          <w:highlight w:val="none"/>
          <w:lang w:val="en-US" w:eastAsia="zh-CN"/>
        </w:rPr>
        <w:t>投标人</w:t>
      </w:r>
      <w:r>
        <w:rPr>
          <w:rFonts w:hint="eastAsia" w:ascii="仿宋" w:hAnsi="仿宋" w:eastAsia="仿宋" w:cs="仿宋"/>
          <w:color w:val="auto"/>
          <w:sz w:val="24"/>
          <w:szCs w:val="22"/>
          <w:highlight w:val="none"/>
        </w:rPr>
        <w:t>单位负责人为同一人或者存在直接控股、管理关系的不同供应商，不得参加同一合同项下的政府采购活动</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lang w:val="en-US" w:eastAsia="zh-CN"/>
        </w:rPr>
        <w:t>提供书面声明</w:t>
      </w:r>
      <w:r>
        <w:rPr>
          <w:rFonts w:hint="eastAsia" w:ascii="仿宋" w:hAnsi="仿宋" w:eastAsia="仿宋" w:cs="仿宋"/>
          <w:color w:val="auto"/>
          <w:sz w:val="24"/>
          <w:szCs w:val="22"/>
          <w:highlight w:val="none"/>
          <w:lang w:eastAsia="zh-CN"/>
        </w:rPr>
        <w:t>）；③</w:t>
      </w:r>
      <w:r>
        <w:rPr>
          <w:rFonts w:hint="eastAsia" w:ascii="仿宋" w:hAnsi="仿宋" w:eastAsia="仿宋" w:cs="仿宋"/>
          <w:color w:val="auto"/>
          <w:sz w:val="24"/>
          <w:szCs w:val="22"/>
          <w:highlight w:val="none"/>
          <w:lang w:val="en-US" w:eastAsia="zh-CN"/>
        </w:rPr>
        <w:t>投标人</w:t>
      </w:r>
      <w:r>
        <w:rPr>
          <w:rFonts w:hint="eastAsia" w:ascii="仿宋" w:hAnsi="仿宋" w:eastAsia="仿宋" w:cs="仿宋"/>
          <w:color w:val="auto"/>
          <w:sz w:val="24"/>
          <w:szCs w:val="22"/>
          <w:highlight w:val="none"/>
        </w:rPr>
        <w:t>为采购项目提供整体设计、规范编制或者项目管理、监理、检测等服务的供应商，不得再参加该采购项目的其他采购活动。</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lang w:val="en-US" w:eastAsia="zh-CN"/>
        </w:rPr>
        <w:t>提供书面声明</w:t>
      </w:r>
      <w:r>
        <w:rPr>
          <w:rFonts w:hint="eastAsia" w:ascii="仿宋" w:hAnsi="仿宋" w:eastAsia="仿宋" w:cs="仿宋"/>
          <w:color w:val="auto"/>
          <w:sz w:val="24"/>
          <w:szCs w:val="22"/>
          <w:highlight w:val="none"/>
          <w:lang w:eastAsia="zh-CN"/>
        </w:rPr>
        <w:t>）</w:t>
      </w:r>
    </w:p>
    <w:p w14:paraId="27AD1933">
      <w:pPr>
        <w:pageBreakBefore w:val="0"/>
        <w:shd w:val="clear"/>
        <w:topLinePunct w:val="0"/>
        <w:bidi w:val="0"/>
        <w:spacing w:beforeAutospacing="0" w:afterAutospacing="0" w:line="360" w:lineRule="auto"/>
        <w:ind w:left="0" w:leftChars="0" w:right="0" w:rightChars="0" w:firstLine="480" w:firstLineChars="200"/>
        <w:contextualSpacing w:val="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2</w:t>
      </w:r>
      <w:r>
        <w:rPr>
          <w:rFonts w:hint="eastAsia" w:ascii="仿宋" w:hAnsi="仿宋" w:eastAsia="仿宋" w:cs="仿宋"/>
          <w:color w:val="auto"/>
          <w:sz w:val="24"/>
          <w:szCs w:val="22"/>
          <w:highlight w:val="none"/>
          <w:lang w:val="en-US" w:eastAsia="zh-CN"/>
        </w:rPr>
        <w:t>.</w:t>
      </w:r>
      <w:r>
        <w:rPr>
          <w:rFonts w:hint="eastAsia" w:ascii="仿宋" w:hAnsi="仿宋" w:eastAsia="仿宋" w:cs="仿宋"/>
          <w:color w:val="auto"/>
          <w:sz w:val="24"/>
          <w:szCs w:val="22"/>
          <w:highlight w:val="none"/>
        </w:rPr>
        <w:t>落实政府采购政策需满足的资格要求</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lang w:val="en-US" w:eastAsia="zh-CN"/>
        </w:rPr>
        <w:t>未预留</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lang w:val="en-US" w:eastAsia="zh-CN"/>
        </w:rPr>
        <w:t>本项目不</w:t>
      </w:r>
      <w:r>
        <w:rPr>
          <w:rFonts w:hint="eastAsia" w:ascii="仿宋" w:hAnsi="仿宋" w:eastAsia="仿宋" w:cs="仿宋"/>
          <w:color w:val="auto"/>
          <w:sz w:val="24"/>
          <w:szCs w:val="22"/>
          <w:highlight w:val="none"/>
          <w:lang w:eastAsia="zh-CN"/>
        </w:rPr>
        <w:t>属于专门面向中小</w:t>
      </w:r>
      <w:r>
        <w:rPr>
          <w:rFonts w:hint="eastAsia" w:ascii="仿宋" w:hAnsi="仿宋" w:eastAsia="仿宋" w:cs="仿宋"/>
          <w:color w:val="auto"/>
          <w:sz w:val="24"/>
          <w:szCs w:val="22"/>
          <w:highlight w:val="none"/>
          <w:lang w:val="en-US" w:eastAsia="zh-CN"/>
        </w:rPr>
        <w:t>微</w:t>
      </w:r>
      <w:r>
        <w:rPr>
          <w:rFonts w:hint="eastAsia" w:ascii="仿宋" w:hAnsi="仿宋" w:eastAsia="仿宋" w:cs="仿宋"/>
          <w:color w:val="auto"/>
          <w:sz w:val="24"/>
          <w:szCs w:val="22"/>
          <w:highlight w:val="none"/>
          <w:lang w:eastAsia="zh-CN"/>
        </w:rPr>
        <w:t>企业（监狱企业、残疾人福利企业）采购项目，</w:t>
      </w:r>
      <w:r>
        <w:rPr>
          <w:rFonts w:hint="eastAsia" w:ascii="仿宋" w:hAnsi="仿宋" w:eastAsia="仿宋" w:cs="仿宋"/>
          <w:color w:val="auto"/>
          <w:sz w:val="24"/>
          <w:highlight w:val="none"/>
        </w:rPr>
        <w:t>小微企业</w:t>
      </w:r>
      <w:r>
        <w:rPr>
          <w:rFonts w:hint="eastAsia" w:ascii="仿宋" w:hAnsi="仿宋" w:eastAsia="仿宋" w:cs="仿宋"/>
          <w:color w:val="auto"/>
          <w:sz w:val="24"/>
          <w:szCs w:val="22"/>
          <w:highlight w:val="none"/>
          <w:lang w:eastAsia="zh-CN"/>
        </w:rPr>
        <w:t>（监狱企业、残疾人福利企业）</w:t>
      </w:r>
      <w:r>
        <w:rPr>
          <w:rFonts w:hint="eastAsia" w:ascii="仿宋" w:hAnsi="仿宋" w:eastAsia="仿宋" w:cs="仿宋"/>
          <w:color w:val="auto"/>
          <w:sz w:val="24"/>
          <w:highlight w:val="none"/>
        </w:rPr>
        <w:t>价格扣除优惠比例：10%。</w:t>
      </w:r>
    </w:p>
    <w:p w14:paraId="3C64C013">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2"/>
          <w:highlight w:val="none"/>
        </w:rPr>
        <w:t>3</w:t>
      </w:r>
      <w:r>
        <w:rPr>
          <w:rFonts w:hint="eastAsia" w:ascii="仿宋" w:hAnsi="仿宋" w:eastAsia="仿宋" w:cs="仿宋"/>
          <w:color w:val="auto"/>
          <w:sz w:val="24"/>
          <w:szCs w:val="22"/>
          <w:highlight w:val="none"/>
          <w:lang w:val="en-US" w:eastAsia="zh-CN"/>
        </w:rPr>
        <w:t>.</w:t>
      </w:r>
      <w:r>
        <w:rPr>
          <w:rFonts w:hint="eastAsia" w:ascii="仿宋" w:hAnsi="仿宋" w:eastAsia="仿宋" w:cs="仿宋"/>
          <w:color w:val="auto"/>
          <w:sz w:val="24"/>
          <w:szCs w:val="22"/>
          <w:highlight w:val="none"/>
        </w:rPr>
        <w:t>本项目的特定资格要求：</w:t>
      </w:r>
      <w:r>
        <w:rPr>
          <w:rFonts w:hint="eastAsia" w:ascii="仿宋" w:hAnsi="仿宋" w:eastAsia="仿宋" w:cs="仿宋"/>
          <w:color w:val="auto"/>
          <w:sz w:val="24"/>
          <w:szCs w:val="22"/>
          <w:highlight w:val="none"/>
          <w:lang w:val="en-US" w:eastAsia="zh-CN"/>
        </w:rPr>
        <w:t>无</w:t>
      </w:r>
      <w:r>
        <w:rPr>
          <w:rFonts w:hint="eastAsia" w:ascii="仿宋" w:hAnsi="仿宋" w:eastAsia="仿宋" w:cs="仿宋"/>
          <w:color w:val="auto"/>
          <w:sz w:val="24"/>
          <w:highlight w:val="none"/>
          <w:lang w:val="en-US" w:eastAsia="zh-CN"/>
        </w:rPr>
        <w:t>。</w:t>
      </w:r>
    </w:p>
    <w:p w14:paraId="530518BB">
      <w:pPr>
        <w:pStyle w:val="3"/>
        <w:pageBreakBefore w:val="0"/>
        <w:shd w:val="clear"/>
        <w:topLinePunct w:val="0"/>
        <w:bidi w:val="0"/>
        <w:spacing w:beforeAutospacing="0" w:afterAutospacing="0" w:line="360" w:lineRule="auto"/>
        <w:ind w:left="0" w:leftChars="0" w:right="0" w:rightChars="0" w:firstLine="600" w:firstLineChars="200"/>
        <w:jc w:val="left"/>
        <w:outlineLvl w:val="1"/>
        <w:rPr>
          <w:rFonts w:hint="eastAsia" w:ascii="仿宋" w:hAnsi="仿宋" w:eastAsia="仿宋" w:cs="仿宋"/>
          <w:color w:val="auto"/>
          <w:highlight w:val="none"/>
        </w:rPr>
      </w:pPr>
      <w:bookmarkStart w:id="23" w:name="_Toc7772"/>
      <w:bookmarkStart w:id="24" w:name="_Toc7408"/>
      <w:bookmarkStart w:id="25" w:name="_Toc32563"/>
      <w:bookmarkStart w:id="26" w:name="_Toc2203"/>
      <w:bookmarkStart w:id="27" w:name="_Toc31029"/>
      <w:bookmarkStart w:id="28" w:name="_Toc26584"/>
      <w:r>
        <w:rPr>
          <w:rFonts w:hint="eastAsia" w:ascii="仿宋" w:hAnsi="仿宋" w:eastAsia="仿宋" w:cs="仿宋"/>
          <w:color w:val="auto"/>
          <w:sz w:val="30"/>
          <w:szCs w:val="30"/>
          <w:highlight w:val="none"/>
        </w:rPr>
        <w:t>三、获取招标文件</w:t>
      </w:r>
      <w:bookmarkEnd w:id="23"/>
      <w:bookmarkEnd w:id="24"/>
      <w:bookmarkEnd w:id="25"/>
      <w:bookmarkEnd w:id="26"/>
      <w:bookmarkEnd w:id="27"/>
      <w:bookmarkEnd w:id="28"/>
    </w:p>
    <w:p w14:paraId="1308A4DA">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时间</w:t>
      </w:r>
      <w:r>
        <w:rPr>
          <w:rFonts w:hint="eastAsia" w:ascii="仿宋" w:hAnsi="仿宋" w:eastAsia="仿宋" w:cs="仿宋"/>
          <w:color w:val="auto"/>
          <w:sz w:val="24"/>
          <w:szCs w:val="22"/>
          <w:highlight w:val="none"/>
          <w:lang w:val="en-US" w:eastAsia="zh-CN"/>
        </w:rPr>
        <w:t>期限</w:t>
      </w:r>
      <w:r>
        <w:rPr>
          <w:rFonts w:hint="eastAsia" w:ascii="仿宋" w:hAnsi="仿宋" w:eastAsia="仿宋" w:cs="仿宋"/>
          <w:color w:val="auto"/>
          <w:sz w:val="24"/>
          <w:szCs w:val="22"/>
          <w:highlight w:val="none"/>
        </w:rPr>
        <w:t>：</w:t>
      </w:r>
      <w:r>
        <w:rPr>
          <w:rFonts w:hint="eastAsia" w:ascii="仿宋" w:hAnsi="仿宋" w:eastAsia="仿宋" w:cs="仿宋"/>
          <w:color w:val="auto"/>
          <w:sz w:val="24"/>
          <w:szCs w:val="22"/>
          <w:highlight w:val="none"/>
          <w:lang w:eastAsia="zh-CN"/>
        </w:rPr>
        <w:t>2026</w:t>
      </w:r>
      <w:r>
        <w:rPr>
          <w:rFonts w:hint="eastAsia" w:ascii="仿宋" w:hAnsi="仿宋" w:eastAsia="仿宋" w:cs="仿宋"/>
          <w:color w:val="auto"/>
          <w:sz w:val="24"/>
          <w:szCs w:val="22"/>
          <w:highlight w:val="none"/>
        </w:rPr>
        <w:t>-</w:t>
      </w:r>
      <w:r>
        <w:rPr>
          <w:rFonts w:hint="eastAsia" w:ascii="仿宋" w:hAnsi="仿宋" w:eastAsia="仿宋" w:cs="仿宋"/>
          <w:color w:val="auto"/>
          <w:sz w:val="24"/>
          <w:szCs w:val="22"/>
          <w:highlight w:val="none"/>
          <w:lang w:val="en-US" w:eastAsia="zh-CN"/>
        </w:rPr>
        <w:t>05-10</w:t>
      </w:r>
      <w:r>
        <w:rPr>
          <w:rFonts w:hint="eastAsia" w:ascii="仿宋" w:hAnsi="仿宋" w:eastAsia="仿宋" w:cs="仿宋"/>
          <w:color w:val="auto"/>
          <w:sz w:val="24"/>
          <w:szCs w:val="22"/>
          <w:highlight w:val="none"/>
        </w:rPr>
        <w:t>至</w:t>
      </w:r>
      <w:r>
        <w:rPr>
          <w:rFonts w:hint="eastAsia" w:ascii="仿宋" w:hAnsi="仿宋" w:eastAsia="仿宋" w:cs="仿宋"/>
          <w:color w:val="auto"/>
          <w:sz w:val="24"/>
          <w:szCs w:val="22"/>
          <w:highlight w:val="none"/>
          <w:lang w:eastAsia="zh-CN"/>
        </w:rPr>
        <w:t>2026</w:t>
      </w:r>
      <w:r>
        <w:rPr>
          <w:rFonts w:hint="eastAsia" w:ascii="仿宋" w:hAnsi="仿宋" w:eastAsia="仿宋" w:cs="仿宋"/>
          <w:color w:val="auto"/>
          <w:sz w:val="24"/>
          <w:szCs w:val="22"/>
          <w:highlight w:val="none"/>
        </w:rPr>
        <w:t>-</w:t>
      </w:r>
      <w:r>
        <w:rPr>
          <w:rFonts w:hint="eastAsia" w:ascii="仿宋" w:hAnsi="仿宋" w:eastAsia="仿宋" w:cs="仿宋"/>
          <w:color w:val="auto"/>
          <w:sz w:val="24"/>
          <w:szCs w:val="22"/>
          <w:highlight w:val="none"/>
          <w:lang w:val="en-US" w:eastAsia="zh-CN"/>
        </w:rPr>
        <w:t>05-18</w:t>
      </w:r>
      <w:r>
        <w:rPr>
          <w:rFonts w:hint="eastAsia" w:ascii="仿宋" w:hAnsi="仿宋" w:eastAsia="仿宋" w:cs="仿宋"/>
          <w:color w:val="auto"/>
          <w:sz w:val="24"/>
          <w:szCs w:val="22"/>
          <w:highlight w:val="none"/>
        </w:rPr>
        <w:t>，每天上午0</w:t>
      </w:r>
      <w:r>
        <w:rPr>
          <w:rFonts w:hint="eastAsia" w:ascii="仿宋" w:hAnsi="仿宋" w:eastAsia="仿宋" w:cs="仿宋"/>
          <w:color w:val="auto"/>
          <w:sz w:val="24"/>
          <w:szCs w:val="22"/>
          <w:highlight w:val="none"/>
          <w:lang w:val="en-US" w:eastAsia="zh-CN"/>
        </w:rPr>
        <w:t>6:00</w:t>
      </w:r>
      <w:r>
        <w:rPr>
          <w:rFonts w:hint="eastAsia" w:ascii="仿宋" w:hAnsi="仿宋" w:eastAsia="仿宋" w:cs="仿宋"/>
          <w:color w:val="auto"/>
          <w:sz w:val="24"/>
          <w:szCs w:val="22"/>
          <w:highlight w:val="none"/>
        </w:rPr>
        <w:t>至12</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00，下午12</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0</w:t>
      </w:r>
      <w:r>
        <w:rPr>
          <w:rFonts w:hint="eastAsia" w:ascii="仿宋" w:hAnsi="仿宋" w:eastAsia="仿宋" w:cs="仿宋"/>
          <w:color w:val="auto"/>
          <w:sz w:val="24"/>
          <w:szCs w:val="22"/>
          <w:highlight w:val="none"/>
          <w:lang w:val="en-US" w:eastAsia="zh-CN"/>
        </w:rPr>
        <w:t>0</w:t>
      </w:r>
      <w:r>
        <w:rPr>
          <w:rFonts w:hint="eastAsia" w:ascii="仿宋" w:hAnsi="仿宋" w:eastAsia="仿宋" w:cs="仿宋"/>
          <w:color w:val="auto"/>
          <w:sz w:val="24"/>
          <w:szCs w:val="22"/>
          <w:highlight w:val="none"/>
        </w:rPr>
        <w:t>至23</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59（北京时间）</w:t>
      </w:r>
    </w:p>
    <w:p w14:paraId="0FF47169">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地点：政采云平台（https:www.zcygov.cn）。</w:t>
      </w:r>
    </w:p>
    <w:p w14:paraId="30B992A7">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方式：凡有意参加投标者，须在政采云平台办理数字证书（CA），并在政采云绑定数字证书（CA）后线上获取招标文件及其他采购资料。CA申领链接：</w:t>
      </w:r>
      <w:r>
        <w:rPr>
          <w:rFonts w:hint="eastAsia" w:ascii="仿宋" w:hAnsi="仿宋" w:eastAsia="仿宋" w:cs="仿宋"/>
          <w:color w:val="000000" w:themeColor="text1"/>
          <w:sz w:val="24"/>
          <w:highlight w:val="none"/>
          <w:lang w:eastAsia="zh-CN"/>
          <w14:textFill>
            <w14:solidFill>
              <w14:schemeClr w14:val="tx1"/>
            </w14:solidFill>
          </w14:textFill>
        </w:rPr>
        <w:t>https://middle.zcygov.cn/ca/apply/list?_app_=zcy.sys</w:t>
      </w:r>
      <w:r>
        <w:rPr>
          <w:rFonts w:hint="eastAsia" w:ascii="仿宋" w:hAnsi="仿宋" w:eastAsia="仿宋" w:cs="仿宋"/>
          <w:color w:val="auto"/>
          <w:sz w:val="24"/>
          <w:highlight w:val="none"/>
          <w:lang w:eastAsia="zh-CN"/>
        </w:rPr>
        <w:t>，CA申领后需登陆政采云平台完成数字证书（CA）绑定才可以使用，数字证书（CA）详见其办理流程。按上述要求获取文件的投标人视为合法获取了本项目招标文件，具备本项目的投标资格。</w:t>
      </w:r>
    </w:p>
    <w:p w14:paraId="6FE11386">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rPr>
        <w:t>售价：</w:t>
      </w:r>
      <w:r>
        <w:rPr>
          <w:rFonts w:hint="eastAsia" w:ascii="仿宋" w:hAnsi="仿宋" w:eastAsia="仿宋" w:cs="仿宋"/>
          <w:color w:val="auto"/>
          <w:sz w:val="24"/>
          <w:highlight w:val="none"/>
          <w:lang w:val="en-US" w:eastAsia="zh-CN"/>
        </w:rPr>
        <w:t>0元</w:t>
      </w:r>
    </w:p>
    <w:p w14:paraId="6674FAEF">
      <w:pPr>
        <w:pStyle w:val="3"/>
        <w:pageBreakBefore w:val="0"/>
        <w:shd w:val="clear"/>
        <w:topLinePunct w:val="0"/>
        <w:bidi w:val="0"/>
        <w:spacing w:beforeAutospacing="0" w:afterAutospacing="0" w:line="360" w:lineRule="auto"/>
        <w:ind w:left="0" w:leftChars="0" w:right="0" w:rightChars="0" w:firstLine="600" w:firstLineChars="200"/>
        <w:jc w:val="left"/>
        <w:outlineLvl w:val="1"/>
        <w:rPr>
          <w:rFonts w:hint="eastAsia" w:ascii="仿宋" w:hAnsi="仿宋" w:eastAsia="仿宋" w:cs="仿宋"/>
          <w:color w:val="auto"/>
          <w:sz w:val="30"/>
          <w:szCs w:val="30"/>
          <w:highlight w:val="none"/>
        </w:rPr>
      </w:pPr>
      <w:bookmarkStart w:id="29" w:name="_Toc17011"/>
      <w:bookmarkStart w:id="30" w:name="_Toc2769"/>
      <w:bookmarkStart w:id="31" w:name="_Toc28723"/>
      <w:bookmarkStart w:id="32" w:name="_Toc6222"/>
      <w:bookmarkStart w:id="33" w:name="_Toc25917"/>
      <w:bookmarkStart w:id="34" w:name="_Toc7802"/>
      <w:r>
        <w:rPr>
          <w:rFonts w:hint="eastAsia" w:ascii="仿宋" w:hAnsi="仿宋" w:eastAsia="仿宋" w:cs="仿宋"/>
          <w:color w:val="auto"/>
          <w:sz w:val="30"/>
          <w:szCs w:val="30"/>
          <w:highlight w:val="none"/>
        </w:rPr>
        <w:t>四、提交投标文件截止时间、开标时间和地点</w:t>
      </w:r>
      <w:bookmarkEnd w:id="29"/>
      <w:bookmarkEnd w:id="30"/>
      <w:bookmarkEnd w:id="31"/>
      <w:bookmarkEnd w:id="32"/>
      <w:bookmarkEnd w:id="33"/>
      <w:bookmarkEnd w:id="34"/>
    </w:p>
    <w:p w14:paraId="331927D7">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时间：</w:t>
      </w:r>
      <w:r>
        <w:rPr>
          <w:rFonts w:hint="eastAsia" w:ascii="仿宋" w:hAnsi="仿宋" w:eastAsia="仿宋" w:cs="仿宋"/>
          <w:color w:val="auto"/>
          <w:sz w:val="24"/>
          <w:szCs w:val="22"/>
          <w:highlight w:val="none"/>
          <w:lang w:eastAsia="zh-CN"/>
        </w:rPr>
        <w:t>2026</w:t>
      </w:r>
      <w:r>
        <w:rPr>
          <w:rFonts w:hint="eastAsia" w:ascii="仿宋" w:hAnsi="仿宋" w:eastAsia="仿宋" w:cs="仿宋"/>
          <w:color w:val="auto"/>
          <w:sz w:val="24"/>
          <w:szCs w:val="22"/>
          <w:highlight w:val="none"/>
        </w:rPr>
        <w:t>-</w:t>
      </w:r>
      <w:r>
        <w:rPr>
          <w:rFonts w:hint="eastAsia" w:ascii="仿宋" w:hAnsi="仿宋" w:eastAsia="仿宋" w:cs="仿宋"/>
          <w:color w:val="auto"/>
          <w:sz w:val="24"/>
          <w:szCs w:val="22"/>
          <w:highlight w:val="none"/>
          <w:lang w:val="en-US" w:eastAsia="zh-CN"/>
        </w:rPr>
        <w:t>05-30  9:30</w:t>
      </w:r>
      <w:bookmarkStart w:id="817" w:name="_GoBack"/>
      <w:bookmarkEnd w:id="817"/>
      <w:r>
        <w:rPr>
          <w:rFonts w:hint="eastAsia" w:ascii="仿宋" w:hAnsi="仿宋" w:eastAsia="仿宋" w:cs="仿宋"/>
          <w:color w:val="auto"/>
          <w:sz w:val="24"/>
          <w:szCs w:val="22"/>
          <w:highlight w:val="none"/>
        </w:rPr>
        <w:t>（北京时间）</w:t>
      </w:r>
    </w:p>
    <w:p w14:paraId="598424C9">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rPr>
      </w:pPr>
      <w:r>
        <w:rPr>
          <w:rFonts w:hint="eastAsia" w:ascii="仿宋" w:hAnsi="仿宋" w:eastAsia="仿宋" w:cs="仿宋"/>
          <w:color w:val="auto"/>
          <w:sz w:val="24"/>
          <w:highlight w:val="none"/>
        </w:rPr>
        <w:t>地点：</w:t>
      </w:r>
      <w:r>
        <w:rPr>
          <w:rFonts w:hint="eastAsia" w:ascii="仿宋" w:hAnsi="仿宋" w:eastAsia="仿宋" w:cs="仿宋"/>
          <w:color w:val="auto"/>
          <w:sz w:val="24"/>
          <w:szCs w:val="22"/>
          <w:highlight w:val="none"/>
          <w:lang w:eastAsia="zh-CN"/>
        </w:rPr>
        <w:t>政采云平台（http：www.zcygov.cn），</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应按照本项目</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和</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政采云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平台的要求编制、加密后在</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提交截止时间前上传至</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政采云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平台，</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提交截止时间前未完成</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上传的，视为撤回</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政采云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平台提交电子版</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时，请填写参加远程采购活动经办人联系方式。</w:t>
      </w:r>
    </w:p>
    <w:p w14:paraId="60A333AA">
      <w:pPr>
        <w:pStyle w:val="3"/>
        <w:pageBreakBefore w:val="0"/>
        <w:shd w:val="clear"/>
        <w:topLinePunct w:val="0"/>
        <w:bidi w:val="0"/>
        <w:spacing w:beforeAutospacing="0" w:afterAutospacing="0" w:line="360" w:lineRule="auto"/>
        <w:ind w:left="0" w:leftChars="0" w:right="0" w:rightChars="0" w:firstLine="600" w:firstLineChars="200"/>
        <w:jc w:val="left"/>
        <w:outlineLvl w:val="1"/>
        <w:rPr>
          <w:rFonts w:hint="eastAsia" w:ascii="仿宋" w:hAnsi="仿宋" w:eastAsia="仿宋" w:cs="仿宋"/>
          <w:color w:val="auto"/>
          <w:sz w:val="30"/>
          <w:szCs w:val="30"/>
          <w:highlight w:val="none"/>
        </w:rPr>
      </w:pPr>
      <w:bookmarkStart w:id="35" w:name="_Toc17353"/>
      <w:bookmarkStart w:id="36" w:name="_Toc743"/>
      <w:bookmarkStart w:id="37" w:name="_Toc2234"/>
      <w:bookmarkStart w:id="38" w:name="_Toc26858"/>
      <w:bookmarkStart w:id="39" w:name="_Toc8786"/>
      <w:bookmarkStart w:id="40" w:name="_Toc8124"/>
      <w:r>
        <w:rPr>
          <w:rFonts w:hint="eastAsia" w:ascii="仿宋" w:hAnsi="仿宋" w:eastAsia="仿宋" w:cs="仿宋"/>
          <w:color w:val="auto"/>
          <w:sz w:val="30"/>
          <w:szCs w:val="30"/>
          <w:highlight w:val="none"/>
        </w:rPr>
        <w:t>五、公告期限</w:t>
      </w:r>
      <w:bookmarkEnd w:id="35"/>
      <w:bookmarkEnd w:id="36"/>
      <w:bookmarkEnd w:id="37"/>
      <w:bookmarkEnd w:id="38"/>
      <w:bookmarkEnd w:id="39"/>
      <w:bookmarkEnd w:id="40"/>
    </w:p>
    <w:p w14:paraId="75F30CD1">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28D52815">
      <w:pPr>
        <w:pStyle w:val="3"/>
        <w:pageBreakBefore w:val="0"/>
        <w:shd w:val="clear"/>
        <w:topLinePunct w:val="0"/>
        <w:bidi w:val="0"/>
        <w:spacing w:beforeAutospacing="0" w:afterAutospacing="0" w:line="360" w:lineRule="auto"/>
        <w:ind w:left="0" w:leftChars="0" w:right="0" w:rightChars="0" w:firstLine="600" w:firstLineChars="200"/>
        <w:jc w:val="left"/>
        <w:outlineLvl w:val="1"/>
        <w:rPr>
          <w:rFonts w:hint="eastAsia" w:ascii="仿宋" w:hAnsi="仿宋" w:eastAsia="仿宋" w:cs="仿宋"/>
          <w:color w:val="auto"/>
          <w:sz w:val="30"/>
          <w:szCs w:val="30"/>
          <w:highlight w:val="none"/>
        </w:rPr>
      </w:pPr>
      <w:bookmarkStart w:id="41" w:name="_Toc30287"/>
      <w:bookmarkStart w:id="42" w:name="_Toc1202"/>
      <w:bookmarkStart w:id="43" w:name="_Toc11949"/>
      <w:bookmarkStart w:id="44" w:name="_Toc26506"/>
      <w:bookmarkStart w:id="45" w:name="_Toc19283"/>
      <w:bookmarkStart w:id="46" w:name="_Toc31633"/>
      <w:r>
        <w:rPr>
          <w:rFonts w:hint="eastAsia" w:ascii="仿宋" w:hAnsi="仿宋" w:eastAsia="仿宋" w:cs="仿宋"/>
          <w:color w:val="auto"/>
          <w:sz w:val="30"/>
          <w:szCs w:val="30"/>
          <w:highlight w:val="none"/>
        </w:rPr>
        <w:t>六、其他补充事宜</w:t>
      </w:r>
      <w:bookmarkEnd w:id="41"/>
      <w:bookmarkEnd w:id="42"/>
      <w:bookmarkEnd w:id="43"/>
      <w:bookmarkEnd w:id="44"/>
      <w:bookmarkEnd w:id="45"/>
      <w:bookmarkEnd w:id="46"/>
    </w:p>
    <w:p w14:paraId="293AA1BF">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开标方式：</w:t>
      </w:r>
      <w:r>
        <w:rPr>
          <w:rFonts w:hint="eastAsia" w:ascii="仿宋" w:hAnsi="仿宋" w:eastAsia="仿宋" w:cs="仿宋"/>
          <w:color w:val="auto"/>
          <w:sz w:val="24"/>
          <w:szCs w:val="22"/>
          <w:highlight w:val="none"/>
          <w:lang w:val="en-US" w:eastAsia="zh-CN"/>
        </w:rPr>
        <w:t>网上</w:t>
      </w:r>
      <w:r>
        <w:rPr>
          <w:rFonts w:hint="eastAsia" w:ascii="仿宋" w:hAnsi="仿宋" w:eastAsia="仿宋" w:cs="仿宋"/>
          <w:color w:val="auto"/>
          <w:sz w:val="24"/>
          <w:szCs w:val="22"/>
          <w:highlight w:val="none"/>
        </w:rPr>
        <w:t>开标</w:t>
      </w:r>
    </w:p>
    <w:p w14:paraId="39A6B751">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是否需要</w:t>
      </w:r>
      <w:r>
        <w:rPr>
          <w:rFonts w:hint="eastAsia" w:ascii="仿宋" w:hAnsi="仿宋" w:eastAsia="仿宋" w:cs="仿宋"/>
          <w:color w:val="auto"/>
          <w:sz w:val="24"/>
          <w:szCs w:val="24"/>
          <w:highlight w:val="none"/>
          <w:lang w:eastAsia="zh-CN"/>
        </w:rPr>
        <w:t>提交</w:t>
      </w:r>
      <w:r>
        <w:rPr>
          <w:rFonts w:hint="eastAsia" w:ascii="仿宋" w:hAnsi="仿宋" w:eastAsia="仿宋" w:cs="仿宋"/>
          <w:color w:val="auto"/>
          <w:sz w:val="24"/>
          <w:szCs w:val="24"/>
          <w:highlight w:val="none"/>
        </w:rPr>
        <w:t>投标保证金：</w:t>
      </w:r>
      <w:r>
        <w:rPr>
          <w:rFonts w:hint="eastAsia" w:ascii="仿宋" w:hAnsi="仿宋" w:eastAsia="仿宋" w:cs="仿宋"/>
          <w:color w:val="auto"/>
          <w:sz w:val="24"/>
          <w:szCs w:val="24"/>
          <w:highlight w:val="none"/>
          <w:lang w:val="en-US" w:eastAsia="zh-CN"/>
        </w:rPr>
        <w:t>是</w:t>
      </w:r>
    </w:p>
    <w:p w14:paraId="0C65B4EA">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val="en-US" w:eastAsia="zh-CN"/>
        </w:rPr>
      </w:pPr>
      <w:bookmarkStart w:id="47" w:name="_Toc9110"/>
      <w:bookmarkStart w:id="48" w:name="_Toc28015"/>
      <w:bookmarkStart w:id="49" w:name="_Toc6000"/>
      <w:r>
        <w:rPr>
          <w:rFonts w:hint="eastAsia" w:ascii="仿宋" w:hAnsi="仿宋" w:eastAsia="仿宋" w:cs="仿宋"/>
          <w:color w:val="auto"/>
          <w:sz w:val="24"/>
          <w:szCs w:val="22"/>
          <w:highlight w:val="none"/>
          <w:lang w:val="en-US" w:eastAsia="zh-CN"/>
        </w:rPr>
        <w:t>开标注意事项：</w:t>
      </w:r>
    </w:p>
    <w:p w14:paraId="26B7EA58">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1）投标人登录政采云平台（https:www.zcygov.cn），按《供应商操作指南》（https://edu.zcygov.cn/luban/yunnan-dzjy-gys?utm=a0017.b3687.48.18.4b09ec80cbc911edb8a97356c5970511）完成远程投标文件解密等相关操作。本项目解密时间为30分钟，若投标人未在规定时间完成投标文件解密，则视为无效投标，不再进入评审阶段。</w:t>
      </w:r>
    </w:p>
    <w:p w14:paraId="2049D145">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（2）各投标人在开标前应确保成为政采云平台供应商，并完成CA数字证书申领。因未注册入库、未办理CA数字证书等原因造成无法投标或投标失败等后果由供应商自行承担。</w:t>
      </w:r>
    </w:p>
    <w:p w14:paraId="191F9256">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3）投标人将政采云电子交易客户端下载、安装完成后，可通过账号密码或CA登录客户端进行投标文件的制作。在使用政采云投标客户端时，建议使用WIN7（64位）及以上操作系统。客户端请至政采云公司网站（https://edu.zcygov.cn/luban/yunnan-dzjy-gys）进行查看下载，如有问题可拨打政采云客户服务热线95763进行咨询。如因供应商自身原因导致在规定时间内无法正常解密的（如：浏览器故障、未安装相关驱动、网络故障、加密CA与解密CA不一致等），代理机构不予异常处理，视为供应商自动放弃投标。注：任何因忽视或误解而导致投标文件未上传或已上传但未按规定的操作流程及时间要求进行解密的，由投标人自行负责。</w:t>
      </w:r>
    </w:p>
    <w:p w14:paraId="08DBE3CF">
      <w:pPr>
        <w:pStyle w:val="3"/>
        <w:pageBreakBefore w:val="0"/>
        <w:shd w:val="clear"/>
        <w:topLinePunct w:val="0"/>
        <w:bidi w:val="0"/>
        <w:spacing w:beforeAutospacing="0" w:afterAutospacing="0" w:line="360" w:lineRule="auto"/>
        <w:ind w:left="0" w:leftChars="0" w:right="0" w:rightChars="0" w:firstLine="600" w:firstLineChars="200"/>
        <w:jc w:val="left"/>
        <w:outlineLvl w:val="1"/>
        <w:rPr>
          <w:rFonts w:hint="eastAsia" w:ascii="仿宋" w:hAnsi="仿宋" w:eastAsia="仿宋" w:cs="仿宋"/>
          <w:color w:val="auto"/>
          <w:sz w:val="30"/>
          <w:szCs w:val="30"/>
          <w:highlight w:val="none"/>
        </w:rPr>
      </w:pPr>
      <w:bookmarkStart w:id="50" w:name="_Toc31791"/>
      <w:bookmarkStart w:id="51" w:name="_Toc12479"/>
      <w:r>
        <w:rPr>
          <w:rFonts w:hint="eastAsia" w:ascii="仿宋" w:hAnsi="仿宋" w:eastAsia="仿宋" w:cs="仿宋"/>
          <w:color w:val="auto"/>
          <w:sz w:val="30"/>
          <w:szCs w:val="30"/>
          <w:highlight w:val="none"/>
        </w:rPr>
        <w:t>七、对本次招标提出询问，请按以下方式联系</w:t>
      </w:r>
      <w:bookmarkEnd w:id="13"/>
      <w:bookmarkEnd w:id="47"/>
      <w:bookmarkEnd w:id="48"/>
      <w:bookmarkEnd w:id="49"/>
      <w:bookmarkEnd w:id="50"/>
      <w:bookmarkEnd w:id="51"/>
    </w:p>
    <w:p w14:paraId="54E6665B">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1.招标人信息</w:t>
      </w:r>
    </w:p>
    <w:p w14:paraId="761C2DC0">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名    称：丽江职业技术学院</w:t>
      </w:r>
    </w:p>
    <w:p w14:paraId="039AC8F2">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地    址：云南省丽江市古城区丽江职教园区</w:t>
      </w:r>
    </w:p>
    <w:p w14:paraId="2F7F22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szCs w:val="22"/>
          <w:highlight w:val="none"/>
          <w:lang w:val="en-US" w:eastAsia="zh-CN"/>
        </w:rPr>
        <w:t>联系方式：尹培仙</w:t>
      </w:r>
      <w:r>
        <w:rPr>
          <w:rFonts w:hint="eastAsia" w:ascii="仿宋" w:hAnsi="仿宋" w:eastAsia="仿宋" w:cs="仿宋"/>
          <w:color w:val="auto"/>
          <w:sz w:val="24"/>
        </w:rPr>
        <w:t>0888-5151277</w:t>
      </w:r>
    </w:p>
    <w:p w14:paraId="07029815">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val="en-US" w:eastAsia="zh-CN"/>
        </w:rPr>
      </w:pPr>
    </w:p>
    <w:p w14:paraId="2709D2C2">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2.采购代理机构信息</w:t>
      </w:r>
    </w:p>
    <w:p w14:paraId="6BD8F3B7">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名    称：云南蓝本招标咨询有限公司</w:t>
      </w:r>
    </w:p>
    <w:p w14:paraId="7E30CA14">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地    址：云南省昆明市西山区环城南路668号东南亚商场写字楼A座17楼2、3号</w:t>
      </w:r>
    </w:p>
    <w:p w14:paraId="2FB62789">
      <w:pPr>
        <w:pageBreakBefore w:val="0"/>
        <w:shd w:val="clear"/>
        <w:topLinePunct w:val="0"/>
        <w:bidi w:val="0"/>
        <w:spacing w:beforeAutospacing="0" w:afterAutospacing="0" w:line="360" w:lineRule="auto"/>
        <w:ind w:left="0" w:leftChars="0" w:right="0" w:rightChars="0" w:firstLine="480" w:firstLineChars="200"/>
        <w:contextualSpacing/>
        <w:rPr>
          <w:rFonts w:hint="default"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联系方式：0888-8880196、15198977600</w:t>
      </w:r>
    </w:p>
    <w:p w14:paraId="343D508E">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3.项目联系方式</w:t>
      </w:r>
    </w:p>
    <w:p w14:paraId="4F67D95A">
      <w:pPr>
        <w:pageBreakBefore w:val="0"/>
        <w:shd w:val="clear"/>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项目联系人及电话：李宏英、</w:t>
      </w:r>
      <w:r>
        <w:rPr>
          <w:rFonts w:hint="eastAsia" w:ascii="仿宋" w:hAnsi="仿宋" w:eastAsia="仿宋" w:cs="仿宋"/>
          <w:color w:val="auto"/>
          <w:sz w:val="24"/>
          <w:szCs w:val="24"/>
          <w:highlight w:val="none"/>
        </w:rPr>
        <w:t>王易文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杨帆</w:t>
      </w:r>
      <w:r>
        <w:rPr>
          <w:rFonts w:hint="eastAsia" w:ascii="仿宋" w:hAnsi="仿宋" w:eastAsia="仿宋" w:cs="仿宋"/>
          <w:color w:val="auto"/>
          <w:sz w:val="24"/>
          <w:szCs w:val="22"/>
          <w:highlight w:val="none"/>
          <w:lang w:val="en-US" w:eastAsia="zh-CN"/>
        </w:rPr>
        <w:t>0888-8880196</w:t>
      </w:r>
    </w:p>
    <w:p w14:paraId="091F68FB">
      <w:pPr>
        <w:pStyle w:val="35"/>
        <w:keepNext w:val="0"/>
        <w:keepLines w:val="0"/>
        <w:pageBreakBefore w:val="0"/>
        <w:widowControl/>
        <w:suppressLineNumbers w:val="0"/>
        <w:shd w:val="clear"/>
        <w:topLinePunct w:val="0"/>
        <w:bidi w:val="0"/>
        <w:spacing w:before="0" w:beforeAutospacing="0" w:after="0" w:afterAutospacing="0" w:line="360" w:lineRule="auto"/>
        <w:ind w:left="0" w:leftChars="0" w:right="0" w:rightChars="0"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br w:type="page"/>
      </w:r>
    </w:p>
    <w:p w14:paraId="12BA962A">
      <w:pPr>
        <w:pStyle w:val="2"/>
        <w:pageBreakBefore w:val="0"/>
        <w:shd w:val="clear"/>
        <w:topLinePunct w:val="0"/>
        <w:bidi w:val="0"/>
        <w:spacing w:beforeAutospacing="0" w:afterAutospacing="0" w:line="360" w:lineRule="auto"/>
        <w:ind w:left="0" w:leftChars="0" w:right="0" w:rightChars="0" w:firstLine="883" w:firstLineChars="200"/>
        <w:outlineLvl w:val="0"/>
        <w:rPr>
          <w:rFonts w:hint="eastAsia" w:ascii="仿宋" w:hAnsi="仿宋" w:eastAsia="仿宋" w:cs="仿宋"/>
          <w:color w:val="auto"/>
          <w:highlight w:val="none"/>
        </w:rPr>
      </w:pPr>
      <w:bookmarkStart w:id="52" w:name="_Toc244341280"/>
      <w:bookmarkStart w:id="53" w:name="_Toc364392607"/>
      <w:bookmarkStart w:id="54" w:name="_Toc28043"/>
      <w:bookmarkStart w:id="55" w:name="_Toc24807"/>
      <w:bookmarkStart w:id="56" w:name="_Toc32756"/>
      <w:bookmarkStart w:id="57" w:name="_Toc4677"/>
      <w:bookmarkStart w:id="58" w:name="_Toc3323"/>
      <w:bookmarkStart w:id="59" w:name="_Toc17480"/>
      <w:r>
        <w:rPr>
          <w:rFonts w:hint="eastAsia" w:ascii="仿宋" w:hAnsi="仿宋" w:eastAsia="仿宋" w:cs="仿宋"/>
          <w:color w:val="auto"/>
          <w:highlight w:val="none"/>
        </w:rPr>
        <w:t>第二章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spacing w:val="10"/>
          <w:highlight w:val="none"/>
        </w:rPr>
        <w:t>投标人</w:t>
      </w:r>
      <w:r>
        <w:rPr>
          <w:rFonts w:hint="eastAsia" w:ascii="仿宋" w:hAnsi="仿宋" w:eastAsia="仿宋" w:cs="仿宋"/>
          <w:color w:val="auto"/>
          <w:highlight w:val="none"/>
        </w:rPr>
        <w:t>须知</w:t>
      </w:r>
      <w:bookmarkEnd w:id="52"/>
      <w:bookmarkEnd w:id="53"/>
      <w:bookmarkEnd w:id="54"/>
      <w:bookmarkEnd w:id="55"/>
      <w:bookmarkEnd w:id="56"/>
      <w:bookmarkEnd w:id="57"/>
      <w:bookmarkEnd w:id="58"/>
      <w:bookmarkEnd w:id="59"/>
    </w:p>
    <w:p w14:paraId="6A5EF8BF">
      <w:pPr>
        <w:pStyle w:val="3"/>
        <w:pageBreakBefore w:val="0"/>
        <w:shd w:val="clear"/>
        <w:topLinePunct w:val="0"/>
        <w:bidi w:val="0"/>
        <w:spacing w:beforeAutospacing="0" w:afterAutospacing="0" w:line="360" w:lineRule="auto"/>
        <w:ind w:left="0" w:leftChars="0" w:right="0" w:rightChars="0" w:firstLine="680" w:firstLineChars="200"/>
        <w:jc w:val="center"/>
        <w:outlineLvl w:val="1"/>
        <w:rPr>
          <w:rFonts w:hint="eastAsia" w:ascii="仿宋" w:hAnsi="仿宋" w:eastAsia="仿宋" w:cs="仿宋"/>
          <w:color w:val="auto"/>
          <w:highlight w:val="none"/>
        </w:rPr>
      </w:pPr>
      <w:bookmarkStart w:id="60" w:name="_Toc17519"/>
      <w:bookmarkStart w:id="61" w:name="_Toc15183"/>
      <w:bookmarkStart w:id="62" w:name="_Toc364392608"/>
      <w:bookmarkStart w:id="63" w:name="_Toc11271"/>
      <w:bookmarkStart w:id="64" w:name="_Toc31041"/>
      <w:bookmarkStart w:id="65" w:name="_Toc29357076"/>
      <w:r>
        <w:rPr>
          <w:rFonts w:hint="eastAsia" w:ascii="仿宋" w:hAnsi="仿宋" w:eastAsia="仿宋" w:cs="仿宋"/>
          <w:color w:val="auto"/>
          <w:spacing w:val="10"/>
          <w:highlight w:val="none"/>
        </w:rPr>
        <w:t>投标人</w:t>
      </w:r>
      <w:r>
        <w:rPr>
          <w:rFonts w:hint="eastAsia" w:ascii="仿宋" w:hAnsi="仿宋" w:eastAsia="仿宋" w:cs="仿宋"/>
          <w:color w:val="auto"/>
          <w:highlight w:val="none"/>
        </w:rPr>
        <w:t>须知前附表</w:t>
      </w:r>
      <w:bookmarkEnd w:id="60"/>
      <w:bookmarkEnd w:id="61"/>
      <w:bookmarkEnd w:id="62"/>
      <w:bookmarkEnd w:id="63"/>
      <w:bookmarkEnd w:id="64"/>
    </w:p>
    <w:tbl>
      <w:tblPr>
        <w:tblStyle w:val="28"/>
        <w:tblW w:w="9628" w:type="dxa"/>
        <w:jc w:val="center"/>
        <w:tblLayout w:type="autofit"/>
        <w:tblCellMar>
          <w:top w:w="0" w:type="dxa"/>
          <w:left w:w="108" w:type="dxa"/>
          <w:bottom w:w="0" w:type="dxa"/>
          <w:right w:w="108" w:type="dxa"/>
        </w:tblCellMar>
      </w:tblPr>
      <w:tblGrid>
        <w:gridCol w:w="915"/>
        <w:gridCol w:w="1636"/>
        <w:gridCol w:w="5921"/>
        <w:gridCol w:w="1156"/>
      </w:tblGrid>
      <w:tr w14:paraId="275229D9">
        <w:tblPrEx>
          <w:tblCellMar>
            <w:top w:w="0" w:type="dxa"/>
            <w:left w:w="108" w:type="dxa"/>
            <w:bottom w:w="0" w:type="dxa"/>
            <w:right w:w="108" w:type="dxa"/>
          </w:tblCellMar>
        </w:tblPrEx>
        <w:trPr>
          <w:trHeight w:val="0" w:hRule="atLeast"/>
          <w:tblHeader/>
          <w:jc w:val="center"/>
        </w:trPr>
        <w:tc>
          <w:tcPr>
            <w:tcW w:w="915" w:type="dxa"/>
            <w:tcBorders>
              <w:top w:val="single" w:color="auto" w:sz="4" w:space="0"/>
              <w:left w:val="single" w:color="auto" w:sz="4" w:space="0"/>
              <w:bottom w:val="single" w:color="auto" w:sz="4" w:space="0"/>
              <w:right w:val="single" w:color="auto" w:sz="4" w:space="0"/>
            </w:tcBorders>
            <w:vAlign w:val="center"/>
          </w:tcPr>
          <w:p w14:paraId="393ECF3B">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序号</w:t>
            </w:r>
          </w:p>
        </w:tc>
        <w:tc>
          <w:tcPr>
            <w:tcW w:w="1636" w:type="dxa"/>
            <w:tcBorders>
              <w:top w:val="single" w:color="auto" w:sz="4" w:space="0"/>
              <w:left w:val="single" w:color="auto" w:sz="4" w:space="0"/>
              <w:bottom w:val="single" w:color="auto" w:sz="4" w:space="0"/>
              <w:right w:val="single" w:color="auto" w:sz="4" w:space="0"/>
            </w:tcBorders>
            <w:vAlign w:val="center"/>
          </w:tcPr>
          <w:p w14:paraId="712C7A70">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条款名称</w:t>
            </w:r>
          </w:p>
        </w:tc>
        <w:tc>
          <w:tcPr>
            <w:tcW w:w="5921" w:type="dxa"/>
            <w:tcBorders>
              <w:top w:val="single" w:color="auto" w:sz="4" w:space="0"/>
              <w:left w:val="single" w:color="auto" w:sz="4" w:space="0"/>
              <w:bottom w:val="single" w:color="auto" w:sz="4" w:space="0"/>
              <w:right w:val="single" w:color="auto" w:sz="4" w:space="0"/>
            </w:tcBorders>
            <w:vAlign w:val="center"/>
          </w:tcPr>
          <w:p w14:paraId="0241E2D9">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编列内容</w:t>
            </w:r>
          </w:p>
        </w:tc>
        <w:tc>
          <w:tcPr>
            <w:tcW w:w="1156" w:type="dxa"/>
            <w:tcBorders>
              <w:top w:val="single" w:color="auto" w:sz="4" w:space="0"/>
              <w:left w:val="single" w:color="auto" w:sz="4" w:space="0"/>
              <w:bottom w:val="single" w:color="auto" w:sz="4" w:space="0"/>
              <w:right w:val="single" w:color="auto" w:sz="4" w:space="0"/>
            </w:tcBorders>
            <w:vAlign w:val="center"/>
          </w:tcPr>
          <w:p w14:paraId="255C7A05">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条款号</w:t>
            </w:r>
          </w:p>
        </w:tc>
      </w:tr>
      <w:tr w14:paraId="2B73389A">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6BE71792">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636" w:type="dxa"/>
            <w:tcBorders>
              <w:top w:val="single" w:color="auto" w:sz="4" w:space="0"/>
              <w:left w:val="single" w:color="auto" w:sz="4" w:space="0"/>
              <w:bottom w:val="single" w:color="auto" w:sz="4" w:space="0"/>
              <w:right w:val="single" w:color="auto" w:sz="4" w:space="0"/>
            </w:tcBorders>
            <w:vAlign w:val="center"/>
          </w:tcPr>
          <w:p w14:paraId="1D9598FA">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招标人</w:t>
            </w:r>
          </w:p>
        </w:tc>
        <w:tc>
          <w:tcPr>
            <w:tcW w:w="5921" w:type="dxa"/>
            <w:tcBorders>
              <w:top w:val="single" w:color="auto" w:sz="4" w:space="0"/>
              <w:left w:val="single" w:color="auto" w:sz="4" w:space="0"/>
              <w:bottom w:val="single" w:color="auto" w:sz="4" w:space="0"/>
              <w:right w:val="single" w:color="auto" w:sz="4" w:space="0"/>
            </w:tcBorders>
            <w:vAlign w:val="center"/>
          </w:tcPr>
          <w:p w14:paraId="389AF98A">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名称：丽江职业技术学院</w:t>
            </w:r>
          </w:p>
          <w:p w14:paraId="7A51B82F">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地址：云南省丽江市古城区丽江职教园区</w:t>
            </w:r>
          </w:p>
          <w:p w14:paraId="64F441EA">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contextualSpacing/>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联系方式：尹培仙</w:t>
            </w:r>
            <w:r>
              <w:rPr>
                <w:rFonts w:hint="eastAsia" w:ascii="仿宋" w:hAnsi="仿宋" w:eastAsia="仿宋" w:cs="仿宋"/>
                <w:color w:val="auto"/>
                <w:sz w:val="24"/>
                <w:szCs w:val="24"/>
              </w:rPr>
              <w:t>0888-5151277</w:t>
            </w:r>
          </w:p>
        </w:tc>
        <w:tc>
          <w:tcPr>
            <w:tcW w:w="1156" w:type="dxa"/>
            <w:tcBorders>
              <w:top w:val="single" w:color="auto" w:sz="4" w:space="0"/>
              <w:left w:val="single" w:color="auto" w:sz="4" w:space="0"/>
              <w:bottom w:val="single" w:color="auto" w:sz="4" w:space="0"/>
              <w:right w:val="single" w:color="auto" w:sz="4" w:space="0"/>
            </w:tcBorders>
            <w:vAlign w:val="center"/>
          </w:tcPr>
          <w:p w14:paraId="57C363BC">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contextualSpacing/>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r>
      <w:tr w14:paraId="6F4697DB">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4EE3C4A8">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636" w:type="dxa"/>
            <w:tcBorders>
              <w:top w:val="single" w:color="auto" w:sz="4" w:space="0"/>
              <w:left w:val="single" w:color="auto" w:sz="4" w:space="0"/>
              <w:bottom w:val="single" w:color="auto" w:sz="4" w:space="0"/>
              <w:right w:val="single" w:color="auto" w:sz="4" w:space="0"/>
            </w:tcBorders>
            <w:vAlign w:val="center"/>
          </w:tcPr>
          <w:p w14:paraId="3E8ACDB4">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采购代理机构</w:t>
            </w:r>
          </w:p>
        </w:tc>
        <w:tc>
          <w:tcPr>
            <w:tcW w:w="5921" w:type="dxa"/>
            <w:tcBorders>
              <w:top w:val="single" w:color="auto" w:sz="4" w:space="0"/>
              <w:left w:val="single" w:color="auto" w:sz="4" w:space="0"/>
              <w:bottom w:val="single" w:color="auto" w:sz="4" w:space="0"/>
              <w:right w:val="single" w:color="auto" w:sz="4" w:space="0"/>
            </w:tcBorders>
            <w:vAlign w:val="center"/>
          </w:tcPr>
          <w:p w14:paraId="127FC616">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名称：云南蓝本招标咨询有限公司</w:t>
            </w:r>
          </w:p>
          <w:p w14:paraId="46335E56">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地址：云南省昆明市西山区环城南路668号东南亚商场写字楼A座17楼2、3号</w:t>
            </w:r>
          </w:p>
          <w:p w14:paraId="4A041FBA">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contextualSpacing/>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项目联系人及电话：李宏英、</w:t>
            </w:r>
            <w:r>
              <w:rPr>
                <w:rFonts w:hint="eastAsia" w:ascii="仿宋" w:hAnsi="仿宋" w:eastAsia="仿宋" w:cs="仿宋"/>
                <w:color w:val="auto"/>
                <w:sz w:val="24"/>
                <w:szCs w:val="24"/>
                <w:highlight w:val="none"/>
              </w:rPr>
              <w:t>王易文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杨帆0888-8880196</w:t>
            </w:r>
          </w:p>
        </w:tc>
        <w:tc>
          <w:tcPr>
            <w:tcW w:w="1156" w:type="dxa"/>
            <w:tcBorders>
              <w:top w:val="single" w:color="auto" w:sz="4" w:space="0"/>
              <w:left w:val="single" w:color="auto" w:sz="4" w:space="0"/>
              <w:bottom w:val="single" w:color="auto" w:sz="4" w:space="0"/>
              <w:right w:val="single" w:color="auto" w:sz="4" w:space="0"/>
            </w:tcBorders>
            <w:vAlign w:val="center"/>
          </w:tcPr>
          <w:p w14:paraId="79CC0A80">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contextualSpacing/>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r>
      <w:tr w14:paraId="259928C3">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3BD3FC7C">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636" w:type="dxa"/>
            <w:tcBorders>
              <w:top w:val="single" w:color="auto" w:sz="4" w:space="0"/>
              <w:left w:val="single" w:color="auto" w:sz="4" w:space="0"/>
              <w:bottom w:val="single" w:color="auto" w:sz="4" w:space="0"/>
              <w:right w:val="single" w:color="auto" w:sz="4" w:space="0"/>
            </w:tcBorders>
            <w:vAlign w:val="center"/>
          </w:tcPr>
          <w:p w14:paraId="31124A27">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项目名称及项目编号</w:t>
            </w:r>
          </w:p>
        </w:tc>
        <w:tc>
          <w:tcPr>
            <w:tcW w:w="5921" w:type="dxa"/>
            <w:tcBorders>
              <w:top w:val="single" w:color="auto" w:sz="4" w:space="0"/>
              <w:left w:val="single" w:color="auto" w:sz="4" w:space="0"/>
              <w:bottom w:val="single" w:color="auto" w:sz="4" w:space="0"/>
              <w:right w:val="single" w:color="auto" w:sz="4" w:space="0"/>
            </w:tcBorders>
            <w:vAlign w:val="center"/>
          </w:tcPr>
          <w:p w14:paraId="189512DC">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项目名称：丽江职业技术学院教学设备更新提升项目新能源汽车“三电”技术实训中心建设项目</w:t>
            </w:r>
          </w:p>
          <w:p w14:paraId="39334BBF">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项目编号：LJZC2026-G1-00307-YNLB-0104</w:t>
            </w:r>
          </w:p>
        </w:tc>
        <w:tc>
          <w:tcPr>
            <w:tcW w:w="1156" w:type="dxa"/>
            <w:tcBorders>
              <w:top w:val="single" w:color="auto" w:sz="4" w:space="0"/>
              <w:left w:val="single" w:color="auto" w:sz="4" w:space="0"/>
              <w:bottom w:val="single" w:color="auto" w:sz="4" w:space="0"/>
              <w:right w:val="single" w:color="auto" w:sz="4" w:space="0"/>
            </w:tcBorders>
            <w:vAlign w:val="center"/>
          </w:tcPr>
          <w:p w14:paraId="78F4B1CC">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r>
      <w:tr w14:paraId="0BF8B2A0">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4465F93A">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1636" w:type="dxa"/>
            <w:tcBorders>
              <w:top w:val="single" w:color="auto" w:sz="4" w:space="0"/>
              <w:left w:val="single" w:color="auto" w:sz="4" w:space="0"/>
              <w:bottom w:val="single" w:color="auto" w:sz="4" w:space="0"/>
              <w:right w:val="single" w:color="auto" w:sz="4" w:space="0"/>
            </w:tcBorders>
            <w:vAlign w:val="center"/>
          </w:tcPr>
          <w:p w14:paraId="56742AC7">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c>
        <w:tc>
          <w:tcPr>
            <w:tcW w:w="5921" w:type="dxa"/>
            <w:tcBorders>
              <w:top w:val="single" w:color="auto" w:sz="4" w:space="0"/>
              <w:left w:val="single" w:color="auto" w:sz="4" w:space="0"/>
              <w:bottom w:val="single" w:color="auto" w:sz="4" w:space="0"/>
              <w:right w:val="single" w:color="auto" w:sz="4" w:space="0"/>
            </w:tcBorders>
            <w:vAlign w:val="center"/>
          </w:tcPr>
          <w:p w14:paraId="6FD2506E">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见招标文件第一章《招标公告》“一、项目基本情况”，具体要求等详见本招标文件第五章《采购需求》。</w:t>
            </w:r>
          </w:p>
        </w:tc>
        <w:tc>
          <w:tcPr>
            <w:tcW w:w="1156" w:type="dxa"/>
            <w:tcBorders>
              <w:top w:val="single" w:color="auto" w:sz="4" w:space="0"/>
              <w:left w:val="single" w:color="auto" w:sz="4" w:space="0"/>
              <w:bottom w:val="single" w:color="auto" w:sz="4" w:space="0"/>
              <w:right w:val="single" w:color="auto" w:sz="4" w:space="0"/>
            </w:tcBorders>
            <w:vAlign w:val="center"/>
          </w:tcPr>
          <w:p w14:paraId="67B069CD">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r>
      <w:tr w14:paraId="73D3B0CD">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6E506361">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bookmarkStart w:id="66" w:name="OLE_LINK1"/>
            <w:r>
              <w:rPr>
                <w:rFonts w:hint="eastAsia" w:ascii="仿宋" w:hAnsi="仿宋" w:eastAsia="仿宋" w:cs="仿宋"/>
                <w:b/>
                <w:bCs/>
                <w:color w:val="auto"/>
                <w:sz w:val="24"/>
                <w:szCs w:val="24"/>
                <w:highlight w:val="none"/>
                <w:lang w:val="en-US" w:eastAsia="zh-CN"/>
              </w:rPr>
              <w:t>■</w:t>
            </w:r>
            <w:bookmarkEnd w:id="66"/>
            <w:r>
              <w:rPr>
                <w:rFonts w:hint="eastAsia" w:ascii="仿宋" w:hAnsi="仿宋" w:eastAsia="仿宋" w:cs="仿宋"/>
                <w:color w:val="auto"/>
                <w:sz w:val="24"/>
                <w:szCs w:val="24"/>
                <w:highlight w:val="none"/>
                <w:lang w:val="en-US" w:eastAsia="zh-CN"/>
              </w:rPr>
              <w:t>5</w:t>
            </w:r>
          </w:p>
        </w:tc>
        <w:tc>
          <w:tcPr>
            <w:tcW w:w="1636" w:type="dxa"/>
            <w:tcBorders>
              <w:top w:val="single" w:color="auto" w:sz="4" w:space="0"/>
              <w:left w:val="single" w:color="auto" w:sz="4" w:space="0"/>
              <w:bottom w:val="single" w:color="auto" w:sz="4" w:space="0"/>
              <w:right w:val="single" w:color="auto" w:sz="4" w:space="0"/>
            </w:tcBorders>
            <w:vAlign w:val="center"/>
          </w:tcPr>
          <w:p w14:paraId="5F27AC88">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合同履行期限</w:t>
            </w:r>
          </w:p>
        </w:tc>
        <w:tc>
          <w:tcPr>
            <w:tcW w:w="5921" w:type="dxa"/>
            <w:tcBorders>
              <w:top w:val="single" w:color="auto" w:sz="4" w:space="0"/>
              <w:left w:val="single" w:color="auto" w:sz="4" w:space="0"/>
              <w:bottom w:val="single" w:color="auto" w:sz="4" w:space="0"/>
              <w:right w:val="single" w:color="auto" w:sz="4" w:space="0"/>
            </w:tcBorders>
            <w:vAlign w:val="center"/>
          </w:tcPr>
          <w:p w14:paraId="00BD79D3">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自合同签订之日起，至质保期期限届满之日止。</w:t>
            </w:r>
          </w:p>
        </w:tc>
        <w:tc>
          <w:tcPr>
            <w:tcW w:w="1156" w:type="dxa"/>
            <w:tcBorders>
              <w:top w:val="single" w:color="auto" w:sz="4" w:space="0"/>
              <w:left w:val="single" w:color="auto" w:sz="4" w:space="0"/>
              <w:bottom w:val="single" w:color="auto" w:sz="4" w:space="0"/>
              <w:right w:val="single" w:color="auto" w:sz="4" w:space="0"/>
            </w:tcBorders>
            <w:vAlign w:val="center"/>
          </w:tcPr>
          <w:p w14:paraId="52CBB2C5">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r>
      <w:tr w14:paraId="30D5419F">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19586F1E">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w:t>
            </w:r>
          </w:p>
        </w:tc>
        <w:tc>
          <w:tcPr>
            <w:tcW w:w="1636" w:type="dxa"/>
            <w:tcBorders>
              <w:top w:val="single" w:color="auto" w:sz="4" w:space="0"/>
              <w:left w:val="single" w:color="auto" w:sz="4" w:space="0"/>
              <w:bottom w:val="single" w:color="auto" w:sz="4" w:space="0"/>
              <w:right w:val="single" w:color="auto" w:sz="4" w:space="0"/>
            </w:tcBorders>
            <w:vAlign w:val="center"/>
          </w:tcPr>
          <w:p w14:paraId="30B5D818">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交货期限</w:t>
            </w:r>
          </w:p>
        </w:tc>
        <w:tc>
          <w:tcPr>
            <w:tcW w:w="5921" w:type="dxa"/>
            <w:tcBorders>
              <w:top w:val="single" w:color="auto" w:sz="4" w:space="0"/>
              <w:left w:val="single" w:color="auto" w:sz="4" w:space="0"/>
              <w:bottom w:val="single" w:color="auto" w:sz="4" w:space="0"/>
              <w:right w:val="single" w:color="auto" w:sz="4" w:space="0"/>
            </w:tcBorders>
            <w:vAlign w:val="center"/>
          </w:tcPr>
          <w:p w14:paraId="7F907AAB">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设备送达招标人指定地点并按规范安装调试完毕时间为合同签订生效后3个月内。</w:t>
            </w:r>
          </w:p>
        </w:tc>
        <w:tc>
          <w:tcPr>
            <w:tcW w:w="1156" w:type="dxa"/>
            <w:tcBorders>
              <w:top w:val="single" w:color="auto" w:sz="4" w:space="0"/>
              <w:left w:val="single" w:color="auto" w:sz="4" w:space="0"/>
              <w:bottom w:val="single" w:color="auto" w:sz="4" w:space="0"/>
              <w:right w:val="single" w:color="auto" w:sz="4" w:space="0"/>
            </w:tcBorders>
            <w:vAlign w:val="center"/>
          </w:tcPr>
          <w:p w14:paraId="5E6FA84C">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r>
      <w:tr w14:paraId="166A142B">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56B86741">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w:t>
            </w:r>
          </w:p>
        </w:tc>
        <w:tc>
          <w:tcPr>
            <w:tcW w:w="1636" w:type="dxa"/>
            <w:tcBorders>
              <w:top w:val="single" w:color="auto" w:sz="4" w:space="0"/>
              <w:left w:val="single" w:color="auto" w:sz="4" w:space="0"/>
              <w:bottom w:val="single" w:color="auto" w:sz="4" w:space="0"/>
              <w:right w:val="single" w:color="auto" w:sz="4" w:space="0"/>
            </w:tcBorders>
            <w:vAlign w:val="center"/>
          </w:tcPr>
          <w:p w14:paraId="3624CFCB">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交货地点</w:t>
            </w:r>
          </w:p>
        </w:tc>
        <w:tc>
          <w:tcPr>
            <w:tcW w:w="5921" w:type="dxa"/>
            <w:tcBorders>
              <w:top w:val="single" w:color="auto" w:sz="4" w:space="0"/>
              <w:left w:val="single" w:color="auto" w:sz="4" w:space="0"/>
              <w:bottom w:val="single" w:color="auto" w:sz="4" w:space="0"/>
              <w:right w:val="single" w:color="auto" w:sz="4" w:space="0"/>
            </w:tcBorders>
            <w:vAlign w:val="center"/>
          </w:tcPr>
          <w:p w14:paraId="5F7C68D8">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招标人指定地点。</w:t>
            </w:r>
          </w:p>
        </w:tc>
        <w:tc>
          <w:tcPr>
            <w:tcW w:w="1156" w:type="dxa"/>
            <w:tcBorders>
              <w:top w:val="single" w:color="auto" w:sz="4" w:space="0"/>
              <w:left w:val="single" w:color="auto" w:sz="4" w:space="0"/>
              <w:bottom w:val="single" w:color="auto" w:sz="4" w:space="0"/>
              <w:right w:val="single" w:color="auto" w:sz="4" w:space="0"/>
            </w:tcBorders>
            <w:vAlign w:val="center"/>
          </w:tcPr>
          <w:p w14:paraId="446B0F69">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r>
      <w:tr w14:paraId="7FCE9A69">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693020A4">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8</w:t>
            </w:r>
          </w:p>
        </w:tc>
        <w:tc>
          <w:tcPr>
            <w:tcW w:w="1636" w:type="dxa"/>
            <w:tcBorders>
              <w:top w:val="single" w:color="auto" w:sz="4" w:space="0"/>
              <w:left w:val="single" w:color="auto" w:sz="4" w:space="0"/>
              <w:bottom w:val="single" w:color="auto" w:sz="4" w:space="0"/>
              <w:right w:val="single" w:color="auto" w:sz="4" w:space="0"/>
            </w:tcBorders>
            <w:vAlign w:val="center"/>
          </w:tcPr>
          <w:p w14:paraId="0F0F7468">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质保期</w:t>
            </w:r>
          </w:p>
        </w:tc>
        <w:tc>
          <w:tcPr>
            <w:tcW w:w="5921" w:type="dxa"/>
            <w:tcBorders>
              <w:top w:val="single" w:color="auto" w:sz="4" w:space="0"/>
              <w:left w:val="single" w:color="auto" w:sz="4" w:space="0"/>
              <w:bottom w:val="single" w:color="auto" w:sz="4" w:space="0"/>
              <w:right w:val="single" w:color="auto" w:sz="4" w:space="0"/>
            </w:tcBorders>
            <w:vAlign w:val="center"/>
          </w:tcPr>
          <w:p w14:paraId="705CF937">
            <w:pPr>
              <w:keepNext w:val="0"/>
              <w:keepLines w:val="0"/>
              <w:pageBreakBefore w:val="0"/>
              <w:widowControl w:val="0"/>
              <w:shd w:val="clear"/>
              <w:kinsoku/>
              <w:wordWrap/>
              <w:overflowPunct/>
              <w:topLinePunct w:val="0"/>
              <w:autoSpaceDE/>
              <w:autoSpaceDN/>
              <w:bidi w:val="0"/>
              <w:adjustRightInd/>
              <w:snapToGrid w:val="0"/>
              <w:spacing w:beforeAutospacing="0" w:afterAutospacing="0" w:line="360" w:lineRule="auto"/>
              <w:ind w:right="0" w:rightChars="0"/>
              <w:jc w:val="left"/>
              <w:textAlignment w:val="auto"/>
              <w:rPr>
                <w:rFonts w:hint="eastAsia" w:ascii="仿宋" w:hAnsi="仿宋" w:eastAsia="仿宋" w:cs="仿宋"/>
                <w:color w:val="0000FF"/>
                <w:sz w:val="24"/>
                <w:szCs w:val="24"/>
                <w:highlight w:val="none"/>
                <w:lang w:val="en-US" w:eastAsia="zh-CN"/>
              </w:rPr>
            </w:pPr>
            <w:r>
              <w:rPr>
                <w:rFonts w:hint="eastAsia" w:ascii="仿宋" w:hAnsi="仿宋" w:eastAsia="仿宋" w:cs="仿宋"/>
                <w:bCs w:val="0"/>
                <w:color w:val="000000" w:themeColor="text1"/>
                <w:kern w:val="2"/>
                <w:sz w:val="24"/>
                <w:szCs w:val="24"/>
                <w:lang w:val="en-US" w:eastAsia="zh-CN" w:bidi="ar-SA"/>
                <w14:textFill>
                  <w14:solidFill>
                    <w14:schemeClr w14:val="tx1"/>
                  </w14:solidFill>
                </w14:textFill>
              </w:rPr>
              <w:t>自产品交付之日起提供≥3年质保，质保期自设备安装验收合格且所有配件、备件齐全之日起计算，质保期内，由于设备本身质量原因造成的任何损坏保证免费负责修理和更换；质保期满后，提供终身维修服务（优价向采购方提供零部件）；</w:t>
            </w:r>
          </w:p>
        </w:tc>
        <w:tc>
          <w:tcPr>
            <w:tcW w:w="1156" w:type="dxa"/>
            <w:tcBorders>
              <w:top w:val="single" w:color="auto" w:sz="4" w:space="0"/>
              <w:left w:val="single" w:color="auto" w:sz="4" w:space="0"/>
              <w:bottom w:val="single" w:color="auto" w:sz="4" w:space="0"/>
              <w:right w:val="single" w:color="auto" w:sz="4" w:space="0"/>
            </w:tcBorders>
            <w:vAlign w:val="center"/>
          </w:tcPr>
          <w:p w14:paraId="7465CCE8">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r>
      <w:tr w14:paraId="19F6EB89">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64E27D48">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p>
        </w:tc>
        <w:tc>
          <w:tcPr>
            <w:tcW w:w="1636" w:type="dxa"/>
            <w:tcBorders>
              <w:top w:val="single" w:color="auto" w:sz="4" w:space="0"/>
              <w:left w:val="single" w:color="auto" w:sz="4" w:space="0"/>
              <w:bottom w:val="single" w:color="auto" w:sz="4" w:space="0"/>
              <w:right w:val="single" w:color="auto" w:sz="4" w:space="0"/>
            </w:tcBorders>
            <w:vAlign w:val="center"/>
          </w:tcPr>
          <w:p w14:paraId="04B54E52">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5921" w:type="dxa"/>
            <w:tcBorders>
              <w:top w:val="single" w:color="auto" w:sz="4" w:space="0"/>
              <w:left w:val="single" w:color="auto" w:sz="4" w:space="0"/>
              <w:bottom w:val="single" w:color="auto" w:sz="4" w:space="0"/>
              <w:right w:val="single" w:color="auto" w:sz="4" w:space="0"/>
            </w:tcBorders>
            <w:vAlign w:val="center"/>
          </w:tcPr>
          <w:p w14:paraId="2630686E">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财政资金。</w:t>
            </w:r>
          </w:p>
        </w:tc>
        <w:tc>
          <w:tcPr>
            <w:tcW w:w="1156" w:type="dxa"/>
            <w:tcBorders>
              <w:top w:val="single" w:color="auto" w:sz="4" w:space="0"/>
              <w:left w:val="single" w:color="auto" w:sz="4" w:space="0"/>
              <w:bottom w:val="single" w:color="auto" w:sz="4" w:space="0"/>
              <w:right w:val="single" w:color="auto" w:sz="4" w:space="0"/>
            </w:tcBorders>
            <w:vAlign w:val="center"/>
          </w:tcPr>
          <w:p w14:paraId="4519B118">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r>
      <w:tr w14:paraId="3EAAB1AF">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7C9D531D">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636" w:type="dxa"/>
            <w:tcBorders>
              <w:top w:val="single" w:color="auto" w:sz="4" w:space="0"/>
              <w:left w:val="single" w:color="auto" w:sz="4" w:space="0"/>
              <w:bottom w:val="single" w:color="auto" w:sz="4" w:space="0"/>
              <w:right w:val="single" w:color="auto" w:sz="4" w:space="0"/>
            </w:tcBorders>
            <w:vAlign w:val="center"/>
          </w:tcPr>
          <w:p w14:paraId="23D75389">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《中华人民共和国政府采购法》第二十二条规定</w:t>
            </w:r>
          </w:p>
        </w:tc>
        <w:tc>
          <w:tcPr>
            <w:tcW w:w="5921" w:type="dxa"/>
            <w:tcBorders>
              <w:top w:val="single" w:color="auto" w:sz="4" w:space="0"/>
              <w:left w:val="single" w:color="auto" w:sz="4" w:space="0"/>
              <w:bottom w:val="single" w:color="auto" w:sz="4" w:space="0"/>
              <w:right w:val="single" w:color="auto" w:sz="4" w:space="0"/>
            </w:tcBorders>
            <w:vAlign w:val="center"/>
          </w:tcPr>
          <w:p w14:paraId="2DEE6AC6">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详见招标文件第一章《招标公告》“二、投标人的资格要求”。</w:t>
            </w:r>
          </w:p>
        </w:tc>
        <w:tc>
          <w:tcPr>
            <w:tcW w:w="1156" w:type="dxa"/>
            <w:tcBorders>
              <w:top w:val="single" w:color="auto" w:sz="4" w:space="0"/>
              <w:left w:val="single" w:color="auto" w:sz="4" w:space="0"/>
              <w:bottom w:val="single" w:color="auto" w:sz="4" w:space="0"/>
              <w:right w:val="single" w:color="auto" w:sz="4" w:space="0"/>
            </w:tcBorders>
            <w:vAlign w:val="center"/>
          </w:tcPr>
          <w:p w14:paraId="4AE6B89F">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r>
      <w:tr w14:paraId="5C7C73CF">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7C3D8D2D">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636" w:type="dxa"/>
            <w:tcBorders>
              <w:top w:val="single" w:color="auto" w:sz="4" w:space="0"/>
              <w:left w:val="single" w:color="auto" w:sz="4" w:space="0"/>
              <w:bottom w:val="single" w:color="auto" w:sz="4" w:space="0"/>
              <w:right w:val="single" w:color="auto" w:sz="4" w:space="0"/>
            </w:tcBorders>
            <w:vAlign w:val="center"/>
          </w:tcPr>
          <w:p w14:paraId="3B8D8032">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落实采购政策需满足的资格要求</w:t>
            </w:r>
          </w:p>
        </w:tc>
        <w:tc>
          <w:tcPr>
            <w:tcW w:w="5921" w:type="dxa"/>
            <w:tcBorders>
              <w:top w:val="single" w:color="auto" w:sz="4" w:space="0"/>
              <w:left w:val="single" w:color="auto" w:sz="4" w:space="0"/>
              <w:bottom w:val="single" w:color="auto" w:sz="4" w:space="0"/>
              <w:right w:val="single" w:color="auto" w:sz="4" w:space="0"/>
            </w:tcBorders>
            <w:vAlign w:val="center"/>
          </w:tcPr>
          <w:p w14:paraId="3434575A">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详见招标文件第一章《招标公告》“二、投标人的资格要求”。</w:t>
            </w:r>
          </w:p>
        </w:tc>
        <w:tc>
          <w:tcPr>
            <w:tcW w:w="1156" w:type="dxa"/>
            <w:tcBorders>
              <w:top w:val="single" w:color="auto" w:sz="4" w:space="0"/>
              <w:left w:val="single" w:color="auto" w:sz="4" w:space="0"/>
              <w:bottom w:val="single" w:color="auto" w:sz="4" w:space="0"/>
              <w:right w:val="single" w:color="auto" w:sz="4" w:space="0"/>
            </w:tcBorders>
            <w:vAlign w:val="center"/>
          </w:tcPr>
          <w:p w14:paraId="5C97DCFD">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r>
      <w:tr w14:paraId="298E5B5E">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530BC803">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636" w:type="dxa"/>
            <w:tcBorders>
              <w:top w:val="single" w:color="auto" w:sz="4" w:space="0"/>
              <w:left w:val="single" w:color="auto" w:sz="4" w:space="0"/>
              <w:bottom w:val="single" w:color="auto" w:sz="4" w:space="0"/>
              <w:right w:val="single" w:color="auto" w:sz="4" w:space="0"/>
            </w:tcBorders>
            <w:vAlign w:val="center"/>
          </w:tcPr>
          <w:p w14:paraId="1302F31F">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本项目的特定资格要求</w:t>
            </w:r>
          </w:p>
        </w:tc>
        <w:tc>
          <w:tcPr>
            <w:tcW w:w="5921" w:type="dxa"/>
            <w:tcBorders>
              <w:top w:val="single" w:color="auto" w:sz="4" w:space="0"/>
              <w:left w:val="single" w:color="auto" w:sz="4" w:space="0"/>
              <w:bottom w:val="single" w:color="auto" w:sz="4" w:space="0"/>
              <w:right w:val="single" w:color="auto" w:sz="4" w:space="0"/>
            </w:tcBorders>
            <w:vAlign w:val="center"/>
          </w:tcPr>
          <w:p w14:paraId="139E1102">
            <w:pPr>
              <w:keepNext w:val="0"/>
              <w:keepLines w:val="0"/>
              <w:pageBreakBefore w:val="0"/>
              <w:widowControl/>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详见招标文件第一章《招标公告》“二、投标人的资格要求”</w:t>
            </w:r>
            <w:r>
              <w:rPr>
                <w:rFonts w:hint="eastAsia" w:ascii="仿宋" w:hAnsi="仿宋" w:eastAsia="仿宋" w:cs="仿宋"/>
                <w:color w:val="auto"/>
                <w:sz w:val="24"/>
                <w:szCs w:val="24"/>
                <w:highlight w:val="none"/>
                <w:lang w:eastAsia="zh-CN"/>
              </w:rPr>
              <w:t>。</w:t>
            </w:r>
          </w:p>
        </w:tc>
        <w:tc>
          <w:tcPr>
            <w:tcW w:w="1156" w:type="dxa"/>
            <w:tcBorders>
              <w:top w:val="single" w:color="auto" w:sz="4" w:space="0"/>
              <w:left w:val="single" w:color="auto" w:sz="4" w:space="0"/>
              <w:bottom w:val="single" w:color="auto" w:sz="4" w:space="0"/>
              <w:right w:val="single" w:color="auto" w:sz="4" w:space="0"/>
            </w:tcBorders>
            <w:vAlign w:val="center"/>
          </w:tcPr>
          <w:p w14:paraId="2D4DAB21">
            <w:pPr>
              <w:keepNext w:val="0"/>
              <w:keepLines w:val="0"/>
              <w:pageBreakBefore w:val="0"/>
              <w:widowControl/>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p>
        </w:tc>
      </w:tr>
      <w:tr w14:paraId="11170459">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253C1B16">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636" w:type="dxa"/>
            <w:tcBorders>
              <w:top w:val="single" w:color="auto" w:sz="4" w:space="0"/>
              <w:left w:val="single" w:color="auto" w:sz="4" w:space="0"/>
              <w:bottom w:val="single" w:color="auto" w:sz="4" w:space="0"/>
              <w:right w:val="single" w:color="auto" w:sz="4" w:space="0"/>
            </w:tcBorders>
            <w:vAlign w:val="center"/>
          </w:tcPr>
          <w:p w14:paraId="3CA57EBF">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是否接受联合体参加</w:t>
            </w:r>
          </w:p>
        </w:tc>
        <w:tc>
          <w:tcPr>
            <w:tcW w:w="5921" w:type="dxa"/>
            <w:tcBorders>
              <w:top w:val="single" w:color="auto" w:sz="4" w:space="0"/>
              <w:left w:val="single" w:color="auto" w:sz="4" w:space="0"/>
              <w:bottom w:val="single" w:color="auto" w:sz="4" w:space="0"/>
              <w:right w:val="single" w:color="auto" w:sz="4" w:space="0"/>
            </w:tcBorders>
            <w:vAlign w:val="center"/>
          </w:tcPr>
          <w:p w14:paraId="655A674E">
            <w:pPr>
              <w:keepNext w:val="0"/>
              <w:keepLines w:val="0"/>
              <w:pageBreakBefore w:val="0"/>
              <w:widowControl/>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接受</w:t>
            </w:r>
          </w:p>
        </w:tc>
        <w:tc>
          <w:tcPr>
            <w:tcW w:w="1156" w:type="dxa"/>
            <w:tcBorders>
              <w:top w:val="single" w:color="auto" w:sz="4" w:space="0"/>
              <w:left w:val="single" w:color="auto" w:sz="4" w:space="0"/>
              <w:bottom w:val="single" w:color="auto" w:sz="4" w:space="0"/>
              <w:right w:val="single" w:color="auto" w:sz="4" w:space="0"/>
            </w:tcBorders>
            <w:vAlign w:val="center"/>
          </w:tcPr>
          <w:p w14:paraId="0D470977">
            <w:pPr>
              <w:keepNext w:val="0"/>
              <w:keepLines w:val="0"/>
              <w:pageBreakBefore w:val="0"/>
              <w:widowControl/>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w:t>
            </w:r>
          </w:p>
        </w:tc>
      </w:tr>
      <w:tr w14:paraId="76F4E3D8">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4E064714">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636" w:type="dxa"/>
            <w:tcBorders>
              <w:top w:val="single" w:color="auto" w:sz="4" w:space="0"/>
              <w:left w:val="single" w:color="auto" w:sz="4" w:space="0"/>
              <w:bottom w:val="single" w:color="auto" w:sz="4" w:space="0"/>
              <w:right w:val="single" w:color="auto" w:sz="4" w:space="0"/>
            </w:tcBorders>
            <w:vAlign w:val="center"/>
          </w:tcPr>
          <w:p w14:paraId="073B84A3">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现场考察</w:t>
            </w:r>
          </w:p>
        </w:tc>
        <w:tc>
          <w:tcPr>
            <w:tcW w:w="5921" w:type="dxa"/>
            <w:tcBorders>
              <w:top w:val="single" w:color="auto" w:sz="4" w:space="0"/>
              <w:left w:val="single" w:color="auto" w:sz="4" w:space="0"/>
              <w:bottom w:val="single" w:color="auto" w:sz="4" w:space="0"/>
              <w:right w:val="single" w:color="auto" w:sz="4" w:space="0"/>
            </w:tcBorders>
            <w:vAlign w:val="center"/>
          </w:tcPr>
          <w:p w14:paraId="0DDA2C35">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w:t>
            </w:r>
          </w:p>
        </w:tc>
        <w:tc>
          <w:tcPr>
            <w:tcW w:w="1156" w:type="dxa"/>
            <w:tcBorders>
              <w:top w:val="single" w:color="auto" w:sz="4" w:space="0"/>
              <w:left w:val="single" w:color="auto" w:sz="4" w:space="0"/>
              <w:bottom w:val="single" w:color="auto" w:sz="4" w:space="0"/>
              <w:right w:val="single" w:color="auto" w:sz="4" w:space="0"/>
            </w:tcBorders>
            <w:vAlign w:val="center"/>
          </w:tcPr>
          <w:p w14:paraId="08CFF5E9">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w:t>
            </w:r>
          </w:p>
        </w:tc>
      </w:tr>
      <w:tr w14:paraId="344F9BBA">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5E95B803">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636" w:type="dxa"/>
            <w:tcBorders>
              <w:top w:val="single" w:color="auto" w:sz="4" w:space="0"/>
              <w:left w:val="single" w:color="auto" w:sz="4" w:space="0"/>
              <w:bottom w:val="single" w:color="auto" w:sz="4" w:space="0"/>
              <w:right w:val="single" w:color="auto" w:sz="4" w:space="0"/>
            </w:tcBorders>
            <w:vAlign w:val="center"/>
          </w:tcPr>
          <w:p w14:paraId="6BF031AD">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开标前答疑会</w:t>
            </w:r>
          </w:p>
        </w:tc>
        <w:tc>
          <w:tcPr>
            <w:tcW w:w="5921" w:type="dxa"/>
            <w:tcBorders>
              <w:top w:val="single" w:color="auto" w:sz="4" w:space="0"/>
              <w:left w:val="single" w:color="auto" w:sz="4" w:space="0"/>
              <w:bottom w:val="single" w:color="auto" w:sz="4" w:space="0"/>
              <w:right w:val="single" w:color="auto" w:sz="4" w:space="0"/>
            </w:tcBorders>
            <w:vAlign w:val="center"/>
          </w:tcPr>
          <w:p w14:paraId="33B5D6FD">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w:t>
            </w:r>
          </w:p>
        </w:tc>
        <w:tc>
          <w:tcPr>
            <w:tcW w:w="1156" w:type="dxa"/>
            <w:tcBorders>
              <w:top w:val="single" w:color="auto" w:sz="4" w:space="0"/>
              <w:left w:val="single" w:color="auto" w:sz="4" w:space="0"/>
              <w:bottom w:val="single" w:color="auto" w:sz="4" w:space="0"/>
              <w:right w:val="single" w:color="auto" w:sz="4" w:space="0"/>
            </w:tcBorders>
            <w:vAlign w:val="center"/>
          </w:tcPr>
          <w:p w14:paraId="53B5489A">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6.1</w:t>
            </w:r>
          </w:p>
        </w:tc>
      </w:tr>
      <w:tr w14:paraId="57CB4EAE">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61A58C43">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636" w:type="dxa"/>
            <w:tcBorders>
              <w:top w:val="single" w:color="auto" w:sz="4" w:space="0"/>
              <w:left w:val="single" w:color="auto" w:sz="4" w:space="0"/>
              <w:bottom w:val="single" w:color="auto" w:sz="4" w:space="0"/>
              <w:right w:val="single" w:color="auto" w:sz="4" w:space="0"/>
            </w:tcBorders>
            <w:vAlign w:val="center"/>
          </w:tcPr>
          <w:p w14:paraId="38AAE5E1">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招标文件的询问时间</w:t>
            </w:r>
          </w:p>
        </w:tc>
        <w:tc>
          <w:tcPr>
            <w:tcW w:w="5921" w:type="dxa"/>
            <w:tcBorders>
              <w:top w:val="single" w:color="auto" w:sz="4" w:space="0"/>
              <w:left w:val="single" w:color="auto" w:sz="4" w:space="0"/>
              <w:bottom w:val="single" w:color="auto" w:sz="4" w:space="0"/>
              <w:right w:val="single" w:color="auto" w:sz="4" w:space="0"/>
            </w:tcBorders>
            <w:vAlign w:val="center"/>
          </w:tcPr>
          <w:p w14:paraId="25E443CB">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投标人应认真阅读招标文件，如有疑问的，投标人可以向</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提出询问</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招标代理机构</w:t>
            </w:r>
            <w:r>
              <w:rPr>
                <w:rFonts w:hint="eastAsia" w:ascii="仿宋" w:hAnsi="仿宋" w:eastAsia="仿宋" w:cs="仿宋"/>
                <w:color w:val="auto"/>
                <w:sz w:val="24"/>
                <w:szCs w:val="24"/>
                <w:highlight w:val="none"/>
              </w:rPr>
              <w:t>在接到询问后的3个工作日内对投标人依法提出的询问作出答复，但答复的内容不涉及商业秘密。</w:t>
            </w:r>
          </w:p>
        </w:tc>
        <w:tc>
          <w:tcPr>
            <w:tcW w:w="1156" w:type="dxa"/>
            <w:tcBorders>
              <w:top w:val="single" w:color="auto" w:sz="4" w:space="0"/>
              <w:left w:val="single" w:color="auto" w:sz="4" w:space="0"/>
              <w:bottom w:val="single" w:color="auto" w:sz="4" w:space="0"/>
              <w:right w:val="single" w:color="auto" w:sz="4" w:space="0"/>
            </w:tcBorders>
            <w:vAlign w:val="center"/>
          </w:tcPr>
          <w:p w14:paraId="3319AAFC">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w:t>
            </w:r>
          </w:p>
        </w:tc>
      </w:tr>
      <w:tr w14:paraId="31E095B4">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77377950">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1636" w:type="dxa"/>
            <w:tcBorders>
              <w:top w:val="single" w:color="auto" w:sz="4" w:space="0"/>
              <w:left w:val="single" w:color="auto" w:sz="4" w:space="0"/>
              <w:bottom w:val="single" w:color="auto" w:sz="4" w:space="0"/>
              <w:right w:val="single" w:color="auto" w:sz="4" w:space="0"/>
            </w:tcBorders>
            <w:vAlign w:val="center"/>
          </w:tcPr>
          <w:p w14:paraId="3712CACD">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招标文件的询问联系方式</w:t>
            </w:r>
          </w:p>
        </w:tc>
        <w:tc>
          <w:tcPr>
            <w:tcW w:w="5921" w:type="dxa"/>
            <w:tcBorders>
              <w:top w:val="single" w:color="auto" w:sz="4" w:space="0"/>
              <w:left w:val="single" w:color="auto" w:sz="4" w:space="0"/>
              <w:bottom w:val="single" w:color="auto" w:sz="4" w:space="0"/>
              <w:right w:val="single" w:color="auto" w:sz="4" w:space="0"/>
            </w:tcBorders>
            <w:vAlign w:val="center"/>
          </w:tcPr>
          <w:p w14:paraId="2B12877B">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询问联系人：</w:t>
            </w:r>
            <w:r>
              <w:rPr>
                <w:rFonts w:hint="eastAsia" w:ascii="仿宋" w:hAnsi="仿宋" w:eastAsia="仿宋" w:cs="仿宋"/>
                <w:color w:val="auto"/>
                <w:sz w:val="24"/>
                <w:szCs w:val="24"/>
                <w:highlight w:val="none"/>
                <w:lang w:val="en-US" w:eastAsia="zh-CN"/>
              </w:rPr>
              <w:t>杨帆</w:t>
            </w:r>
          </w:p>
          <w:p w14:paraId="7852B336">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eastAsia="zh-CN"/>
              </w:rPr>
              <w:t>0888-8880196</w:t>
            </w:r>
          </w:p>
        </w:tc>
        <w:tc>
          <w:tcPr>
            <w:tcW w:w="1156" w:type="dxa"/>
            <w:tcBorders>
              <w:top w:val="single" w:color="auto" w:sz="4" w:space="0"/>
              <w:left w:val="single" w:color="auto" w:sz="4" w:space="0"/>
              <w:bottom w:val="single" w:color="auto" w:sz="4" w:space="0"/>
              <w:right w:val="single" w:color="auto" w:sz="4" w:space="0"/>
            </w:tcBorders>
            <w:vAlign w:val="center"/>
          </w:tcPr>
          <w:p w14:paraId="0ABD3844">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w:t>
            </w:r>
          </w:p>
        </w:tc>
      </w:tr>
      <w:tr w14:paraId="1F73F014">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1FD8C22A">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636" w:type="dxa"/>
            <w:tcBorders>
              <w:top w:val="single" w:color="auto" w:sz="4" w:space="0"/>
              <w:left w:val="single" w:color="auto" w:sz="4" w:space="0"/>
              <w:bottom w:val="single" w:color="auto" w:sz="4" w:space="0"/>
              <w:right w:val="single" w:color="auto" w:sz="4" w:space="0"/>
            </w:tcBorders>
            <w:vAlign w:val="center"/>
          </w:tcPr>
          <w:p w14:paraId="4772D77C">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接收质疑函的方式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部门、联系方式及地点</w:t>
            </w:r>
          </w:p>
        </w:tc>
        <w:tc>
          <w:tcPr>
            <w:tcW w:w="5921" w:type="dxa"/>
            <w:tcBorders>
              <w:top w:val="single" w:color="auto" w:sz="4" w:space="0"/>
              <w:left w:val="single" w:color="auto" w:sz="4" w:space="0"/>
              <w:bottom w:val="single" w:color="auto" w:sz="4" w:space="0"/>
              <w:right w:val="single" w:color="auto" w:sz="4" w:space="0"/>
            </w:tcBorders>
            <w:vAlign w:val="center"/>
          </w:tcPr>
          <w:p w14:paraId="375682D5">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投标人认为招标文件、采购过程、中标结果使自己的权益受到损害的，可以在知道或者应知其权益受到损害之日起7个工作日内，以书面形式向</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提出质疑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接收质疑函的方式：书面方式</w:t>
            </w:r>
          </w:p>
          <w:p w14:paraId="44DA3B55">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接收质疑函的部门：云南蓝本招标咨询有限公司</w:t>
            </w:r>
          </w:p>
          <w:p w14:paraId="0B7FCB61">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联系人：杨帆，电话：15198977600</w:t>
            </w:r>
          </w:p>
          <w:p w14:paraId="3AFD4C5F">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通讯地址：云南省丽江市古城区象山路264号办公楼5楼综合办公室</w:t>
            </w:r>
          </w:p>
        </w:tc>
        <w:tc>
          <w:tcPr>
            <w:tcW w:w="1156" w:type="dxa"/>
            <w:tcBorders>
              <w:top w:val="single" w:color="auto" w:sz="4" w:space="0"/>
              <w:left w:val="single" w:color="auto" w:sz="4" w:space="0"/>
              <w:bottom w:val="single" w:color="auto" w:sz="4" w:space="0"/>
              <w:right w:val="single" w:color="auto" w:sz="4" w:space="0"/>
            </w:tcBorders>
            <w:vAlign w:val="center"/>
          </w:tcPr>
          <w:p w14:paraId="3FD8FDC4">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8.9</w:t>
            </w:r>
          </w:p>
        </w:tc>
      </w:tr>
      <w:tr w14:paraId="6F2060C4">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705C4585">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1636" w:type="dxa"/>
            <w:tcBorders>
              <w:top w:val="single" w:color="auto" w:sz="4" w:space="0"/>
              <w:left w:val="single" w:color="auto" w:sz="4" w:space="0"/>
              <w:bottom w:val="single" w:color="auto" w:sz="4" w:space="0"/>
              <w:right w:val="single" w:color="auto" w:sz="4" w:space="0"/>
            </w:tcBorders>
            <w:vAlign w:val="center"/>
          </w:tcPr>
          <w:p w14:paraId="19976D13">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招标文件澄清、修改时间</w:t>
            </w:r>
          </w:p>
        </w:tc>
        <w:tc>
          <w:tcPr>
            <w:tcW w:w="5921" w:type="dxa"/>
            <w:tcBorders>
              <w:top w:val="single" w:color="auto" w:sz="4" w:space="0"/>
              <w:left w:val="single" w:color="auto" w:sz="4" w:space="0"/>
              <w:bottom w:val="single" w:color="auto" w:sz="4" w:space="0"/>
              <w:right w:val="single" w:color="auto" w:sz="4" w:space="0"/>
            </w:tcBorders>
            <w:vAlign w:val="center"/>
          </w:tcPr>
          <w:p w14:paraId="54FC9462">
            <w:pPr>
              <w:keepNext w:val="0"/>
              <w:keepLines w:val="0"/>
              <w:pageBreakBefore w:val="0"/>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、采购代理机构可以对已发出的招标文件进行必要的澄清或者修改，澄清或者修改的内容作为招标文件的组成部分。</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lang w:val="en-US" w:eastAsia="zh-CN"/>
              </w:rPr>
              <w:t>通过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云南省政府采购网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政采云平台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同时发布澄清、修改文件进行说明以保证投标人能重新下载并用于编制投标文件。招标文件的澄清、修改内容均以网上电子文件为准，当招标文件、招标文件澄清、修改文件内容前后相互矛盾时，以最后发出的为准。澄清或者修改的内容可能影响投标文件编制的，</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或者采购代理机构将在投标截止时间至少15日前，以网上电子文件形式通知所有接收招标文件的投标人，不足15日的，</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或者采购代理机构将顺延提交投标文件的截止时间。投标人应在电子投标文件提交截止时间前及时登录云南省政府采购网（www.yngp.com）</w:t>
            </w:r>
            <w:r>
              <w:rPr>
                <w:rFonts w:hint="eastAsia" w:ascii="仿宋" w:hAnsi="仿宋" w:eastAsia="仿宋" w:cs="仿宋"/>
                <w:color w:val="auto"/>
                <w:sz w:val="24"/>
                <w:szCs w:val="24"/>
                <w:highlight w:val="none"/>
                <w:lang w:val="en-US" w:eastAsia="zh-CN"/>
              </w:rPr>
              <w:t>及政采云平台（https://www.zcygov.cn/）</w:t>
            </w:r>
            <w:r>
              <w:rPr>
                <w:rFonts w:hint="eastAsia" w:ascii="仿宋" w:hAnsi="仿宋" w:eastAsia="仿宋" w:cs="仿宋"/>
                <w:color w:val="auto"/>
                <w:sz w:val="24"/>
                <w:szCs w:val="24"/>
                <w:highlight w:val="none"/>
              </w:rPr>
              <w:t>查看有关该项目招标文件的澄清、修改内容。如因投标人自身原因导致未及时查看有关该项目招标文件的澄清、修改内容，由此造成的一切后果由投</w:t>
            </w:r>
            <w:r>
              <w:rPr>
                <w:rFonts w:hint="eastAsia" w:ascii="仿宋" w:hAnsi="仿宋" w:eastAsia="仿宋" w:cs="仿宋"/>
                <w:color w:val="auto"/>
                <w:sz w:val="24"/>
                <w:szCs w:val="24"/>
                <w:highlight w:val="none"/>
                <w:lang w:eastAsia="zh-CN"/>
              </w:rPr>
              <w:t>标人</w:t>
            </w:r>
            <w:r>
              <w:rPr>
                <w:rFonts w:hint="eastAsia" w:ascii="仿宋" w:hAnsi="仿宋" w:eastAsia="仿宋" w:cs="仿宋"/>
                <w:color w:val="auto"/>
                <w:sz w:val="24"/>
                <w:szCs w:val="24"/>
                <w:highlight w:val="none"/>
              </w:rPr>
              <w:t>自行承担。</w:t>
            </w:r>
          </w:p>
        </w:tc>
        <w:tc>
          <w:tcPr>
            <w:tcW w:w="1156" w:type="dxa"/>
            <w:tcBorders>
              <w:top w:val="single" w:color="auto" w:sz="4" w:space="0"/>
              <w:left w:val="single" w:color="auto" w:sz="4" w:space="0"/>
              <w:bottom w:val="single" w:color="auto" w:sz="4" w:space="0"/>
              <w:right w:val="single" w:color="auto" w:sz="4" w:space="0"/>
            </w:tcBorders>
            <w:vAlign w:val="center"/>
          </w:tcPr>
          <w:p w14:paraId="361CE6A7">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12.2</w:t>
            </w:r>
          </w:p>
        </w:tc>
      </w:tr>
      <w:tr w14:paraId="1F2E7E88">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642AC116">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1636" w:type="dxa"/>
            <w:tcBorders>
              <w:top w:val="single" w:color="auto" w:sz="4" w:space="0"/>
              <w:left w:val="single" w:color="auto" w:sz="4" w:space="0"/>
              <w:bottom w:val="single" w:color="auto" w:sz="4" w:space="0"/>
              <w:right w:val="single" w:color="auto" w:sz="4" w:space="0"/>
            </w:tcBorders>
            <w:vAlign w:val="center"/>
          </w:tcPr>
          <w:p w14:paraId="7918855D">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5921" w:type="dxa"/>
            <w:tcBorders>
              <w:top w:val="single" w:color="auto" w:sz="4" w:space="0"/>
              <w:left w:val="single" w:color="auto" w:sz="4" w:space="0"/>
              <w:bottom w:val="single" w:color="auto" w:sz="4" w:space="0"/>
              <w:right w:val="single" w:color="auto" w:sz="4" w:space="0"/>
            </w:tcBorders>
            <w:vAlign w:val="center"/>
          </w:tcPr>
          <w:p w14:paraId="5B33BB17">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从提交投标文件截止之日起90日历天。</w:t>
            </w:r>
          </w:p>
        </w:tc>
        <w:tc>
          <w:tcPr>
            <w:tcW w:w="1156" w:type="dxa"/>
            <w:tcBorders>
              <w:top w:val="single" w:color="auto" w:sz="4" w:space="0"/>
              <w:left w:val="single" w:color="auto" w:sz="4" w:space="0"/>
              <w:bottom w:val="single" w:color="auto" w:sz="4" w:space="0"/>
              <w:right w:val="single" w:color="auto" w:sz="4" w:space="0"/>
            </w:tcBorders>
            <w:vAlign w:val="center"/>
          </w:tcPr>
          <w:p w14:paraId="30611CD3">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17.1</w:t>
            </w:r>
          </w:p>
        </w:tc>
      </w:tr>
      <w:tr w14:paraId="70E23D76">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6E620728">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1636" w:type="dxa"/>
            <w:tcBorders>
              <w:top w:val="single" w:color="auto" w:sz="4" w:space="0"/>
              <w:left w:val="single" w:color="auto" w:sz="4" w:space="0"/>
              <w:bottom w:val="single" w:color="auto" w:sz="4" w:space="0"/>
              <w:right w:val="single" w:color="auto" w:sz="4" w:space="0"/>
            </w:tcBorders>
            <w:vAlign w:val="center"/>
          </w:tcPr>
          <w:p w14:paraId="70AA2A04">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5921" w:type="dxa"/>
            <w:tcBorders>
              <w:top w:val="single" w:color="auto" w:sz="4" w:space="0"/>
              <w:left w:val="single" w:color="auto" w:sz="4" w:space="0"/>
              <w:bottom w:val="single" w:color="auto" w:sz="4" w:space="0"/>
              <w:right w:val="single" w:color="auto" w:sz="4" w:space="0"/>
            </w:tcBorders>
            <w:shd w:val="clear" w:color="auto" w:fill="auto"/>
            <w:vAlign w:val="center"/>
          </w:tcPr>
          <w:p w14:paraId="11EFCCB5">
            <w:pPr>
              <w:keepNext w:val="0"/>
              <w:keepLines w:val="0"/>
              <w:pageBreakBefore w:val="0"/>
              <w:widowControl w:val="0"/>
              <w:numPr>
                <w:ilvl w:val="0"/>
                <w:numId w:val="6"/>
              </w:numPr>
              <w:kinsoku/>
              <w:wordWrap/>
              <w:overflowPunct/>
              <w:topLinePunct w:val="0"/>
              <w:autoSpaceDE/>
              <w:autoSpaceDN/>
              <w:bidi w:val="0"/>
              <w:adjustRightInd/>
              <w:snapToGrid w:val="0"/>
              <w:spacing w:beforeAutospacing="0" w:afterAutospacing="0" w:line="360" w:lineRule="auto"/>
              <w:ind w:left="0" w:leftChars="0" w:right="0" w:rightChars="0" w:firstLine="0" w:firstLineChars="0"/>
              <w:contextualSpacing/>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投标保证金形式</w:t>
            </w:r>
          </w:p>
          <w:p w14:paraId="23D06E12">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0" w:leftChars="0" w:right="0" w:rightChars="0" w:firstLine="0" w:firstLineChars="0"/>
              <w:contextualSpacing/>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以支票、汇票、本票或者金融机构、担保机构出具的保函等非现金形式提交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投标人可根据实际情况，选择保证金的提</w:t>
            </w:r>
            <w:r>
              <w:rPr>
                <w:rFonts w:hint="eastAsia" w:ascii="仿宋" w:hAnsi="仿宋" w:eastAsia="仿宋" w:cs="仿宋"/>
                <w:color w:val="auto"/>
                <w:sz w:val="24"/>
                <w:szCs w:val="24"/>
                <w:highlight w:val="none"/>
                <w:lang w:val="en-US" w:eastAsia="zh-CN"/>
              </w:rPr>
              <w:t>交</w:t>
            </w:r>
            <w:r>
              <w:rPr>
                <w:rFonts w:hint="eastAsia" w:ascii="仿宋" w:hAnsi="仿宋" w:eastAsia="仿宋" w:cs="仿宋"/>
                <w:color w:val="auto"/>
                <w:sz w:val="24"/>
                <w:szCs w:val="24"/>
                <w:highlight w:val="none"/>
              </w:rPr>
              <w:t>方式。</w:t>
            </w:r>
          </w:p>
          <w:p w14:paraId="10A52C83">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0" w:firstLineChars="0"/>
              <w:contextualSpacing/>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二、投标保证金金额</w:t>
            </w:r>
          </w:p>
          <w:p w14:paraId="671A452D">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0" w:firstLineChars="0"/>
              <w:contextualSpacing/>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人民币30000元（大写：叁万元整）</w:t>
            </w:r>
          </w:p>
          <w:p w14:paraId="15A43AB3">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0" w:firstLineChars="0"/>
              <w:contextualSpacing/>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三、投标保证金办理程序</w:t>
            </w:r>
          </w:p>
          <w:p w14:paraId="54A463E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以保函</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保证保险</w:t>
            </w:r>
            <w:r>
              <w:rPr>
                <w:rFonts w:hint="eastAsia" w:ascii="仿宋" w:hAnsi="仿宋" w:eastAsia="仿宋" w:cs="仿宋"/>
                <w:b/>
                <w:bCs/>
                <w:color w:val="auto"/>
                <w:sz w:val="24"/>
                <w:szCs w:val="24"/>
                <w:highlight w:val="none"/>
              </w:rPr>
              <w:t>形式提交</w:t>
            </w:r>
          </w:p>
          <w:p w14:paraId="1117ADD3">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需符合相关机构、相关法律法规及招标文件的规定。</w:t>
            </w:r>
          </w:p>
          <w:p w14:paraId="3D1F1A2F">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以支票、汇票、本票形式提交</w:t>
            </w:r>
          </w:p>
          <w:p w14:paraId="21FCE78C">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需符合相关机构、相关法律法规及招标文件的规定。</w:t>
            </w:r>
          </w:p>
          <w:p w14:paraId="2E6AAD1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0" w:leftChars="0" w:right="0" w:rightChars="0" w:firstLine="0" w:firstLineChars="0"/>
              <w:contextualSpacing/>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3.网银、银行转账、电汇形式提交</w:t>
            </w:r>
          </w:p>
          <w:p w14:paraId="47119621">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360" w:lineRule="auto"/>
              <w:ind w:left="0" w:leftChars="0" w:right="0" w:rightChars="0" w:firstLine="0" w:firstLineChars="0"/>
              <w:contextualSpacing/>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投标保证金应以投标人自身的名义提交，并且必须从其</w:t>
            </w:r>
            <w:r>
              <w:rPr>
                <w:rFonts w:hint="eastAsia" w:ascii="仿宋" w:hAnsi="仿宋" w:eastAsia="仿宋" w:cs="仿宋"/>
                <w:color w:val="auto"/>
                <w:sz w:val="24"/>
                <w:szCs w:val="24"/>
                <w:highlight w:val="none"/>
                <w:lang w:eastAsia="zh-CN"/>
              </w:rPr>
              <w:t>基本</w:t>
            </w:r>
            <w:r>
              <w:rPr>
                <w:rFonts w:hint="eastAsia" w:ascii="仿宋" w:hAnsi="仿宋" w:eastAsia="仿宋" w:cs="仿宋"/>
                <w:color w:val="auto"/>
                <w:sz w:val="24"/>
                <w:szCs w:val="24"/>
                <w:highlight w:val="none"/>
              </w:rPr>
              <w:t>账户一次性汇入或转入</w:t>
            </w:r>
            <w:r>
              <w:rPr>
                <w:rFonts w:hint="eastAsia" w:ascii="仿宋" w:hAnsi="仿宋" w:eastAsia="仿宋" w:cs="仿宋"/>
                <w:color w:val="auto"/>
                <w:sz w:val="24"/>
                <w:szCs w:val="24"/>
                <w:highlight w:val="none"/>
                <w:lang w:val="en-US" w:eastAsia="zh-CN"/>
              </w:rPr>
              <w:t>指定的账户</w:t>
            </w:r>
            <w:r>
              <w:rPr>
                <w:rFonts w:hint="eastAsia" w:ascii="仿宋" w:hAnsi="仿宋" w:eastAsia="仿宋" w:cs="仿宋"/>
                <w:color w:val="auto"/>
                <w:sz w:val="24"/>
                <w:szCs w:val="24"/>
                <w:highlight w:val="none"/>
              </w:rPr>
              <w:t>，不得以分支机构其他名义提交（按照规定，投标人为自然人的除外）。</w:t>
            </w:r>
          </w:p>
          <w:p w14:paraId="7BBD5C80">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0" w:firstLineChars="0"/>
              <w:contextualSpacing/>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r>
              <w:rPr>
                <w:rFonts w:hint="eastAsia" w:ascii="仿宋" w:hAnsi="仿宋" w:eastAsia="仿宋" w:cs="仿宋"/>
                <w:color w:val="auto"/>
                <w:sz w:val="24"/>
                <w:szCs w:val="24"/>
                <w:highlight w:val="none"/>
                <w:lang w:val="en-US" w:eastAsia="zh-CN"/>
              </w:rPr>
              <w:t>提交</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以</w:t>
            </w:r>
            <w:r>
              <w:rPr>
                <w:rFonts w:hint="eastAsia" w:ascii="仿宋" w:hAnsi="仿宋" w:eastAsia="仿宋" w:cs="仿宋"/>
                <w:color w:val="auto"/>
                <w:sz w:val="24"/>
                <w:szCs w:val="24"/>
                <w:highlight w:val="none"/>
              </w:rPr>
              <w:t>下账户：</w:t>
            </w:r>
          </w:p>
          <w:p w14:paraId="27C62D90">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0" w:firstLineChars="0"/>
              <w:contextualSpacing/>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开户行：招商银行丽江分行营业部</w:t>
            </w:r>
          </w:p>
          <w:p w14:paraId="1AFFE393">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0" w:firstLineChars="0"/>
              <w:contextualSpacing/>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户名：云南蓝本招标咨询有限公司丽江分公司</w:t>
            </w:r>
          </w:p>
          <w:p w14:paraId="21171370">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0" w:firstLineChars="0"/>
              <w:contextualSpacing/>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银行账号：888900601510601</w:t>
            </w:r>
          </w:p>
          <w:p w14:paraId="3184676C">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0" w:firstLineChars="0"/>
              <w:contextualSpacing/>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投标保证金有效期同投标有效期，需符合本章</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条规定。</w:t>
            </w:r>
          </w:p>
          <w:p w14:paraId="1BE36C56">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提交投标保证金的截止时间为：同投标截止时间。</w:t>
            </w:r>
          </w:p>
          <w:p w14:paraId="3BB0D6C8">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投标保证</w:t>
            </w:r>
            <w:r>
              <w:rPr>
                <w:rFonts w:hint="eastAsia" w:ascii="仿宋" w:hAnsi="仿宋" w:eastAsia="仿宋" w:cs="仿宋"/>
                <w:color w:val="auto"/>
                <w:sz w:val="24"/>
                <w:szCs w:val="24"/>
                <w:highlight w:val="none"/>
                <w:lang w:val="en-US" w:eastAsia="zh-CN"/>
              </w:rPr>
              <w:t>金</w:t>
            </w:r>
            <w:r>
              <w:rPr>
                <w:rFonts w:hint="eastAsia" w:ascii="仿宋" w:hAnsi="仿宋" w:eastAsia="仿宋" w:cs="仿宋"/>
                <w:color w:val="auto"/>
                <w:sz w:val="24"/>
                <w:szCs w:val="24"/>
                <w:highlight w:val="none"/>
              </w:rPr>
              <w:t>退还方式：</w:t>
            </w:r>
          </w:p>
          <w:p w14:paraId="70EE221E">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1.以电汇、网银、转账方式缴纳的保证金，以网银对公转账的方式退还到投标人打款账户；</w:t>
            </w:r>
          </w:p>
          <w:p w14:paraId="1EA05F75">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2.以支票、汇票及本票等票据方式缴纳的保证金，经财务查账确认后以网银对公转账的方式退还到投标人开户账户；</w:t>
            </w:r>
          </w:p>
          <w:p w14:paraId="10A349CA">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3.以银行保函或者保证保险方式缴纳的保证金由投标人自行联系出函机构进行退还。</w:t>
            </w:r>
          </w:p>
          <w:p w14:paraId="462992C4">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七、保证金不予退还的情形</w:t>
            </w:r>
          </w:p>
          <w:p w14:paraId="5303A95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（1）投标人在提交投标文件截止时间后撤销投标文件的；</w:t>
            </w:r>
          </w:p>
          <w:p w14:paraId="0DC11DAE">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（2）投标人在投标文件中提供虚假材料的；</w:t>
            </w:r>
          </w:p>
          <w:p w14:paraId="7F9DD0A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（3）除因不可抗力或招标文件认可的情形以外，中标人不与招标人签订合同的；</w:t>
            </w:r>
          </w:p>
          <w:p w14:paraId="0260592C">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（4）投标人与招标人、其他投标人或者采购代理机构恶意串通的；</w:t>
            </w:r>
          </w:p>
          <w:p w14:paraId="534BF02A">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（5）招标文件规定的其他情形。</w:t>
            </w:r>
          </w:p>
        </w:tc>
        <w:tc>
          <w:tcPr>
            <w:tcW w:w="1156" w:type="dxa"/>
            <w:tcBorders>
              <w:top w:val="single" w:color="auto" w:sz="4" w:space="0"/>
              <w:left w:val="single" w:color="auto" w:sz="4" w:space="0"/>
              <w:bottom w:val="single" w:color="auto" w:sz="4" w:space="0"/>
              <w:right w:val="single" w:color="auto" w:sz="4" w:space="0"/>
            </w:tcBorders>
            <w:vAlign w:val="center"/>
          </w:tcPr>
          <w:p w14:paraId="706C3E8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18.1</w:t>
            </w:r>
          </w:p>
        </w:tc>
      </w:tr>
      <w:tr w14:paraId="6340A407">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53D0C3CB">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1636" w:type="dxa"/>
            <w:tcBorders>
              <w:top w:val="single" w:color="auto" w:sz="4" w:space="0"/>
              <w:left w:val="single" w:color="auto" w:sz="4" w:space="0"/>
              <w:bottom w:val="single" w:color="auto" w:sz="4" w:space="0"/>
              <w:right w:val="single" w:color="auto" w:sz="4" w:space="0"/>
            </w:tcBorders>
            <w:vAlign w:val="center"/>
          </w:tcPr>
          <w:p w14:paraId="6A143757">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电子投标文件</w:t>
            </w:r>
            <w:r>
              <w:rPr>
                <w:rFonts w:hint="eastAsia" w:ascii="仿宋" w:hAnsi="仿宋" w:eastAsia="仿宋" w:cs="仿宋"/>
                <w:color w:val="auto"/>
                <w:sz w:val="24"/>
                <w:szCs w:val="24"/>
                <w:highlight w:val="none"/>
                <w:lang w:val="en-US" w:eastAsia="zh-CN"/>
              </w:rPr>
              <w:t>份数</w:t>
            </w:r>
          </w:p>
        </w:tc>
        <w:tc>
          <w:tcPr>
            <w:tcW w:w="5921" w:type="dxa"/>
            <w:tcBorders>
              <w:top w:val="single" w:color="auto" w:sz="4" w:space="0"/>
              <w:left w:val="single" w:color="auto" w:sz="4" w:space="0"/>
              <w:bottom w:val="single" w:color="auto" w:sz="4" w:space="0"/>
              <w:right w:val="single" w:color="auto" w:sz="4" w:space="0"/>
            </w:tcBorders>
            <w:vAlign w:val="center"/>
          </w:tcPr>
          <w:p w14:paraId="099D4B97">
            <w:pPr>
              <w:pStyle w:val="15"/>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（1）递交投标文件时，需在投标截止时间前用投标人企业</w:t>
            </w:r>
            <w:r>
              <w:rPr>
                <w:rFonts w:hint="eastAsia" w:ascii="仿宋" w:hAnsi="仿宋" w:eastAsia="仿宋" w:cs="仿宋"/>
                <w:color w:val="auto"/>
                <w:spacing w:val="-6"/>
                <w:sz w:val="24"/>
                <w:szCs w:val="24"/>
                <w:highlight w:val="none"/>
              </w:rPr>
              <w:t>机构数字证书</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CA</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登录政采云平台（https://www.zcygov.cn/）</w:t>
            </w:r>
            <w:r>
              <w:rPr>
                <w:rFonts w:hint="eastAsia" w:ascii="仿宋" w:hAnsi="仿宋" w:eastAsia="仿宋" w:cs="仿宋"/>
                <w:color w:val="auto"/>
                <w:sz w:val="24"/>
                <w:szCs w:val="24"/>
                <w:highlight w:val="none"/>
                <w:lang w:val="en-US" w:eastAsia="zh-CN"/>
              </w:rPr>
              <w:t>进行递交，</w:t>
            </w:r>
            <w:r>
              <w:rPr>
                <w:rFonts w:hint="eastAsia" w:ascii="仿宋" w:hAnsi="仿宋" w:eastAsia="仿宋" w:cs="仿宋"/>
                <w:color w:val="auto"/>
                <w:sz w:val="24"/>
                <w:szCs w:val="24"/>
                <w:highlight w:val="none"/>
              </w:rPr>
              <w:t>上传电子投标文件</w:t>
            </w:r>
            <w:r>
              <w:rPr>
                <w:rFonts w:hint="eastAsia" w:ascii="仿宋" w:hAnsi="仿宋" w:eastAsia="仿宋" w:cs="仿宋"/>
                <w:color w:val="auto"/>
                <w:sz w:val="24"/>
                <w:szCs w:val="24"/>
                <w:highlight w:val="none"/>
                <w:lang w:val="en-US" w:eastAsia="zh-CN"/>
              </w:rPr>
              <w:t>壹份</w:t>
            </w:r>
            <w:r>
              <w:rPr>
                <w:rFonts w:hint="eastAsia" w:ascii="仿宋" w:hAnsi="仿宋" w:eastAsia="仿宋" w:cs="仿宋"/>
                <w:color w:val="auto"/>
                <w:sz w:val="24"/>
                <w:szCs w:val="24"/>
                <w:highlight w:val="none"/>
                <w:lang w:eastAsia="zh-CN"/>
              </w:rPr>
              <w:t>。</w:t>
            </w:r>
          </w:p>
          <w:p w14:paraId="22AFDDE7">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（2）投标人须在投标截止时间前完成所有电子投标文件的上传，网上确认电子签名，投标截止时间前未完成投标文件传输的，视为撤回投标文件。</w:t>
            </w:r>
          </w:p>
        </w:tc>
        <w:tc>
          <w:tcPr>
            <w:tcW w:w="1156" w:type="dxa"/>
            <w:tcBorders>
              <w:top w:val="single" w:color="auto" w:sz="4" w:space="0"/>
              <w:left w:val="single" w:color="auto" w:sz="4" w:space="0"/>
              <w:bottom w:val="single" w:color="auto" w:sz="4" w:space="0"/>
              <w:right w:val="single" w:color="auto" w:sz="4" w:space="0"/>
            </w:tcBorders>
            <w:vAlign w:val="center"/>
          </w:tcPr>
          <w:p w14:paraId="53A128D6">
            <w:pPr>
              <w:pStyle w:val="15"/>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19.2</w:t>
            </w:r>
          </w:p>
        </w:tc>
      </w:tr>
      <w:tr w14:paraId="173CDF9C">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4823A66B">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636" w:type="dxa"/>
            <w:tcBorders>
              <w:top w:val="single" w:color="auto" w:sz="4" w:space="0"/>
              <w:left w:val="single" w:color="auto" w:sz="4" w:space="0"/>
              <w:bottom w:val="single" w:color="auto" w:sz="4" w:space="0"/>
              <w:right w:val="single" w:color="auto" w:sz="4" w:space="0"/>
            </w:tcBorders>
            <w:vAlign w:val="center"/>
          </w:tcPr>
          <w:p w14:paraId="415F3442">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备品备件要求</w:t>
            </w:r>
          </w:p>
        </w:tc>
        <w:tc>
          <w:tcPr>
            <w:tcW w:w="5921" w:type="dxa"/>
            <w:tcBorders>
              <w:top w:val="single" w:color="auto" w:sz="4" w:space="0"/>
              <w:left w:val="single" w:color="auto" w:sz="4" w:space="0"/>
              <w:bottom w:val="single" w:color="auto" w:sz="4" w:space="0"/>
              <w:right w:val="single" w:color="auto" w:sz="4" w:space="0"/>
            </w:tcBorders>
            <w:vAlign w:val="center"/>
          </w:tcPr>
          <w:p w14:paraId="22205977">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□不包含在投标报价中</w:t>
            </w:r>
          </w:p>
          <w:p w14:paraId="42C8DDF6">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包含在投标报价中</w:t>
            </w:r>
          </w:p>
        </w:tc>
        <w:tc>
          <w:tcPr>
            <w:tcW w:w="1156" w:type="dxa"/>
            <w:tcBorders>
              <w:top w:val="single" w:color="auto" w:sz="4" w:space="0"/>
              <w:left w:val="single" w:color="auto" w:sz="4" w:space="0"/>
              <w:bottom w:val="single" w:color="auto" w:sz="4" w:space="0"/>
              <w:right w:val="single" w:color="auto" w:sz="4" w:space="0"/>
            </w:tcBorders>
            <w:vAlign w:val="center"/>
          </w:tcPr>
          <w:p w14:paraId="16AB944D">
            <w:pPr>
              <w:pStyle w:val="15"/>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20.7</w:t>
            </w:r>
          </w:p>
        </w:tc>
      </w:tr>
      <w:tr w14:paraId="57E122B1">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1BB1A056">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1636" w:type="dxa"/>
            <w:tcBorders>
              <w:top w:val="single" w:color="auto" w:sz="4" w:space="0"/>
              <w:left w:val="single" w:color="auto" w:sz="4" w:space="0"/>
              <w:bottom w:val="single" w:color="auto" w:sz="4" w:space="0"/>
              <w:right w:val="single" w:color="auto" w:sz="4" w:space="0"/>
            </w:tcBorders>
            <w:vAlign w:val="center"/>
          </w:tcPr>
          <w:p w14:paraId="66A6F991">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报价货币</w:t>
            </w:r>
          </w:p>
        </w:tc>
        <w:tc>
          <w:tcPr>
            <w:tcW w:w="5921" w:type="dxa"/>
            <w:tcBorders>
              <w:top w:val="single" w:color="auto" w:sz="4" w:space="0"/>
              <w:left w:val="single" w:color="auto" w:sz="4" w:space="0"/>
              <w:bottom w:val="single" w:color="auto" w:sz="4" w:space="0"/>
              <w:right w:val="single" w:color="auto" w:sz="4" w:space="0"/>
            </w:tcBorders>
            <w:vAlign w:val="center"/>
          </w:tcPr>
          <w:p w14:paraId="19F60B83">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w:t>
            </w:r>
          </w:p>
        </w:tc>
        <w:tc>
          <w:tcPr>
            <w:tcW w:w="1156" w:type="dxa"/>
            <w:tcBorders>
              <w:top w:val="single" w:color="auto" w:sz="4" w:space="0"/>
              <w:left w:val="single" w:color="auto" w:sz="4" w:space="0"/>
              <w:bottom w:val="single" w:color="auto" w:sz="4" w:space="0"/>
              <w:right w:val="single" w:color="auto" w:sz="4" w:space="0"/>
            </w:tcBorders>
            <w:vAlign w:val="center"/>
          </w:tcPr>
          <w:p w14:paraId="0F68A592">
            <w:pPr>
              <w:pStyle w:val="15"/>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20.6</w:t>
            </w:r>
          </w:p>
        </w:tc>
      </w:tr>
      <w:tr w14:paraId="45977AAD">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62527BCF">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636" w:type="dxa"/>
            <w:tcBorders>
              <w:top w:val="single" w:color="auto" w:sz="4" w:space="0"/>
              <w:left w:val="single" w:color="auto" w:sz="4" w:space="0"/>
              <w:bottom w:val="single" w:color="auto" w:sz="4" w:space="0"/>
              <w:right w:val="single" w:color="auto" w:sz="4" w:space="0"/>
            </w:tcBorders>
            <w:vAlign w:val="center"/>
          </w:tcPr>
          <w:p w14:paraId="4DFB032B">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投标文件提交截止时间、提交投标文件的地点</w:t>
            </w:r>
          </w:p>
        </w:tc>
        <w:tc>
          <w:tcPr>
            <w:tcW w:w="5921" w:type="dxa"/>
            <w:tcBorders>
              <w:top w:val="single" w:color="auto" w:sz="4" w:space="0"/>
              <w:left w:val="single" w:color="auto" w:sz="4" w:space="0"/>
              <w:bottom w:val="single" w:color="auto" w:sz="4" w:space="0"/>
              <w:right w:val="single" w:color="auto" w:sz="4" w:space="0"/>
            </w:tcBorders>
            <w:vAlign w:val="center"/>
          </w:tcPr>
          <w:p w14:paraId="07490025">
            <w:pPr>
              <w:pStyle w:val="15"/>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投标文件提交截止时间：详见第一章《招标公告》</w:t>
            </w:r>
            <w:r>
              <w:rPr>
                <w:rFonts w:hint="eastAsia" w:ascii="仿宋" w:hAnsi="仿宋" w:eastAsia="仿宋" w:cs="仿宋"/>
                <w:color w:val="auto"/>
                <w:sz w:val="24"/>
                <w:szCs w:val="24"/>
                <w:highlight w:val="none"/>
                <w:lang w:eastAsia="zh-CN"/>
              </w:rPr>
              <w:t>“提交投标文件截止时间、开标时间和地点”</w:t>
            </w:r>
            <w:r>
              <w:rPr>
                <w:rFonts w:hint="eastAsia" w:ascii="仿宋" w:hAnsi="仿宋" w:eastAsia="仿宋" w:cs="仿宋"/>
                <w:color w:val="auto"/>
                <w:sz w:val="24"/>
                <w:szCs w:val="24"/>
                <w:highlight w:val="none"/>
              </w:rPr>
              <w:t>；</w:t>
            </w:r>
          </w:p>
          <w:p w14:paraId="071D3ECD">
            <w:pPr>
              <w:pStyle w:val="15"/>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提交投标文件的地点：</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sz w:val="24"/>
                <w:szCs w:val="24"/>
                <w:highlight w:val="none"/>
                <w:lang w:eastAsia="zh-CN"/>
              </w:rPr>
              <w:t>政采云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平台</w:t>
            </w:r>
            <w:r>
              <w:rPr>
                <w:rFonts w:hint="eastAsia" w:ascii="仿宋" w:hAnsi="仿宋" w:eastAsia="仿宋" w:cs="仿宋"/>
                <w:color w:val="auto"/>
                <w:sz w:val="24"/>
                <w:szCs w:val="24"/>
                <w:highlight w:val="none"/>
              </w:rPr>
              <w:t>。</w:t>
            </w:r>
          </w:p>
        </w:tc>
        <w:tc>
          <w:tcPr>
            <w:tcW w:w="1156" w:type="dxa"/>
            <w:tcBorders>
              <w:top w:val="single" w:color="auto" w:sz="4" w:space="0"/>
              <w:left w:val="single" w:color="auto" w:sz="4" w:space="0"/>
              <w:bottom w:val="single" w:color="auto" w:sz="4" w:space="0"/>
              <w:right w:val="single" w:color="auto" w:sz="4" w:space="0"/>
            </w:tcBorders>
            <w:vAlign w:val="center"/>
          </w:tcPr>
          <w:p w14:paraId="5144DAA0">
            <w:pPr>
              <w:pStyle w:val="15"/>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22.1</w:t>
            </w:r>
          </w:p>
        </w:tc>
      </w:tr>
      <w:tr w14:paraId="02240299">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0AD0A36D">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636" w:type="dxa"/>
            <w:tcBorders>
              <w:top w:val="single" w:color="auto" w:sz="4" w:space="0"/>
              <w:left w:val="single" w:color="auto" w:sz="4" w:space="0"/>
              <w:bottom w:val="single" w:color="auto" w:sz="4" w:space="0"/>
              <w:right w:val="single" w:color="auto" w:sz="4" w:space="0"/>
            </w:tcBorders>
            <w:vAlign w:val="center"/>
          </w:tcPr>
          <w:p w14:paraId="5D387931">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w:t>
            </w:r>
          </w:p>
        </w:tc>
        <w:tc>
          <w:tcPr>
            <w:tcW w:w="5921" w:type="dxa"/>
            <w:tcBorders>
              <w:top w:val="single" w:color="auto" w:sz="4" w:space="0"/>
              <w:left w:val="single" w:color="auto" w:sz="4" w:space="0"/>
              <w:bottom w:val="single" w:color="auto" w:sz="4" w:space="0"/>
              <w:right w:val="single" w:color="auto" w:sz="4" w:space="0"/>
            </w:tcBorders>
            <w:vAlign w:val="center"/>
          </w:tcPr>
          <w:p w14:paraId="702372A0">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评标委员会由</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代表和评审专家组成，成员人数为</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人及以上单数，其中评审专家不得少于成员总数的三分之二。评标委员会应当推选组长，但</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代表不得担任组长。</w:t>
            </w:r>
          </w:p>
        </w:tc>
        <w:tc>
          <w:tcPr>
            <w:tcW w:w="1156" w:type="dxa"/>
            <w:tcBorders>
              <w:top w:val="single" w:color="auto" w:sz="4" w:space="0"/>
              <w:left w:val="single" w:color="auto" w:sz="4" w:space="0"/>
              <w:bottom w:val="single" w:color="auto" w:sz="4" w:space="0"/>
              <w:right w:val="single" w:color="auto" w:sz="4" w:space="0"/>
            </w:tcBorders>
            <w:vAlign w:val="center"/>
          </w:tcPr>
          <w:p w14:paraId="7391AF88">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26.2</w:t>
            </w:r>
          </w:p>
        </w:tc>
      </w:tr>
      <w:tr w14:paraId="051EE202">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0AE7CD0B">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1636" w:type="dxa"/>
            <w:tcBorders>
              <w:top w:val="single" w:color="auto" w:sz="4" w:space="0"/>
              <w:left w:val="single" w:color="auto" w:sz="4" w:space="0"/>
              <w:bottom w:val="single" w:color="auto" w:sz="4" w:space="0"/>
              <w:right w:val="single" w:color="auto" w:sz="4" w:space="0"/>
            </w:tcBorders>
            <w:vAlign w:val="center"/>
          </w:tcPr>
          <w:p w14:paraId="1AFD943E">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评标方法</w:t>
            </w:r>
          </w:p>
        </w:tc>
        <w:tc>
          <w:tcPr>
            <w:tcW w:w="5921" w:type="dxa"/>
            <w:tcBorders>
              <w:top w:val="single" w:color="auto" w:sz="4" w:space="0"/>
              <w:left w:val="single" w:color="auto" w:sz="4" w:space="0"/>
              <w:bottom w:val="single" w:color="auto" w:sz="4" w:space="0"/>
              <w:right w:val="single" w:color="auto" w:sz="4" w:space="0"/>
            </w:tcBorders>
            <w:vAlign w:val="center"/>
          </w:tcPr>
          <w:p w14:paraId="5F4CCB3D">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综合评分法</w:t>
            </w:r>
            <w:r>
              <w:rPr>
                <w:rFonts w:hint="eastAsia" w:ascii="仿宋" w:hAnsi="仿宋" w:eastAsia="仿宋" w:cs="仿宋"/>
                <w:color w:val="auto"/>
                <w:sz w:val="24"/>
                <w:szCs w:val="24"/>
                <w:highlight w:val="none"/>
                <w:lang w:eastAsia="zh-CN"/>
              </w:rPr>
              <w:t>。</w:t>
            </w:r>
          </w:p>
        </w:tc>
        <w:tc>
          <w:tcPr>
            <w:tcW w:w="1156" w:type="dxa"/>
            <w:tcBorders>
              <w:top w:val="single" w:color="auto" w:sz="4" w:space="0"/>
              <w:left w:val="single" w:color="auto" w:sz="4" w:space="0"/>
              <w:bottom w:val="single" w:color="auto" w:sz="4" w:space="0"/>
              <w:right w:val="single" w:color="auto" w:sz="4" w:space="0"/>
            </w:tcBorders>
            <w:vAlign w:val="center"/>
          </w:tcPr>
          <w:p w14:paraId="65165C53">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26.5</w:t>
            </w:r>
          </w:p>
        </w:tc>
      </w:tr>
      <w:tr w14:paraId="726B9A96">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29720950">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636" w:type="dxa"/>
            <w:tcBorders>
              <w:top w:val="single" w:color="auto" w:sz="4" w:space="0"/>
              <w:left w:val="single" w:color="auto" w:sz="4" w:space="0"/>
              <w:bottom w:val="single" w:color="auto" w:sz="4" w:space="0"/>
              <w:right w:val="single" w:color="auto" w:sz="4" w:space="0"/>
            </w:tcBorders>
            <w:vAlign w:val="center"/>
          </w:tcPr>
          <w:p w14:paraId="75FA70D8">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w:t>
            </w:r>
          </w:p>
        </w:tc>
        <w:tc>
          <w:tcPr>
            <w:tcW w:w="5921" w:type="dxa"/>
            <w:tcBorders>
              <w:top w:val="single" w:color="auto" w:sz="4" w:space="0"/>
              <w:left w:val="single" w:color="auto" w:sz="4" w:space="0"/>
              <w:bottom w:val="single" w:color="auto" w:sz="4" w:space="0"/>
              <w:right w:val="single" w:color="auto" w:sz="4" w:space="0"/>
            </w:tcBorders>
            <w:vAlign w:val="center"/>
          </w:tcPr>
          <w:p w14:paraId="44A1BFCF">
            <w:pPr>
              <w:pStyle w:val="15"/>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lang w:val="en-US" w:eastAsia="zh-CN" w:bidi="ar-SA"/>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是否需要提交履约保证金：</w:t>
            </w:r>
          </w:p>
          <w:p w14:paraId="2D7A7051">
            <w:pPr>
              <w:pStyle w:val="15"/>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sym w:font="Wingdings 2" w:char="0052"/>
            </w:r>
            <w:r>
              <w:rPr>
                <w:rFonts w:hint="eastAsia" w:ascii="仿宋" w:hAnsi="仿宋" w:eastAsia="仿宋" w:cs="仿宋"/>
                <w:color w:val="000000" w:themeColor="text1"/>
                <w:sz w:val="24"/>
                <w:szCs w:val="24"/>
                <w:highlight w:val="none"/>
                <w:lang w:val="en-US" w:eastAsia="zh-CN"/>
                <w14:textFill>
                  <w14:solidFill>
                    <w14:schemeClr w14:val="tx1"/>
                  </w14:solidFill>
                </w14:textFill>
              </w:rPr>
              <w:t>是</w:t>
            </w:r>
          </w:p>
          <w:p w14:paraId="2BCDF6B2">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default"/>
                <w:color w:val="000000" w:themeColor="text1"/>
                <w:sz w:val="24"/>
                <w:szCs w:val="24"/>
                <w:highlight w:val="none"/>
                <w:lang w:val="en-US" w:eastAsia="zh-CN"/>
                <w14:textFill>
                  <w14:solidFill>
                    <w14:schemeClr w14:val="tx1"/>
                  </w14:solidFill>
                </w14:textFill>
              </w:rPr>
              <w:sym w:font="Wingdings 2" w:char="00A3"/>
            </w:r>
            <w:r>
              <w:rPr>
                <w:rFonts w:hint="eastAsia" w:ascii="仿宋" w:hAnsi="仿宋" w:eastAsia="仿宋" w:cs="仿宋"/>
                <w:color w:val="000000" w:themeColor="text1"/>
                <w:sz w:val="24"/>
                <w:szCs w:val="24"/>
                <w:highlight w:val="none"/>
                <w:lang w:val="en-US" w:eastAsia="zh-CN"/>
                <w14:textFill>
                  <w14:solidFill>
                    <w14:schemeClr w14:val="tx1"/>
                  </w14:solidFill>
                </w14:textFill>
              </w:rPr>
              <w:t>否</w:t>
            </w:r>
          </w:p>
          <w:p w14:paraId="2CCA1900">
            <w:pPr>
              <w:keepNext w:val="0"/>
              <w:keepLines w:val="0"/>
              <w:pageBreakBefore w:val="0"/>
              <w:kinsoku/>
              <w:wordWrap/>
              <w:overflowPunct/>
              <w:topLinePunct w:val="0"/>
              <w:autoSpaceDE/>
              <w:autoSpaceDN/>
              <w:bidi w:val="0"/>
              <w:adjustRightInd/>
              <w:snapToGrid/>
              <w:spacing w:line="360" w:lineRule="auto"/>
              <w:ind w:left="0"/>
              <w:textAlignment w:val="auto"/>
              <w:rPr>
                <w:rFonts w:hint="default"/>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2.履约保证金提交信息：</w:t>
            </w:r>
          </w:p>
          <w:p w14:paraId="065F8CFD">
            <w:pPr>
              <w:pStyle w:val="15"/>
              <w:keepNext w:val="0"/>
              <w:keepLines w:val="0"/>
              <w:pageBreakBefore w:val="0"/>
              <w:widowControl w:val="0"/>
              <w:shd w:val="clear" w:fill="FFFFFF" w:themeFill="background1"/>
              <w:kinsoku/>
              <w:wordWrap/>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4"/>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①</w:t>
            </w:r>
            <w:r>
              <w:rPr>
                <w:rFonts w:hint="eastAsia" w:ascii="仿宋" w:hAnsi="仿宋" w:eastAsia="仿宋" w:cs="仿宋"/>
                <w:b/>
                <w:bCs/>
                <w:color w:val="000000" w:themeColor="text1"/>
                <w:sz w:val="24"/>
                <w:highlight w:val="none"/>
                <w14:textFill>
                  <w14:solidFill>
                    <w14:schemeClr w14:val="tx1"/>
                  </w14:solidFill>
                </w14:textFill>
              </w:rPr>
              <w:t>履约</w:t>
            </w:r>
            <w:r>
              <w:rPr>
                <w:rFonts w:hint="eastAsia" w:ascii="仿宋" w:hAnsi="仿宋" w:eastAsia="仿宋" w:cs="仿宋"/>
                <w:b/>
                <w:bCs/>
                <w:color w:val="000000" w:themeColor="text1"/>
                <w:sz w:val="24"/>
                <w:szCs w:val="22"/>
                <w:highlight w:val="none"/>
                <w14:textFill>
                  <w14:solidFill>
                    <w14:schemeClr w14:val="tx1"/>
                  </w14:solidFill>
                </w14:textFill>
              </w:rPr>
              <w:t>保证金的形式</w:t>
            </w:r>
            <w:r>
              <w:rPr>
                <w:rFonts w:hint="eastAsia" w:ascii="仿宋" w:hAnsi="仿宋" w:eastAsia="仿宋" w:cs="仿宋"/>
                <w:color w:val="000000" w:themeColor="text1"/>
                <w:sz w:val="24"/>
                <w:szCs w:val="22"/>
                <w:highlight w:val="none"/>
                <w14:textFill>
                  <w14:solidFill>
                    <w14:schemeClr w14:val="tx1"/>
                  </w14:solidFill>
                </w14:textFill>
              </w:rPr>
              <w:t>：以支票、汇票、本票或者金融机构、担保机构出具的保函等非现金形式提交</w:t>
            </w:r>
            <w:r>
              <w:rPr>
                <w:rFonts w:hint="eastAsia" w:ascii="仿宋" w:hAnsi="仿宋" w:eastAsia="仿宋" w:cs="仿宋"/>
                <w:color w:val="000000" w:themeColor="text1"/>
                <w:sz w:val="24"/>
                <w:szCs w:val="22"/>
                <w:highlight w:val="none"/>
                <w:lang w:eastAsia="zh-CN"/>
                <w14:textFill>
                  <w14:solidFill>
                    <w14:schemeClr w14:val="tx1"/>
                  </w14:solidFill>
                </w14:textFill>
              </w:rPr>
              <w:t>；</w:t>
            </w:r>
          </w:p>
          <w:p w14:paraId="7BBB80A5">
            <w:pPr>
              <w:pStyle w:val="15"/>
              <w:keepNext w:val="0"/>
              <w:keepLines w:val="0"/>
              <w:pageBreakBefore w:val="0"/>
              <w:widowControl w:val="0"/>
              <w:shd w:val="clear" w:fill="FFFFFF" w:themeFill="background1"/>
              <w:kinsoku/>
              <w:wordWrap/>
              <w:overflowPunct/>
              <w:topLinePunct w:val="0"/>
              <w:autoSpaceDE/>
              <w:autoSpaceDN/>
              <w:bidi w:val="0"/>
              <w:adjustRightInd/>
              <w:snapToGrid/>
              <w:spacing w:line="360" w:lineRule="auto"/>
              <w:ind w:left="0"/>
              <w:textAlignment w:val="auto"/>
              <w:rPr>
                <w:rFonts w:hint="default"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②</w:t>
            </w:r>
            <w:r>
              <w:rPr>
                <w:rFonts w:hint="eastAsia" w:ascii="仿宋" w:hAnsi="仿宋" w:eastAsia="仿宋" w:cs="仿宋"/>
                <w:b/>
                <w:bCs/>
                <w:color w:val="000000" w:themeColor="text1"/>
                <w:sz w:val="24"/>
                <w:szCs w:val="22"/>
                <w:highlight w:val="none"/>
                <w14:textFill>
                  <w14:solidFill>
                    <w14:schemeClr w14:val="tx1"/>
                  </w14:solidFill>
                </w14:textFill>
              </w:rPr>
              <w:t>履约保证金的金额</w:t>
            </w:r>
            <w:r>
              <w:rPr>
                <w:rFonts w:hint="eastAsia" w:ascii="仿宋" w:hAnsi="仿宋" w:eastAsia="仿宋" w:cs="仿宋"/>
                <w:color w:val="000000" w:themeColor="text1"/>
                <w:sz w:val="24"/>
                <w:szCs w:val="22"/>
                <w:highlight w:val="none"/>
                <w14:textFill>
                  <w14:solidFill>
                    <w14:schemeClr w14:val="tx1"/>
                  </w14:solidFill>
                </w14:textFill>
              </w:rPr>
              <w:t>：</w:t>
            </w:r>
            <w:r>
              <w:rPr>
                <w:rFonts w:hint="eastAsia" w:ascii="仿宋" w:hAnsi="仿宋" w:eastAsia="仿宋" w:cs="仿宋"/>
                <w:color w:val="000000" w:themeColor="text1"/>
                <w:sz w:val="24"/>
                <w:szCs w:val="22"/>
                <w:highlight w:val="none"/>
                <w:lang w:val="en-US" w:eastAsia="zh-CN"/>
                <w14:textFill>
                  <w14:solidFill>
                    <w14:schemeClr w14:val="tx1"/>
                  </w14:solidFill>
                </w14:textFill>
              </w:rPr>
              <w:t>合同金额的5%；</w:t>
            </w:r>
          </w:p>
          <w:p w14:paraId="47301842">
            <w:pPr>
              <w:pStyle w:val="15"/>
              <w:keepNext w:val="0"/>
              <w:keepLines w:val="0"/>
              <w:pageBreakBefore w:val="0"/>
              <w:widowControl w:val="0"/>
              <w:shd w:val="clear" w:fill="FFFFFF" w:themeFill="background1"/>
              <w:kinsoku/>
              <w:wordWrap/>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14:textFill>
                  <w14:solidFill>
                    <w14:schemeClr w14:val="tx1"/>
                  </w14:solidFill>
                </w14:textFill>
              </w:rPr>
              <w:t>③</w:t>
            </w:r>
            <w:r>
              <w:rPr>
                <w:rFonts w:hint="eastAsia" w:ascii="仿宋" w:hAnsi="仿宋" w:eastAsia="仿宋" w:cs="仿宋"/>
                <w:b/>
                <w:bCs/>
                <w:color w:val="000000" w:themeColor="text1"/>
                <w:sz w:val="24"/>
                <w:highlight w:val="none"/>
                <w:lang w:val="en-US" w:eastAsia="zh-CN"/>
                <w14:textFill>
                  <w14:solidFill>
                    <w14:schemeClr w14:val="tx1"/>
                  </w14:solidFill>
                </w14:textFill>
              </w:rPr>
              <w:t>退还条件</w:t>
            </w:r>
            <w:r>
              <w:rPr>
                <w:rFonts w:hint="eastAsia" w:ascii="仿宋" w:hAnsi="仿宋" w:eastAsia="仿宋" w:cs="仿宋"/>
                <w:color w:val="000000" w:themeColor="text1"/>
                <w:sz w:val="24"/>
                <w:highlight w:val="none"/>
                <w:lang w:val="en-US" w:eastAsia="zh-CN"/>
                <w14:textFill>
                  <w14:solidFill>
                    <w14:schemeClr w14:val="tx1"/>
                  </w14:solidFill>
                </w14:textFill>
              </w:rPr>
              <w:t>：供应商全面履行合同义务，设备验收合格且稳定运行满3个月无质量问题、无违约行为、无售后服务不到位情形，满足全部合同履约要求后予以退还；</w:t>
            </w:r>
          </w:p>
          <w:p w14:paraId="51405DF6">
            <w:pPr>
              <w:pStyle w:val="15"/>
              <w:keepNext w:val="0"/>
              <w:keepLines w:val="0"/>
              <w:pageBreakBefore w:val="0"/>
              <w:widowControl w:val="0"/>
              <w:shd w:val="clear" w:fill="FFFFFF" w:themeFill="background1"/>
              <w:kinsoku/>
              <w:wordWrap/>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④</w:t>
            </w:r>
            <w:r>
              <w:rPr>
                <w:rFonts w:hint="eastAsia" w:ascii="仿宋" w:hAnsi="仿宋" w:eastAsia="仿宋" w:cs="仿宋"/>
                <w:b/>
                <w:bCs/>
                <w:color w:val="000000" w:themeColor="text1"/>
                <w:sz w:val="24"/>
                <w:highlight w:val="none"/>
                <w:lang w:val="en-US" w:eastAsia="zh-CN"/>
                <w14:textFill>
                  <w14:solidFill>
                    <w14:schemeClr w14:val="tx1"/>
                  </w14:solidFill>
                </w14:textFill>
              </w:rPr>
              <w:t>退还时间</w:t>
            </w:r>
            <w:r>
              <w:rPr>
                <w:rFonts w:hint="eastAsia" w:ascii="仿宋" w:hAnsi="仿宋" w:eastAsia="仿宋" w:cs="仿宋"/>
                <w:color w:val="000000" w:themeColor="text1"/>
                <w:sz w:val="24"/>
                <w:highlight w:val="none"/>
                <w:lang w:val="en-US" w:eastAsia="zh-CN"/>
                <w14:textFill>
                  <w14:solidFill>
                    <w14:schemeClr w14:val="tx1"/>
                  </w14:solidFill>
                </w14:textFill>
              </w:rPr>
              <w:t>：满足退还条件后，采购人在10个工作日内办理完毕退还手续；</w:t>
            </w:r>
          </w:p>
          <w:p w14:paraId="6BF91A76">
            <w:pPr>
              <w:pStyle w:val="15"/>
              <w:keepNext w:val="0"/>
              <w:keepLines w:val="0"/>
              <w:pageBreakBefore w:val="0"/>
              <w:widowControl w:val="0"/>
              <w:shd w:val="clear" w:fill="FFFFFF" w:themeFill="background1"/>
              <w:kinsoku/>
              <w:wordWrap/>
              <w:overflowPunct/>
              <w:topLinePunct w:val="0"/>
              <w:autoSpaceDE/>
              <w:autoSpaceDN/>
              <w:bidi w:val="0"/>
              <w:adjustRightInd/>
              <w:snapToGrid/>
              <w:spacing w:line="360" w:lineRule="auto"/>
              <w:ind w:left="0"/>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⑤</w:t>
            </w:r>
            <w:r>
              <w:rPr>
                <w:rFonts w:hint="eastAsia" w:ascii="仿宋" w:hAnsi="仿宋" w:eastAsia="仿宋" w:cs="仿宋"/>
                <w:b/>
                <w:bCs/>
                <w:color w:val="000000" w:themeColor="text1"/>
                <w:sz w:val="24"/>
                <w:highlight w:val="none"/>
                <w:lang w:val="en-US" w:eastAsia="zh-CN"/>
                <w14:textFill>
                  <w14:solidFill>
                    <w14:schemeClr w14:val="tx1"/>
                  </w14:solidFill>
                </w14:textFill>
              </w:rPr>
              <w:t>退还方式：</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满足退还条件后，采购人按照供应商原提交的保证金形式予以原路退还（若以保函形式提交的，退还保函原件）；</w:t>
            </w:r>
          </w:p>
          <w:p w14:paraId="638C3E2C">
            <w:pPr>
              <w:pStyle w:val="15"/>
              <w:keepNext w:val="0"/>
              <w:keepLines w:val="0"/>
              <w:pageBreakBefore w:val="0"/>
              <w:widowControl w:val="0"/>
              <w:shd w:val="clear" w:fill="FFFFFF" w:themeFill="background1"/>
              <w:kinsoku/>
              <w:wordWrap/>
              <w:overflowPunct/>
              <w:topLinePunct w:val="0"/>
              <w:autoSpaceDE/>
              <w:autoSpaceDN/>
              <w:bidi w:val="0"/>
              <w:adjustRightInd/>
              <w:snapToGrid/>
              <w:spacing w:line="360" w:lineRule="auto"/>
              <w:ind w:left="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⑥</w:t>
            </w:r>
            <w:r>
              <w:rPr>
                <w:rFonts w:hint="eastAsia" w:ascii="仿宋" w:hAnsi="仿宋" w:eastAsia="仿宋" w:cs="仿宋"/>
                <w:b/>
                <w:bCs/>
                <w:color w:val="000000" w:themeColor="text1"/>
                <w:sz w:val="24"/>
                <w:highlight w:val="none"/>
                <w:lang w:val="en-US" w:eastAsia="zh-CN"/>
                <w14:textFill>
                  <w14:solidFill>
                    <w14:schemeClr w14:val="tx1"/>
                  </w14:solidFill>
                </w14:textFill>
              </w:rPr>
              <w:t>违约扣除情形</w:t>
            </w:r>
            <w:r>
              <w:rPr>
                <w:rFonts w:hint="eastAsia" w:ascii="仿宋" w:hAnsi="仿宋" w:eastAsia="仿宋" w:cs="仿宋"/>
                <w:color w:val="000000" w:themeColor="text1"/>
                <w:sz w:val="24"/>
                <w:highlight w:val="none"/>
                <w:lang w:val="en-US" w:eastAsia="zh-CN"/>
                <w14:textFill>
                  <w14:solidFill>
                    <w14:schemeClr w14:val="tx1"/>
                  </w14:solidFill>
                </w14:textFill>
              </w:rPr>
              <w:t>：在上述3个月运行期内，若设备运行不正常、出现质量问题或供应商发生任何违约行为的，履约保证金全额不予退还；因此给采购人造成的损失超过履约保证金数额的，供应商仍应承担相应赔偿责任。</w:t>
            </w:r>
          </w:p>
          <w:p w14:paraId="77120B9F">
            <w:pPr>
              <w:pStyle w:val="11"/>
              <w:keepNext w:val="0"/>
              <w:keepLines w:val="0"/>
              <w:pageBreakBefore w:val="0"/>
              <w:widowControl w:val="0"/>
              <w:kinsoku/>
              <w:wordWrap/>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themeColor="text1"/>
                <w:sz w:val="24"/>
                <w:highlight w:val="none"/>
                <w:lang w:val="en-US" w:eastAsia="zh-CN"/>
                <w14:textFill>
                  <w14:solidFill>
                    <w14:schemeClr w14:val="tx1"/>
                  </w14:solidFill>
                </w14:textFill>
              </w:rPr>
              <w:t>注：成交人</w:t>
            </w:r>
            <w:r>
              <w:rPr>
                <w:rFonts w:hint="eastAsia" w:ascii="仿宋" w:hAnsi="仿宋" w:eastAsia="仿宋" w:cs="仿宋"/>
                <w:color w:val="000000" w:themeColor="text1"/>
                <w:sz w:val="24"/>
                <w:highlight w:val="none"/>
                <w14:textFill>
                  <w14:solidFill>
                    <w14:schemeClr w14:val="tx1"/>
                  </w14:solidFill>
                </w14:textFill>
              </w:rPr>
              <w:t>不按规定提交履约保证金</w:t>
            </w:r>
            <w:r>
              <w:rPr>
                <w:rFonts w:hint="eastAsia" w:ascii="仿宋" w:hAnsi="仿宋" w:eastAsia="仿宋" w:cs="仿宋"/>
                <w:color w:val="000000" w:themeColor="text1"/>
                <w:sz w:val="24"/>
                <w:highlight w:val="none"/>
                <w:lang w:val="en-US" w:eastAsia="zh-CN"/>
                <w14:textFill>
                  <w14:solidFill>
                    <w14:schemeClr w14:val="tx1"/>
                  </w14:solidFill>
                </w14:textFill>
              </w:rPr>
              <w:t>的，将按照相关法律法规执行。</w:t>
            </w:r>
          </w:p>
        </w:tc>
        <w:tc>
          <w:tcPr>
            <w:tcW w:w="1156" w:type="dxa"/>
            <w:tcBorders>
              <w:top w:val="single" w:color="auto" w:sz="4" w:space="0"/>
              <w:left w:val="single" w:color="auto" w:sz="4" w:space="0"/>
              <w:bottom w:val="single" w:color="auto" w:sz="4" w:space="0"/>
              <w:right w:val="single" w:color="auto" w:sz="4" w:space="0"/>
            </w:tcBorders>
            <w:vAlign w:val="center"/>
          </w:tcPr>
          <w:p w14:paraId="1A56A411">
            <w:pPr>
              <w:pStyle w:val="15"/>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31.1</w:t>
            </w:r>
          </w:p>
        </w:tc>
      </w:tr>
      <w:tr w14:paraId="6A445045">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5CAAC375">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1636" w:type="dxa"/>
            <w:tcBorders>
              <w:top w:val="single" w:color="auto" w:sz="4" w:space="0"/>
              <w:left w:val="single" w:color="auto" w:sz="4" w:space="0"/>
              <w:bottom w:val="single" w:color="auto" w:sz="4" w:space="0"/>
              <w:right w:val="single" w:color="auto" w:sz="4" w:space="0"/>
            </w:tcBorders>
            <w:vAlign w:val="center"/>
          </w:tcPr>
          <w:p w14:paraId="4952686F">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中标服务费</w:t>
            </w:r>
          </w:p>
        </w:tc>
        <w:tc>
          <w:tcPr>
            <w:tcW w:w="5921" w:type="dxa"/>
            <w:tcBorders>
              <w:top w:val="single" w:color="auto" w:sz="4" w:space="0"/>
              <w:left w:val="single" w:color="auto" w:sz="4" w:space="0"/>
              <w:bottom w:val="single" w:color="auto" w:sz="4" w:space="0"/>
              <w:right w:val="single" w:color="auto" w:sz="4" w:space="0"/>
            </w:tcBorders>
            <w:vAlign w:val="center"/>
          </w:tcPr>
          <w:p w14:paraId="01C32E0D">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1.本项目中标人应向采购代理机构缴付中标服务费。</w:t>
            </w:r>
          </w:p>
          <w:p w14:paraId="0216A28F">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2.本项目</w:t>
            </w:r>
            <w:r>
              <w:rPr>
                <w:rFonts w:hint="eastAsia" w:ascii="仿宋" w:hAnsi="仿宋" w:eastAsia="仿宋" w:cs="仿宋"/>
                <w:color w:val="auto"/>
                <w:sz w:val="24"/>
                <w:szCs w:val="24"/>
                <w:highlight w:val="none"/>
                <w:lang w:eastAsia="zh-CN"/>
              </w:rPr>
              <w:t>中标服务费</w:t>
            </w:r>
            <w:r>
              <w:rPr>
                <w:rFonts w:hint="eastAsia" w:ascii="仿宋" w:hAnsi="仿宋" w:eastAsia="仿宋" w:cs="仿宋"/>
                <w:bCs/>
                <w:color w:val="auto"/>
                <w:sz w:val="24"/>
                <w:szCs w:val="24"/>
                <w:lang w:val="en-US" w:eastAsia="zh-CN"/>
              </w:rPr>
              <w:t>按照关于印发《云南省建设工程招标代理服务收费参考意见》云建招协〔2024〕58号规定货物类下浮20%收取</w:t>
            </w:r>
            <w:r>
              <w:rPr>
                <w:rFonts w:hint="eastAsia" w:ascii="仿宋" w:hAnsi="仿宋" w:eastAsia="仿宋" w:cs="仿宋"/>
                <w:color w:val="auto"/>
                <w:sz w:val="24"/>
                <w:szCs w:val="24"/>
                <w:highlight w:val="none"/>
              </w:rPr>
              <w:t>（计算基准价为</w:t>
            </w:r>
            <w:r>
              <w:rPr>
                <w:rFonts w:hint="eastAsia" w:ascii="仿宋" w:hAnsi="仿宋" w:eastAsia="仿宋" w:cs="仿宋"/>
                <w:color w:val="auto"/>
                <w:sz w:val="24"/>
                <w:szCs w:val="24"/>
                <w:highlight w:val="none"/>
                <w:lang w:val="en-US" w:eastAsia="zh-CN"/>
              </w:rPr>
              <w:t>中标价</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val="en-US" w:eastAsia="zh-CN"/>
              </w:rPr>
              <w:t>。</w:t>
            </w:r>
          </w:p>
          <w:p w14:paraId="020EA838">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3.中标服务费接受以下形式：现金、银行电汇、网银等形式。</w:t>
            </w:r>
          </w:p>
          <w:p w14:paraId="0730669E">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4.中标服务费收款账户信息：</w:t>
            </w:r>
          </w:p>
          <w:p w14:paraId="67E27F66">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户名：云南蓝本招标咨询有限公司丽江分公司</w:t>
            </w:r>
          </w:p>
          <w:p w14:paraId="2037464A">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开户行：招商银行丽江分行营业部</w:t>
            </w:r>
          </w:p>
          <w:p w14:paraId="2013C793">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账号：888900601510601</w:t>
            </w:r>
          </w:p>
        </w:tc>
        <w:tc>
          <w:tcPr>
            <w:tcW w:w="1156" w:type="dxa"/>
            <w:tcBorders>
              <w:top w:val="single" w:color="auto" w:sz="4" w:space="0"/>
              <w:left w:val="single" w:color="auto" w:sz="4" w:space="0"/>
              <w:bottom w:val="single" w:color="auto" w:sz="4" w:space="0"/>
              <w:right w:val="single" w:color="auto" w:sz="4" w:space="0"/>
            </w:tcBorders>
            <w:vAlign w:val="center"/>
          </w:tcPr>
          <w:p w14:paraId="632F9D31">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32.1</w:t>
            </w:r>
          </w:p>
        </w:tc>
      </w:tr>
      <w:tr w14:paraId="1F55D40D">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0B027F28">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8713" w:type="dxa"/>
            <w:gridSpan w:val="3"/>
            <w:tcBorders>
              <w:top w:val="single" w:color="auto" w:sz="4" w:space="0"/>
              <w:left w:val="single" w:color="auto" w:sz="4" w:space="0"/>
              <w:bottom w:val="single" w:color="auto" w:sz="4" w:space="0"/>
              <w:right w:val="single" w:color="auto" w:sz="4" w:space="0"/>
            </w:tcBorders>
            <w:vAlign w:val="center"/>
          </w:tcPr>
          <w:p w14:paraId="0B8C8133">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需要补充的其他内容</w:t>
            </w:r>
          </w:p>
        </w:tc>
      </w:tr>
      <w:tr w14:paraId="7B35DED0">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722EFE81">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p>
        </w:tc>
        <w:tc>
          <w:tcPr>
            <w:tcW w:w="8713" w:type="dxa"/>
            <w:gridSpan w:val="3"/>
            <w:tcBorders>
              <w:top w:val="single" w:color="auto" w:sz="4" w:space="0"/>
              <w:left w:val="single" w:color="auto" w:sz="4" w:space="0"/>
              <w:bottom w:val="single" w:color="auto" w:sz="4" w:space="0"/>
              <w:right w:val="single" w:color="auto" w:sz="4" w:space="0"/>
            </w:tcBorders>
            <w:vAlign w:val="center"/>
          </w:tcPr>
          <w:p w14:paraId="6B67B0A1">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本项目投标人为自然人的，应当由本人（</w:t>
            </w:r>
            <w:r>
              <w:rPr>
                <w:rFonts w:hint="eastAsia" w:ascii="仿宋" w:hAnsi="仿宋" w:eastAsia="仿宋" w:cs="仿宋"/>
                <w:color w:val="auto"/>
                <w:sz w:val="24"/>
                <w:szCs w:val="24"/>
                <w:highlight w:val="none"/>
                <w:lang w:eastAsia="zh-CN"/>
              </w:rPr>
              <w:t>电子签名或签章</w:t>
            </w:r>
            <w:r>
              <w:rPr>
                <w:rFonts w:hint="eastAsia" w:ascii="仿宋" w:hAnsi="仿宋" w:eastAsia="仿宋" w:cs="仿宋"/>
                <w:color w:val="auto"/>
                <w:sz w:val="24"/>
                <w:szCs w:val="24"/>
              </w:rPr>
              <w:t>）；投标人为法人应当由法定代表人（负责人）（</w:t>
            </w:r>
            <w:r>
              <w:rPr>
                <w:rFonts w:hint="eastAsia" w:ascii="仿宋" w:hAnsi="仿宋" w:eastAsia="仿宋" w:cs="仿宋"/>
                <w:color w:val="auto"/>
                <w:sz w:val="24"/>
                <w:szCs w:val="24"/>
                <w:highlight w:val="none"/>
                <w:lang w:eastAsia="zh-CN"/>
              </w:rPr>
              <w:t>电子签名或签章</w:t>
            </w:r>
            <w:r>
              <w:rPr>
                <w:rFonts w:hint="eastAsia" w:ascii="仿宋" w:hAnsi="仿宋" w:eastAsia="仿宋" w:cs="仿宋"/>
                <w:color w:val="auto"/>
                <w:sz w:val="24"/>
                <w:szCs w:val="24"/>
              </w:rPr>
              <w:t>）；其他组织的应当由主要负责人（</w:t>
            </w:r>
            <w:r>
              <w:rPr>
                <w:rFonts w:hint="eastAsia" w:ascii="仿宋" w:hAnsi="仿宋" w:eastAsia="仿宋" w:cs="仿宋"/>
                <w:color w:val="auto"/>
                <w:sz w:val="24"/>
                <w:szCs w:val="24"/>
                <w:highlight w:val="none"/>
                <w:lang w:eastAsia="zh-CN"/>
              </w:rPr>
              <w:t>电子签名或签章</w:t>
            </w:r>
            <w:r>
              <w:rPr>
                <w:rFonts w:hint="eastAsia" w:ascii="仿宋" w:hAnsi="仿宋" w:eastAsia="仿宋" w:cs="仿宋"/>
                <w:color w:val="auto"/>
                <w:sz w:val="24"/>
                <w:szCs w:val="24"/>
              </w:rPr>
              <w:t>），并在招标文件规定的格式处加盖投标人公章。</w:t>
            </w:r>
          </w:p>
        </w:tc>
      </w:tr>
      <w:tr w14:paraId="08D07795">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4FFE6BF6">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p>
        </w:tc>
        <w:tc>
          <w:tcPr>
            <w:tcW w:w="8713" w:type="dxa"/>
            <w:gridSpan w:val="3"/>
            <w:tcBorders>
              <w:top w:val="single" w:color="auto" w:sz="4" w:space="0"/>
              <w:left w:val="single" w:color="auto" w:sz="4" w:space="0"/>
              <w:bottom w:val="single" w:color="auto" w:sz="4" w:space="0"/>
              <w:right w:val="single" w:color="auto" w:sz="4" w:space="0"/>
            </w:tcBorders>
            <w:vAlign w:val="center"/>
          </w:tcPr>
          <w:p w14:paraId="198682C1">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color w:val="auto"/>
                <w:sz w:val="24"/>
                <w:szCs w:val="24"/>
                <w:highlight w:val="none"/>
                <w:u w:val="none"/>
              </w:rPr>
              <w:t>本</w:t>
            </w:r>
            <w:r>
              <w:rPr>
                <w:rFonts w:hint="eastAsia" w:ascii="仿宋" w:hAnsi="仿宋" w:eastAsia="仿宋" w:cs="仿宋"/>
                <w:b w:val="0"/>
                <w:bCs w:val="0"/>
                <w:color w:val="auto"/>
                <w:sz w:val="24"/>
                <w:szCs w:val="24"/>
                <w:highlight w:val="none"/>
                <w:u w:val="none"/>
                <w:lang w:eastAsia="zh-CN"/>
              </w:rPr>
              <w:t>项目</w:t>
            </w:r>
            <w:r>
              <w:rPr>
                <w:rFonts w:hint="eastAsia" w:ascii="仿宋" w:hAnsi="仿宋" w:eastAsia="仿宋" w:cs="仿宋"/>
                <w:b/>
                <w:bCs/>
                <w:color w:val="auto"/>
                <w:sz w:val="24"/>
                <w:szCs w:val="24"/>
                <w:highlight w:val="none"/>
                <w:u w:val="single"/>
              </w:rPr>
              <w:t>不接受</w:t>
            </w:r>
            <w:r>
              <w:rPr>
                <w:rFonts w:hint="eastAsia" w:ascii="仿宋" w:hAnsi="仿宋" w:eastAsia="仿宋" w:cs="仿宋"/>
                <w:b w:val="0"/>
                <w:bCs w:val="0"/>
                <w:color w:val="auto"/>
                <w:sz w:val="24"/>
                <w:szCs w:val="24"/>
                <w:highlight w:val="none"/>
                <w:u w:val="none"/>
              </w:rPr>
              <w:t>进口产品投标。进口产品是指通过中国海关报关验放进入中国境内且产自</w:t>
            </w:r>
            <w:r>
              <w:rPr>
                <w:rFonts w:hint="eastAsia" w:ascii="仿宋" w:hAnsi="仿宋" w:eastAsia="仿宋" w:cs="仿宋"/>
                <w:b w:val="0"/>
                <w:bCs w:val="0"/>
                <w:color w:val="auto"/>
                <w:sz w:val="24"/>
                <w:szCs w:val="24"/>
                <w:highlight w:val="none"/>
                <w:u w:val="none"/>
                <w:lang w:val="en-US" w:eastAsia="zh-CN"/>
              </w:rPr>
              <w:t>关</w:t>
            </w:r>
            <w:r>
              <w:rPr>
                <w:rFonts w:hint="eastAsia" w:ascii="仿宋" w:hAnsi="仿宋" w:eastAsia="仿宋" w:cs="仿宋"/>
                <w:b w:val="0"/>
                <w:bCs w:val="0"/>
                <w:color w:val="auto"/>
                <w:sz w:val="24"/>
                <w:szCs w:val="24"/>
                <w:highlight w:val="none"/>
                <w:u w:val="none"/>
              </w:rPr>
              <w:t>境外的产品，若招标文件明确不接受进口产品，而投标人所投报产品为进口产品的</w:t>
            </w:r>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b w:val="0"/>
                <w:bCs w:val="0"/>
                <w:color w:val="auto"/>
                <w:sz w:val="24"/>
                <w:szCs w:val="24"/>
                <w:highlight w:val="none"/>
                <w:u w:val="none"/>
              </w:rPr>
              <w:t>其《投标文件》按无效投标处理。</w:t>
            </w:r>
          </w:p>
        </w:tc>
      </w:tr>
      <w:tr w14:paraId="71C22325">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581C6CFC">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13" w:type="dxa"/>
            <w:gridSpan w:val="3"/>
            <w:tcBorders>
              <w:top w:val="single" w:color="auto" w:sz="4" w:space="0"/>
              <w:left w:val="single" w:color="auto" w:sz="4" w:space="0"/>
              <w:bottom w:val="single" w:color="auto" w:sz="4" w:space="0"/>
              <w:right w:val="single" w:color="auto" w:sz="4" w:space="0"/>
            </w:tcBorders>
            <w:vAlign w:val="center"/>
          </w:tcPr>
          <w:p w14:paraId="1F7BAF83">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采购项目行业划分：</w:t>
            </w:r>
          </w:p>
          <w:p w14:paraId="4471CA00">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本项目采购标的所属行业为</w:t>
            </w:r>
            <w:r>
              <w:rPr>
                <w:rFonts w:hint="eastAsia" w:ascii="仿宋" w:hAnsi="仿宋" w:eastAsia="仿宋" w:cs="仿宋"/>
                <w:color w:val="auto"/>
                <w:sz w:val="24"/>
                <w:szCs w:val="24"/>
                <w:highlight w:val="none"/>
                <w:lang w:eastAsia="zh-CN"/>
              </w:rPr>
              <w:t>：</w:t>
            </w:r>
            <w:r>
              <w:rPr>
                <w:rFonts w:hint="eastAsia" w:ascii="仿宋" w:hAnsi="仿宋" w:eastAsia="仿宋" w:cs="仿宋"/>
                <w:b/>
                <w:color w:val="auto"/>
                <w:sz w:val="24"/>
                <w:szCs w:val="24"/>
                <w:highlight w:val="none"/>
                <w:u w:val="single"/>
              </w:rPr>
              <w:t>“</w:t>
            </w:r>
            <w:r>
              <w:rPr>
                <w:rFonts w:hint="eastAsia" w:ascii="仿宋" w:hAnsi="仿宋" w:eastAsia="仿宋" w:cs="仿宋"/>
                <w:b/>
                <w:color w:val="auto"/>
                <w:sz w:val="24"/>
                <w:szCs w:val="24"/>
                <w:highlight w:val="none"/>
                <w:u w:val="single"/>
                <w:lang w:val="en-US" w:eastAsia="zh-CN"/>
              </w:rPr>
              <w:t>工</w:t>
            </w:r>
            <w:r>
              <w:rPr>
                <w:rFonts w:hint="eastAsia" w:ascii="仿宋" w:hAnsi="仿宋" w:eastAsia="仿宋" w:cs="仿宋"/>
                <w:b/>
                <w:color w:val="auto"/>
                <w:sz w:val="24"/>
                <w:szCs w:val="24"/>
                <w:highlight w:val="none"/>
                <w:u w:val="single"/>
              </w:rPr>
              <w:t>业”。</w:t>
            </w:r>
          </w:p>
        </w:tc>
      </w:tr>
      <w:tr w14:paraId="0F36640F">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42967F4A">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13" w:type="dxa"/>
            <w:gridSpan w:val="3"/>
            <w:tcBorders>
              <w:top w:val="single" w:color="auto" w:sz="4" w:space="0"/>
              <w:left w:val="single" w:color="auto" w:sz="4" w:space="0"/>
              <w:bottom w:val="single" w:color="auto" w:sz="4" w:space="0"/>
              <w:right w:val="single" w:color="auto" w:sz="4" w:space="0"/>
            </w:tcBorders>
            <w:vAlign w:val="center"/>
          </w:tcPr>
          <w:p w14:paraId="67181CBE">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本项目核心产品：</w:t>
            </w:r>
          </w:p>
          <w:p w14:paraId="0255A06C">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1、低压电工作业培训考证教室-※3.低压电工作业安全操作技术实操设备（K3）</w:t>
            </w:r>
          </w:p>
          <w:p w14:paraId="10FD269D">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2、新能源电工电子实训室-※3.高压安全控制与防护实训平台</w:t>
            </w:r>
          </w:p>
          <w:p w14:paraId="31994828">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3、动力电池及充电系统实训室-※5.OBC/DC-DC综合测试台</w:t>
            </w:r>
          </w:p>
          <w:p w14:paraId="0E8DDC5F">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b/>
                <w:bCs/>
                <w:color w:val="auto"/>
                <w:sz w:val="24"/>
                <w:szCs w:val="24"/>
                <w:highlight w:val="none"/>
                <w:u w:val="none"/>
                <w:lang w:eastAsia="zh-CN"/>
              </w:rPr>
            </w:pPr>
            <w:r>
              <w:rPr>
                <w:rFonts w:hint="eastAsia" w:ascii="仿宋" w:hAnsi="仿宋" w:eastAsia="仿宋" w:cs="仿宋"/>
                <w:b/>
                <w:bCs/>
                <w:color w:val="auto"/>
                <w:sz w:val="24"/>
                <w:szCs w:val="24"/>
                <w:highlight w:val="none"/>
                <w:u w:val="none"/>
              </w:rPr>
              <w:t>4、新能源汽车电器与辅助电子实训室-※3.压缩机综合性能检测台</w:t>
            </w:r>
          </w:p>
          <w:p w14:paraId="59BB2E54">
            <w:pPr>
              <w:pStyle w:val="69"/>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同品牌产品不同投标人的处理方式：</w:t>
            </w:r>
          </w:p>
          <w:p w14:paraId="44837ACC">
            <w:pPr>
              <w:pStyle w:val="69"/>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相同品牌产品且通过资格审查、符合性审查的不同投标人参加同一合同项下投标的，按一家投标人计算，评审后得分最高</w:t>
            </w:r>
            <w:r>
              <w:rPr>
                <w:rFonts w:hint="eastAsia" w:ascii="仿宋" w:hAnsi="仿宋" w:eastAsia="仿宋" w:cs="仿宋"/>
                <w:b w:val="0"/>
                <w:bCs w:val="0"/>
                <w:color w:val="auto"/>
                <w:sz w:val="24"/>
                <w:szCs w:val="24"/>
                <w:highlight w:val="none"/>
                <w:lang w:eastAsia="zh-CN"/>
              </w:rPr>
              <w:t>的相</w:t>
            </w:r>
            <w:r>
              <w:rPr>
                <w:rFonts w:hint="eastAsia" w:ascii="仿宋" w:hAnsi="仿宋" w:eastAsia="仿宋" w:cs="仿宋"/>
                <w:b w:val="0"/>
                <w:bCs w:val="0"/>
                <w:color w:val="auto"/>
                <w:sz w:val="24"/>
                <w:szCs w:val="24"/>
                <w:highlight w:val="none"/>
              </w:rPr>
              <w:t>同品牌投标人获得中标人推荐资格</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评审得分相同的，由</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rPr>
              <w:t>或者</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rPr>
              <w:t>委托评标委员会按照招标文件规定的方式确定一个投标人获得中标人推荐资格；招标文件未规定的采取随机抽取方式确定</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其他同品牌投标人不作为中标候选人。</w:t>
            </w:r>
          </w:p>
          <w:p w14:paraId="43B0B51B">
            <w:pPr>
              <w:pStyle w:val="69"/>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非单一产品采购项目，</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rPr>
              <w:t>应当根据采购项目技术构成、产品价格比重等合理确定核心产品，并在招标文件中载明。多家投标人提供的核心产品品牌相同的，按前款规定处理。</w:t>
            </w:r>
          </w:p>
          <w:p w14:paraId="781B46C5">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val="0"/>
                <w:bCs w:val="0"/>
                <w:color w:val="auto"/>
                <w:sz w:val="24"/>
                <w:szCs w:val="24"/>
                <w:highlight w:val="none"/>
              </w:rPr>
              <w:t>按上述条款执行后，有效投标人不足3家的，本项目应予废标。</w:t>
            </w:r>
          </w:p>
        </w:tc>
      </w:tr>
      <w:tr w14:paraId="1DE68102">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75CEECF6">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13" w:type="dxa"/>
            <w:gridSpan w:val="3"/>
            <w:tcBorders>
              <w:top w:val="single" w:color="auto" w:sz="4" w:space="0"/>
              <w:left w:val="single" w:color="auto" w:sz="4" w:space="0"/>
              <w:bottom w:val="single" w:color="auto" w:sz="4" w:space="0"/>
              <w:right w:val="single" w:color="auto" w:sz="4" w:space="0"/>
            </w:tcBorders>
            <w:vAlign w:val="center"/>
          </w:tcPr>
          <w:p w14:paraId="679D19A8">
            <w:pPr>
              <w:keepNext w:val="0"/>
              <w:keepLines w:val="0"/>
              <w:pageBreakBefore w:val="0"/>
              <w:widowControl w:val="0"/>
              <w:kinsoku/>
              <w:wordWrap/>
              <w:overflowPunct w:val="0"/>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u w:val="single"/>
                <w:lang w:val="en-US" w:eastAsia="zh-CN"/>
              </w:rPr>
              <w:t>1.投标人在关联标书环节时须将完整版投标文件电子版（含封面、资格审查、技术、商务文件等）的投标文件关联至“商务技术部分”，并签字盖章。</w:t>
            </w:r>
          </w:p>
          <w:p w14:paraId="1497A99A">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采购代理机构将依托电子交易平台发起开始解密指令，</w:t>
            </w:r>
            <w:r>
              <w:rPr>
                <w:rFonts w:hint="eastAsia" w:ascii="仿宋" w:hAnsi="仿宋" w:eastAsia="仿宋" w:cs="仿宋"/>
                <w:b w:val="0"/>
                <w:bCs w:val="0"/>
                <w:color w:val="auto"/>
                <w:sz w:val="24"/>
                <w:szCs w:val="24"/>
                <w:highlight w:val="none"/>
                <w:lang w:val="en-US" w:eastAsia="zh-CN"/>
              </w:rPr>
              <w:t>投标人</w:t>
            </w:r>
            <w:r>
              <w:rPr>
                <w:rFonts w:hint="eastAsia" w:ascii="仿宋" w:hAnsi="仿宋" w:eastAsia="仿宋" w:cs="仿宋"/>
                <w:b w:val="0"/>
                <w:bCs w:val="0"/>
                <w:color w:val="auto"/>
                <w:sz w:val="24"/>
                <w:szCs w:val="24"/>
                <w:highlight w:val="none"/>
              </w:rPr>
              <w:t>的法定代表人或其委托代理人须携带加密时所用的CA锁按平台提示和</w:t>
            </w:r>
            <w:r>
              <w:rPr>
                <w:rFonts w:hint="eastAsia" w:ascii="仿宋" w:hAnsi="仿宋" w:eastAsia="仿宋" w:cs="仿宋"/>
                <w:b w:val="0"/>
                <w:bCs w:val="0"/>
                <w:color w:val="auto"/>
                <w:sz w:val="24"/>
                <w:szCs w:val="24"/>
                <w:highlight w:val="none"/>
                <w:lang w:val="en-US" w:eastAsia="zh-CN"/>
              </w:rPr>
              <w:t>招标</w:t>
            </w:r>
            <w:r>
              <w:rPr>
                <w:rFonts w:hint="eastAsia" w:ascii="仿宋" w:hAnsi="仿宋" w:eastAsia="仿宋" w:cs="仿宋"/>
                <w:b w:val="0"/>
                <w:bCs w:val="0"/>
                <w:color w:val="auto"/>
                <w:sz w:val="24"/>
                <w:szCs w:val="24"/>
                <w:highlight w:val="none"/>
              </w:rPr>
              <w:t>文件的规定登录到“政采云”平台电子开标大厅签到并在发起解密指令之时起</w:t>
            </w:r>
            <w:r>
              <w:rPr>
                <w:rFonts w:hint="eastAsia" w:ascii="仿宋" w:hAnsi="仿宋" w:eastAsia="仿宋" w:cs="仿宋"/>
                <w:b w:val="0"/>
                <w:bCs w:val="0"/>
                <w:color w:val="auto"/>
                <w:sz w:val="24"/>
                <w:szCs w:val="24"/>
                <w:highlight w:val="none"/>
                <w:lang w:val="en-US" w:eastAsia="zh-CN"/>
              </w:rPr>
              <w:t>30</w:t>
            </w:r>
            <w:r>
              <w:rPr>
                <w:rFonts w:hint="eastAsia" w:ascii="仿宋" w:hAnsi="仿宋" w:eastAsia="仿宋" w:cs="仿宋"/>
                <w:b w:val="0"/>
                <w:bCs w:val="0"/>
                <w:color w:val="auto"/>
                <w:sz w:val="24"/>
                <w:szCs w:val="24"/>
                <w:highlight w:val="none"/>
              </w:rPr>
              <w:t>分钟内完成对电子</w:t>
            </w:r>
            <w:r>
              <w:rPr>
                <w:rFonts w:hint="eastAsia" w:ascii="仿宋" w:hAnsi="仿宋" w:eastAsia="仿宋" w:cs="仿宋"/>
                <w:b w:val="0"/>
                <w:bCs w:val="0"/>
                <w:color w:val="auto"/>
                <w:sz w:val="24"/>
                <w:szCs w:val="24"/>
                <w:highlight w:val="none"/>
                <w:lang w:val="en-US" w:eastAsia="zh-CN"/>
              </w:rPr>
              <w:t>投标</w:t>
            </w:r>
            <w:r>
              <w:rPr>
                <w:rFonts w:hint="eastAsia" w:ascii="仿宋" w:hAnsi="仿宋" w:eastAsia="仿宋" w:cs="仿宋"/>
                <w:b w:val="0"/>
                <w:bCs w:val="0"/>
                <w:color w:val="auto"/>
                <w:sz w:val="24"/>
                <w:szCs w:val="24"/>
                <w:highlight w:val="none"/>
              </w:rPr>
              <w:t>文件在线解密。</w:t>
            </w:r>
            <w:r>
              <w:rPr>
                <w:rFonts w:hint="eastAsia" w:ascii="仿宋" w:hAnsi="仿宋" w:eastAsia="仿宋" w:cs="仿宋"/>
                <w:b w:val="0"/>
                <w:bCs w:val="0"/>
                <w:color w:val="auto"/>
                <w:sz w:val="24"/>
                <w:szCs w:val="24"/>
                <w:highlight w:val="none"/>
                <w:lang w:val="en-US" w:eastAsia="zh-CN"/>
              </w:rPr>
              <w:t>投标</w:t>
            </w:r>
            <w:r>
              <w:rPr>
                <w:rFonts w:hint="eastAsia" w:ascii="仿宋" w:hAnsi="仿宋" w:eastAsia="仿宋" w:cs="仿宋"/>
                <w:b w:val="0"/>
                <w:bCs w:val="0"/>
                <w:color w:val="auto"/>
                <w:sz w:val="24"/>
                <w:szCs w:val="24"/>
                <w:highlight w:val="none"/>
              </w:rPr>
              <w:t>文件未按时解密的，视为</w:t>
            </w:r>
            <w:r>
              <w:rPr>
                <w:rFonts w:hint="eastAsia" w:ascii="仿宋" w:hAnsi="仿宋" w:eastAsia="仿宋" w:cs="仿宋"/>
                <w:b w:val="0"/>
                <w:bCs w:val="0"/>
                <w:color w:val="auto"/>
                <w:sz w:val="24"/>
                <w:szCs w:val="24"/>
                <w:highlight w:val="none"/>
                <w:lang w:val="en-US" w:eastAsia="zh-CN"/>
              </w:rPr>
              <w:t>投标</w:t>
            </w:r>
            <w:r>
              <w:rPr>
                <w:rFonts w:hint="eastAsia" w:ascii="仿宋" w:hAnsi="仿宋" w:eastAsia="仿宋" w:cs="仿宋"/>
                <w:b w:val="0"/>
                <w:bCs w:val="0"/>
                <w:color w:val="auto"/>
                <w:sz w:val="24"/>
                <w:szCs w:val="24"/>
                <w:highlight w:val="none"/>
              </w:rPr>
              <w:t>文件无效。</w:t>
            </w:r>
          </w:p>
        </w:tc>
      </w:tr>
      <w:tr w14:paraId="6C67129A">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1CA67F17">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13" w:type="dxa"/>
            <w:gridSpan w:val="3"/>
            <w:tcBorders>
              <w:top w:val="single" w:color="auto" w:sz="4" w:space="0"/>
              <w:left w:val="single" w:color="auto" w:sz="4" w:space="0"/>
              <w:bottom w:val="single" w:color="auto" w:sz="4" w:space="0"/>
              <w:right w:val="single" w:color="auto" w:sz="4" w:space="0"/>
            </w:tcBorders>
            <w:vAlign w:val="center"/>
          </w:tcPr>
          <w:p w14:paraId="3B15EFEB">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中标人在《云南省政府采购网》查询到中标公示或接到招标人（采购代理机构）通知后，需办理以下事宜：</w:t>
            </w:r>
          </w:p>
          <w:p w14:paraId="62ADF586">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1.向采购代理机构缴纳中标服务费。</w:t>
            </w:r>
          </w:p>
          <w:p w14:paraId="52A0A62E">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2.领取中标通知书，并与招标人联系、洽谈采购合同。</w:t>
            </w:r>
          </w:p>
        </w:tc>
      </w:tr>
      <w:tr w14:paraId="7774E148">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4F404BC1">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87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527744">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Cs/>
                <w:color w:val="auto"/>
                <w:sz w:val="24"/>
                <w:szCs w:val="24"/>
                <w:highlight w:val="none"/>
              </w:rPr>
              <w:t>其他内容</w:t>
            </w:r>
            <w:r>
              <w:rPr>
                <w:rFonts w:hint="eastAsia" w:ascii="仿宋" w:hAnsi="仿宋" w:eastAsia="仿宋" w:cs="仿宋"/>
                <w:color w:val="auto"/>
                <w:sz w:val="24"/>
                <w:szCs w:val="24"/>
                <w:highlight w:val="none"/>
              </w:rPr>
              <w:t>：根据《财政部关于在政府采购活动中查询及使用信用记录有关问题的通知－财库〔2016〕125 号》相关要求，</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或者采购代理机构对信用记录进行核实，对列入失信被执行人、重大税收违法案件当事人名单、政府采购严重违法失信行为记录名单及其他不符合《中华人民共和国政府采购法》第二十二条规定条件的投标人，拒绝其参与政府采购活动。</w:t>
            </w:r>
          </w:p>
        </w:tc>
      </w:tr>
      <w:tr w14:paraId="332D448B">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656E743C">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7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959044">
            <w:pPr>
              <w:keepNext w:val="0"/>
              <w:keepLines w:val="0"/>
              <w:pageBreakBefore w:val="0"/>
              <w:kinsoku/>
              <w:topLinePunct w:val="0"/>
              <w:autoSpaceDE/>
              <w:autoSpaceDN/>
              <w:bidi w:val="0"/>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关于中小企业：</w:t>
            </w:r>
          </w:p>
          <w:p w14:paraId="42120694">
            <w:pPr>
              <w:keepNext w:val="0"/>
              <w:keepLines w:val="0"/>
              <w:pageBreakBefore w:val="0"/>
              <w:kinsoku/>
              <w:topLinePunct w:val="0"/>
              <w:autoSpaceDE/>
              <w:autoSpaceDN/>
              <w:bidi w:val="0"/>
              <w:snapToGrid w:val="0"/>
              <w:spacing w:line="360" w:lineRule="auto"/>
              <w:ind w:left="0" w:leftChars="0" w:right="0" w:rightChars="0" w:firstLine="0" w:firstLineChars="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若存在符合条件的小型、微型企业或监狱企业或残疾人福利性单位，在计算报价得分时，对小型或微型企业的价格给予10%的扣除，用扣除后的价格参与评审。监狱企业、残疾人福利性单位视同小型、微型企业。执行政策文件：“关于印发《政府采购促进中小企业发展管理办法》的通知（财库〔2020〕46号）”“《财政部司法部关于政府采购支持监狱企业发展有关问题的通知》（财库〔2014〕68号）”“《财政部民政部中国残疾人联合会关于促进残疾人就业政府采购政策的通知》（财库〔2017〕141号）”。</w:t>
            </w:r>
          </w:p>
          <w:p w14:paraId="05A40D80">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请</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根据自身情况提供《中小企业声明函》，无《中小企业声明函》的</w:t>
            </w:r>
            <w:r>
              <w:rPr>
                <w:rFonts w:hint="eastAsia" w:ascii="仿宋" w:hAnsi="仿宋" w:eastAsia="仿宋" w:cs="仿宋"/>
                <w:color w:val="auto"/>
                <w:sz w:val="24"/>
                <w:szCs w:val="24"/>
                <w:highlight w:val="none"/>
              </w:rPr>
              <w:t>在评审时不予认可</w:t>
            </w:r>
            <w:r>
              <w:rPr>
                <w:rFonts w:hint="eastAsia" w:ascii="仿宋" w:hAnsi="仿宋" w:eastAsia="仿宋" w:cs="仿宋"/>
                <w:bCs/>
                <w:color w:val="auto"/>
                <w:sz w:val="24"/>
                <w:szCs w:val="24"/>
                <w:highlight w:val="none"/>
              </w:rPr>
              <w:t>。</w:t>
            </w:r>
          </w:p>
        </w:tc>
      </w:tr>
      <w:tr w14:paraId="5B5C0C65">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4111191F">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87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D0E9AB">
            <w:pPr>
              <w:keepNext w:val="0"/>
              <w:keepLines w:val="0"/>
              <w:pageBreakBefore w:val="0"/>
              <w:kinsoku/>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关于监狱企业、残疾人福利性单位：</w:t>
            </w:r>
          </w:p>
          <w:p w14:paraId="57B0FFB1">
            <w:pPr>
              <w:keepNext w:val="0"/>
              <w:keepLines w:val="0"/>
              <w:pageBreakBefore w:val="0"/>
              <w:kinsoku/>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监狱企业：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097D412">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残疾人福利性单位：根据财政部《关于促进残疾人就业政府采购政策》的通知财库〔2017〕141号的规定，符合条件的残疾人福利性单位在参加政府采购活动时，应当提供《残疾人福利性单位声明函》，并对声明的真实性负责。任何单位或者个人在政府采购活动中均不得要求残疾人福利性单位提供其他证明声明函内容的材料。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为残疾人福利性单位的，</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或者其委托的采购代理机构应当随中标结果同时公告其《残疾人福利性单位声明函》，接受社会监督。</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提供的《残疾人福利性单位声明函》与事实不符的，依照《</w:t>
            </w:r>
            <w:r>
              <w:rPr>
                <w:rFonts w:hint="eastAsia" w:ascii="仿宋" w:hAnsi="仿宋" w:eastAsia="仿宋" w:cs="仿宋"/>
                <w:color w:val="auto"/>
                <w:sz w:val="24"/>
                <w:szCs w:val="24"/>
                <w:highlight w:val="none"/>
                <w:lang w:eastAsia="zh-CN"/>
              </w:rPr>
              <w:t>中华人民共和国政府采购法</w:t>
            </w:r>
            <w:r>
              <w:rPr>
                <w:rFonts w:hint="eastAsia" w:ascii="仿宋" w:hAnsi="仿宋" w:eastAsia="仿宋" w:cs="仿宋"/>
                <w:color w:val="auto"/>
                <w:sz w:val="24"/>
                <w:szCs w:val="24"/>
                <w:highlight w:val="none"/>
              </w:rPr>
              <w:t>》第七十七条第一款的规定追究法律责任。</w:t>
            </w:r>
          </w:p>
        </w:tc>
      </w:tr>
      <w:tr w14:paraId="59E21FD8">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7661787E">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87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840235">
            <w:pPr>
              <w:pStyle w:val="10"/>
              <w:keepNext w:val="0"/>
              <w:keepLines w:val="0"/>
              <w:pageBreakBefore w:val="0"/>
              <w:kinsoku/>
              <w:topLinePunct w:val="0"/>
              <w:autoSpaceDE/>
              <w:autoSpaceDN/>
              <w:bidi w:val="0"/>
              <w:snapToGrid w:val="0"/>
              <w:spacing w:line="360" w:lineRule="auto"/>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关于符合本国产品：</w:t>
            </w:r>
          </w:p>
          <w:p w14:paraId="2F7E9C0D">
            <w:pPr>
              <w:pStyle w:val="10"/>
              <w:keepNext w:val="0"/>
              <w:keepLines w:val="0"/>
              <w:pageBreakBefore w:val="0"/>
              <w:kinsoku/>
              <w:topLinePunct w:val="0"/>
              <w:autoSpaceDE/>
              <w:autoSpaceDN/>
              <w:bidi w:val="0"/>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1.本项目对采购本国产品给予政策支持：</w:t>
            </w:r>
          </w:p>
          <w:p w14:paraId="33204FEF">
            <w:pPr>
              <w:pStyle w:val="10"/>
              <w:keepNext w:val="0"/>
              <w:keepLines w:val="0"/>
              <w:pageBreakBefore w:val="0"/>
              <w:kinsoku/>
              <w:topLinePunct w:val="0"/>
              <w:autoSpaceDE/>
              <w:autoSpaceDN/>
              <w:bidi w:val="0"/>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1.1本项目政府采购活动中既有本国产品又有非本国产品参与竞争的，依法对本国产品给予价格评审优惠，对本国产品的报价给予20%的价格扣除，用扣除后的价格参与评审。</w:t>
            </w:r>
          </w:p>
          <w:p w14:paraId="53841C28">
            <w:pPr>
              <w:pStyle w:val="10"/>
              <w:keepNext w:val="0"/>
              <w:keepLines w:val="0"/>
              <w:pageBreakBefore w:val="0"/>
              <w:kinsoku/>
              <w:topLinePunct w:val="0"/>
              <w:autoSpaceDE/>
              <w:autoSpaceDN/>
              <w:bidi w:val="0"/>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1.2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投标人未填写比例数值，或比例数值未达到80%的，将不享受本国产品价格评审优惠。</w:t>
            </w:r>
          </w:p>
          <w:p w14:paraId="5040F84E">
            <w:pPr>
              <w:pStyle w:val="10"/>
              <w:keepNext w:val="0"/>
              <w:keepLines w:val="0"/>
              <w:pageBreakBefore w:val="0"/>
              <w:kinsoku/>
              <w:topLinePunct w:val="0"/>
              <w:autoSpaceDE/>
              <w:autoSpaceDN/>
              <w:bidi w:val="0"/>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1.3投标人需按照招标文件的要求提供《关于符合本国产品标准的声明函》（以下简称《声明函》），如不提供将不享受本国产品价格评审优惠。</w:t>
            </w:r>
          </w:p>
          <w:p w14:paraId="0783B68F">
            <w:pPr>
              <w:pStyle w:val="10"/>
              <w:keepNext w:val="0"/>
              <w:keepLines w:val="0"/>
              <w:pageBreakBefore w:val="0"/>
              <w:kinsoku/>
              <w:topLinePunct w:val="0"/>
              <w:autoSpaceDE/>
              <w:autoSpaceDN/>
              <w:bidi w:val="0"/>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1.4投标人需在《声明函》中逐一、准确填写产品名称、厂名、生产厂址三项信息（《声明函》中用斜线划除的地方无需填写），三项信息中任意一项未填写的视为该项产品不符合本国产品标准，不享受本国产品价格评审优惠。</w:t>
            </w:r>
          </w:p>
          <w:p w14:paraId="42FA995D">
            <w:pPr>
              <w:pStyle w:val="10"/>
              <w:keepNext w:val="0"/>
              <w:keepLines w:val="0"/>
              <w:pageBreakBefore w:val="0"/>
              <w:kinsoku/>
              <w:topLinePunct w:val="0"/>
              <w:autoSpaceDE/>
              <w:autoSpaceDN/>
              <w:bidi w:val="0"/>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1.5评标过程中，如发现投标人在《声明函》内容含义不明确、同类事项与投标（响应）文件表述不一致或者有明显文字错误等情况的，评标委员会应当以书面形式要求投标人作出必要的澄清、说明或者补正。经澄清、说明或者补正的《声明函》仍然不符合《国务院办公厅关于在政府采购中实施本国产品标准及相关政策的通知》（国办发〔2025〕34号）和招标文件规定的，投标人提供的相关产品视为不符合本国产品标准。</w:t>
            </w:r>
          </w:p>
          <w:p w14:paraId="2E4EAF08">
            <w:pPr>
              <w:pStyle w:val="10"/>
              <w:keepNext w:val="0"/>
              <w:keepLines w:val="0"/>
              <w:pageBreakBefore w:val="0"/>
              <w:kinsoku/>
              <w:topLinePunct w:val="0"/>
              <w:autoSpaceDE/>
              <w:autoSpaceDN/>
              <w:bidi w:val="0"/>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D4F5759">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u w:val="none"/>
                <w:lang w:val="en-US" w:eastAsia="zh-CN"/>
              </w:rPr>
              <w:t>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tc>
      </w:tr>
      <w:tr w14:paraId="6F4F7E38">
        <w:tblPrEx>
          <w:tblCellMar>
            <w:top w:w="0" w:type="dxa"/>
            <w:left w:w="108" w:type="dxa"/>
            <w:bottom w:w="0" w:type="dxa"/>
            <w:right w:w="108" w:type="dxa"/>
          </w:tblCellMar>
        </w:tblPrEx>
        <w:trPr>
          <w:trHeight w:val="0"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721CD2E3">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87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193270">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关于节能产品</w:t>
            </w:r>
          </w:p>
          <w:p w14:paraId="7AD69602">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节能产品是指列入财政部和</w:t>
            </w:r>
            <w:r>
              <w:rPr>
                <w:rFonts w:hint="eastAsia" w:ascii="仿宋" w:hAnsi="仿宋" w:eastAsia="仿宋" w:cs="仿宋"/>
                <w:color w:val="auto"/>
                <w:sz w:val="24"/>
                <w:szCs w:val="24"/>
                <w:highlight w:val="none"/>
                <w:lang w:eastAsia="zh-CN"/>
              </w:rPr>
              <w:t>国家发展改革委</w:t>
            </w:r>
            <w:r>
              <w:rPr>
                <w:rFonts w:hint="eastAsia" w:ascii="仿宋" w:hAnsi="仿宋" w:eastAsia="仿宋" w:cs="仿宋"/>
                <w:color w:val="auto"/>
                <w:sz w:val="24"/>
                <w:szCs w:val="24"/>
                <w:highlight w:val="none"/>
              </w:rPr>
              <w:t>公布的、在最新一期有效期内的《节能产品政府采购清单》中的货物，需对应到“节能清单”中所列的型号/系列。政府强制采购节能产品是指“节能清单”中以“★”标注类别的产品。环境标志产品是指列入财政部、原环保总局公布的、在有效期内的“环境标志产品政府采购清单”中的货物。</w:t>
            </w:r>
          </w:p>
          <w:p w14:paraId="26A6775E">
            <w:pPr>
              <w:keepNext w:val="0"/>
              <w:keepLines w:val="0"/>
              <w:pageBreakBefore w:val="0"/>
              <w:widowControl w:val="0"/>
              <w:kinsoku/>
              <w:wordWrap w:val="0"/>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新一期“节能清单”可通过中国政府采购网（http://www.ccgp.gov.cn/）、国家发展改革委网站（http://hzs.ndrc.gov.cn/）查阅、下载；当期“环境标志产品政府采购清单”可通过中国政府采购网（http://www.ccgp.gov.cn/）、国家环境保护（http://www.sepa.gov.cn/）查阅、下载。</w:t>
            </w:r>
          </w:p>
          <w:p w14:paraId="6588CC4F">
            <w:pPr>
              <w:keepNext w:val="0"/>
              <w:keepLines w:val="0"/>
              <w:pageBreakBefore w:val="0"/>
              <w:kinsoku/>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除提供以上证明材料外，另可提供所投产品关于节能与环保的其他有效证明材料，由评标委员会评审。</w:t>
            </w:r>
          </w:p>
          <w:p w14:paraId="62CC85C0">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rPr>
              <w:t>节能产品及环保产品的优惠政策按照“财政部发展改革委生态环境部市场监管总局关于调整优化节能产品、环境标志产品政府采购执行机制的通知”财库〔2019〕9号的规定执行。</w:t>
            </w:r>
          </w:p>
        </w:tc>
      </w:tr>
    </w:tbl>
    <w:p w14:paraId="0BDB997E">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rPr>
      </w:pPr>
    </w:p>
    <w:p w14:paraId="13E9EF7B">
      <w:pPr>
        <w:rPr>
          <w:rFonts w:hint="eastAsia" w:ascii="仿宋" w:hAnsi="仿宋" w:eastAsia="仿宋" w:cs="仿宋"/>
          <w:color w:val="auto"/>
        </w:rPr>
      </w:pPr>
      <w:r>
        <w:rPr>
          <w:rFonts w:hint="eastAsia" w:ascii="仿宋" w:hAnsi="仿宋" w:eastAsia="仿宋" w:cs="仿宋"/>
          <w:color w:val="auto"/>
        </w:rPr>
        <w:br w:type="page"/>
      </w:r>
    </w:p>
    <w:p w14:paraId="5D8C1C4A">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rPr>
      </w:pPr>
    </w:p>
    <w:p w14:paraId="34904145">
      <w:pPr>
        <w:pStyle w:val="3"/>
        <w:pageBreakBefore w:val="0"/>
        <w:shd w:val="clear"/>
        <w:topLinePunct w:val="0"/>
        <w:bidi w:val="0"/>
        <w:spacing w:beforeAutospacing="0" w:afterAutospacing="0" w:line="360" w:lineRule="auto"/>
        <w:ind w:left="0" w:leftChars="0" w:right="0" w:rightChars="0" w:firstLine="600" w:firstLineChars="200"/>
        <w:jc w:val="center"/>
        <w:outlineLvl w:val="1"/>
        <w:rPr>
          <w:rFonts w:hint="eastAsia" w:ascii="仿宋" w:hAnsi="仿宋" w:eastAsia="仿宋" w:cs="仿宋"/>
          <w:color w:val="auto"/>
          <w:sz w:val="30"/>
          <w:szCs w:val="30"/>
          <w:highlight w:val="none"/>
        </w:rPr>
      </w:pPr>
      <w:bookmarkStart w:id="67" w:name="_Toc2228"/>
      <w:bookmarkStart w:id="68" w:name="_Toc260"/>
      <w:bookmarkStart w:id="69" w:name="_Toc1010"/>
      <w:bookmarkStart w:id="70" w:name="_Toc32463"/>
      <w:r>
        <w:rPr>
          <w:rFonts w:hint="eastAsia" w:ascii="仿宋" w:hAnsi="仿宋" w:eastAsia="仿宋" w:cs="仿宋"/>
          <w:color w:val="auto"/>
          <w:sz w:val="30"/>
          <w:szCs w:val="30"/>
          <w:highlight w:val="none"/>
        </w:rPr>
        <w:t>一、总则</w:t>
      </w:r>
      <w:bookmarkEnd w:id="67"/>
      <w:bookmarkEnd w:id="68"/>
      <w:bookmarkEnd w:id="69"/>
      <w:bookmarkEnd w:id="70"/>
    </w:p>
    <w:p w14:paraId="59675A91">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rPr>
      </w:pPr>
      <w:bookmarkStart w:id="71" w:name="_Toc296602421"/>
      <w:bookmarkStart w:id="72" w:name="_Toc152045530"/>
      <w:bookmarkStart w:id="73" w:name="_Toc18164"/>
      <w:bookmarkStart w:id="74" w:name="_Toc152042306"/>
      <w:bookmarkStart w:id="75" w:name="_Toc528186453"/>
      <w:bookmarkStart w:id="76" w:name="_Toc179632547"/>
      <w:bookmarkStart w:id="77" w:name="_Toc489145704"/>
      <w:bookmarkStart w:id="78" w:name="_Toc489197808"/>
      <w:bookmarkStart w:id="79" w:name="_Toc247085690"/>
      <w:bookmarkStart w:id="80" w:name="_Toc246996919"/>
      <w:bookmarkStart w:id="81" w:name="_Toc144974498"/>
      <w:bookmarkStart w:id="82" w:name="_Toc24232"/>
      <w:bookmarkStart w:id="83" w:name="_Toc246996176"/>
      <w:bookmarkStart w:id="84" w:name="_Toc31121"/>
      <w:r>
        <w:rPr>
          <w:rFonts w:hint="eastAsia" w:ascii="仿宋" w:hAnsi="仿宋" w:eastAsia="仿宋" w:cs="仿宋"/>
          <w:b/>
          <w:bCs/>
          <w:color w:val="auto"/>
          <w:sz w:val="28"/>
          <w:szCs w:val="28"/>
          <w:lang w:eastAsia="zh-CN"/>
        </w:rPr>
        <w:t>1.</w:t>
      </w:r>
      <w:r>
        <w:rPr>
          <w:rFonts w:hint="eastAsia" w:ascii="仿宋" w:hAnsi="仿宋" w:eastAsia="仿宋" w:cs="仿宋"/>
          <w:b/>
          <w:bCs/>
          <w:color w:val="auto"/>
          <w:sz w:val="28"/>
          <w:szCs w:val="28"/>
        </w:rPr>
        <w:t>项目概况</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5E5907A">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1 </w:t>
      </w: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：详见</w:t>
      </w:r>
      <w:r>
        <w:rPr>
          <w:rFonts w:hint="eastAsia" w:ascii="仿宋" w:hAnsi="仿宋" w:eastAsia="仿宋" w:cs="仿宋"/>
          <w:b/>
          <w:bCs/>
          <w:color w:val="auto"/>
          <w:sz w:val="24"/>
          <w:szCs w:val="24"/>
          <w:highlight w:val="none"/>
        </w:rPr>
        <w:t>《投标人须知前附表》</w:t>
      </w:r>
      <w:r>
        <w:rPr>
          <w:rFonts w:hint="eastAsia" w:ascii="仿宋" w:hAnsi="仿宋" w:eastAsia="仿宋" w:cs="仿宋"/>
          <w:color w:val="auto"/>
          <w:sz w:val="24"/>
          <w:szCs w:val="24"/>
          <w:highlight w:val="none"/>
        </w:rPr>
        <w:t>。</w:t>
      </w:r>
    </w:p>
    <w:p w14:paraId="460270F4">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2 </w:t>
      </w: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：详见</w:t>
      </w:r>
      <w:r>
        <w:rPr>
          <w:rFonts w:hint="eastAsia" w:ascii="仿宋" w:hAnsi="仿宋" w:eastAsia="仿宋" w:cs="仿宋"/>
          <w:b/>
          <w:bCs/>
          <w:color w:val="auto"/>
          <w:sz w:val="24"/>
          <w:szCs w:val="24"/>
          <w:highlight w:val="none"/>
        </w:rPr>
        <w:t>《投标人须知前附表》</w:t>
      </w:r>
      <w:r>
        <w:rPr>
          <w:rFonts w:hint="eastAsia" w:ascii="仿宋" w:hAnsi="仿宋" w:eastAsia="仿宋" w:cs="仿宋"/>
          <w:color w:val="auto"/>
          <w:sz w:val="24"/>
          <w:szCs w:val="24"/>
          <w:highlight w:val="none"/>
        </w:rPr>
        <w:t>。</w:t>
      </w:r>
    </w:p>
    <w:p w14:paraId="6DE4647C">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3 </w:t>
      </w:r>
      <w:r>
        <w:rPr>
          <w:rFonts w:hint="eastAsia" w:ascii="仿宋" w:hAnsi="仿宋" w:eastAsia="仿宋" w:cs="仿宋"/>
          <w:color w:val="auto"/>
          <w:sz w:val="24"/>
          <w:szCs w:val="24"/>
          <w:highlight w:val="none"/>
        </w:rPr>
        <w:t>本项目名称及项目编号：详见</w:t>
      </w:r>
      <w:r>
        <w:rPr>
          <w:rFonts w:hint="eastAsia" w:ascii="仿宋" w:hAnsi="仿宋" w:eastAsia="仿宋" w:cs="仿宋"/>
          <w:b/>
          <w:bCs/>
          <w:color w:val="auto"/>
          <w:sz w:val="24"/>
          <w:szCs w:val="24"/>
          <w:highlight w:val="none"/>
        </w:rPr>
        <w:t>《投标人须知前附表》</w:t>
      </w:r>
      <w:r>
        <w:rPr>
          <w:rFonts w:hint="eastAsia" w:ascii="仿宋" w:hAnsi="仿宋" w:eastAsia="仿宋" w:cs="仿宋"/>
          <w:color w:val="auto"/>
          <w:sz w:val="24"/>
          <w:szCs w:val="24"/>
          <w:highlight w:val="none"/>
        </w:rPr>
        <w:t>。</w:t>
      </w:r>
    </w:p>
    <w:p w14:paraId="1CCCAC36">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1.4 </w:t>
      </w:r>
      <w:r>
        <w:rPr>
          <w:rFonts w:hint="eastAsia" w:ascii="仿宋" w:hAnsi="仿宋" w:eastAsia="仿宋" w:cs="仿宋"/>
          <w:color w:val="auto"/>
          <w:sz w:val="24"/>
          <w:szCs w:val="24"/>
          <w:highlight w:val="none"/>
        </w:rPr>
        <w:t>本项目采购需求：详见</w:t>
      </w:r>
      <w:r>
        <w:rPr>
          <w:rFonts w:hint="eastAsia" w:ascii="仿宋" w:hAnsi="仿宋" w:eastAsia="仿宋" w:cs="仿宋"/>
          <w:b/>
          <w:bCs/>
          <w:color w:val="auto"/>
          <w:sz w:val="24"/>
          <w:szCs w:val="24"/>
          <w:highlight w:val="none"/>
        </w:rPr>
        <w:t>《投标人须知前附表》</w:t>
      </w:r>
      <w:r>
        <w:rPr>
          <w:rFonts w:hint="eastAsia" w:ascii="仿宋" w:hAnsi="仿宋" w:eastAsia="仿宋" w:cs="仿宋"/>
          <w:color w:val="auto"/>
          <w:sz w:val="24"/>
          <w:szCs w:val="24"/>
          <w:highlight w:val="none"/>
        </w:rPr>
        <w:t>。</w:t>
      </w:r>
    </w:p>
    <w:p w14:paraId="5AE6E17C">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1.5 </w:t>
      </w: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val="en-US" w:eastAsia="zh-CN"/>
        </w:rPr>
        <w:t>合同履行期限</w:t>
      </w:r>
      <w:r>
        <w:rPr>
          <w:rFonts w:hint="eastAsia" w:ascii="仿宋" w:hAnsi="仿宋" w:eastAsia="仿宋" w:cs="仿宋"/>
          <w:color w:val="auto"/>
          <w:sz w:val="24"/>
          <w:szCs w:val="24"/>
          <w:highlight w:val="none"/>
        </w:rPr>
        <w:t>：详见</w:t>
      </w:r>
      <w:r>
        <w:rPr>
          <w:rFonts w:hint="eastAsia" w:ascii="仿宋" w:hAnsi="仿宋" w:eastAsia="仿宋" w:cs="仿宋"/>
          <w:b/>
          <w:bCs/>
          <w:color w:val="auto"/>
          <w:sz w:val="24"/>
          <w:szCs w:val="24"/>
          <w:highlight w:val="none"/>
        </w:rPr>
        <w:t>《投标人须知前附表》</w:t>
      </w:r>
      <w:r>
        <w:rPr>
          <w:rFonts w:hint="eastAsia" w:ascii="仿宋" w:hAnsi="仿宋" w:eastAsia="仿宋" w:cs="仿宋"/>
          <w:color w:val="auto"/>
          <w:sz w:val="24"/>
          <w:szCs w:val="24"/>
          <w:highlight w:val="none"/>
        </w:rPr>
        <w:t>。</w:t>
      </w:r>
    </w:p>
    <w:p w14:paraId="7D706FBA">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1.6 </w:t>
      </w: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val="en-US" w:eastAsia="zh-CN"/>
        </w:rPr>
        <w:t>交货期限</w:t>
      </w:r>
      <w:r>
        <w:rPr>
          <w:rFonts w:hint="eastAsia" w:ascii="仿宋" w:hAnsi="仿宋" w:eastAsia="仿宋" w:cs="仿宋"/>
          <w:color w:val="auto"/>
          <w:sz w:val="24"/>
          <w:szCs w:val="24"/>
          <w:highlight w:val="none"/>
        </w:rPr>
        <w:t>：详见</w:t>
      </w:r>
      <w:r>
        <w:rPr>
          <w:rFonts w:hint="eastAsia" w:ascii="仿宋" w:hAnsi="仿宋" w:eastAsia="仿宋" w:cs="仿宋"/>
          <w:b/>
          <w:bCs/>
          <w:color w:val="auto"/>
          <w:sz w:val="24"/>
          <w:szCs w:val="24"/>
          <w:highlight w:val="none"/>
        </w:rPr>
        <w:t>《投标人须知前附表》</w:t>
      </w:r>
      <w:r>
        <w:rPr>
          <w:rFonts w:hint="eastAsia" w:ascii="仿宋" w:hAnsi="仿宋" w:eastAsia="仿宋" w:cs="仿宋"/>
          <w:color w:val="auto"/>
          <w:sz w:val="24"/>
          <w:szCs w:val="24"/>
          <w:highlight w:val="none"/>
        </w:rPr>
        <w:t>。</w:t>
      </w:r>
    </w:p>
    <w:p w14:paraId="6C715406">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1.7 </w:t>
      </w: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val="en-US" w:eastAsia="zh-CN"/>
        </w:rPr>
        <w:t>交货地点</w:t>
      </w:r>
      <w:r>
        <w:rPr>
          <w:rFonts w:hint="eastAsia" w:ascii="仿宋" w:hAnsi="仿宋" w:eastAsia="仿宋" w:cs="仿宋"/>
          <w:color w:val="auto"/>
          <w:sz w:val="24"/>
          <w:szCs w:val="24"/>
          <w:highlight w:val="none"/>
        </w:rPr>
        <w:t>：详见</w:t>
      </w:r>
      <w:r>
        <w:rPr>
          <w:rFonts w:hint="eastAsia" w:ascii="仿宋" w:hAnsi="仿宋" w:eastAsia="仿宋" w:cs="仿宋"/>
          <w:b/>
          <w:bCs/>
          <w:color w:val="auto"/>
          <w:sz w:val="24"/>
          <w:szCs w:val="24"/>
          <w:highlight w:val="none"/>
        </w:rPr>
        <w:t>《投标人须知前附表》</w:t>
      </w:r>
      <w:r>
        <w:rPr>
          <w:rFonts w:hint="eastAsia" w:ascii="仿宋" w:hAnsi="仿宋" w:eastAsia="仿宋" w:cs="仿宋"/>
          <w:color w:val="auto"/>
          <w:sz w:val="24"/>
          <w:szCs w:val="24"/>
          <w:highlight w:val="none"/>
        </w:rPr>
        <w:t>。</w:t>
      </w:r>
    </w:p>
    <w:p w14:paraId="4F5C441E">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rPr>
      </w:pPr>
      <w:r>
        <w:rPr>
          <w:rFonts w:hint="eastAsia" w:ascii="仿宋" w:hAnsi="仿宋" w:eastAsia="仿宋" w:cs="仿宋"/>
          <w:color w:val="auto"/>
          <w:sz w:val="24"/>
          <w:szCs w:val="24"/>
          <w:highlight w:val="none"/>
          <w:lang w:val="en-US" w:eastAsia="zh-CN"/>
        </w:rPr>
        <w:t xml:space="preserve">1.8 </w:t>
      </w: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val="en-US" w:eastAsia="zh-CN"/>
        </w:rPr>
        <w:t>质保期</w:t>
      </w:r>
      <w:r>
        <w:rPr>
          <w:rFonts w:hint="eastAsia" w:ascii="仿宋" w:hAnsi="仿宋" w:eastAsia="仿宋" w:cs="仿宋"/>
          <w:color w:val="auto"/>
          <w:sz w:val="24"/>
          <w:szCs w:val="24"/>
          <w:highlight w:val="none"/>
        </w:rPr>
        <w:t>：详见</w:t>
      </w:r>
      <w:r>
        <w:rPr>
          <w:rFonts w:hint="eastAsia" w:ascii="仿宋" w:hAnsi="仿宋" w:eastAsia="仿宋" w:cs="仿宋"/>
          <w:b/>
          <w:bCs/>
          <w:color w:val="auto"/>
          <w:sz w:val="24"/>
          <w:szCs w:val="24"/>
          <w:highlight w:val="none"/>
        </w:rPr>
        <w:t>《投标人须知前附表》</w:t>
      </w:r>
      <w:r>
        <w:rPr>
          <w:rFonts w:hint="eastAsia" w:ascii="仿宋" w:hAnsi="仿宋" w:eastAsia="仿宋" w:cs="仿宋"/>
          <w:color w:val="auto"/>
          <w:sz w:val="24"/>
          <w:szCs w:val="24"/>
          <w:highlight w:val="none"/>
        </w:rPr>
        <w:t>。</w:t>
      </w:r>
    </w:p>
    <w:p w14:paraId="3F8D72A4">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85" w:name="_Toc246996920"/>
      <w:bookmarkStart w:id="86" w:name="_Toc489145705"/>
      <w:bookmarkStart w:id="87" w:name="_Toc144974499"/>
      <w:bookmarkStart w:id="88" w:name="_Toc246996177"/>
      <w:bookmarkStart w:id="89" w:name="_Toc29064"/>
      <w:bookmarkStart w:id="90" w:name="_Toc152045531"/>
      <w:bookmarkStart w:id="91" w:name="_Toc2063"/>
      <w:bookmarkStart w:id="92" w:name="_Toc528186454"/>
      <w:bookmarkStart w:id="93" w:name="_Toc152042307"/>
      <w:bookmarkStart w:id="94" w:name="_Toc9634"/>
      <w:bookmarkStart w:id="95" w:name="_Toc179632548"/>
      <w:bookmarkStart w:id="96" w:name="_Toc489197809"/>
      <w:bookmarkStart w:id="97" w:name="_Toc247085691"/>
      <w:bookmarkStart w:id="98" w:name="_Toc296602422"/>
      <w:r>
        <w:rPr>
          <w:rFonts w:hint="eastAsia" w:ascii="仿宋" w:hAnsi="仿宋" w:eastAsia="仿宋" w:cs="仿宋"/>
          <w:b/>
          <w:bCs/>
          <w:color w:val="auto"/>
          <w:sz w:val="28"/>
          <w:szCs w:val="28"/>
          <w:lang w:eastAsia="zh-CN"/>
        </w:rPr>
        <w:t>2.</w:t>
      </w:r>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hint="eastAsia" w:ascii="仿宋" w:hAnsi="仿宋" w:eastAsia="仿宋" w:cs="仿宋"/>
          <w:b/>
          <w:bCs/>
          <w:color w:val="auto"/>
          <w:sz w:val="28"/>
          <w:szCs w:val="28"/>
          <w:lang w:val="en-US" w:eastAsia="zh-CN"/>
        </w:rPr>
        <w:t>资金来源</w:t>
      </w:r>
    </w:p>
    <w:p w14:paraId="7BA621CA">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2" w:firstLineChars="200"/>
        <w:jc w:val="left"/>
        <w:textAlignment w:val="auto"/>
        <w:rPr>
          <w:rFonts w:hint="eastAsia" w:ascii="仿宋" w:hAnsi="仿宋" w:eastAsia="仿宋" w:cs="仿宋"/>
          <w:color w:val="auto"/>
          <w:sz w:val="24"/>
          <w:szCs w:val="24"/>
          <w:highlight w:val="none"/>
        </w:rPr>
      </w:pPr>
      <w:bookmarkStart w:id="99" w:name="_Toc152042308"/>
      <w:bookmarkStart w:id="100" w:name="_Toc296602423"/>
      <w:bookmarkStart w:id="101" w:name="_Toc247085692"/>
      <w:bookmarkStart w:id="102" w:name="_Toc144974500"/>
      <w:bookmarkStart w:id="103" w:name="_Toc246996178"/>
      <w:bookmarkStart w:id="104" w:name="_Toc246996921"/>
      <w:bookmarkStart w:id="105" w:name="_Toc179632549"/>
      <w:bookmarkStart w:id="106" w:name="_Toc152045532"/>
      <w:r>
        <w:rPr>
          <w:rFonts w:hint="eastAsia" w:ascii="仿宋" w:hAnsi="仿宋" w:eastAsia="仿宋" w:cs="仿宋"/>
          <w:b/>
          <w:bCs/>
          <w:color w:val="auto"/>
          <w:sz w:val="24"/>
          <w:szCs w:val="24"/>
          <w:highlight w:val="none"/>
        </w:rPr>
        <w:t>《投标人须知前附表》</w:t>
      </w:r>
      <w:r>
        <w:rPr>
          <w:rFonts w:hint="eastAsia" w:ascii="仿宋" w:hAnsi="仿宋" w:eastAsia="仿宋" w:cs="仿宋"/>
          <w:color w:val="auto"/>
          <w:sz w:val="24"/>
          <w:szCs w:val="24"/>
          <w:highlight w:val="none"/>
        </w:rPr>
        <w:t>中所述的</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资金已落实，用于采购“</w:t>
      </w:r>
      <w:r>
        <w:rPr>
          <w:rFonts w:hint="eastAsia" w:ascii="仿宋" w:hAnsi="仿宋" w:eastAsia="仿宋" w:cs="仿宋"/>
          <w:color w:val="auto"/>
          <w:sz w:val="24"/>
          <w:szCs w:val="24"/>
          <w:highlight w:val="none"/>
          <w:lang w:val="en-US" w:eastAsia="zh-CN"/>
        </w:rPr>
        <w:t>采购需求</w:t>
      </w:r>
      <w:r>
        <w:rPr>
          <w:rFonts w:hint="eastAsia" w:ascii="仿宋" w:hAnsi="仿宋" w:eastAsia="仿宋" w:cs="仿宋"/>
          <w:color w:val="auto"/>
          <w:sz w:val="24"/>
          <w:szCs w:val="24"/>
          <w:highlight w:val="none"/>
        </w:rPr>
        <w:t>”所列货物。</w:t>
      </w:r>
    </w:p>
    <w:bookmarkEnd w:id="99"/>
    <w:bookmarkEnd w:id="100"/>
    <w:bookmarkEnd w:id="101"/>
    <w:bookmarkEnd w:id="102"/>
    <w:bookmarkEnd w:id="103"/>
    <w:bookmarkEnd w:id="104"/>
    <w:bookmarkEnd w:id="105"/>
    <w:bookmarkEnd w:id="106"/>
    <w:p w14:paraId="293EBDF9">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rPr>
      </w:pPr>
      <w:bookmarkStart w:id="107" w:name="_Toc246996179"/>
      <w:bookmarkStart w:id="108" w:name="_Toc144974502"/>
      <w:bookmarkStart w:id="109" w:name="_Toc152042310"/>
      <w:bookmarkStart w:id="110" w:name="_Toc16237"/>
      <w:bookmarkStart w:id="111" w:name="_Toc4535"/>
      <w:bookmarkStart w:id="112" w:name="_Toc489145707"/>
      <w:bookmarkStart w:id="113" w:name="_Toc179632551"/>
      <w:bookmarkStart w:id="114" w:name="_Toc296602424"/>
      <w:bookmarkStart w:id="115" w:name="_Toc246996922"/>
      <w:bookmarkStart w:id="116" w:name="_Toc152045534"/>
      <w:bookmarkStart w:id="117" w:name="_Toc247085693"/>
      <w:bookmarkStart w:id="118" w:name="_Toc489197811"/>
      <w:bookmarkStart w:id="119" w:name="_Toc528186456"/>
      <w:bookmarkStart w:id="120" w:name="_Toc2077"/>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投标人资格要求</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Pr>
          <w:rFonts w:hint="eastAsia" w:ascii="仿宋" w:hAnsi="仿宋" w:eastAsia="仿宋" w:cs="仿宋"/>
          <w:b/>
          <w:bCs/>
          <w:color w:val="auto"/>
          <w:sz w:val="28"/>
          <w:szCs w:val="28"/>
        </w:rPr>
        <w:t>及其他要求</w:t>
      </w:r>
    </w:p>
    <w:p w14:paraId="3EB913EE">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eastAsia="zh-CN"/>
        </w:rPr>
      </w:pPr>
      <w:bookmarkStart w:id="121" w:name="_Toc246996923"/>
      <w:bookmarkStart w:id="122" w:name="_Toc296602425"/>
      <w:bookmarkStart w:id="123" w:name="_Toc144974503"/>
      <w:bookmarkStart w:id="124" w:name="_Toc247085694"/>
      <w:bookmarkStart w:id="125" w:name="_Toc246996180"/>
      <w:bookmarkStart w:id="126" w:name="_Toc179632552"/>
      <w:bookmarkStart w:id="127" w:name="_Toc152045535"/>
      <w:bookmarkStart w:id="128" w:name="_Toc152042311"/>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满足《中华人民共和国政府采购法》第二十二条规定：</w:t>
      </w:r>
      <w:r>
        <w:rPr>
          <w:rFonts w:hint="eastAsia" w:ascii="仿宋" w:hAnsi="仿宋" w:eastAsia="仿宋" w:cs="仿宋"/>
          <w:color w:val="auto"/>
          <w:sz w:val="24"/>
          <w:szCs w:val="24"/>
          <w:highlight w:val="none"/>
        </w:rPr>
        <w:t>详见</w:t>
      </w:r>
      <w:r>
        <w:rPr>
          <w:rFonts w:hint="eastAsia" w:ascii="仿宋" w:hAnsi="仿宋" w:eastAsia="仿宋" w:cs="仿宋"/>
          <w:b/>
          <w:bCs/>
          <w:color w:val="auto"/>
          <w:sz w:val="24"/>
          <w:szCs w:val="24"/>
          <w:highlight w:val="none"/>
        </w:rPr>
        <w:t>《投标人须知前附表》</w:t>
      </w:r>
      <w:r>
        <w:rPr>
          <w:rFonts w:hint="eastAsia" w:ascii="仿宋" w:hAnsi="仿宋" w:eastAsia="仿宋" w:cs="仿宋"/>
          <w:b/>
          <w:bCs/>
          <w:color w:val="auto"/>
          <w:sz w:val="24"/>
          <w:szCs w:val="24"/>
          <w:highlight w:val="none"/>
          <w:lang w:eastAsia="zh-CN"/>
        </w:rPr>
        <w:t>。</w:t>
      </w:r>
    </w:p>
    <w:p w14:paraId="2227E288">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落实采购政策需满足的资格要求：</w:t>
      </w:r>
      <w:r>
        <w:rPr>
          <w:rFonts w:hint="eastAsia" w:ascii="仿宋" w:hAnsi="仿宋" w:eastAsia="仿宋" w:cs="仿宋"/>
          <w:color w:val="auto"/>
          <w:sz w:val="24"/>
          <w:szCs w:val="24"/>
          <w:highlight w:val="none"/>
        </w:rPr>
        <w:t>详见</w:t>
      </w:r>
      <w:r>
        <w:rPr>
          <w:rFonts w:hint="eastAsia" w:ascii="仿宋" w:hAnsi="仿宋" w:eastAsia="仿宋" w:cs="仿宋"/>
          <w:b/>
          <w:bCs/>
          <w:color w:val="auto"/>
          <w:sz w:val="24"/>
          <w:szCs w:val="24"/>
          <w:highlight w:val="none"/>
        </w:rPr>
        <w:t>《投标人须知前附表》</w:t>
      </w:r>
      <w:r>
        <w:rPr>
          <w:rFonts w:hint="eastAsia" w:ascii="仿宋" w:hAnsi="仿宋" w:eastAsia="仿宋" w:cs="仿宋"/>
          <w:b/>
          <w:bCs/>
          <w:color w:val="auto"/>
          <w:sz w:val="24"/>
          <w:szCs w:val="24"/>
          <w:highlight w:val="none"/>
          <w:lang w:eastAsia="zh-CN"/>
        </w:rPr>
        <w:t>。</w:t>
      </w:r>
    </w:p>
    <w:p w14:paraId="13D2E16A">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本项目的特定资格要求：</w:t>
      </w:r>
      <w:r>
        <w:rPr>
          <w:rFonts w:hint="eastAsia" w:ascii="仿宋" w:hAnsi="仿宋" w:eastAsia="仿宋" w:cs="仿宋"/>
          <w:color w:val="auto"/>
          <w:sz w:val="24"/>
          <w:szCs w:val="24"/>
          <w:highlight w:val="none"/>
        </w:rPr>
        <w:t>详见</w:t>
      </w:r>
      <w:r>
        <w:rPr>
          <w:rFonts w:hint="eastAsia" w:ascii="仿宋" w:hAnsi="仿宋" w:eastAsia="仿宋" w:cs="仿宋"/>
          <w:b/>
          <w:bCs/>
          <w:color w:val="auto"/>
          <w:sz w:val="24"/>
          <w:szCs w:val="24"/>
          <w:highlight w:val="none"/>
        </w:rPr>
        <w:t>《投标人须知前附表》</w:t>
      </w:r>
      <w:r>
        <w:rPr>
          <w:rFonts w:hint="eastAsia" w:ascii="仿宋" w:hAnsi="仿宋" w:eastAsia="仿宋" w:cs="仿宋"/>
          <w:b/>
          <w:bCs/>
          <w:color w:val="auto"/>
          <w:sz w:val="24"/>
          <w:szCs w:val="24"/>
          <w:highlight w:val="none"/>
          <w:lang w:eastAsia="zh-CN"/>
        </w:rPr>
        <w:t>。</w:t>
      </w:r>
    </w:p>
    <w:p w14:paraId="4851962E">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 联合体要求：</w:t>
      </w:r>
      <w:r>
        <w:rPr>
          <w:rFonts w:hint="eastAsia" w:ascii="仿宋" w:hAnsi="仿宋" w:eastAsia="仿宋" w:cs="仿宋"/>
          <w:color w:val="auto"/>
          <w:sz w:val="24"/>
          <w:szCs w:val="24"/>
          <w:highlight w:val="none"/>
        </w:rPr>
        <w:t>详见</w:t>
      </w:r>
      <w:r>
        <w:rPr>
          <w:rFonts w:hint="eastAsia" w:ascii="仿宋" w:hAnsi="仿宋" w:eastAsia="仿宋" w:cs="仿宋"/>
          <w:b/>
          <w:bCs/>
          <w:color w:val="auto"/>
          <w:sz w:val="24"/>
          <w:szCs w:val="24"/>
          <w:highlight w:val="none"/>
        </w:rPr>
        <w:t>《投标人须知前附表》</w:t>
      </w:r>
      <w:r>
        <w:rPr>
          <w:rFonts w:hint="eastAsia" w:ascii="仿宋" w:hAnsi="仿宋" w:eastAsia="仿宋" w:cs="仿宋"/>
          <w:b/>
          <w:bCs/>
          <w:color w:val="auto"/>
          <w:sz w:val="24"/>
          <w:szCs w:val="24"/>
          <w:highlight w:val="none"/>
          <w:lang w:eastAsia="zh-CN"/>
        </w:rPr>
        <w:t>。</w:t>
      </w:r>
    </w:p>
    <w:p w14:paraId="456E6B1E">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3.4.1 </w:t>
      </w:r>
      <w:r>
        <w:rPr>
          <w:rFonts w:hint="eastAsia" w:ascii="仿宋" w:hAnsi="仿宋" w:eastAsia="仿宋" w:cs="仿宋"/>
          <w:b/>
          <w:bCs/>
          <w:color w:val="auto"/>
          <w:sz w:val="24"/>
          <w:szCs w:val="24"/>
          <w:highlight w:val="none"/>
        </w:rPr>
        <w:t>《投标人须知前附表》</w:t>
      </w:r>
      <w:r>
        <w:rPr>
          <w:rFonts w:hint="eastAsia" w:ascii="仿宋" w:hAnsi="仿宋" w:eastAsia="仿宋" w:cs="仿宋"/>
          <w:color w:val="auto"/>
          <w:sz w:val="24"/>
          <w:szCs w:val="24"/>
          <w:highlight w:val="none"/>
        </w:rPr>
        <w:t>规定接受联合体投标的，联合体各方还应遵守以下规定：</w:t>
      </w:r>
    </w:p>
    <w:p w14:paraId="1D36C35E">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）两个以上的自然人、法人或者其他组织可以组成一个联合体，以一个投标人的身份共同参加投标。</w:t>
      </w:r>
    </w:p>
    <w:p w14:paraId="172E1806">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）参加联合体的供应商均应当具备</w:t>
      </w:r>
      <w:r>
        <w:rPr>
          <w:rFonts w:hint="eastAsia" w:ascii="仿宋" w:hAnsi="仿宋" w:eastAsia="仿宋" w:cs="仿宋"/>
          <w:color w:val="auto"/>
          <w:sz w:val="24"/>
          <w:szCs w:val="24"/>
          <w:highlight w:val="none"/>
          <w:lang w:val="en-US" w:eastAsia="zh-CN"/>
        </w:rPr>
        <w:t>上述“3·1”“3·2”“3·3”</w:t>
      </w:r>
      <w:r>
        <w:rPr>
          <w:rFonts w:hint="eastAsia" w:ascii="仿宋" w:hAnsi="仿宋" w:eastAsia="仿宋" w:cs="仿宋"/>
          <w:color w:val="auto"/>
          <w:sz w:val="24"/>
          <w:szCs w:val="24"/>
          <w:highlight w:val="none"/>
          <w:lang w:eastAsia="zh-CN"/>
        </w:rPr>
        <w:t>规定的条件，并应当向招标人提交联合协议，载明联合体各方承担的工作和义务。</w:t>
      </w:r>
      <w:r>
        <w:rPr>
          <w:rFonts w:hint="eastAsia" w:ascii="仿宋" w:hAnsi="仿宋" w:eastAsia="仿宋" w:cs="仿宋"/>
          <w:color w:val="auto"/>
          <w:sz w:val="24"/>
          <w:szCs w:val="24"/>
          <w:highlight w:val="none"/>
          <w:lang w:val="en-US" w:eastAsia="zh-CN"/>
        </w:rPr>
        <w:t>中标后，</w:t>
      </w:r>
      <w:r>
        <w:rPr>
          <w:rFonts w:hint="eastAsia" w:ascii="仿宋" w:hAnsi="仿宋" w:eastAsia="仿宋" w:cs="仿宋"/>
          <w:color w:val="auto"/>
          <w:sz w:val="24"/>
          <w:szCs w:val="24"/>
          <w:highlight w:val="none"/>
          <w:lang w:eastAsia="zh-CN"/>
        </w:rPr>
        <w:t>联合体各方应当共同与招标人签订采购合同，就采购合同约定的事项对招标人承担连带责任。</w:t>
      </w:r>
    </w:p>
    <w:p w14:paraId="188B25CA">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联合体中有同类资质的供应商按照联合体分工承担相同工作的，按照资质等级较低的供应商确定资质等级。以联合体形式参加政府采购活动的，联合体各方不得再单独参加或者与其他供应商另外组成联合体参加同一合同项下的政府采购活动。</w:t>
      </w:r>
    </w:p>
    <w:p w14:paraId="7C05D0F0">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129" w:name="_Toc489197812"/>
      <w:bookmarkStart w:id="130" w:name="_Toc528186457"/>
      <w:bookmarkStart w:id="131" w:name="_Toc489145708"/>
      <w:bookmarkStart w:id="132" w:name="_Toc7517"/>
      <w:bookmarkStart w:id="133" w:name="_Toc9786"/>
      <w:bookmarkStart w:id="134" w:name="_Toc29381"/>
      <w:r>
        <w:rPr>
          <w:rFonts w:hint="eastAsia" w:ascii="仿宋" w:hAnsi="仿宋" w:eastAsia="仿宋" w:cs="仿宋"/>
          <w:b/>
          <w:bCs/>
          <w:color w:val="auto"/>
          <w:sz w:val="28"/>
          <w:szCs w:val="28"/>
          <w:lang w:val="en-US" w:eastAsia="zh-CN"/>
        </w:rPr>
        <w:t>4.费用承担</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0D2D6D2B">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.1不论投标结果如何，投标人均应自行承担所有与准备和参加投标活动有关的全部费用。</w:t>
      </w:r>
    </w:p>
    <w:p w14:paraId="65DD49F3">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135" w:name="_Toc25690"/>
      <w:bookmarkStart w:id="136" w:name="_Toc14617"/>
      <w:bookmarkStart w:id="137" w:name="_Toc29767"/>
      <w:bookmarkStart w:id="138" w:name="_Toc489197813"/>
      <w:bookmarkStart w:id="139" w:name="_Toc528186458"/>
      <w:bookmarkStart w:id="140" w:name="_Toc489145709"/>
      <w:r>
        <w:rPr>
          <w:rFonts w:hint="eastAsia" w:ascii="仿宋" w:hAnsi="仿宋" w:eastAsia="仿宋" w:cs="仿宋"/>
          <w:b/>
          <w:bCs/>
          <w:color w:val="auto"/>
          <w:sz w:val="28"/>
          <w:szCs w:val="28"/>
          <w:lang w:val="en-US" w:eastAsia="zh-CN"/>
        </w:rPr>
        <w:t>5.现场考察</w:t>
      </w:r>
      <w:bookmarkEnd w:id="135"/>
      <w:bookmarkEnd w:id="136"/>
      <w:bookmarkEnd w:id="137"/>
      <w:bookmarkEnd w:id="138"/>
      <w:bookmarkEnd w:id="139"/>
      <w:bookmarkEnd w:id="140"/>
    </w:p>
    <w:p w14:paraId="215CC319">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bCs/>
          <w:color w:val="auto"/>
          <w:sz w:val="24"/>
          <w:szCs w:val="24"/>
          <w:highlight w:val="none"/>
        </w:rPr>
        <w:t>《投标人须知前附表》</w:t>
      </w:r>
      <w:r>
        <w:rPr>
          <w:rFonts w:hint="eastAsia" w:ascii="仿宋" w:hAnsi="仿宋" w:eastAsia="仿宋" w:cs="仿宋"/>
          <w:color w:val="auto"/>
          <w:sz w:val="24"/>
          <w:szCs w:val="24"/>
          <w:highlight w:val="none"/>
        </w:rPr>
        <w:t>规定组织现场考察的，</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按规定的时间、集中地点组织潜在投标人进行现场考察。</w:t>
      </w:r>
    </w:p>
    <w:p w14:paraId="69F78F34">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现场考察所发生的费用由潜在投标人自理。</w:t>
      </w:r>
    </w:p>
    <w:p w14:paraId="57058124">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潜在投标人自行负责在现场考察</w:t>
      </w:r>
      <w:r>
        <w:rPr>
          <w:rFonts w:hint="eastAsia" w:ascii="仿宋" w:hAnsi="仿宋" w:eastAsia="仿宋" w:cs="仿宋"/>
          <w:color w:val="auto"/>
          <w:sz w:val="24"/>
          <w:szCs w:val="24"/>
          <w:highlight w:val="none"/>
          <w:lang w:eastAsia="zh-CN"/>
        </w:rPr>
        <w:t>中可能</w:t>
      </w:r>
      <w:r>
        <w:rPr>
          <w:rFonts w:hint="eastAsia" w:ascii="仿宋" w:hAnsi="仿宋" w:eastAsia="仿宋" w:cs="仿宋"/>
          <w:color w:val="auto"/>
          <w:sz w:val="24"/>
          <w:szCs w:val="24"/>
          <w:highlight w:val="none"/>
        </w:rPr>
        <w:t>发生的</w:t>
      </w:r>
      <w:r>
        <w:rPr>
          <w:rFonts w:hint="eastAsia" w:ascii="仿宋" w:hAnsi="仿宋" w:eastAsia="仿宋" w:cs="仿宋"/>
          <w:color w:val="auto"/>
          <w:sz w:val="24"/>
          <w:szCs w:val="24"/>
          <w:highlight w:val="none"/>
          <w:lang w:eastAsia="zh-CN"/>
        </w:rPr>
        <w:t>一切安全或经济</w:t>
      </w:r>
      <w:r>
        <w:rPr>
          <w:rFonts w:hint="eastAsia" w:ascii="仿宋" w:hAnsi="仿宋" w:eastAsia="仿宋" w:cs="仿宋"/>
          <w:color w:val="auto"/>
          <w:sz w:val="24"/>
          <w:szCs w:val="24"/>
          <w:highlight w:val="none"/>
        </w:rPr>
        <w:t>损失。</w:t>
      </w:r>
    </w:p>
    <w:p w14:paraId="5F87C9CE">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在现场考察中介绍的项目场地和相关的周边环境情况，供潜在投标人在编制投标文件时参考，</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不对潜在投标人据此作出的判断和决策负责。</w:t>
      </w:r>
    </w:p>
    <w:p w14:paraId="63D3DA52">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141" w:name="_Toc26130"/>
      <w:bookmarkStart w:id="142" w:name="_Toc27813"/>
      <w:bookmarkStart w:id="143" w:name="_Toc23342"/>
      <w:bookmarkStart w:id="144" w:name="_Toc528186459"/>
      <w:bookmarkStart w:id="145" w:name="_Toc489145710"/>
      <w:bookmarkStart w:id="146" w:name="_Toc489197814"/>
      <w:r>
        <w:rPr>
          <w:rFonts w:hint="eastAsia" w:ascii="仿宋" w:hAnsi="仿宋" w:eastAsia="仿宋" w:cs="仿宋"/>
          <w:b/>
          <w:bCs/>
          <w:color w:val="auto"/>
          <w:sz w:val="28"/>
          <w:szCs w:val="28"/>
          <w:lang w:val="en-US" w:eastAsia="zh-CN"/>
        </w:rPr>
        <w:t>6.开标前答疑会</w:t>
      </w:r>
      <w:bookmarkEnd w:id="141"/>
      <w:bookmarkEnd w:id="142"/>
      <w:bookmarkEnd w:id="143"/>
      <w:bookmarkEnd w:id="144"/>
      <w:bookmarkEnd w:id="145"/>
      <w:bookmarkEnd w:id="146"/>
    </w:p>
    <w:p w14:paraId="3E2C87BB">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bCs/>
          <w:color w:val="auto"/>
          <w:sz w:val="24"/>
          <w:szCs w:val="24"/>
          <w:highlight w:val="none"/>
        </w:rPr>
        <w:t>《投标人须知前附表》</w:t>
      </w:r>
      <w:r>
        <w:rPr>
          <w:rFonts w:hint="eastAsia" w:ascii="仿宋" w:hAnsi="仿宋" w:eastAsia="仿宋" w:cs="仿宋"/>
          <w:color w:val="auto"/>
          <w:sz w:val="24"/>
          <w:szCs w:val="24"/>
          <w:highlight w:val="none"/>
        </w:rPr>
        <w:t>规定召开开标前答疑会的，</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按规定的时间和地点召开开标前答疑会，书面澄清潜在投标人提出的问题。</w:t>
      </w:r>
    </w:p>
    <w:p w14:paraId="4F927946">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7.询问</w:t>
      </w:r>
    </w:p>
    <w:p w14:paraId="664EF919">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投标人应认真阅读招标文件，如有疑问的，投标人可以向</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提出询问，</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在接到询问后的3个工作日内对投标人依法提出的询问作出答复，但答复的内容不涉及商业秘密。</w:t>
      </w:r>
    </w:p>
    <w:p w14:paraId="7BCB2FBB">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招标文件询问联系方式：详见</w:t>
      </w:r>
      <w:r>
        <w:rPr>
          <w:rFonts w:hint="eastAsia" w:ascii="仿宋" w:hAnsi="仿宋" w:eastAsia="仿宋" w:cs="仿宋"/>
          <w:b/>
          <w:bCs/>
          <w:color w:val="auto"/>
          <w:sz w:val="24"/>
          <w:szCs w:val="24"/>
          <w:highlight w:val="none"/>
        </w:rPr>
        <w:t>《投标人须知前附表》</w:t>
      </w:r>
      <w:r>
        <w:rPr>
          <w:rFonts w:hint="eastAsia" w:ascii="仿宋" w:hAnsi="仿宋" w:eastAsia="仿宋" w:cs="仿宋"/>
          <w:color w:val="auto"/>
          <w:sz w:val="24"/>
          <w:szCs w:val="24"/>
          <w:highlight w:val="none"/>
        </w:rPr>
        <w:t>。</w:t>
      </w:r>
    </w:p>
    <w:p w14:paraId="3548AE52">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147" w:name="_Toc528186460"/>
      <w:bookmarkStart w:id="148" w:name="_Toc4930"/>
      <w:bookmarkStart w:id="149" w:name="_Toc2280"/>
      <w:bookmarkStart w:id="150" w:name="_Toc489197815"/>
      <w:bookmarkStart w:id="151" w:name="_Toc489145711"/>
      <w:bookmarkStart w:id="152" w:name="_Toc24436"/>
      <w:r>
        <w:rPr>
          <w:rFonts w:hint="eastAsia" w:ascii="仿宋" w:hAnsi="仿宋" w:eastAsia="仿宋" w:cs="仿宋"/>
          <w:b/>
          <w:bCs/>
          <w:color w:val="auto"/>
          <w:sz w:val="28"/>
          <w:szCs w:val="28"/>
          <w:lang w:val="en-US" w:eastAsia="zh-CN"/>
        </w:rPr>
        <w:t>8.质疑</w:t>
      </w:r>
      <w:bookmarkEnd w:id="147"/>
      <w:bookmarkEnd w:id="148"/>
      <w:bookmarkEnd w:id="149"/>
      <w:bookmarkEnd w:id="150"/>
      <w:bookmarkEnd w:id="151"/>
      <w:bookmarkEnd w:id="152"/>
    </w:p>
    <w:p w14:paraId="6735269C">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bookmarkStart w:id="153" w:name="_Toc489145712"/>
      <w:bookmarkStart w:id="154" w:name="_Toc489197816"/>
      <w:r>
        <w:rPr>
          <w:rFonts w:hint="eastAsia" w:ascii="仿宋" w:hAnsi="仿宋" w:eastAsia="仿宋" w:cs="仿宋"/>
          <w:color w:val="auto"/>
          <w:sz w:val="24"/>
          <w:szCs w:val="24"/>
          <w:highlight w:val="none"/>
        </w:rPr>
        <w:t>8.1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投标人认为招标文件、采购过程、中标结果使自己的权益受到损害的，可以在知道或者应知其权益受到损害之日起7个工作日内，以书面形式向</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提出质疑。投标人应在法定质疑期内一次性提出针对同一采购程序环节的质疑，否则</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有权拒收。</w:t>
      </w:r>
    </w:p>
    <w:p w14:paraId="77F09D03">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招标文件第二章《投标人须知</w:t>
      </w:r>
      <w:r>
        <w:rPr>
          <w:rFonts w:hint="eastAsia" w:ascii="仿宋" w:hAnsi="仿宋" w:eastAsia="仿宋" w:cs="仿宋"/>
          <w:color w:val="auto"/>
          <w:sz w:val="24"/>
          <w:szCs w:val="24"/>
          <w:highlight w:val="none"/>
          <w:lang w:eastAsia="zh-CN"/>
        </w:rPr>
        <w:t>》第</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条中“知道或者应知其权益受到损害之日”是指：</w:t>
      </w:r>
    </w:p>
    <w:p w14:paraId="0FD7C33B">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）对可以质疑的</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提出质疑的，为收到</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之日或者</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公告期限届满之日；</w:t>
      </w:r>
    </w:p>
    <w:p w14:paraId="1FE369C4">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）对采购过程提出质疑的，为各采购程序环节结束之日；</w:t>
      </w:r>
    </w:p>
    <w:p w14:paraId="51761A91">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）对中标或者成交结果提出质疑的，为中标或者成交结果公告期限届满之日。</w:t>
      </w:r>
    </w:p>
    <w:p w14:paraId="62FFF375">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投标人可以委托代理人进行质疑。其授权委托书应当载明代理人的姓名或者名称、代理事项、具体权限、期限和相关事项。投标人为自然人的，应当由本人签字；投标人为法人或者其他组织的，应当由</w:t>
      </w:r>
      <w:r>
        <w:rPr>
          <w:rFonts w:hint="eastAsia" w:ascii="仿宋" w:hAnsi="仿宋" w:eastAsia="仿宋" w:cs="仿宋"/>
          <w:color w:val="auto"/>
          <w:sz w:val="24"/>
          <w:szCs w:val="24"/>
          <w:highlight w:val="none"/>
          <w:lang w:eastAsia="zh-CN"/>
        </w:rPr>
        <w:t>法定代表人（负责人）</w:t>
      </w:r>
      <w:r>
        <w:rPr>
          <w:rFonts w:hint="eastAsia" w:ascii="仿宋" w:hAnsi="仿宋" w:eastAsia="仿宋" w:cs="仿宋"/>
          <w:color w:val="auto"/>
          <w:sz w:val="24"/>
          <w:szCs w:val="24"/>
          <w:highlight w:val="none"/>
        </w:rPr>
        <w:t>、主要负责人签字或者盖章，并加盖公章。代理人提出质疑，应当提交投标人签署的授权委托书。</w:t>
      </w:r>
    </w:p>
    <w:p w14:paraId="57EC7830">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提出质疑的投标人应当是参与</w:t>
      </w:r>
      <w:r>
        <w:rPr>
          <w:rFonts w:hint="eastAsia" w:ascii="仿宋" w:hAnsi="仿宋" w:eastAsia="仿宋" w:cs="仿宋"/>
          <w:color w:val="auto"/>
          <w:sz w:val="24"/>
          <w:szCs w:val="24"/>
          <w:highlight w:val="none"/>
          <w:lang w:eastAsia="zh-CN"/>
        </w:rPr>
        <w:t>本</w:t>
      </w:r>
      <w:r>
        <w:rPr>
          <w:rFonts w:hint="eastAsia" w:ascii="仿宋" w:hAnsi="仿宋" w:eastAsia="仿宋" w:cs="仿宋"/>
          <w:color w:val="auto"/>
          <w:sz w:val="24"/>
          <w:szCs w:val="24"/>
          <w:highlight w:val="none"/>
        </w:rPr>
        <w:t>项目采购活动的投标人。</w:t>
      </w:r>
    </w:p>
    <w:p w14:paraId="0E1A2126">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8.4</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人提出质疑应符合《政府采购质疑和投诉办法》（中华人民共和国财政部令第94号）和财政部《政府采购投标人质疑函范本》的规定。投标人提出质疑应当提交质疑函和必要的证明材料。质疑函应当包括下列内容：</w:t>
      </w:r>
    </w:p>
    <w:p w14:paraId="0D5A76CD">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）投标人的姓名或者名称、地址、邮编、联系人及联系电话；</w:t>
      </w:r>
    </w:p>
    <w:p w14:paraId="1F32F602">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）质疑项目的名称、编号；</w:t>
      </w:r>
    </w:p>
    <w:p w14:paraId="5FE82FBE">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）具体、明确的质疑事项和与质疑事项相关的请求；</w:t>
      </w:r>
    </w:p>
    <w:p w14:paraId="7D419245">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）事实依据；</w:t>
      </w:r>
    </w:p>
    <w:p w14:paraId="0140005F">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）必要的法律依据；</w:t>
      </w:r>
    </w:p>
    <w:p w14:paraId="64959DAD">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）提出质疑的日期。</w:t>
      </w:r>
    </w:p>
    <w:p w14:paraId="33DD8F43">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投标人为自然人的，应当由本人签字；投标人为法人或者其他组织的，应当由</w:t>
      </w:r>
      <w:r>
        <w:rPr>
          <w:rFonts w:hint="eastAsia" w:ascii="仿宋" w:hAnsi="仿宋" w:eastAsia="仿宋" w:cs="仿宋"/>
          <w:color w:val="auto"/>
          <w:sz w:val="24"/>
          <w:szCs w:val="24"/>
          <w:highlight w:val="none"/>
          <w:lang w:eastAsia="zh-CN"/>
        </w:rPr>
        <w:t>法定代表人（负责人）</w:t>
      </w:r>
      <w:r>
        <w:rPr>
          <w:rFonts w:hint="eastAsia" w:ascii="仿宋" w:hAnsi="仿宋" w:eastAsia="仿宋" w:cs="仿宋"/>
          <w:color w:val="auto"/>
          <w:sz w:val="24"/>
          <w:szCs w:val="24"/>
          <w:highlight w:val="none"/>
        </w:rPr>
        <w:t>、主要负责人，或者其授权代表签字或者盖章，并加盖公章。以联合体形式参加政府采购活动的，其</w:t>
      </w:r>
      <w:r>
        <w:rPr>
          <w:rFonts w:hint="eastAsia" w:ascii="仿宋" w:hAnsi="仿宋" w:eastAsia="仿宋" w:cs="仿宋"/>
          <w:color w:val="auto"/>
          <w:sz w:val="24"/>
          <w:szCs w:val="24"/>
          <w:highlight w:val="none"/>
          <w:lang w:val="en-US" w:eastAsia="zh-CN"/>
        </w:rPr>
        <w:t>质疑</w:t>
      </w:r>
      <w:r>
        <w:rPr>
          <w:rFonts w:hint="eastAsia" w:ascii="仿宋" w:hAnsi="仿宋" w:eastAsia="仿宋" w:cs="仿宋"/>
          <w:color w:val="auto"/>
          <w:sz w:val="24"/>
          <w:szCs w:val="24"/>
          <w:highlight w:val="none"/>
        </w:rPr>
        <w:t>应当由组成联合体的所有供应商共同提出</w:t>
      </w:r>
      <w:r>
        <w:rPr>
          <w:rFonts w:hint="eastAsia" w:ascii="仿宋" w:hAnsi="仿宋" w:eastAsia="仿宋" w:cs="仿宋"/>
          <w:color w:val="auto"/>
          <w:sz w:val="24"/>
          <w:szCs w:val="24"/>
          <w:highlight w:val="none"/>
          <w:lang w:eastAsia="zh-CN"/>
        </w:rPr>
        <w:t>。</w:t>
      </w:r>
    </w:p>
    <w:p w14:paraId="4499E40E">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8.5</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投标人不得捏造事实、提供虚假材料或者以非法手段取得证明材料。</w:t>
      </w:r>
    </w:p>
    <w:p w14:paraId="2CE16DA7">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8.6</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质疑函应当使用中文。相关当事人提供外文书证或者外国语视听资料的，应当附有中文译本，由翻译机构盖章或者翻译人员签名。</w:t>
      </w:r>
    </w:p>
    <w:p w14:paraId="06882AA4">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8.7</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将在收到投标人质疑函后七个工作日内作出答复，但质疑答复的内容不涉及商业秘密。</w:t>
      </w:r>
    </w:p>
    <w:p w14:paraId="068599AE">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8.8</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投标人对评审过程、中标结果提出质疑的，</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可以组织原评标委员会协助答复质疑。质疑答复导致中标结果改变的，</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会将有关情况书面报告本级财政部门。</w:t>
      </w:r>
    </w:p>
    <w:p w14:paraId="699C562F">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8.9</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接收质疑函的方式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部门、联系方式及地点</w:t>
      </w:r>
      <w:r>
        <w:rPr>
          <w:rFonts w:hint="eastAsia" w:ascii="仿宋" w:hAnsi="仿宋" w:eastAsia="仿宋" w:cs="仿宋"/>
          <w:color w:val="auto"/>
          <w:sz w:val="24"/>
          <w:szCs w:val="24"/>
          <w:highlight w:val="none"/>
        </w:rPr>
        <w:t>：详见</w:t>
      </w:r>
      <w:r>
        <w:rPr>
          <w:rFonts w:hint="eastAsia" w:ascii="仿宋" w:hAnsi="仿宋" w:eastAsia="仿宋" w:cs="仿宋"/>
          <w:b/>
          <w:bCs/>
          <w:color w:val="auto"/>
          <w:sz w:val="24"/>
          <w:szCs w:val="24"/>
          <w:highlight w:val="none"/>
        </w:rPr>
        <w:t>《投标人须知前附表》</w:t>
      </w:r>
      <w:r>
        <w:rPr>
          <w:rFonts w:hint="eastAsia" w:ascii="仿宋" w:hAnsi="仿宋" w:eastAsia="仿宋" w:cs="仿宋"/>
          <w:color w:val="auto"/>
          <w:sz w:val="24"/>
          <w:szCs w:val="24"/>
          <w:highlight w:val="none"/>
          <w:lang w:eastAsia="zh-CN"/>
        </w:rPr>
        <w:t>。</w:t>
      </w:r>
    </w:p>
    <w:p w14:paraId="4C791D03">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155" w:name="_Toc23864"/>
      <w:bookmarkStart w:id="156" w:name="_Toc21886"/>
      <w:bookmarkStart w:id="157" w:name="_Toc528186461"/>
      <w:bookmarkStart w:id="158" w:name="_Toc12771"/>
      <w:r>
        <w:rPr>
          <w:rFonts w:hint="eastAsia" w:ascii="仿宋" w:hAnsi="仿宋" w:eastAsia="仿宋" w:cs="仿宋"/>
          <w:b/>
          <w:bCs/>
          <w:color w:val="auto"/>
          <w:sz w:val="28"/>
          <w:szCs w:val="28"/>
          <w:lang w:val="en-US" w:eastAsia="zh-CN"/>
        </w:rPr>
        <w:t>9.投诉</w:t>
      </w:r>
      <w:bookmarkEnd w:id="153"/>
      <w:bookmarkEnd w:id="154"/>
      <w:bookmarkEnd w:id="155"/>
      <w:bookmarkEnd w:id="156"/>
      <w:bookmarkEnd w:id="157"/>
      <w:bookmarkEnd w:id="158"/>
    </w:p>
    <w:p w14:paraId="2CC5AD56">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9.1投诉必须首先经过质疑程序。质疑人对</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的答复不满意，或者</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未在规定的时间内</w:t>
      </w:r>
      <w:r>
        <w:rPr>
          <w:rFonts w:hint="eastAsia" w:ascii="仿宋" w:hAnsi="仿宋" w:eastAsia="仿宋" w:cs="仿宋"/>
          <w:color w:val="auto"/>
          <w:sz w:val="24"/>
          <w:szCs w:val="24"/>
          <w:highlight w:val="none"/>
          <w:lang w:eastAsia="zh-CN"/>
        </w:rPr>
        <w:t>作出</w:t>
      </w:r>
      <w:r>
        <w:rPr>
          <w:rFonts w:hint="eastAsia" w:ascii="仿宋" w:hAnsi="仿宋" w:eastAsia="仿宋" w:cs="仿宋"/>
          <w:color w:val="auto"/>
          <w:sz w:val="24"/>
          <w:szCs w:val="24"/>
          <w:highlight w:val="none"/>
        </w:rPr>
        <w:t>答复的，可以在答复期满后十五个工作日内书面向同级财政部门提出投诉。以联合体形式参加政府采购活动的，其投诉应当由组成联合体的所有供应商共同提出</w:t>
      </w:r>
      <w:r>
        <w:rPr>
          <w:rFonts w:hint="eastAsia" w:ascii="仿宋" w:hAnsi="仿宋" w:eastAsia="仿宋" w:cs="仿宋"/>
          <w:color w:val="auto"/>
          <w:sz w:val="24"/>
          <w:szCs w:val="24"/>
          <w:highlight w:val="none"/>
          <w:lang w:eastAsia="zh-CN"/>
        </w:rPr>
        <w:t>。</w:t>
      </w:r>
    </w:p>
    <w:p w14:paraId="54E8E3CE">
      <w:pPr>
        <w:pStyle w:val="11"/>
        <w:pageBreakBefore w:val="0"/>
        <w:topLinePunct w:val="0"/>
        <w:bidi w:val="0"/>
        <w:spacing w:beforeAutospacing="0" w:afterAutospacing="0" w:line="360" w:lineRule="auto"/>
        <w:ind w:left="0" w:leftChars="0" w:right="0" w:rightChars="0" w:firstLine="480" w:firstLineChars="200"/>
        <w:rPr>
          <w:rFonts w:hint="eastAsia" w:ascii="仿宋" w:hAnsi="仿宋" w:eastAsia="仿宋" w:cs="仿宋"/>
          <w:color w:val="auto"/>
        </w:rPr>
      </w:pPr>
    </w:p>
    <w:p w14:paraId="658B6837">
      <w:pPr>
        <w:pStyle w:val="3"/>
        <w:pageBreakBefore w:val="0"/>
        <w:shd w:val="clear"/>
        <w:topLinePunct w:val="0"/>
        <w:bidi w:val="0"/>
        <w:spacing w:beforeAutospacing="0" w:afterAutospacing="0" w:line="360" w:lineRule="auto"/>
        <w:ind w:left="0" w:leftChars="0" w:right="0" w:rightChars="0" w:firstLine="600" w:firstLineChars="200"/>
        <w:jc w:val="center"/>
        <w:outlineLvl w:val="1"/>
        <w:rPr>
          <w:rFonts w:hint="eastAsia" w:ascii="仿宋" w:hAnsi="仿宋" w:eastAsia="仿宋" w:cs="仿宋"/>
          <w:color w:val="auto"/>
          <w:sz w:val="30"/>
          <w:szCs w:val="30"/>
          <w:highlight w:val="none"/>
        </w:rPr>
      </w:pPr>
      <w:bookmarkStart w:id="159" w:name="_Toc17348"/>
      <w:bookmarkStart w:id="160" w:name="_Toc152042318"/>
      <w:bookmarkStart w:id="161" w:name="_Toc401342135"/>
      <w:bookmarkStart w:id="162" w:name="_Toc246996187"/>
      <w:bookmarkStart w:id="163" w:name="_Toc378239171"/>
      <w:bookmarkStart w:id="164" w:name="_Toc489145713"/>
      <w:bookmarkStart w:id="165" w:name="_Toc9914"/>
      <w:bookmarkStart w:id="166" w:name="_Toc4164"/>
      <w:bookmarkStart w:id="167" w:name="_Toc246996930"/>
      <w:bookmarkStart w:id="168" w:name="_Toc247085701"/>
      <w:bookmarkStart w:id="169" w:name="_Toc378239352"/>
      <w:bookmarkStart w:id="170" w:name="_Toc152045542"/>
      <w:bookmarkStart w:id="171" w:name="_Toc179632560"/>
      <w:bookmarkStart w:id="172" w:name="_Toc480817644"/>
      <w:bookmarkStart w:id="173" w:name="_Toc3542"/>
      <w:bookmarkStart w:id="174" w:name="_Toc489197817"/>
      <w:bookmarkStart w:id="175" w:name="_Toc144974510"/>
      <w:bookmarkStart w:id="176" w:name="_Toc378239079"/>
      <w:bookmarkStart w:id="177" w:name="_Toc528186462"/>
      <w:bookmarkStart w:id="178" w:name="_Toc16145"/>
      <w:bookmarkStart w:id="179" w:name="_Toc5721"/>
      <w:bookmarkStart w:id="180" w:name="_Toc488633605"/>
      <w:bookmarkStart w:id="181" w:name="_Toc1541"/>
      <w:bookmarkStart w:id="182" w:name="_Toc31081"/>
      <w:bookmarkStart w:id="183" w:name="_Toc296602432"/>
      <w:r>
        <w:rPr>
          <w:rFonts w:hint="eastAsia" w:ascii="仿宋" w:hAnsi="仿宋" w:eastAsia="仿宋" w:cs="仿宋"/>
          <w:color w:val="auto"/>
          <w:sz w:val="30"/>
          <w:szCs w:val="30"/>
          <w:highlight w:val="none"/>
        </w:rPr>
        <w:t>二、招标文件</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3D6D568">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184" w:name="_Toc489145714"/>
      <w:bookmarkStart w:id="185" w:name="_Toc246996188"/>
      <w:bookmarkStart w:id="186" w:name="_Toc152045543"/>
      <w:bookmarkStart w:id="187" w:name="_Toc246996931"/>
      <w:bookmarkStart w:id="188" w:name="_Toc179632561"/>
      <w:bookmarkStart w:id="189" w:name="_Toc247085702"/>
      <w:bookmarkStart w:id="190" w:name="_Toc152042319"/>
      <w:bookmarkStart w:id="191" w:name="_Toc489197818"/>
      <w:bookmarkStart w:id="192" w:name="_Toc144974511"/>
      <w:bookmarkStart w:id="193" w:name="_Toc296602433"/>
      <w:bookmarkStart w:id="194" w:name="_Toc23589"/>
      <w:bookmarkStart w:id="195" w:name="_Toc528186463"/>
      <w:bookmarkStart w:id="196" w:name="_Toc32708"/>
      <w:bookmarkStart w:id="197" w:name="_Toc25201"/>
      <w:r>
        <w:rPr>
          <w:rFonts w:hint="eastAsia" w:ascii="仿宋" w:hAnsi="仿宋" w:eastAsia="仿宋" w:cs="仿宋"/>
          <w:b/>
          <w:bCs/>
          <w:color w:val="auto"/>
          <w:sz w:val="28"/>
          <w:szCs w:val="28"/>
          <w:lang w:val="en-US" w:eastAsia="zh-CN"/>
        </w:rPr>
        <w:t>10.招标文件编制依据及适用范围</w:t>
      </w:r>
    </w:p>
    <w:p w14:paraId="004B4234">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10.1 本招标文件根据《中华人民共和国政府采购法》《中华人民共和国政府采购法实施条例》《政府采购货物和服务招标投标管理办法》（财政部令第87号）等有关法律法规编制，解释权属于招标人、采购代理机构。</w:t>
      </w:r>
    </w:p>
    <w:p w14:paraId="4F1E56D1">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10.2 本招标文件仅适用于本次招标公告中所叙述的项目。</w:t>
      </w:r>
    </w:p>
    <w:p w14:paraId="0726D85C">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11.</w:t>
      </w:r>
      <w:bookmarkEnd w:id="184"/>
      <w:bookmarkEnd w:id="185"/>
      <w:bookmarkEnd w:id="186"/>
      <w:bookmarkEnd w:id="187"/>
      <w:bookmarkEnd w:id="188"/>
      <w:bookmarkEnd w:id="189"/>
      <w:bookmarkEnd w:id="190"/>
      <w:bookmarkEnd w:id="191"/>
      <w:bookmarkEnd w:id="192"/>
      <w:bookmarkEnd w:id="193"/>
      <w:bookmarkStart w:id="198" w:name="_Toc489145715"/>
      <w:bookmarkStart w:id="199" w:name="_Toc489197819"/>
      <w:r>
        <w:rPr>
          <w:rFonts w:hint="eastAsia" w:ascii="仿宋" w:hAnsi="仿宋" w:eastAsia="仿宋" w:cs="仿宋"/>
          <w:b/>
          <w:bCs/>
          <w:color w:val="auto"/>
          <w:sz w:val="28"/>
          <w:szCs w:val="28"/>
          <w:lang w:val="en-US" w:eastAsia="zh-CN"/>
        </w:rPr>
        <w:t>招标文件的组成</w:t>
      </w:r>
      <w:bookmarkEnd w:id="194"/>
      <w:bookmarkEnd w:id="195"/>
      <w:bookmarkEnd w:id="196"/>
      <w:bookmarkEnd w:id="197"/>
      <w:bookmarkEnd w:id="198"/>
      <w:bookmarkEnd w:id="199"/>
    </w:p>
    <w:p w14:paraId="667D02FB">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要求提供的货物、采购过程及合同条款在招标文件中均有说明，招标文件共</w:t>
      </w:r>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章，各章的内容如下：</w:t>
      </w:r>
    </w:p>
    <w:p w14:paraId="6042B447">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招标公告</w:t>
      </w:r>
    </w:p>
    <w:p w14:paraId="6D1FB9F3">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投标人须知</w:t>
      </w:r>
    </w:p>
    <w:p w14:paraId="04142496">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合同书样式及主要条款</w:t>
      </w:r>
    </w:p>
    <w:p w14:paraId="743F8A7C">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投标文件格式</w:t>
      </w:r>
    </w:p>
    <w:p w14:paraId="166476CF">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采购需求</w:t>
      </w:r>
    </w:p>
    <w:p w14:paraId="6E557B14">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第六章</w:t>
      </w:r>
      <w:r>
        <w:rPr>
          <w:rFonts w:hint="eastAsia" w:ascii="仿宋" w:hAnsi="仿宋" w:eastAsia="仿宋" w:cs="仿宋"/>
          <w:color w:val="auto"/>
          <w:sz w:val="24"/>
          <w:szCs w:val="24"/>
          <w:highlight w:val="none"/>
          <w:lang w:val="en-US" w:eastAsia="zh-CN"/>
        </w:rPr>
        <w:t xml:space="preserve">  资格审查标准</w:t>
      </w:r>
    </w:p>
    <w:p w14:paraId="6EB21F3A">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评标方法</w:t>
      </w:r>
    </w:p>
    <w:p w14:paraId="421EAC27">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200" w:name="_Toc17717"/>
      <w:bookmarkStart w:id="201" w:name="_Toc144974512"/>
      <w:bookmarkStart w:id="202" w:name="_Toc489197820"/>
      <w:bookmarkStart w:id="203" w:name="_Toc246996932"/>
      <w:bookmarkStart w:id="204" w:name="_Toc528186464"/>
      <w:bookmarkStart w:id="205" w:name="_Toc11853"/>
      <w:bookmarkStart w:id="206" w:name="_Toc247085703"/>
      <w:bookmarkStart w:id="207" w:name="_Toc152045544"/>
      <w:bookmarkStart w:id="208" w:name="_Toc246996189"/>
      <w:bookmarkStart w:id="209" w:name="_Toc296602434"/>
      <w:bookmarkStart w:id="210" w:name="_Toc152042320"/>
      <w:bookmarkStart w:id="211" w:name="_Toc489145716"/>
      <w:bookmarkStart w:id="212" w:name="_Toc179632562"/>
      <w:bookmarkStart w:id="213" w:name="_Toc17915"/>
      <w:r>
        <w:rPr>
          <w:rFonts w:hint="eastAsia" w:ascii="仿宋" w:hAnsi="仿宋" w:eastAsia="仿宋" w:cs="仿宋"/>
          <w:b/>
          <w:bCs/>
          <w:color w:val="auto"/>
          <w:sz w:val="28"/>
          <w:szCs w:val="28"/>
          <w:lang w:val="en-US" w:eastAsia="zh-CN"/>
        </w:rPr>
        <w:t>12.招标文件澄清、修改</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2D9D668A">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b w:val="0"/>
          <w:bCs w:val="0"/>
          <w:color w:val="auto"/>
          <w:sz w:val="24"/>
          <w:szCs w:val="24"/>
          <w:highlight w:val="none"/>
        </w:rPr>
      </w:pPr>
      <w:bookmarkStart w:id="214" w:name="_Toc378239080"/>
      <w:bookmarkStart w:id="215" w:name="_Toc489197821"/>
      <w:bookmarkStart w:id="216" w:name="_Toc247085705"/>
      <w:bookmarkStart w:id="217" w:name="_Toc528186465"/>
      <w:bookmarkStart w:id="218" w:name="_Toc296602436"/>
      <w:bookmarkStart w:id="219" w:name="_Toc246996191"/>
      <w:bookmarkStart w:id="220" w:name="_Toc489145717"/>
      <w:bookmarkStart w:id="221" w:name="_Toc401342136"/>
      <w:bookmarkStart w:id="222" w:name="_Toc152045546"/>
      <w:bookmarkStart w:id="223" w:name="_Toc29509"/>
      <w:bookmarkStart w:id="224" w:name="_Toc246996934"/>
      <w:bookmarkStart w:id="225" w:name="_Toc179632564"/>
      <w:bookmarkStart w:id="226" w:name="_Toc488633606"/>
      <w:bookmarkStart w:id="227" w:name="_Toc480817645"/>
      <w:bookmarkStart w:id="228" w:name="_Toc152042322"/>
      <w:bookmarkStart w:id="229" w:name="_Toc378239172"/>
      <w:bookmarkStart w:id="230" w:name="_Toc144974514"/>
      <w:bookmarkStart w:id="231" w:name="_Toc378239353"/>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 xml:space="preserve">1 </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采购代理机构</w:t>
      </w:r>
      <w:r>
        <w:rPr>
          <w:rFonts w:hint="eastAsia" w:ascii="仿宋" w:hAnsi="仿宋" w:eastAsia="仿宋" w:cs="仿宋"/>
          <w:b w:val="0"/>
          <w:bCs w:val="0"/>
          <w:color w:val="auto"/>
          <w:sz w:val="24"/>
          <w:szCs w:val="24"/>
          <w:highlight w:val="none"/>
        </w:rPr>
        <w:t>可以对已发出的招标文件进行必要的澄清或者修改，</w:t>
      </w:r>
      <w:r>
        <w:rPr>
          <w:rFonts w:hint="eastAsia" w:ascii="仿宋" w:hAnsi="仿宋" w:eastAsia="仿宋" w:cs="仿宋"/>
          <w:b w:val="0"/>
          <w:bCs w:val="0"/>
          <w:color w:val="auto"/>
          <w:sz w:val="24"/>
          <w:szCs w:val="24"/>
          <w:highlight w:val="none"/>
          <w:lang w:val="en-US" w:eastAsia="zh-CN"/>
        </w:rPr>
        <w:t>并在</w:t>
      </w:r>
      <w:r>
        <w:rPr>
          <w:rFonts w:hint="eastAsia" w:ascii="仿宋" w:hAnsi="仿宋" w:eastAsia="仿宋" w:cs="仿宋"/>
          <w:b w:val="0"/>
          <w:bCs w:val="0"/>
          <w:color w:val="auto"/>
          <w:sz w:val="24"/>
          <w:highlight w:val="none"/>
          <w:lang w:eastAsia="zh-CN"/>
        </w:rPr>
        <w:t>政采云平台（https:www.zcygov.cn）</w:t>
      </w:r>
      <w:r>
        <w:rPr>
          <w:rFonts w:hint="eastAsia" w:ascii="仿宋" w:hAnsi="仿宋" w:eastAsia="仿宋" w:cs="仿宋"/>
          <w:b w:val="0"/>
          <w:bCs w:val="0"/>
          <w:color w:val="auto"/>
          <w:sz w:val="24"/>
          <w:highlight w:val="none"/>
          <w:lang w:val="en-US" w:eastAsia="zh-CN"/>
        </w:rPr>
        <w:t>或在云南省政府采购网（http:www.yngp.com）</w:t>
      </w:r>
      <w:r>
        <w:rPr>
          <w:rFonts w:hint="eastAsia" w:ascii="仿宋" w:hAnsi="仿宋" w:eastAsia="仿宋" w:cs="仿宋"/>
          <w:b w:val="0"/>
          <w:bCs w:val="0"/>
          <w:color w:val="auto"/>
          <w:sz w:val="24"/>
          <w:szCs w:val="24"/>
          <w:highlight w:val="none"/>
          <w:lang w:val="en-US" w:eastAsia="zh-CN"/>
        </w:rPr>
        <w:t>原公告媒体上发布澄清公告，</w:t>
      </w:r>
      <w:r>
        <w:rPr>
          <w:rFonts w:hint="eastAsia" w:ascii="仿宋" w:hAnsi="仿宋" w:eastAsia="仿宋" w:cs="仿宋"/>
          <w:b w:val="0"/>
          <w:bCs w:val="0"/>
          <w:color w:val="auto"/>
          <w:sz w:val="24"/>
          <w:szCs w:val="24"/>
          <w:highlight w:val="none"/>
        </w:rPr>
        <w:t>澄清或者修改的内容作为招标文件的组成部分。</w:t>
      </w:r>
    </w:p>
    <w:p w14:paraId="4F181D9B">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12.2 </w:t>
      </w:r>
      <w:r>
        <w:rPr>
          <w:rFonts w:hint="eastAsia" w:ascii="仿宋" w:hAnsi="仿宋" w:eastAsia="仿宋" w:cs="仿宋"/>
          <w:b w:val="0"/>
          <w:bCs w:val="0"/>
          <w:color w:val="auto"/>
          <w:sz w:val="24"/>
          <w:szCs w:val="24"/>
          <w:highlight w:val="none"/>
        </w:rPr>
        <w:t>澄清或者修改的内容可能影响投标文件编制的，</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采购代理机构</w:t>
      </w:r>
      <w:r>
        <w:rPr>
          <w:rFonts w:hint="eastAsia" w:ascii="仿宋" w:hAnsi="仿宋" w:eastAsia="仿宋" w:cs="仿宋"/>
          <w:b w:val="0"/>
          <w:bCs w:val="0"/>
          <w:color w:val="auto"/>
          <w:sz w:val="24"/>
          <w:szCs w:val="24"/>
          <w:highlight w:val="none"/>
        </w:rPr>
        <w:t>将在投标截止时间至少15日前，以书面</w:t>
      </w:r>
      <w:r>
        <w:rPr>
          <w:rFonts w:hint="eastAsia" w:ascii="仿宋" w:hAnsi="仿宋" w:eastAsia="仿宋" w:cs="仿宋"/>
          <w:b w:val="0"/>
          <w:bCs w:val="0"/>
          <w:color w:val="auto"/>
          <w:sz w:val="24"/>
          <w:szCs w:val="24"/>
          <w:highlight w:val="none"/>
          <w:lang w:eastAsia="zh-CN"/>
        </w:rPr>
        <w:t>（或公告）</w:t>
      </w:r>
      <w:r>
        <w:rPr>
          <w:rFonts w:hint="eastAsia" w:ascii="仿宋" w:hAnsi="仿宋" w:eastAsia="仿宋" w:cs="仿宋"/>
          <w:b w:val="0"/>
          <w:bCs w:val="0"/>
          <w:color w:val="auto"/>
          <w:sz w:val="24"/>
          <w:szCs w:val="24"/>
          <w:highlight w:val="none"/>
        </w:rPr>
        <w:t>形式通知所有接收招标文件的潜在投标人，不足15日的，将顺延投标截止之日</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并同时在</w:t>
      </w:r>
      <w:r>
        <w:rPr>
          <w:rFonts w:hint="eastAsia" w:ascii="仿宋" w:hAnsi="仿宋" w:eastAsia="仿宋" w:cs="仿宋"/>
          <w:b w:val="0"/>
          <w:bCs w:val="0"/>
          <w:color w:val="auto"/>
          <w:sz w:val="24"/>
          <w:highlight w:val="none"/>
          <w:lang w:eastAsia="zh-CN"/>
        </w:rPr>
        <w:t>政采云平台（https:www.zcygov.cn）</w:t>
      </w:r>
      <w:r>
        <w:rPr>
          <w:rFonts w:hint="eastAsia" w:ascii="仿宋" w:hAnsi="仿宋" w:eastAsia="仿宋" w:cs="仿宋"/>
          <w:b w:val="0"/>
          <w:bCs w:val="0"/>
          <w:color w:val="auto"/>
          <w:sz w:val="24"/>
          <w:highlight w:val="none"/>
          <w:lang w:val="en-US" w:eastAsia="zh-CN"/>
        </w:rPr>
        <w:t>及云南省政府采购网（http:www.yngp.com）发布澄清公告。</w:t>
      </w:r>
    </w:p>
    <w:p w14:paraId="7E97E922">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b w:val="0"/>
          <w:bCs w:val="0"/>
          <w:color w:val="auto"/>
          <w:sz w:val="24"/>
          <w:szCs w:val="24"/>
          <w:highlight w:val="none"/>
        </w:rPr>
      </w:pPr>
    </w:p>
    <w:p w14:paraId="20FFB111">
      <w:pPr>
        <w:pStyle w:val="3"/>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600" w:firstLineChars="200"/>
        <w:jc w:val="center"/>
        <w:textAlignment w:val="auto"/>
        <w:outlineLvl w:val="1"/>
        <w:rPr>
          <w:rFonts w:hint="eastAsia" w:ascii="仿宋" w:hAnsi="仿宋" w:eastAsia="仿宋" w:cs="仿宋"/>
          <w:color w:val="auto"/>
          <w:sz w:val="30"/>
          <w:szCs w:val="30"/>
          <w:highlight w:val="none"/>
        </w:rPr>
      </w:pPr>
      <w:bookmarkStart w:id="232" w:name="_Toc5319"/>
      <w:bookmarkStart w:id="233" w:name="_Toc25733"/>
      <w:bookmarkStart w:id="234" w:name="_Toc24695"/>
      <w:bookmarkStart w:id="235" w:name="_Toc17837"/>
      <w:bookmarkStart w:id="236" w:name="_Toc11951"/>
      <w:bookmarkStart w:id="237" w:name="_Toc27280"/>
      <w:bookmarkStart w:id="238" w:name="_Toc15858"/>
      <w:r>
        <w:rPr>
          <w:rFonts w:hint="eastAsia" w:ascii="仿宋" w:hAnsi="仿宋" w:eastAsia="仿宋" w:cs="仿宋"/>
          <w:color w:val="auto"/>
          <w:sz w:val="30"/>
          <w:szCs w:val="30"/>
          <w:highlight w:val="none"/>
        </w:rPr>
        <w:t>三、投标文件</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4C15CF1C">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239" w:name="_Toc3974"/>
      <w:bookmarkStart w:id="240" w:name="_Toc489145718"/>
      <w:bookmarkStart w:id="241" w:name="_Toc19963"/>
      <w:bookmarkStart w:id="242" w:name="_Toc528186466"/>
      <w:bookmarkStart w:id="243" w:name="_Toc489197822"/>
      <w:bookmarkStart w:id="244" w:name="_Toc5023"/>
      <w:r>
        <w:rPr>
          <w:rFonts w:hint="eastAsia" w:ascii="仿宋" w:hAnsi="仿宋" w:eastAsia="仿宋" w:cs="仿宋"/>
          <w:b/>
          <w:bCs/>
          <w:color w:val="auto"/>
          <w:sz w:val="28"/>
          <w:szCs w:val="28"/>
          <w:lang w:val="en-US" w:eastAsia="zh-CN"/>
        </w:rPr>
        <w:t>13.投标文件编写注意事项</w:t>
      </w:r>
      <w:bookmarkEnd w:id="239"/>
      <w:bookmarkEnd w:id="240"/>
      <w:bookmarkEnd w:id="241"/>
      <w:bookmarkEnd w:id="242"/>
      <w:bookmarkEnd w:id="243"/>
      <w:bookmarkEnd w:id="244"/>
    </w:p>
    <w:p w14:paraId="6B2E49FE">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投标人应仔细阅读招标文件，在完全了解采购内容、技术性能要求和商务条件后，根据招标文件要求</w:t>
      </w:r>
      <w:r>
        <w:rPr>
          <w:rFonts w:hint="eastAsia" w:ascii="仿宋" w:hAnsi="仿宋" w:eastAsia="仿宋" w:cs="仿宋"/>
          <w:color w:val="auto"/>
          <w:sz w:val="24"/>
          <w:szCs w:val="24"/>
          <w:highlight w:val="none"/>
          <w:lang w:val="en-US" w:eastAsia="zh-CN"/>
        </w:rPr>
        <w:t>编制</w:t>
      </w:r>
      <w:r>
        <w:rPr>
          <w:rFonts w:hint="eastAsia" w:ascii="仿宋" w:hAnsi="仿宋" w:eastAsia="仿宋" w:cs="仿宋"/>
          <w:color w:val="auto"/>
          <w:sz w:val="24"/>
          <w:szCs w:val="24"/>
          <w:highlight w:val="none"/>
        </w:rPr>
        <w:t>投标文件。</w:t>
      </w:r>
    </w:p>
    <w:p w14:paraId="6ABF7E6F">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bCs/>
          <w:color w:val="auto"/>
          <w:sz w:val="24"/>
          <w:szCs w:val="24"/>
          <w:highlight w:val="none"/>
        </w:rPr>
        <w:t>对招标文件提出的实质性要求和条件作出响应是指投标人的投标文件必须对招标文件中规定的实质性要求和条件作出满足原要求和条件的承诺</w:t>
      </w:r>
      <w:r>
        <w:rPr>
          <w:rFonts w:hint="eastAsia" w:ascii="仿宋" w:hAnsi="仿宋" w:eastAsia="仿宋" w:cs="仿宋"/>
          <w:b/>
          <w:bCs/>
          <w:color w:val="auto"/>
          <w:sz w:val="24"/>
          <w:szCs w:val="24"/>
          <w:highlight w:val="none"/>
          <w:lang w:eastAsia="zh-CN"/>
        </w:rPr>
        <w:t>或</w:t>
      </w:r>
      <w:r>
        <w:rPr>
          <w:rFonts w:hint="eastAsia" w:ascii="仿宋" w:hAnsi="仿宋" w:eastAsia="仿宋" w:cs="仿宋"/>
          <w:b/>
          <w:bCs/>
          <w:color w:val="auto"/>
          <w:sz w:val="24"/>
          <w:szCs w:val="24"/>
          <w:highlight w:val="none"/>
        </w:rPr>
        <w:t>提供相应的证明材料，否则按无效处理</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标注“■”的条款为</w:t>
      </w:r>
      <w:r>
        <w:rPr>
          <w:rFonts w:hint="eastAsia" w:ascii="仿宋" w:hAnsi="仿宋" w:eastAsia="仿宋" w:cs="仿宋"/>
          <w:b/>
          <w:bCs/>
          <w:color w:val="auto"/>
          <w:sz w:val="24"/>
          <w:szCs w:val="24"/>
          <w:highlight w:val="none"/>
        </w:rPr>
        <w:t>实质性要求和条件。</w:t>
      </w:r>
    </w:p>
    <w:p w14:paraId="1F1D1578">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.3</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提交投标文件截止时间前，潜在投标人放弃投标的，需向</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rPr>
        <w:t>或</w:t>
      </w:r>
      <w:r>
        <w:rPr>
          <w:rFonts w:hint="eastAsia" w:ascii="仿宋" w:hAnsi="仿宋" w:eastAsia="仿宋" w:cs="仿宋"/>
          <w:b w:val="0"/>
          <w:bCs w:val="0"/>
          <w:color w:val="auto"/>
          <w:sz w:val="24"/>
          <w:szCs w:val="24"/>
          <w:highlight w:val="none"/>
          <w:lang w:eastAsia="zh-CN"/>
        </w:rPr>
        <w:t>采购代理机构</w:t>
      </w:r>
      <w:r>
        <w:rPr>
          <w:rFonts w:hint="eastAsia" w:ascii="仿宋" w:hAnsi="仿宋" w:eastAsia="仿宋" w:cs="仿宋"/>
          <w:b w:val="0"/>
          <w:bCs w:val="0"/>
          <w:color w:val="auto"/>
          <w:sz w:val="24"/>
          <w:szCs w:val="24"/>
          <w:highlight w:val="none"/>
        </w:rPr>
        <w:t>以书面形式提交放弃函。</w:t>
      </w:r>
    </w:p>
    <w:p w14:paraId="4511FBAE">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245" w:name="_Toc489145719"/>
      <w:bookmarkStart w:id="246" w:name="_Toc2537"/>
      <w:bookmarkStart w:id="247" w:name="_Toc528186467"/>
      <w:bookmarkStart w:id="248" w:name="_Toc489197823"/>
      <w:bookmarkStart w:id="249" w:name="_Toc15523"/>
      <w:bookmarkStart w:id="250" w:name="_Toc18290"/>
      <w:r>
        <w:rPr>
          <w:rFonts w:hint="eastAsia" w:ascii="仿宋" w:hAnsi="仿宋" w:eastAsia="仿宋" w:cs="仿宋"/>
          <w:b/>
          <w:bCs/>
          <w:color w:val="auto"/>
          <w:sz w:val="28"/>
          <w:szCs w:val="28"/>
          <w:lang w:val="en-US" w:eastAsia="zh-CN"/>
        </w:rPr>
        <w:t>14.语言文字</w:t>
      </w:r>
      <w:bookmarkEnd w:id="245"/>
      <w:bookmarkEnd w:id="246"/>
      <w:bookmarkEnd w:id="247"/>
      <w:bookmarkEnd w:id="248"/>
      <w:bookmarkEnd w:id="249"/>
      <w:bookmarkEnd w:id="250"/>
      <w:r>
        <w:rPr>
          <w:rFonts w:hint="eastAsia" w:ascii="仿宋" w:hAnsi="仿宋" w:eastAsia="仿宋" w:cs="仿宋"/>
          <w:b/>
          <w:bCs/>
          <w:color w:val="auto"/>
          <w:sz w:val="28"/>
          <w:szCs w:val="28"/>
          <w:lang w:val="en-US" w:eastAsia="zh-CN"/>
        </w:rPr>
        <w:t>及计量单位</w:t>
      </w:r>
    </w:p>
    <w:p w14:paraId="2E8EEC58">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投标人的投标文件以及投标人与</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就有关投标的所有来往函电统一使用中文（特别规定除外）。</w:t>
      </w:r>
    </w:p>
    <w:p w14:paraId="625B55FB">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投标文件中使用的计量单位除招标文件中有特殊规定外，一律使用中国法定计量单位。</w:t>
      </w:r>
    </w:p>
    <w:p w14:paraId="5753D255">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251" w:name="_Toc489197825"/>
      <w:bookmarkStart w:id="252" w:name="_Toc5834"/>
      <w:bookmarkStart w:id="253" w:name="_Toc14010"/>
      <w:bookmarkStart w:id="254" w:name="_Toc247085706"/>
      <w:bookmarkStart w:id="255" w:name="_Toc179632565"/>
      <w:bookmarkStart w:id="256" w:name="_Toc246996192"/>
      <w:bookmarkStart w:id="257" w:name="_Toc528186469"/>
      <w:bookmarkStart w:id="258" w:name="_Toc152042323"/>
      <w:bookmarkStart w:id="259" w:name="_Toc246996935"/>
      <w:bookmarkStart w:id="260" w:name="_Toc296602437"/>
      <w:bookmarkStart w:id="261" w:name="_Toc29156"/>
      <w:bookmarkStart w:id="262" w:name="_Toc152045547"/>
      <w:bookmarkStart w:id="263" w:name="_Toc489145721"/>
      <w:bookmarkStart w:id="264" w:name="_Toc144974515"/>
      <w:r>
        <w:rPr>
          <w:rFonts w:hint="eastAsia" w:ascii="仿宋" w:hAnsi="仿宋" w:eastAsia="仿宋" w:cs="仿宋"/>
          <w:b/>
          <w:bCs/>
          <w:color w:val="auto"/>
          <w:sz w:val="28"/>
          <w:szCs w:val="28"/>
          <w:lang w:val="en-US" w:eastAsia="zh-CN"/>
        </w:rPr>
        <w:t>15.投标文件的组成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70C6D226">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投标人编写的投标文件应按第四章《投标文件格式》要求</w:t>
      </w:r>
      <w:r>
        <w:rPr>
          <w:rFonts w:hint="eastAsia" w:ascii="仿宋" w:hAnsi="仿宋" w:eastAsia="仿宋" w:cs="仿宋"/>
          <w:color w:val="auto"/>
          <w:sz w:val="24"/>
          <w:szCs w:val="24"/>
          <w:highlight w:val="none"/>
          <w:lang w:val="en-US" w:eastAsia="zh-CN"/>
        </w:rPr>
        <w:t>编制</w:t>
      </w:r>
      <w:r>
        <w:rPr>
          <w:rFonts w:hint="eastAsia" w:ascii="仿宋" w:hAnsi="仿宋" w:eastAsia="仿宋" w:cs="仿宋"/>
          <w:color w:val="auto"/>
          <w:sz w:val="24"/>
          <w:szCs w:val="24"/>
          <w:highlight w:val="none"/>
        </w:rPr>
        <w:t>填写。有关文件的提交如未特别注明需提供原件的，可提供复印件或扫描件。投标人同时投多个标段（若分标段时）的，投标文件应按标段分别编制</w:t>
      </w:r>
      <w:r>
        <w:rPr>
          <w:rFonts w:hint="eastAsia" w:ascii="仿宋" w:hAnsi="仿宋" w:eastAsia="仿宋" w:cs="仿宋"/>
          <w:color w:val="auto"/>
          <w:sz w:val="24"/>
          <w:szCs w:val="24"/>
          <w:highlight w:val="none"/>
          <w:lang w:val="en-US" w:eastAsia="zh-CN"/>
        </w:rPr>
        <w:t>并加密提交</w:t>
      </w:r>
      <w:r>
        <w:rPr>
          <w:rFonts w:hint="eastAsia" w:ascii="仿宋" w:hAnsi="仿宋" w:eastAsia="仿宋" w:cs="仿宋"/>
          <w:color w:val="auto"/>
          <w:sz w:val="24"/>
          <w:szCs w:val="24"/>
          <w:highlight w:val="none"/>
        </w:rPr>
        <w:t>。</w:t>
      </w:r>
    </w:p>
    <w:p w14:paraId="5352E282">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265" w:name="_Toc10997"/>
      <w:bookmarkStart w:id="266" w:name="_Toc11820"/>
      <w:bookmarkStart w:id="267" w:name="_Toc489145722"/>
      <w:bookmarkStart w:id="268" w:name="_Toc17304"/>
      <w:bookmarkStart w:id="269" w:name="_Toc528186470"/>
      <w:bookmarkStart w:id="270" w:name="_Toc489197826"/>
      <w:r>
        <w:rPr>
          <w:rFonts w:hint="eastAsia" w:ascii="仿宋" w:hAnsi="仿宋" w:eastAsia="仿宋" w:cs="仿宋"/>
          <w:b/>
          <w:bCs/>
          <w:color w:val="auto"/>
          <w:sz w:val="28"/>
          <w:szCs w:val="28"/>
          <w:lang w:val="en-US" w:eastAsia="zh-CN"/>
        </w:rPr>
        <w:t>16.投标文件的格式要求</w:t>
      </w:r>
      <w:bookmarkEnd w:id="265"/>
      <w:bookmarkEnd w:id="266"/>
      <w:bookmarkEnd w:id="267"/>
      <w:bookmarkEnd w:id="268"/>
      <w:bookmarkEnd w:id="269"/>
      <w:bookmarkEnd w:id="270"/>
    </w:p>
    <w:p w14:paraId="543D8605">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投标人应按第四章《投标文件格式》完整地</w:t>
      </w:r>
      <w:r>
        <w:rPr>
          <w:rFonts w:hint="eastAsia" w:ascii="仿宋" w:hAnsi="仿宋" w:eastAsia="仿宋" w:cs="仿宋"/>
          <w:color w:val="auto"/>
          <w:sz w:val="24"/>
          <w:szCs w:val="24"/>
          <w:highlight w:val="none"/>
          <w:lang w:eastAsia="zh-CN"/>
        </w:rPr>
        <w:t>编制</w:t>
      </w:r>
      <w:r>
        <w:rPr>
          <w:rFonts w:hint="eastAsia" w:ascii="仿宋" w:hAnsi="仿宋" w:eastAsia="仿宋" w:cs="仿宋"/>
          <w:color w:val="auto"/>
          <w:sz w:val="24"/>
          <w:szCs w:val="24"/>
          <w:highlight w:val="none"/>
        </w:rPr>
        <w:t>。</w:t>
      </w:r>
    </w:p>
    <w:p w14:paraId="28EAAB42">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271" w:name="_Toc29824"/>
      <w:bookmarkStart w:id="272" w:name="_Toc16374"/>
      <w:bookmarkStart w:id="273" w:name="_Toc489197827"/>
      <w:bookmarkStart w:id="274" w:name="_Toc528186471"/>
      <w:bookmarkStart w:id="275" w:name="_Toc10823"/>
      <w:bookmarkStart w:id="276" w:name="_Toc489145723"/>
      <w:r>
        <w:rPr>
          <w:rFonts w:hint="eastAsia" w:ascii="仿宋" w:hAnsi="仿宋" w:eastAsia="仿宋" w:cs="仿宋"/>
          <w:b/>
          <w:bCs/>
          <w:color w:val="auto"/>
          <w:sz w:val="28"/>
          <w:szCs w:val="28"/>
          <w:lang w:val="en-US" w:eastAsia="zh-CN"/>
        </w:rPr>
        <w:t>17.投标有效期</w:t>
      </w:r>
      <w:bookmarkEnd w:id="271"/>
      <w:bookmarkEnd w:id="272"/>
      <w:bookmarkEnd w:id="273"/>
      <w:bookmarkEnd w:id="274"/>
      <w:bookmarkEnd w:id="275"/>
      <w:bookmarkEnd w:id="276"/>
    </w:p>
    <w:p w14:paraId="396084FA">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bookmarkStart w:id="277" w:name="_Toc246996937"/>
      <w:bookmarkStart w:id="278" w:name="_Toc247085708"/>
      <w:bookmarkStart w:id="279" w:name="_Toc246996194"/>
      <w:bookmarkStart w:id="280" w:name="_Toc144974517"/>
      <w:bookmarkStart w:id="281" w:name="_Toc179632567"/>
      <w:bookmarkStart w:id="282" w:name="_Toc296602439"/>
      <w:bookmarkStart w:id="283" w:name="_Toc152045549"/>
      <w:bookmarkStart w:id="284" w:name="_Toc152042325"/>
      <w:r>
        <w:rPr>
          <w:rFonts w:hint="eastAsia" w:ascii="仿宋" w:hAnsi="仿宋" w:eastAsia="仿宋" w:cs="仿宋"/>
          <w:color w:val="auto"/>
          <w:sz w:val="24"/>
          <w:szCs w:val="24"/>
          <w:highlight w:val="none"/>
        </w:rPr>
        <w:t>17.1在</w:t>
      </w:r>
      <w:r>
        <w:rPr>
          <w:rFonts w:hint="eastAsia" w:ascii="仿宋" w:hAnsi="仿宋" w:eastAsia="仿宋" w:cs="仿宋"/>
          <w:b/>
          <w:bCs/>
          <w:color w:val="auto"/>
          <w:sz w:val="24"/>
          <w:szCs w:val="24"/>
          <w:highlight w:val="none"/>
        </w:rPr>
        <w:t>《投标</w:t>
      </w:r>
      <w:bookmarkEnd w:id="277"/>
      <w:bookmarkEnd w:id="278"/>
      <w:bookmarkEnd w:id="279"/>
      <w:bookmarkEnd w:id="280"/>
      <w:bookmarkEnd w:id="281"/>
      <w:bookmarkEnd w:id="282"/>
      <w:bookmarkEnd w:id="283"/>
      <w:bookmarkEnd w:id="284"/>
      <w:r>
        <w:rPr>
          <w:rFonts w:hint="eastAsia" w:ascii="仿宋" w:hAnsi="仿宋" w:eastAsia="仿宋" w:cs="仿宋"/>
          <w:b/>
          <w:bCs/>
          <w:color w:val="auto"/>
          <w:sz w:val="24"/>
          <w:szCs w:val="24"/>
          <w:highlight w:val="none"/>
        </w:rPr>
        <w:t>人须知前附表》</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有效期内，投标人不得要求撤销或修改其投标文件。</w:t>
      </w:r>
    </w:p>
    <w:p w14:paraId="0968C253">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17.2因特殊情况需要延长投标文件有效期的，</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以书面形式通知所有投标人延长有效期。投标人同意延长的，应相应延长其投标文件中所有内容及投标保证金的有效期，但不得要求或被允许修改或撤销其投标文件；投标人拒绝延长的，其投标文件失效，但投标人有权收回其投标保证金。</w:t>
      </w:r>
    </w:p>
    <w:p w14:paraId="1639EA98">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285" w:name="_Toc1477"/>
      <w:bookmarkStart w:id="286" w:name="_Toc89"/>
      <w:bookmarkStart w:id="287" w:name="_Toc489197828"/>
      <w:bookmarkStart w:id="288" w:name="_Toc489145724"/>
      <w:bookmarkStart w:id="289" w:name="_Toc528186472"/>
      <w:bookmarkStart w:id="290" w:name="_Toc8378"/>
      <w:r>
        <w:rPr>
          <w:rFonts w:hint="eastAsia" w:ascii="仿宋" w:hAnsi="仿宋" w:eastAsia="仿宋" w:cs="仿宋"/>
          <w:b/>
          <w:bCs/>
          <w:color w:val="auto"/>
          <w:sz w:val="28"/>
          <w:szCs w:val="28"/>
          <w:lang w:val="en-US" w:eastAsia="zh-CN"/>
        </w:rPr>
        <w:t>18.投标保证金</w:t>
      </w:r>
      <w:bookmarkEnd w:id="285"/>
      <w:bookmarkEnd w:id="286"/>
      <w:bookmarkEnd w:id="287"/>
      <w:bookmarkEnd w:id="288"/>
      <w:bookmarkEnd w:id="289"/>
      <w:bookmarkEnd w:id="290"/>
    </w:p>
    <w:p w14:paraId="02C16CF9">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bookmarkStart w:id="291" w:name="_Toc20948"/>
      <w:bookmarkStart w:id="292" w:name="_Toc489197829"/>
      <w:bookmarkStart w:id="293" w:name="_Toc7128"/>
      <w:bookmarkStart w:id="294" w:name="_Toc8756"/>
      <w:bookmarkStart w:id="295" w:name="_Toc489145725"/>
      <w:bookmarkStart w:id="296" w:name="_Toc528186473"/>
      <w:r>
        <w:rPr>
          <w:rFonts w:hint="eastAsia" w:ascii="仿宋" w:hAnsi="仿宋" w:eastAsia="仿宋" w:cs="仿宋"/>
          <w:color w:val="auto"/>
          <w:sz w:val="24"/>
          <w:szCs w:val="24"/>
          <w:highlight w:val="none"/>
        </w:rPr>
        <w:t>18.1投标人应按《投标人须知前附表》规定的金额、形式交纳投标保证金，投标保证金须在投标文件提交截止时间前从投标人基本账户缴纳到《投标人须知前附表》规定的账户，投标人未按照招标文件要求提交投标保证金的，投标无效。</w:t>
      </w:r>
    </w:p>
    <w:p w14:paraId="1E2AA797">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在中标通知书发出后5个工作日内退还未中标投标人的投标保证金，中标人的投标保证金在采购合同签订后5个工作日内退还，但因投标人自身原因导致无法及时退还的除外。出现下列情形之一的，投标保证金不予退还</w:t>
      </w:r>
      <w:r>
        <w:rPr>
          <w:rFonts w:hint="eastAsia" w:ascii="仿宋" w:hAnsi="仿宋" w:eastAsia="仿宋" w:cs="仿宋"/>
          <w:color w:val="auto"/>
          <w:sz w:val="24"/>
          <w:szCs w:val="24"/>
          <w:highlight w:val="none"/>
          <w:lang w:eastAsia="zh-CN"/>
        </w:rPr>
        <w:t>：</w:t>
      </w:r>
    </w:p>
    <w:p w14:paraId="338AE08C">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投标人在提交投标文件截止时间后撤销投标文件的</w:t>
      </w:r>
      <w:r>
        <w:rPr>
          <w:rFonts w:hint="eastAsia" w:ascii="仿宋" w:hAnsi="仿宋" w:eastAsia="仿宋" w:cs="仿宋"/>
          <w:color w:val="auto"/>
          <w:sz w:val="24"/>
          <w:szCs w:val="24"/>
          <w:highlight w:val="none"/>
          <w:lang w:eastAsia="zh-CN"/>
        </w:rPr>
        <w:t>；</w:t>
      </w:r>
    </w:p>
    <w:p w14:paraId="5C99CF3D">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投标人在投标文件中提供虚假材料的</w:t>
      </w:r>
      <w:r>
        <w:rPr>
          <w:rFonts w:hint="eastAsia" w:ascii="仿宋" w:hAnsi="仿宋" w:eastAsia="仿宋" w:cs="仿宋"/>
          <w:color w:val="auto"/>
          <w:sz w:val="24"/>
          <w:szCs w:val="24"/>
          <w:highlight w:val="none"/>
          <w:lang w:eastAsia="zh-CN"/>
        </w:rPr>
        <w:t>；</w:t>
      </w:r>
    </w:p>
    <w:p w14:paraId="7AD28F35">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除因不可抗力或招标文件认可的情形以外，中标人不与</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签订合同的</w:t>
      </w:r>
      <w:r>
        <w:rPr>
          <w:rFonts w:hint="eastAsia" w:ascii="仿宋" w:hAnsi="仿宋" w:eastAsia="仿宋" w:cs="仿宋"/>
          <w:color w:val="auto"/>
          <w:sz w:val="24"/>
          <w:szCs w:val="24"/>
          <w:highlight w:val="none"/>
          <w:lang w:eastAsia="zh-CN"/>
        </w:rPr>
        <w:t>；</w:t>
      </w:r>
    </w:p>
    <w:p w14:paraId="254D2D9E">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投标人与</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、其他投标人或者采购代理机构恶意串通的</w:t>
      </w:r>
      <w:r>
        <w:rPr>
          <w:rFonts w:hint="eastAsia" w:ascii="仿宋" w:hAnsi="仿宋" w:eastAsia="仿宋" w:cs="仿宋"/>
          <w:color w:val="auto"/>
          <w:sz w:val="24"/>
          <w:szCs w:val="24"/>
          <w:highlight w:val="none"/>
          <w:lang w:eastAsia="zh-CN"/>
        </w:rPr>
        <w:t>；</w:t>
      </w:r>
    </w:p>
    <w:p w14:paraId="2E8EFB1D">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招标文件规定的其他情形。</w:t>
      </w:r>
    </w:p>
    <w:p w14:paraId="2B036775">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19.投标文件的编制</w:t>
      </w:r>
      <w:bookmarkEnd w:id="291"/>
      <w:bookmarkEnd w:id="292"/>
      <w:bookmarkEnd w:id="293"/>
      <w:bookmarkEnd w:id="294"/>
      <w:bookmarkEnd w:id="295"/>
      <w:bookmarkEnd w:id="296"/>
      <w:bookmarkStart w:id="297" w:name="_Toc296602442"/>
      <w:r>
        <w:rPr>
          <w:rFonts w:hint="eastAsia" w:ascii="仿宋" w:hAnsi="仿宋" w:eastAsia="仿宋" w:cs="仿宋"/>
          <w:b/>
          <w:bCs/>
          <w:color w:val="auto"/>
          <w:sz w:val="28"/>
          <w:szCs w:val="28"/>
          <w:highlight w:val="none"/>
          <w:lang w:val="en-US" w:eastAsia="zh-CN"/>
        </w:rPr>
        <w:t>及提交</w:t>
      </w:r>
    </w:p>
    <w:bookmarkEnd w:id="297"/>
    <w:p w14:paraId="4BCA590D">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val="en-US" w:eastAsia="zh-CN"/>
        </w:rPr>
      </w:pPr>
      <w:bookmarkStart w:id="298" w:name="_Toc489197830"/>
      <w:bookmarkStart w:id="299" w:name="_Toc528186474"/>
      <w:bookmarkStart w:id="300" w:name="_Toc489145726"/>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宋体"/>
          <w:color w:val="auto"/>
          <w:sz w:val="24"/>
          <w:szCs w:val="24"/>
          <w:highlight w:val="none"/>
        </w:rPr>
        <w:t>电子投标文件应按照政采云平台编制要求制作。</w:t>
      </w:r>
    </w:p>
    <w:p w14:paraId="68B63EF6">
      <w:pPr>
        <w:pageBreakBefore w:val="0"/>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19.2</w:t>
      </w:r>
      <w:r>
        <w:rPr>
          <w:rFonts w:hint="eastAsia" w:ascii="仿宋" w:hAnsi="仿宋" w:eastAsia="仿宋" w:cs="仿宋"/>
          <w:color w:val="auto"/>
          <w:sz w:val="24"/>
          <w:szCs w:val="24"/>
          <w:highlight w:val="none"/>
        </w:rPr>
        <w:t xml:space="preserve"> </w:t>
      </w:r>
      <w:r>
        <w:rPr>
          <w:rFonts w:hint="eastAsia" w:ascii="仿宋" w:hAnsi="仿宋" w:eastAsia="仿宋" w:cs="宋体"/>
          <w:color w:val="auto"/>
          <w:sz w:val="24"/>
          <w:szCs w:val="24"/>
          <w:highlight w:val="none"/>
        </w:rPr>
        <w:t>投标文件份数：</w:t>
      </w:r>
      <w:r>
        <w:rPr>
          <w:rFonts w:hint="eastAsia" w:ascii="仿宋" w:hAnsi="仿宋" w:eastAsia="仿宋" w:cs="仿宋"/>
          <w:color w:val="auto"/>
          <w:sz w:val="24"/>
          <w:szCs w:val="24"/>
          <w:highlight w:val="none"/>
        </w:rPr>
        <w:t>按“政采云”要求，上传电子投标文件壹份。投标人应安装“政采云”投标客户端，根据</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格式编制投标文件，生成加密标书后进行上传。</w:t>
      </w:r>
    </w:p>
    <w:p w14:paraId="501FE25F">
      <w:pPr>
        <w:pageBreakBefore w:val="0"/>
        <w:kinsoku/>
        <w:wordWrap/>
        <w:overflowPunct/>
        <w:topLinePunct w:val="0"/>
        <w:autoSpaceDE/>
        <w:autoSpaceDN/>
        <w:bidi w:val="0"/>
        <w:adjustRightInd/>
        <w:snapToGrid/>
        <w:spacing w:line="360" w:lineRule="auto"/>
        <w:ind w:firstLine="420"/>
        <w:jc w:val="left"/>
        <w:textAlignment w:val="auto"/>
        <w:rPr>
          <w:rFonts w:ascii="仿宋" w:hAnsi="仿宋" w:eastAsia="仿宋" w:cs="宋体"/>
          <w:color w:val="auto"/>
          <w:sz w:val="24"/>
          <w:szCs w:val="24"/>
          <w:highlight w:val="none"/>
        </w:rPr>
      </w:pP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lang w:val="en-US" w:eastAsia="zh-CN"/>
        </w:rPr>
        <w:t xml:space="preserve">3 </w:t>
      </w:r>
      <w:r>
        <w:rPr>
          <w:rFonts w:hint="eastAsia" w:ascii="仿宋" w:hAnsi="仿宋" w:eastAsia="仿宋" w:cs="宋体"/>
          <w:color w:val="auto"/>
          <w:sz w:val="24"/>
          <w:szCs w:val="24"/>
          <w:highlight w:val="none"/>
        </w:rPr>
        <w:t>投标文件中提供的资料（包括复印件）、关键内容必须清晰可辨，若出现字迹潦草、表达不清、未按要求填写而导致非唯一理解，视为未实质性响应</w:t>
      </w:r>
      <w:r>
        <w:rPr>
          <w:rFonts w:hint="eastAsia" w:ascii="仿宋" w:hAnsi="仿宋" w:eastAsia="仿宋" w:cs="宋体"/>
          <w:color w:val="auto"/>
          <w:sz w:val="24"/>
          <w:szCs w:val="24"/>
          <w:highlight w:val="none"/>
          <w:lang w:eastAsia="zh-CN"/>
        </w:rPr>
        <w:t>招标文件</w:t>
      </w:r>
      <w:r>
        <w:rPr>
          <w:rFonts w:hint="eastAsia" w:ascii="仿宋" w:hAnsi="仿宋" w:eastAsia="仿宋" w:cs="宋体"/>
          <w:color w:val="auto"/>
          <w:sz w:val="24"/>
          <w:szCs w:val="24"/>
          <w:highlight w:val="none"/>
        </w:rPr>
        <w:t>，投标人投标文件将按无效处理。</w:t>
      </w:r>
    </w:p>
    <w:p w14:paraId="6F28B1C4">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 xml:space="preserve">19.4 </w:t>
      </w:r>
      <w:r>
        <w:rPr>
          <w:rFonts w:hint="eastAsia" w:ascii="仿宋" w:hAnsi="仿宋" w:eastAsia="仿宋" w:cs="仿宋"/>
          <w:color w:val="auto"/>
          <w:sz w:val="24"/>
          <w:highlight w:val="none"/>
        </w:rPr>
        <w:t>投标截止时间后</w:t>
      </w:r>
      <w:r>
        <w:rPr>
          <w:rFonts w:hint="eastAsia" w:ascii="仿宋" w:hAnsi="仿宋" w:eastAsia="仿宋" w:cs="仿宋"/>
          <w:color w:val="auto"/>
          <w:sz w:val="24"/>
          <w:highlight w:val="none"/>
          <w:lang w:val="en-US" w:eastAsia="zh-CN"/>
        </w:rPr>
        <w:t>提交</w:t>
      </w:r>
      <w:r>
        <w:rPr>
          <w:rFonts w:hint="eastAsia" w:ascii="仿宋" w:hAnsi="仿宋" w:eastAsia="仿宋" w:cs="仿宋"/>
          <w:color w:val="auto"/>
          <w:sz w:val="24"/>
          <w:highlight w:val="none"/>
        </w:rPr>
        <w:t>的投标报价或其他实质性内容修正的函件和增加的任何承诺不作为评标的依据。</w:t>
      </w:r>
    </w:p>
    <w:p w14:paraId="1F89A5BB">
      <w:pPr>
        <w:pageBreakBefore w:val="0"/>
        <w:kinsoku/>
        <w:wordWrap/>
        <w:overflowPunct/>
        <w:topLinePunct w:val="0"/>
        <w:autoSpaceDE/>
        <w:autoSpaceDN/>
        <w:bidi w:val="0"/>
        <w:adjustRightInd/>
        <w:snapToGrid/>
        <w:spacing w:line="360" w:lineRule="auto"/>
        <w:ind w:firstLine="420"/>
        <w:jc w:val="left"/>
        <w:textAlignment w:val="auto"/>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19.5</w:t>
      </w:r>
      <w:r>
        <w:rPr>
          <w:rFonts w:hint="eastAsia" w:ascii="仿宋" w:hAnsi="仿宋" w:eastAsia="仿宋" w:cs="宋体"/>
          <w:color w:val="auto"/>
          <w:sz w:val="24"/>
          <w:szCs w:val="24"/>
          <w:highlight w:val="none"/>
        </w:rPr>
        <w:t>如投标人提交的电子投标文件不符合（19.1）要求或开标时无法读取导入或解密，其投标文件将不予受理。</w:t>
      </w:r>
    </w:p>
    <w:p w14:paraId="4D24A567">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19.6</w:t>
      </w:r>
      <w:r>
        <w:rPr>
          <w:rFonts w:hint="eastAsia" w:ascii="仿宋" w:hAnsi="仿宋" w:eastAsia="仿宋" w:cs="仿宋"/>
          <w:color w:val="auto"/>
          <w:sz w:val="24"/>
          <w:szCs w:val="24"/>
          <w:highlight w:val="none"/>
        </w:rPr>
        <w:t>投标文件签署：投标文件编制完成后须在指定位置加盖投标人</w:t>
      </w:r>
      <w:r>
        <w:rPr>
          <w:rFonts w:hint="eastAsia" w:ascii="仿宋" w:hAnsi="仿宋" w:eastAsia="仿宋" w:cs="仿宋"/>
          <w:color w:val="auto"/>
          <w:sz w:val="24"/>
          <w:szCs w:val="24"/>
          <w:highlight w:val="none"/>
          <w:lang w:val="en-US" w:eastAsia="zh-CN"/>
        </w:rPr>
        <w:t>电子</w:t>
      </w:r>
      <w:r>
        <w:rPr>
          <w:rFonts w:hint="eastAsia" w:ascii="仿宋" w:hAnsi="仿宋" w:eastAsia="仿宋" w:cs="仿宋"/>
          <w:color w:val="auto"/>
          <w:sz w:val="24"/>
          <w:szCs w:val="24"/>
          <w:highlight w:val="none"/>
        </w:rPr>
        <w:t>公章，法定代表人或委托代理人须在指定位置</w:t>
      </w:r>
      <w:r>
        <w:rPr>
          <w:rFonts w:hint="eastAsia" w:ascii="仿宋" w:hAnsi="仿宋" w:eastAsia="仿宋" w:cs="仿宋"/>
          <w:color w:val="auto"/>
          <w:sz w:val="24"/>
          <w:szCs w:val="24"/>
          <w:highlight w:val="none"/>
          <w:lang w:val="en-US" w:eastAsia="zh-CN"/>
        </w:rPr>
        <w:t>电子</w:t>
      </w:r>
      <w:r>
        <w:rPr>
          <w:rFonts w:hint="eastAsia" w:ascii="仿宋" w:hAnsi="仿宋" w:eastAsia="仿宋" w:cs="仿宋"/>
          <w:color w:val="auto"/>
          <w:sz w:val="24"/>
          <w:szCs w:val="24"/>
          <w:highlight w:val="none"/>
        </w:rPr>
        <w:t>签名或签章。</w:t>
      </w:r>
    </w:p>
    <w:p w14:paraId="66AFE1B5">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301" w:name="_Toc6763"/>
      <w:bookmarkStart w:id="302" w:name="_Toc16360"/>
      <w:bookmarkStart w:id="303" w:name="_Toc13058"/>
      <w:r>
        <w:rPr>
          <w:rFonts w:hint="eastAsia" w:ascii="仿宋" w:hAnsi="仿宋" w:eastAsia="仿宋" w:cs="仿宋"/>
          <w:b/>
          <w:bCs/>
          <w:color w:val="auto"/>
          <w:sz w:val="28"/>
          <w:szCs w:val="28"/>
          <w:lang w:val="en-US" w:eastAsia="zh-CN"/>
        </w:rPr>
        <w:t>20.投标报价要求和报价货币</w:t>
      </w:r>
      <w:bookmarkEnd w:id="298"/>
      <w:bookmarkEnd w:id="299"/>
      <w:bookmarkEnd w:id="300"/>
      <w:bookmarkEnd w:id="301"/>
      <w:bookmarkEnd w:id="302"/>
      <w:bookmarkEnd w:id="303"/>
      <w:bookmarkStart w:id="304" w:name="_Toc383175063"/>
      <w:bookmarkStart w:id="305" w:name="_Toc383175287"/>
      <w:bookmarkStart w:id="306" w:name="_Toc470507051"/>
      <w:bookmarkStart w:id="307" w:name="_Toc329810197"/>
      <w:bookmarkStart w:id="308" w:name="_Toc86124056"/>
      <w:bookmarkStart w:id="309" w:name="_Toc432194837"/>
      <w:bookmarkStart w:id="310" w:name="_Toc482343737"/>
      <w:bookmarkStart w:id="311" w:name="_Toc432106486"/>
      <w:bookmarkStart w:id="312" w:name="_Toc383175485"/>
    </w:p>
    <w:bookmarkEnd w:id="304"/>
    <w:bookmarkEnd w:id="305"/>
    <w:bookmarkEnd w:id="306"/>
    <w:bookmarkEnd w:id="307"/>
    <w:bookmarkEnd w:id="308"/>
    <w:bookmarkEnd w:id="309"/>
    <w:bookmarkEnd w:id="310"/>
    <w:bookmarkEnd w:id="311"/>
    <w:bookmarkEnd w:id="312"/>
    <w:p w14:paraId="75E09395">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投标人必须对所投标</w:t>
      </w:r>
      <w:r>
        <w:rPr>
          <w:rFonts w:hint="eastAsia" w:ascii="仿宋" w:hAnsi="仿宋" w:eastAsia="仿宋" w:cs="仿宋"/>
          <w:color w:val="auto"/>
          <w:sz w:val="24"/>
          <w:szCs w:val="24"/>
          <w:highlight w:val="none"/>
          <w:lang w:eastAsia="zh-CN"/>
        </w:rPr>
        <w:t>标</w:t>
      </w:r>
      <w:r>
        <w:rPr>
          <w:rFonts w:hint="eastAsia" w:ascii="仿宋" w:hAnsi="仿宋" w:eastAsia="仿宋" w:cs="仿宋"/>
          <w:color w:val="auto"/>
          <w:sz w:val="24"/>
          <w:szCs w:val="24"/>
          <w:highlight w:val="none"/>
        </w:rPr>
        <w:t>段内所有内容作出完整的投标报价，不得缺项、漏项，否则投标文件将按无效处理。</w:t>
      </w:r>
    </w:p>
    <w:p w14:paraId="1D82D1E9">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投标报价包括但不限于</w:t>
      </w:r>
      <w:r>
        <w:rPr>
          <w:rFonts w:hint="eastAsia" w:ascii="仿宋" w:hAnsi="仿宋" w:eastAsia="仿宋" w:cs="仿宋"/>
          <w:color w:val="auto"/>
          <w:sz w:val="24"/>
          <w:szCs w:val="24"/>
          <w:highlight w:val="none"/>
          <w:lang w:val="en-US" w:eastAsia="zh-CN"/>
        </w:rPr>
        <w:t>设备送达招标人指定地点的统一交货价并包含货物的出厂价、配套货物、设备验收开始使用后至维保期内正常、连续地使用所必需的备品备件、随机必需的辅助专用工具、运杂费、货物安装调试、检验费、技术服务费、安装费、货物运输保险、保证期内缺陷的修复补救费用、市场价格变化的风险费用、利润、税金、中标服务费等完成本项目采购需求全部费用的总和</w:t>
      </w:r>
      <w:r>
        <w:rPr>
          <w:rFonts w:hint="eastAsia" w:ascii="仿宋" w:hAnsi="仿宋" w:eastAsia="仿宋" w:cs="仿宋"/>
          <w:color w:val="auto"/>
          <w:sz w:val="24"/>
          <w:szCs w:val="24"/>
          <w:highlight w:val="none"/>
        </w:rPr>
        <w:t>。该报价应考虑市场风险、政策性风险、汇率风险等因素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应符合市场行情并能保证投标人完成履行合同所需的一切工作。合同一旦签订，投标报价在合同实施期间将不因市场价格等的变化而调整。</w:t>
      </w:r>
    </w:p>
    <w:p w14:paraId="3829871D">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投标人应依据招标文件的要求及有关资料，执行国家或行业现行技术、经济标准、定额及规范，根据现行市场价格自行测算出满足采购要求的货物的投标报价。本次报价包括完成本项目</w:t>
      </w:r>
      <w:r>
        <w:rPr>
          <w:rFonts w:hint="eastAsia" w:ascii="仿宋" w:hAnsi="仿宋" w:eastAsia="仿宋" w:cs="仿宋"/>
          <w:color w:val="auto"/>
          <w:sz w:val="24"/>
          <w:szCs w:val="24"/>
          <w:highlight w:val="none"/>
          <w:lang w:val="en-US" w:eastAsia="zh-CN"/>
        </w:rPr>
        <w:t>采购需求</w:t>
      </w:r>
      <w:r>
        <w:rPr>
          <w:rFonts w:hint="eastAsia" w:ascii="仿宋" w:hAnsi="仿宋" w:eastAsia="仿宋" w:cs="仿宋"/>
          <w:color w:val="auto"/>
          <w:sz w:val="24"/>
          <w:szCs w:val="24"/>
          <w:highlight w:val="none"/>
        </w:rPr>
        <w:t>的一切费用。</w:t>
      </w:r>
    </w:p>
    <w:p w14:paraId="606420B8">
      <w:pPr>
        <w:pStyle w:val="15"/>
        <w:pageBreakBefore w:val="0"/>
        <w:tabs>
          <w:tab w:val="left" w:pos="3030"/>
        </w:tabs>
        <w:topLinePunct w:val="0"/>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val="en-US" w:eastAsia="zh-CN"/>
        </w:rPr>
        <w:t xml:space="preserve">4 </w:t>
      </w:r>
      <w:r>
        <w:rPr>
          <w:rFonts w:hint="eastAsia" w:ascii="仿宋" w:hAnsi="仿宋" w:eastAsia="仿宋" w:cs="仿宋"/>
          <w:b/>
          <w:bCs/>
          <w:color w:val="auto"/>
          <w:sz w:val="24"/>
          <w:szCs w:val="24"/>
          <w:highlight w:val="none"/>
        </w:rPr>
        <w:t>投标人不得哄抬报价，也不应低于成本价报价。评标委员会认为投标人的投标报价或者某些分项报价明显不合理或者低于成本，有可能影响商品质量和不能诚信履约的，将要求其在规定的期限内提交相关证明材料予以解释说明；投标人不能证明其报价合理性的，评标委员会将认定投标人投标文件无效</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异常低价投标审查执行《关于推动解决政府采购异常低价问题的通知》（财库〔2026〕2号）。</w:t>
      </w:r>
    </w:p>
    <w:p w14:paraId="70FF3B26">
      <w:pPr>
        <w:pStyle w:val="15"/>
        <w:pageBreakBefore w:val="0"/>
        <w:tabs>
          <w:tab w:val="left" w:pos="3030"/>
        </w:tabs>
        <w:topLinePunct w:val="0"/>
        <w:bidi w:val="0"/>
        <w:spacing w:line="360" w:lineRule="auto"/>
        <w:ind w:firstLine="482" w:firstLineChars="200"/>
        <w:rPr>
          <w:rFonts w:hint="eastAsia" w:ascii="仿宋" w:hAnsi="仿宋" w:eastAsia="仿宋" w:cs="仿宋"/>
          <w:b/>
          <w:bCs/>
          <w:i w:val="0"/>
          <w:iCs w:val="0"/>
          <w:caps w:val="0"/>
          <w:color w:val="auto"/>
          <w:spacing w:val="0"/>
          <w:sz w:val="24"/>
          <w:szCs w:val="24"/>
          <w:highlight w:val="none"/>
          <w:shd w:val="clear" w:fill="F0F0F0"/>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i w:val="0"/>
          <w:iCs w:val="0"/>
          <w:caps w:val="0"/>
          <w:color w:val="auto"/>
          <w:spacing w:val="0"/>
          <w:sz w:val="24"/>
          <w:szCs w:val="24"/>
          <w:highlight w:val="none"/>
          <w:shd w:val="clear" w:fill="F0F0F0"/>
        </w:rPr>
        <w:t xml:space="preserve">政府采购评审中出现下列情形之一的，评审委员会应当启动异常低价投标（响应）审查程序： </w:t>
      </w:r>
    </w:p>
    <w:p w14:paraId="1BF40C5C">
      <w:pPr>
        <w:pStyle w:val="15"/>
        <w:pageBreakBefore w:val="0"/>
        <w:tabs>
          <w:tab w:val="left" w:pos="3030"/>
        </w:tabs>
        <w:topLinePunct w:val="0"/>
        <w:bidi w:val="0"/>
        <w:spacing w:line="360" w:lineRule="auto"/>
        <w:ind w:firstLine="482" w:firstLineChars="200"/>
        <w:rPr>
          <w:rFonts w:hint="eastAsia" w:ascii="仿宋" w:hAnsi="仿宋" w:eastAsia="仿宋" w:cs="仿宋"/>
          <w:b/>
          <w:bCs/>
          <w:i w:val="0"/>
          <w:iCs w:val="0"/>
          <w:caps w:val="0"/>
          <w:color w:val="auto"/>
          <w:spacing w:val="0"/>
          <w:sz w:val="24"/>
          <w:szCs w:val="24"/>
          <w:highlight w:val="none"/>
          <w:shd w:val="clear" w:fill="F0F0F0"/>
        </w:rPr>
      </w:pPr>
      <w:r>
        <w:rPr>
          <w:rFonts w:hint="eastAsia" w:ascii="仿宋" w:hAnsi="仿宋" w:eastAsia="仿宋" w:cs="仿宋"/>
          <w:b/>
          <w:bCs/>
          <w:i w:val="0"/>
          <w:iCs w:val="0"/>
          <w:caps w:val="0"/>
          <w:color w:val="auto"/>
          <w:spacing w:val="0"/>
          <w:sz w:val="24"/>
          <w:szCs w:val="24"/>
          <w:highlight w:val="none"/>
          <w:shd w:val="clear" w:fill="F0F0F0"/>
        </w:rPr>
        <w:t>1.投标（响应）报价低于全部通过符合性审查供应商投标（响应）报价平均值50%的，即投标（响应）报价</w:t>
      </w:r>
      <w:r>
        <w:rPr>
          <w:rFonts w:hint="eastAsia" w:ascii="仿宋" w:hAnsi="仿宋" w:eastAsia="仿宋" w:cs="仿宋"/>
          <w:b/>
          <w:bCs/>
          <w:i w:val="0"/>
          <w:iCs w:val="0"/>
          <w:caps w:val="0"/>
          <w:color w:val="auto"/>
          <w:spacing w:val="0"/>
          <w:sz w:val="24"/>
          <w:szCs w:val="24"/>
          <w:highlight w:val="none"/>
          <w:shd w:val="clear" w:fill="F0F0F0"/>
          <w:lang w:eastAsia="zh-CN"/>
        </w:rPr>
        <w:t>〈</w:t>
      </w:r>
      <w:r>
        <w:rPr>
          <w:rFonts w:hint="eastAsia" w:ascii="仿宋" w:hAnsi="仿宋" w:eastAsia="仿宋" w:cs="仿宋"/>
          <w:b/>
          <w:bCs/>
          <w:i w:val="0"/>
          <w:iCs w:val="0"/>
          <w:caps w:val="0"/>
          <w:color w:val="auto"/>
          <w:spacing w:val="0"/>
          <w:sz w:val="24"/>
          <w:szCs w:val="24"/>
          <w:highlight w:val="none"/>
          <w:shd w:val="clear" w:fill="F0F0F0"/>
        </w:rPr>
        <w:t xml:space="preserve">全部通过符合性审查供应商投标（响应）报价平均值×50%； </w:t>
      </w:r>
    </w:p>
    <w:p w14:paraId="5DC537E8">
      <w:pPr>
        <w:pStyle w:val="15"/>
        <w:pageBreakBefore w:val="0"/>
        <w:tabs>
          <w:tab w:val="left" w:pos="3030"/>
        </w:tabs>
        <w:topLinePunct w:val="0"/>
        <w:bidi w:val="0"/>
        <w:spacing w:line="360" w:lineRule="auto"/>
        <w:ind w:firstLine="482" w:firstLineChars="200"/>
        <w:rPr>
          <w:rFonts w:hint="eastAsia" w:ascii="仿宋" w:hAnsi="仿宋" w:eastAsia="仿宋" w:cs="仿宋"/>
          <w:b/>
          <w:bCs/>
          <w:i w:val="0"/>
          <w:iCs w:val="0"/>
          <w:caps w:val="0"/>
          <w:color w:val="auto"/>
          <w:spacing w:val="0"/>
          <w:sz w:val="24"/>
          <w:szCs w:val="24"/>
          <w:highlight w:val="none"/>
          <w:shd w:val="clear" w:fill="F0F0F0"/>
        </w:rPr>
      </w:pPr>
      <w:r>
        <w:rPr>
          <w:rFonts w:hint="eastAsia" w:ascii="仿宋" w:hAnsi="仿宋" w:eastAsia="仿宋" w:cs="仿宋"/>
          <w:b/>
          <w:bCs/>
          <w:i w:val="0"/>
          <w:iCs w:val="0"/>
          <w:caps w:val="0"/>
          <w:color w:val="auto"/>
          <w:spacing w:val="0"/>
          <w:sz w:val="24"/>
          <w:szCs w:val="24"/>
          <w:highlight w:val="none"/>
          <w:shd w:val="clear" w:fill="F0F0F0"/>
        </w:rPr>
        <w:t>2.投标（响应）报价低于通过符合性审查的次低报价供应商投标（响应）报价50%的，即投标（响应）报价</w:t>
      </w:r>
      <w:r>
        <w:rPr>
          <w:rFonts w:hint="eastAsia" w:ascii="仿宋" w:hAnsi="仿宋" w:eastAsia="仿宋" w:cs="仿宋"/>
          <w:b/>
          <w:bCs/>
          <w:i w:val="0"/>
          <w:iCs w:val="0"/>
          <w:caps w:val="0"/>
          <w:color w:val="auto"/>
          <w:spacing w:val="0"/>
          <w:sz w:val="24"/>
          <w:szCs w:val="24"/>
          <w:highlight w:val="none"/>
          <w:shd w:val="clear" w:fill="F0F0F0"/>
          <w:lang w:eastAsia="zh-CN"/>
        </w:rPr>
        <w:t>〈</w:t>
      </w:r>
      <w:r>
        <w:rPr>
          <w:rFonts w:hint="eastAsia" w:ascii="仿宋" w:hAnsi="仿宋" w:eastAsia="仿宋" w:cs="仿宋"/>
          <w:b/>
          <w:bCs/>
          <w:i w:val="0"/>
          <w:iCs w:val="0"/>
          <w:caps w:val="0"/>
          <w:color w:val="auto"/>
          <w:spacing w:val="0"/>
          <w:sz w:val="24"/>
          <w:szCs w:val="24"/>
          <w:highlight w:val="none"/>
          <w:shd w:val="clear" w:fill="F0F0F0"/>
        </w:rPr>
        <w:t xml:space="preserve">通过符合性审查的次低报价供应商投标（响应）报价×50%； </w:t>
      </w:r>
    </w:p>
    <w:p w14:paraId="7B3B3EB9">
      <w:pPr>
        <w:pStyle w:val="15"/>
        <w:pageBreakBefore w:val="0"/>
        <w:tabs>
          <w:tab w:val="left" w:pos="3030"/>
        </w:tabs>
        <w:topLinePunct w:val="0"/>
        <w:bidi w:val="0"/>
        <w:spacing w:line="360" w:lineRule="auto"/>
        <w:ind w:firstLine="482" w:firstLineChars="200"/>
        <w:rPr>
          <w:rFonts w:hint="eastAsia" w:ascii="仿宋" w:hAnsi="仿宋" w:eastAsia="仿宋" w:cs="仿宋"/>
          <w:b/>
          <w:bCs/>
          <w:i w:val="0"/>
          <w:iCs w:val="0"/>
          <w:caps w:val="0"/>
          <w:color w:val="auto"/>
          <w:spacing w:val="0"/>
          <w:sz w:val="24"/>
          <w:szCs w:val="24"/>
          <w:highlight w:val="none"/>
          <w:shd w:val="clear" w:fill="F0F0F0"/>
        </w:rPr>
      </w:pPr>
      <w:r>
        <w:rPr>
          <w:rFonts w:hint="eastAsia" w:ascii="仿宋" w:hAnsi="仿宋" w:eastAsia="仿宋" w:cs="仿宋"/>
          <w:b/>
          <w:bCs/>
          <w:i w:val="0"/>
          <w:iCs w:val="0"/>
          <w:caps w:val="0"/>
          <w:color w:val="auto"/>
          <w:spacing w:val="0"/>
          <w:sz w:val="24"/>
          <w:szCs w:val="24"/>
          <w:highlight w:val="none"/>
          <w:shd w:val="clear" w:fill="F0F0F0"/>
        </w:rPr>
        <w:t>3.投标（响应）报价低于采购项目最高限价45%的，即投标（响应）报价</w:t>
      </w:r>
      <w:r>
        <w:rPr>
          <w:rFonts w:hint="eastAsia" w:ascii="仿宋" w:hAnsi="仿宋" w:eastAsia="仿宋" w:cs="仿宋"/>
          <w:b/>
          <w:bCs/>
          <w:i w:val="0"/>
          <w:iCs w:val="0"/>
          <w:caps w:val="0"/>
          <w:color w:val="auto"/>
          <w:spacing w:val="0"/>
          <w:sz w:val="24"/>
          <w:szCs w:val="24"/>
          <w:highlight w:val="none"/>
          <w:shd w:val="clear" w:fill="F0F0F0"/>
          <w:lang w:eastAsia="zh-CN"/>
        </w:rPr>
        <w:t>〈</w:t>
      </w:r>
      <w:r>
        <w:rPr>
          <w:rFonts w:hint="eastAsia" w:ascii="仿宋" w:hAnsi="仿宋" w:eastAsia="仿宋" w:cs="仿宋"/>
          <w:b/>
          <w:bCs/>
          <w:i w:val="0"/>
          <w:iCs w:val="0"/>
          <w:caps w:val="0"/>
          <w:color w:val="auto"/>
          <w:spacing w:val="0"/>
          <w:sz w:val="24"/>
          <w:szCs w:val="24"/>
          <w:highlight w:val="none"/>
          <w:shd w:val="clear" w:fill="F0F0F0"/>
        </w:rPr>
        <w:t xml:space="preserve">采购项目最高限价×45%； </w:t>
      </w:r>
    </w:p>
    <w:p w14:paraId="66959039">
      <w:pPr>
        <w:pStyle w:val="15"/>
        <w:pageBreakBefore w:val="0"/>
        <w:tabs>
          <w:tab w:val="left" w:pos="3030"/>
        </w:tabs>
        <w:topLinePunct w:val="0"/>
        <w:bidi w:val="0"/>
        <w:spacing w:line="360" w:lineRule="auto"/>
        <w:ind w:firstLine="482" w:firstLineChars="200"/>
        <w:rPr>
          <w:rFonts w:hint="eastAsia" w:ascii="仿宋" w:hAnsi="仿宋" w:eastAsia="仿宋" w:cs="仿宋"/>
          <w:b/>
          <w:bCs/>
          <w:i w:val="0"/>
          <w:iCs w:val="0"/>
          <w:caps w:val="0"/>
          <w:color w:val="auto"/>
          <w:spacing w:val="0"/>
          <w:sz w:val="24"/>
          <w:szCs w:val="24"/>
          <w:highlight w:val="none"/>
          <w:shd w:val="clear" w:fill="F0F0F0"/>
        </w:rPr>
      </w:pPr>
      <w:r>
        <w:rPr>
          <w:rFonts w:hint="eastAsia" w:ascii="仿宋" w:hAnsi="仿宋" w:eastAsia="仿宋" w:cs="仿宋"/>
          <w:b/>
          <w:bCs/>
          <w:i w:val="0"/>
          <w:iCs w:val="0"/>
          <w:caps w:val="0"/>
          <w:color w:val="auto"/>
          <w:spacing w:val="0"/>
          <w:sz w:val="24"/>
          <w:szCs w:val="24"/>
          <w:highlight w:val="none"/>
          <w:shd w:val="clear" w:fill="F0F0F0"/>
        </w:rPr>
        <w:t xml:space="preserve">4.评审委员会基于专业判断，认为供应商报价过低，有可能影响产品质量或者不能诚信履约的其他情形。 </w:t>
      </w:r>
      <w:r>
        <w:rPr>
          <w:rFonts w:hint="eastAsia" w:ascii="仿宋" w:hAnsi="仿宋" w:eastAsia="仿宋" w:cs="仿宋"/>
          <w:b/>
          <w:bCs/>
          <w:i w:val="0"/>
          <w:iCs w:val="0"/>
          <w:caps w:val="0"/>
          <w:color w:val="auto"/>
          <w:spacing w:val="0"/>
          <w:sz w:val="24"/>
          <w:szCs w:val="24"/>
          <w:highlight w:val="none"/>
          <w:shd w:val="clear" w:fill="F0F0F0"/>
          <w:lang w:eastAsia="zh-CN"/>
        </w:rPr>
        <w:t>招标人</w:t>
      </w:r>
      <w:r>
        <w:rPr>
          <w:rFonts w:hint="eastAsia" w:ascii="仿宋" w:hAnsi="仿宋" w:eastAsia="仿宋" w:cs="仿宋"/>
          <w:b/>
          <w:bCs/>
          <w:i w:val="0"/>
          <w:iCs w:val="0"/>
          <w:caps w:val="0"/>
          <w:color w:val="auto"/>
          <w:spacing w:val="0"/>
          <w:sz w:val="24"/>
          <w:szCs w:val="24"/>
          <w:highlight w:val="none"/>
          <w:shd w:val="clear" w:fill="F0F0F0"/>
        </w:rPr>
        <w:t xml:space="preserve">可以结合具体项目实际情况，提高上述第1项至第3项中启动异常低价投标（响应）审查的数值标准，但是最高不得超过65%。 </w:t>
      </w:r>
    </w:p>
    <w:p w14:paraId="738E6051">
      <w:pPr>
        <w:pStyle w:val="15"/>
        <w:pageBreakBefore w:val="0"/>
        <w:tabs>
          <w:tab w:val="left" w:pos="3030"/>
        </w:tabs>
        <w:topLinePunct w:val="0"/>
        <w:bidi w:val="0"/>
        <w:spacing w:line="360" w:lineRule="auto"/>
        <w:ind w:firstLine="482" w:firstLineChars="200"/>
        <w:rPr>
          <w:rFonts w:hint="eastAsia" w:ascii="仿宋" w:hAnsi="仿宋" w:eastAsia="仿宋" w:cs="仿宋"/>
          <w:b/>
          <w:bCs/>
          <w:i w:val="0"/>
          <w:iCs w:val="0"/>
          <w:caps w:val="0"/>
          <w:color w:val="auto"/>
          <w:spacing w:val="0"/>
          <w:sz w:val="24"/>
          <w:szCs w:val="24"/>
          <w:highlight w:val="none"/>
          <w:shd w:val="clear" w:fill="F0F0F0"/>
        </w:rPr>
      </w:pPr>
      <w:r>
        <w:rPr>
          <w:rFonts w:hint="eastAsia" w:ascii="仿宋" w:hAnsi="仿宋" w:eastAsia="仿宋" w:cs="仿宋"/>
          <w:b/>
          <w:bCs/>
          <w:i w:val="0"/>
          <w:iCs w:val="0"/>
          <w:caps w:val="0"/>
          <w:color w:val="auto"/>
          <w:spacing w:val="0"/>
          <w:sz w:val="24"/>
          <w:szCs w:val="24"/>
          <w:highlight w:val="none"/>
          <w:shd w:val="clear" w:fill="F0F0F0"/>
        </w:rPr>
        <w:t xml:space="preserve">相关法律法规对供应商报价有规定的，从其规定。 </w:t>
      </w:r>
    </w:p>
    <w:p w14:paraId="7BB395CD">
      <w:pPr>
        <w:pStyle w:val="15"/>
        <w:pageBreakBefore w:val="0"/>
        <w:tabs>
          <w:tab w:val="left" w:pos="3030"/>
        </w:tabs>
        <w:topLinePunct w:val="0"/>
        <w:bidi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shd w:val="clear" w:fill="F0F0F0"/>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r>
        <w:rPr>
          <w:rFonts w:hint="eastAsia" w:ascii="仿宋" w:hAnsi="仿宋" w:eastAsia="仿宋" w:cs="仿宋"/>
          <w:b/>
          <w:bCs/>
          <w:i w:val="0"/>
          <w:iCs w:val="0"/>
          <w:caps w:val="0"/>
          <w:color w:val="auto"/>
          <w:spacing w:val="0"/>
          <w:sz w:val="24"/>
          <w:szCs w:val="24"/>
          <w:highlight w:val="none"/>
          <w:shd w:val="clear" w:fill="F0F0F0"/>
          <w:lang w:eastAsia="zh-CN"/>
        </w:rPr>
        <w:t>招标人</w:t>
      </w:r>
      <w:r>
        <w:rPr>
          <w:rFonts w:hint="eastAsia" w:ascii="仿宋" w:hAnsi="仿宋" w:eastAsia="仿宋" w:cs="仿宋"/>
          <w:b/>
          <w:bCs/>
          <w:i w:val="0"/>
          <w:iCs w:val="0"/>
          <w:caps w:val="0"/>
          <w:color w:val="auto"/>
          <w:spacing w:val="0"/>
          <w:sz w:val="24"/>
          <w:szCs w:val="24"/>
          <w:highlight w:val="none"/>
          <w:shd w:val="clear" w:fill="F0F0F0"/>
        </w:rPr>
        <w:t>、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p w14:paraId="52AD52AA">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val="en-US" w:eastAsia="zh-CN"/>
        </w:rPr>
        <w:t xml:space="preserve">5 </w:t>
      </w:r>
      <w:r>
        <w:rPr>
          <w:rFonts w:hint="eastAsia" w:ascii="仿宋" w:hAnsi="仿宋" w:eastAsia="仿宋" w:cs="仿宋"/>
          <w:color w:val="auto"/>
          <w:sz w:val="24"/>
          <w:szCs w:val="24"/>
          <w:highlight w:val="none"/>
        </w:rPr>
        <w:t>投标人应保证其提供的货物</w:t>
      </w:r>
      <w:r>
        <w:rPr>
          <w:rFonts w:hint="eastAsia" w:ascii="仿宋" w:hAnsi="仿宋" w:eastAsia="仿宋" w:cs="仿宋"/>
          <w:color w:val="auto"/>
          <w:sz w:val="24"/>
          <w:szCs w:val="24"/>
          <w:highlight w:val="none"/>
          <w:lang w:eastAsia="zh-CN"/>
        </w:rPr>
        <w:t>是</w:t>
      </w:r>
      <w:r>
        <w:rPr>
          <w:rFonts w:hint="eastAsia" w:ascii="仿宋" w:hAnsi="仿宋" w:eastAsia="仿宋" w:cs="仿宋"/>
          <w:color w:val="auto"/>
          <w:sz w:val="24"/>
          <w:szCs w:val="24"/>
          <w:highlight w:val="none"/>
        </w:rPr>
        <w:t>全新的，投标人应保证其提供的货物在</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使用期间不受第三方可能提出的所有权、用益物权、担保物权、占有等一切涉及物权及知识产权、商标权、专利权、著作权等相关权利的起诉。</w:t>
      </w:r>
    </w:p>
    <w:p w14:paraId="4FB03BDB">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val="en-US" w:eastAsia="zh-CN"/>
        </w:rPr>
        <w:t xml:space="preserve">6 </w:t>
      </w:r>
      <w:r>
        <w:rPr>
          <w:rFonts w:hint="eastAsia" w:ascii="仿宋" w:hAnsi="仿宋" w:eastAsia="仿宋" w:cs="仿宋"/>
          <w:color w:val="auto"/>
          <w:sz w:val="24"/>
          <w:szCs w:val="24"/>
          <w:highlight w:val="none"/>
        </w:rPr>
        <w:t>报价货币为人民币。</w:t>
      </w:r>
    </w:p>
    <w:p w14:paraId="093A1ECD">
      <w:pPr>
        <w:pageBreakBefore w:val="0"/>
        <w:kinsoku/>
        <w:wordWrap/>
        <w:overflowPunct/>
        <w:topLinePunct w:val="0"/>
        <w:autoSpaceDE/>
        <w:autoSpaceDN/>
        <w:bidi w:val="0"/>
        <w:adjustRightInd/>
        <w:snapToGrid/>
        <w:spacing w:line="360" w:lineRule="auto"/>
        <w:ind w:firstLine="42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20.7</w:t>
      </w:r>
      <w:r>
        <w:rPr>
          <w:rFonts w:hint="eastAsia" w:ascii="仿宋" w:hAnsi="仿宋" w:eastAsia="仿宋" w:cs="宋体"/>
          <w:color w:val="auto"/>
          <w:sz w:val="24"/>
          <w:szCs w:val="24"/>
          <w:highlight w:val="none"/>
        </w:rPr>
        <w:t>备品备件要求：见</w:t>
      </w:r>
      <w:r>
        <w:rPr>
          <w:rFonts w:hint="eastAsia" w:ascii="仿宋" w:hAnsi="仿宋" w:eastAsia="仿宋" w:cs="宋体"/>
          <w:color w:val="auto"/>
          <w:sz w:val="24"/>
          <w:szCs w:val="24"/>
          <w:highlight w:val="none"/>
          <w:lang w:eastAsia="zh-CN"/>
        </w:rPr>
        <w:t>“投标人须知前附表”</w:t>
      </w:r>
      <w:r>
        <w:rPr>
          <w:rFonts w:hint="eastAsia" w:ascii="仿宋" w:hAnsi="仿宋" w:eastAsia="仿宋" w:cs="宋体"/>
          <w:color w:val="auto"/>
          <w:sz w:val="24"/>
          <w:szCs w:val="24"/>
          <w:highlight w:val="none"/>
        </w:rPr>
        <w:t>。</w:t>
      </w:r>
    </w:p>
    <w:p w14:paraId="16F70B91">
      <w:pPr>
        <w:pStyle w:val="3"/>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600" w:firstLineChars="200"/>
        <w:jc w:val="center"/>
        <w:textAlignment w:val="auto"/>
        <w:outlineLvl w:val="1"/>
        <w:rPr>
          <w:rFonts w:hint="eastAsia" w:ascii="仿宋" w:hAnsi="仿宋" w:eastAsia="仿宋" w:cs="仿宋"/>
          <w:color w:val="auto"/>
          <w:sz w:val="30"/>
          <w:szCs w:val="30"/>
          <w:highlight w:val="none"/>
        </w:rPr>
      </w:pPr>
      <w:bookmarkStart w:id="313" w:name="_Toc488633607"/>
      <w:bookmarkStart w:id="314" w:name="_Toc489197831"/>
      <w:bookmarkStart w:id="315" w:name="_Toc12423"/>
      <w:bookmarkStart w:id="316" w:name="_Toc14345"/>
      <w:bookmarkStart w:id="317" w:name="_Toc6164"/>
      <w:bookmarkStart w:id="318" w:name="_Toc11404"/>
      <w:bookmarkStart w:id="319" w:name="_Toc27900"/>
      <w:bookmarkStart w:id="320" w:name="_Toc6320"/>
      <w:bookmarkStart w:id="321" w:name="_Toc528186475"/>
      <w:bookmarkStart w:id="322" w:name="_Toc29853"/>
      <w:bookmarkStart w:id="323" w:name="_Toc489145727"/>
      <w:r>
        <w:rPr>
          <w:rFonts w:hint="eastAsia" w:ascii="仿宋" w:hAnsi="仿宋" w:eastAsia="仿宋" w:cs="仿宋"/>
          <w:color w:val="auto"/>
          <w:sz w:val="30"/>
          <w:szCs w:val="30"/>
          <w:highlight w:val="none"/>
        </w:rPr>
        <w:t>四、投标</w:t>
      </w:r>
      <w:bookmarkEnd w:id="313"/>
      <w:bookmarkEnd w:id="314"/>
      <w:bookmarkEnd w:id="315"/>
      <w:bookmarkEnd w:id="316"/>
      <w:bookmarkEnd w:id="317"/>
      <w:bookmarkEnd w:id="318"/>
      <w:bookmarkEnd w:id="319"/>
      <w:bookmarkEnd w:id="320"/>
      <w:bookmarkEnd w:id="321"/>
      <w:bookmarkEnd w:id="322"/>
      <w:bookmarkEnd w:id="323"/>
    </w:p>
    <w:p w14:paraId="351117AE">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both"/>
        <w:textAlignment w:val="auto"/>
        <w:rPr>
          <w:rFonts w:hint="eastAsia" w:ascii="仿宋" w:hAnsi="仿宋" w:eastAsia="仿宋" w:cs="仿宋"/>
          <w:b/>
          <w:bCs/>
          <w:color w:val="auto"/>
          <w:sz w:val="28"/>
          <w:szCs w:val="28"/>
          <w:lang w:val="en-US" w:eastAsia="zh-CN"/>
        </w:rPr>
      </w:pPr>
      <w:bookmarkStart w:id="324" w:name="_Toc6233"/>
      <w:bookmarkStart w:id="325" w:name="_Toc12022"/>
      <w:bookmarkStart w:id="326" w:name="_Toc489197832"/>
      <w:bookmarkStart w:id="327" w:name="_Toc489145728"/>
      <w:bookmarkStart w:id="328" w:name="_Toc528186476"/>
      <w:r>
        <w:rPr>
          <w:rFonts w:hint="eastAsia" w:ascii="仿宋" w:hAnsi="仿宋" w:eastAsia="仿宋" w:cs="仿宋"/>
          <w:b/>
          <w:bCs/>
          <w:color w:val="auto"/>
          <w:sz w:val="28"/>
          <w:szCs w:val="28"/>
          <w:lang w:val="en-US" w:eastAsia="zh-CN"/>
        </w:rPr>
        <w:t>21.投标文</w:t>
      </w:r>
      <w:bookmarkStart w:id="329" w:name="_Toc378239173"/>
      <w:bookmarkStart w:id="330" w:name="_Toc296602443"/>
      <w:bookmarkStart w:id="331" w:name="_Toc480817646"/>
      <w:bookmarkStart w:id="332" w:name="_Toc378239354"/>
      <w:bookmarkStart w:id="333" w:name="_Toc378239081"/>
      <w:bookmarkStart w:id="334" w:name="_Toc4707"/>
      <w:bookmarkStart w:id="335" w:name="_Toc401342137"/>
      <w:r>
        <w:rPr>
          <w:rFonts w:hint="eastAsia" w:ascii="仿宋" w:hAnsi="仿宋" w:eastAsia="仿宋" w:cs="仿宋"/>
          <w:b/>
          <w:bCs/>
          <w:color w:val="auto"/>
          <w:sz w:val="28"/>
          <w:szCs w:val="28"/>
          <w:lang w:val="en-US" w:eastAsia="zh-CN"/>
        </w:rPr>
        <w:t>件的密封</w:t>
      </w:r>
      <w:bookmarkEnd w:id="329"/>
      <w:bookmarkEnd w:id="330"/>
      <w:bookmarkEnd w:id="331"/>
      <w:bookmarkEnd w:id="332"/>
      <w:bookmarkEnd w:id="333"/>
      <w:bookmarkEnd w:id="334"/>
      <w:bookmarkEnd w:id="335"/>
      <w:r>
        <w:rPr>
          <w:rFonts w:hint="eastAsia" w:ascii="仿宋" w:hAnsi="仿宋" w:eastAsia="仿宋" w:cs="仿宋"/>
          <w:b/>
          <w:bCs/>
          <w:color w:val="auto"/>
          <w:sz w:val="28"/>
          <w:szCs w:val="28"/>
          <w:lang w:val="en-US" w:eastAsia="zh-CN"/>
        </w:rPr>
        <w:t>和</w:t>
      </w:r>
      <w:bookmarkEnd w:id="324"/>
      <w:bookmarkEnd w:id="325"/>
      <w:bookmarkEnd w:id="326"/>
      <w:bookmarkEnd w:id="327"/>
      <w:bookmarkEnd w:id="328"/>
      <w:bookmarkStart w:id="336" w:name="_Toc246996943"/>
      <w:bookmarkStart w:id="337" w:name="_Toc144974524"/>
      <w:bookmarkStart w:id="338" w:name="_Toc179632574"/>
      <w:bookmarkStart w:id="339" w:name="_Toc247085714"/>
      <w:bookmarkStart w:id="340" w:name="_Toc152045556"/>
      <w:bookmarkStart w:id="341" w:name="_Toc152042332"/>
      <w:bookmarkStart w:id="342" w:name="_Toc296602444"/>
      <w:bookmarkStart w:id="343" w:name="_Toc246996200"/>
      <w:r>
        <w:rPr>
          <w:rFonts w:hint="eastAsia" w:ascii="仿宋" w:hAnsi="仿宋" w:eastAsia="仿宋" w:cs="仿宋"/>
          <w:b/>
          <w:bCs/>
          <w:color w:val="auto"/>
          <w:sz w:val="28"/>
          <w:szCs w:val="28"/>
          <w:lang w:val="en-US" w:eastAsia="zh-CN"/>
        </w:rPr>
        <w:t>解密</w:t>
      </w:r>
    </w:p>
    <w:bookmarkEnd w:id="336"/>
    <w:bookmarkEnd w:id="337"/>
    <w:bookmarkEnd w:id="338"/>
    <w:bookmarkEnd w:id="339"/>
    <w:bookmarkEnd w:id="340"/>
    <w:bookmarkEnd w:id="341"/>
    <w:bookmarkEnd w:id="342"/>
    <w:bookmarkEnd w:id="343"/>
    <w:p w14:paraId="4425A667">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auto"/>
          <w:sz w:val="24"/>
          <w:szCs w:val="24"/>
          <w:highlight w:val="none"/>
        </w:rPr>
      </w:pPr>
      <w:bookmarkStart w:id="344" w:name="_Toc489145729"/>
      <w:bookmarkStart w:id="345" w:name="_Toc489197833"/>
      <w:bookmarkStart w:id="346" w:name="_Toc528186477"/>
      <w:bookmarkStart w:id="347" w:name="_Toc246996944"/>
      <w:bookmarkStart w:id="348" w:name="_Toc144974525"/>
      <w:bookmarkStart w:id="349" w:name="_Toc152042333"/>
      <w:bookmarkStart w:id="350" w:name="_Toc152045557"/>
      <w:bookmarkStart w:id="351" w:name="_Toc247085715"/>
      <w:bookmarkStart w:id="352" w:name="_Toc179632575"/>
      <w:bookmarkStart w:id="353" w:name="_Toc246996201"/>
      <w:r>
        <w:rPr>
          <w:rFonts w:hint="eastAsia" w:ascii="仿宋" w:hAnsi="仿宋" w:eastAsia="仿宋" w:cs="仿宋"/>
          <w:color w:val="auto"/>
          <w:sz w:val="24"/>
          <w:szCs w:val="24"/>
          <w:highlight w:val="none"/>
        </w:rPr>
        <w:t>21.1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投标文件的密封：投标人应通</w:t>
      </w:r>
      <w:r>
        <w:rPr>
          <w:rFonts w:hint="eastAsia" w:ascii="仿宋" w:hAnsi="仿宋" w:eastAsia="仿宋" w:cs="仿宋"/>
          <w:b w:val="0"/>
          <w:bCs w:val="0"/>
          <w:color w:val="auto"/>
          <w:sz w:val="24"/>
          <w:szCs w:val="24"/>
          <w:highlight w:val="none"/>
        </w:rPr>
        <w:t>过</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highlight w:val="none"/>
          <w:lang w:eastAsia="zh-CN"/>
        </w:rPr>
        <w:t>政采云</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highlight w:val="none"/>
          <w:lang w:eastAsia="zh-CN"/>
        </w:rPr>
        <w:t>平台</w:t>
      </w:r>
      <w:r>
        <w:rPr>
          <w:rFonts w:hint="eastAsia" w:ascii="仿宋" w:hAnsi="仿宋" w:eastAsia="仿宋" w:cs="仿宋"/>
          <w:color w:val="auto"/>
          <w:sz w:val="24"/>
          <w:szCs w:val="24"/>
          <w:highlight w:val="none"/>
        </w:rPr>
        <w:t>提交加密的电子投标文件</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"http://www.ynggzyxx.gov.cn/zfcg-tb）提交的电子投标文件进行加密。"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rPr>
        <w:t>。</w:t>
      </w:r>
      <w:bookmarkStart w:id="354" w:name="_Toc34"/>
      <w:bookmarkStart w:id="355" w:name="_Toc17219"/>
      <w:bookmarkStart w:id="356" w:name="_Toc1260"/>
      <w:r>
        <w:rPr>
          <w:rFonts w:hint="eastAsia" w:ascii="仿宋" w:hAnsi="仿宋" w:eastAsia="仿宋" w:cs="仿宋"/>
          <w:color w:val="auto"/>
          <w:sz w:val="24"/>
          <w:szCs w:val="24"/>
          <w:highlight w:val="none"/>
        </w:rPr>
        <w:fldChar w:fldCharType="end"/>
      </w:r>
    </w:p>
    <w:p w14:paraId="43B4F57C">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网上开标及远程解密：</w:t>
      </w:r>
    </w:p>
    <w:p w14:paraId="0700B097">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（1）投标人登录</w:t>
      </w:r>
      <w:r>
        <w:rPr>
          <w:rFonts w:hint="eastAsia" w:ascii="仿宋" w:hAnsi="仿宋" w:eastAsia="仿宋" w:cs="仿宋"/>
          <w:b w:val="0"/>
          <w:bCs w:val="0"/>
          <w:color w:val="auto"/>
          <w:sz w:val="24"/>
          <w:highlight w:val="none"/>
          <w:lang w:eastAsia="zh-CN"/>
        </w:rPr>
        <w:t>政采云平台</w:t>
      </w:r>
      <w:r>
        <w:rPr>
          <w:rFonts w:hint="eastAsia" w:ascii="仿宋" w:hAnsi="仿宋" w:eastAsia="仿宋" w:cs="仿宋"/>
          <w:color w:val="auto"/>
          <w:sz w:val="24"/>
          <w:szCs w:val="24"/>
          <w:highlight w:val="none"/>
        </w:rPr>
        <w:t>，完成远程解密、查看开标一览表等相关操作。本项目解密时间为</w:t>
      </w:r>
      <w:r>
        <w:rPr>
          <w:rFonts w:hint="eastAsia" w:ascii="仿宋" w:hAnsi="仿宋" w:eastAsia="仿宋" w:cs="仿宋"/>
          <w:color w:val="auto"/>
          <w:sz w:val="24"/>
          <w:szCs w:val="24"/>
          <w:highlight w:val="none"/>
          <w:lang w:val="en-US" w:eastAsia="zh-CN"/>
        </w:rPr>
        <w:t>30分钟</w:t>
      </w:r>
      <w:r>
        <w:rPr>
          <w:rFonts w:hint="eastAsia" w:ascii="仿宋" w:hAnsi="仿宋" w:eastAsia="仿宋" w:cs="仿宋"/>
          <w:color w:val="auto"/>
          <w:sz w:val="24"/>
          <w:szCs w:val="24"/>
          <w:highlight w:val="none"/>
        </w:rPr>
        <w:t>，若投标人未在规定时间完成投标文件解密，则视为无效投标，不再进入评标阶段。</w:t>
      </w:r>
    </w:p>
    <w:p w14:paraId="3A3C0C96">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（2）因开标系统、开标现场网络、设备及其他特殊原因，导致不能正常解密投标文件的，经核实和上报相关部门同意后，可再次下达网上解密指令来延长解密时间。</w:t>
      </w:r>
    </w:p>
    <w:p w14:paraId="4B457DFF">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（3）开标过程中如有问题，可以在线提出异议，由代理机构给予回复。在规定的异议询问时间内未提出异议的，则视为对开标结果无异议。</w:t>
      </w:r>
    </w:p>
    <w:p w14:paraId="30DB7DBE">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22.投标文件的提交</w:t>
      </w:r>
      <w:bookmarkEnd w:id="344"/>
      <w:bookmarkEnd w:id="345"/>
      <w:bookmarkEnd w:id="346"/>
      <w:bookmarkEnd w:id="354"/>
      <w:bookmarkEnd w:id="355"/>
      <w:bookmarkEnd w:id="356"/>
    </w:p>
    <w:p w14:paraId="138A5AE2">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auto"/>
          <w:sz w:val="24"/>
          <w:szCs w:val="24"/>
          <w:highlight w:val="none"/>
          <w:lang w:eastAsia="zh-CN"/>
        </w:rPr>
      </w:pPr>
      <w:bookmarkStart w:id="357" w:name="_Toc296602445"/>
      <w:r>
        <w:rPr>
          <w:rFonts w:hint="eastAsia" w:ascii="仿宋" w:hAnsi="仿宋" w:eastAsia="仿宋" w:cs="仿宋"/>
          <w:color w:val="auto"/>
          <w:sz w:val="24"/>
          <w:szCs w:val="24"/>
          <w:highlight w:val="none"/>
        </w:rPr>
        <w:t>22.1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投标文件提</w:t>
      </w:r>
      <w:bookmarkEnd w:id="347"/>
      <w:bookmarkEnd w:id="348"/>
      <w:bookmarkEnd w:id="349"/>
      <w:bookmarkEnd w:id="350"/>
      <w:bookmarkEnd w:id="351"/>
      <w:bookmarkEnd w:id="352"/>
      <w:bookmarkEnd w:id="353"/>
      <w:bookmarkEnd w:id="357"/>
      <w:r>
        <w:rPr>
          <w:rFonts w:hint="eastAsia" w:ascii="仿宋" w:hAnsi="仿宋" w:eastAsia="仿宋" w:cs="仿宋"/>
          <w:color w:val="auto"/>
          <w:sz w:val="24"/>
          <w:szCs w:val="24"/>
          <w:highlight w:val="none"/>
        </w:rPr>
        <w:t>交截止时间、提交投标文件的地点：详见</w:t>
      </w:r>
      <w:r>
        <w:rPr>
          <w:rFonts w:hint="eastAsia" w:ascii="仿宋" w:hAnsi="仿宋" w:eastAsia="仿宋" w:cs="仿宋"/>
          <w:b/>
          <w:bCs/>
          <w:color w:val="auto"/>
          <w:sz w:val="24"/>
          <w:szCs w:val="24"/>
          <w:highlight w:val="none"/>
        </w:rPr>
        <w:t>《投标人须知前附表》</w:t>
      </w:r>
      <w:r>
        <w:rPr>
          <w:rFonts w:hint="eastAsia" w:ascii="仿宋" w:hAnsi="仿宋" w:eastAsia="仿宋" w:cs="仿宋"/>
          <w:b/>
          <w:bCs/>
          <w:color w:val="auto"/>
          <w:sz w:val="24"/>
          <w:szCs w:val="24"/>
          <w:highlight w:val="none"/>
          <w:lang w:eastAsia="zh-CN"/>
        </w:rPr>
        <w:t>。</w:t>
      </w:r>
    </w:p>
    <w:p w14:paraId="030DD411">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本项目采用电子招标投标，投标人电子投标文件通过</w:t>
      </w:r>
      <w:r>
        <w:rPr>
          <w:rFonts w:hint="eastAsia" w:ascii="仿宋" w:hAnsi="仿宋" w:eastAsia="仿宋" w:cs="仿宋"/>
          <w:b w:val="0"/>
          <w:bCs w:val="0"/>
          <w:color w:val="auto"/>
          <w:sz w:val="24"/>
          <w:highlight w:val="none"/>
          <w:lang w:eastAsia="zh-CN"/>
        </w:rPr>
        <w:t>政采云平台（https:www.zcygov.cn）</w:t>
      </w:r>
      <w:r>
        <w:rPr>
          <w:rFonts w:hint="eastAsia" w:ascii="仿宋" w:hAnsi="仿宋" w:eastAsia="仿宋" w:cs="仿宋"/>
          <w:color w:val="auto"/>
          <w:sz w:val="24"/>
          <w:szCs w:val="24"/>
          <w:highlight w:val="none"/>
        </w:rPr>
        <w:t>提交，电子投标文件提交截止时间前未完成电子投标文件传输的，视为撤回投标文件。</w:t>
      </w:r>
    </w:p>
    <w:p w14:paraId="2AB8E985">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jc w:val="both"/>
        <w:textAlignment w:val="auto"/>
        <w:rPr>
          <w:rFonts w:hint="eastAsia" w:ascii="仿宋" w:hAnsi="仿宋" w:eastAsia="仿宋" w:cs="仿宋"/>
          <w:b/>
          <w:bCs/>
          <w:color w:val="auto"/>
          <w:sz w:val="28"/>
          <w:szCs w:val="28"/>
          <w:lang w:val="en-US" w:eastAsia="zh-CN"/>
        </w:rPr>
      </w:pPr>
      <w:bookmarkStart w:id="358" w:name="_Toc528186478"/>
      <w:bookmarkStart w:id="359" w:name="_Toc489145730"/>
      <w:bookmarkStart w:id="360" w:name="_Toc21225"/>
      <w:bookmarkStart w:id="361" w:name="_Toc8866"/>
      <w:bookmarkStart w:id="362" w:name="_Toc489197834"/>
      <w:bookmarkStart w:id="363" w:name="_Toc14578"/>
      <w:r>
        <w:rPr>
          <w:rFonts w:hint="eastAsia" w:ascii="仿宋" w:hAnsi="仿宋" w:eastAsia="仿宋" w:cs="仿宋"/>
          <w:b/>
          <w:bCs/>
          <w:color w:val="auto"/>
          <w:sz w:val="28"/>
          <w:szCs w:val="28"/>
          <w:lang w:val="en-US" w:eastAsia="zh-CN"/>
        </w:rPr>
        <w:t>23.投标文件的补充、</w:t>
      </w:r>
      <w:bookmarkStart w:id="364" w:name="_Toc179632576"/>
      <w:bookmarkStart w:id="365" w:name="_Toc152045558"/>
      <w:bookmarkStart w:id="366" w:name="_Toc152042334"/>
      <w:bookmarkStart w:id="367" w:name="_Toc246996202"/>
      <w:bookmarkStart w:id="368" w:name="_Toc296602446"/>
      <w:bookmarkStart w:id="369" w:name="_Toc247085716"/>
      <w:bookmarkStart w:id="370" w:name="_Toc246996945"/>
      <w:bookmarkStart w:id="371" w:name="_Toc144974526"/>
      <w:r>
        <w:rPr>
          <w:rFonts w:hint="eastAsia" w:ascii="仿宋" w:hAnsi="仿宋" w:eastAsia="仿宋" w:cs="仿宋"/>
          <w:b/>
          <w:bCs/>
          <w:color w:val="auto"/>
          <w:sz w:val="28"/>
          <w:szCs w:val="28"/>
          <w:lang w:val="en-US" w:eastAsia="zh-CN"/>
        </w:rPr>
        <w:t>修改或者撤回</w:t>
      </w:r>
      <w:bookmarkEnd w:id="358"/>
      <w:bookmarkEnd w:id="359"/>
      <w:bookmarkEnd w:id="360"/>
      <w:bookmarkEnd w:id="361"/>
      <w:bookmarkEnd w:id="362"/>
      <w:bookmarkEnd w:id="363"/>
    </w:p>
    <w:p w14:paraId="166BDAD5">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bookmarkEnd w:id="364"/>
      <w:bookmarkEnd w:id="365"/>
      <w:bookmarkEnd w:id="366"/>
      <w:bookmarkEnd w:id="367"/>
      <w:bookmarkEnd w:id="368"/>
      <w:bookmarkEnd w:id="369"/>
      <w:bookmarkEnd w:id="370"/>
      <w:bookmarkEnd w:id="371"/>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投标人在投标截止时间前，可以对所提交的投标文件进行补充、修改或者撤回，必须在规定的投标截止时间前完成投标文件的传输</w:t>
      </w:r>
      <w:r>
        <w:rPr>
          <w:rFonts w:hint="eastAsia" w:ascii="仿宋" w:hAnsi="仿宋" w:eastAsia="仿宋" w:cs="仿宋"/>
          <w:color w:val="auto"/>
          <w:sz w:val="24"/>
          <w:szCs w:val="24"/>
          <w:highlight w:val="none"/>
          <w:lang w:val="en-US" w:eastAsia="zh-CN"/>
        </w:rPr>
        <w:t>提交</w:t>
      </w:r>
      <w:r>
        <w:rPr>
          <w:rFonts w:hint="eastAsia" w:ascii="仿宋" w:hAnsi="仿宋" w:eastAsia="仿宋" w:cs="仿宋"/>
          <w:color w:val="auto"/>
          <w:sz w:val="24"/>
          <w:szCs w:val="24"/>
          <w:highlight w:val="none"/>
        </w:rPr>
        <w:t>。</w:t>
      </w:r>
    </w:p>
    <w:p w14:paraId="4E1846B5">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在投标截止时间之后，投标人不得对其投标文件做任何修改。</w:t>
      </w:r>
    </w:p>
    <w:p w14:paraId="5B4AA7E7">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.3 投标有效期从提交投标文件的截止之日起算。投标文件中承诺的投标有效期应当不少于招标文件中载明的投标有效期。</w:t>
      </w:r>
    </w:p>
    <w:p w14:paraId="33B0AEB5">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.4 在投标截止时间前，除投标人补充、修改或者撤回投标文件外，任何单位和个人不得解密、提取投标文件。</w:t>
      </w:r>
    </w:p>
    <w:p w14:paraId="38FC91E8">
      <w:pPr>
        <w:pStyle w:val="3"/>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600" w:firstLineChars="200"/>
        <w:jc w:val="center"/>
        <w:textAlignment w:val="auto"/>
        <w:outlineLvl w:val="1"/>
        <w:rPr>
          <w:rFonts w:hint="eastAsia" w:ascii="仿宋" w:hAnsi="仿宋" w:eastAsia="仿宋" w:cs="仿宋"/>
          <w:color w:val="auto"/>
          <w:sz w:val="30"/>
          <w:szCs w:val="30"/>
          <w:highlight w:val="none"/>
        </w:rPr>
      </w:pPr>
      <w:bookmarkStart w:id="372" w:name="_Toc528186479"/>
      <w:bookmarkStart w:id="373" w:name="_Toc489197835"/>
      <w:bookmarkStart w:id="374" w:name="_Toc17571"/>
      <w:bookmarkStart w:id="375" w:name="_Toc2549"/>
      <w:bookmarkStart w:id="376" w:name="_Toc31068"/>
      <w:bookmarkStart w:id="377" w:name="_Toc26035"/>
      <w:bookmarkStart w:id="378" w:name="_Toc15436"/>
      <w:bookmarkStart w:id="379" w:name="_Toc488633608"/>
      <w:bookmarkStart w:id="380" w:name="_Toc489145731"/>
      <w:bookmarkStart w:id="381" w:name="_Toc15786"/>
      <w:bookmarkStart w:id="382" w:name="_Toc23680"/>
      <w:r>
        <w:rPr>
          <w:rFonts w:hint="eastAsia" w:ascii="仿宋" w:hAnsi="仿宋" w:eastAsia="仿宋" w:cs="仿宋"/>
          <w:color w:val="auto"/>
          <w:sz w:val="30"/>
          <w:szCs w:val="30"/>
          <w:highlight w:val="none"/>
        </w:rPr>
        <w:t>五、开标</w:t>
      </w:r>
      <w:bookmarkEnd w:id="372"/>
      <w:bookmarkEnd w:id="373"/>
      <w:bookmarkEnd w:id="374"/>
      <w:bookmarkEnd w:id="375"/>
      <w:bookmarkEnd w:id="376"/>
      <w:bookmarkEnd w:id="377"/>
      <w:bookmarkEnd w:id="378"/>
      <w:bookmarkEnd w:id="379"/>
      <w:bookmarkEnd w:id="380"/>
      <w:bookmarkEnd w:id="381"/>
      <w:bookmarkEnd w:id="382"/>
    </w:p>
    <w:p w14:paraId="1E0D3AA6">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383" w:name="_Toc28158"/>
      <w:bookmarkStart w:id="384" w:name="_Toc528186480"/>
      <w:bookmarkStart w:id="385" w:name="_Toc14804"/>
      <w:bookmarkStart w:id="386" w:name="_Toc14962"/>
      <w:bookmarkStart w:id="387" w:name="_Toc489197836"/>
      <w:bookmarkStart w:id="388" w:name="_Toc489145732"/>
      <w:r>
        <w:rPr>
          <w:rFonts w:hint="eastAsia" w:ascii="仿宋" w:hAnsi="仿宋" w:eastAsia="仿宋" w:cs="仿宋"/>
          <w:b/>
          <w:bCs/>
          <w:color w:val="auto"/>
          <w:sz w:val="28"/>
          <w:szCs w:val="28"/>
          <w:lang w:val="en-US" w:eastAsia="zh-CN"/>
        </w:rPr>
        <w:t>24.开标</w:t>
      </w:r>
      <w:bookmarkEnd w:id="383"/>
      <w:bookmarkEnd w:id="384"/>
      <w:bookmarkEnd w:id="385"/>
      <w:bookmarkEnd w:id="386"/>
      <w:bookmarkEnd w:id="387"/>
      <w:bookmarkEnd w:id="388"/>
    </w:p>
    <w:p w14:paraId="0DE76CD5">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bookmarkStart w:id="389" w:name="_Toc29395"/>
      <w:bookmarkStart w:id="390" w:name="_Toc401342138"/>
      <w:bookmarkStart w:id="391" w:name="_Toc378239174"/>
      <w:bookmarkStart w:id="392" w:name="_Toc378239355"/>
      <w:bookmarkStart w:id="393" w:name="_Toc152042335"/>
      <w:bookmarkStart w:id="394" w:name="_Toc179632577"/>
      <w:bookmarkStart w:id="395" w:name="_Toc144974527"/>
      <w:bookmarkStart w:id="396" w:name="_Toc378239082"/>
      <w:bookmarkStart w:id="397" w:name="_Toc480817647"/>
      <w:bookmarkStart w:id="398" w:name="_Toc246996946"/>
      <w:bookmarkStart w:id="399" w:name="_Toc246996203"/>
      <w:bookmarkStart w:id="400" w:name="_Toc152045559"/>
      <w:bookmarkStart w:id="401" w:name="_Toc296602447"/>
      <w:bookmarkStart w:id="402" w:name="_Toc247085717"/>
      <w:r>
        <w:rPr>
          <w:rFonts w:hint="eastAsia" w:ascii="仿宋" w:hAnsi="仿宋" w:eastAsia="仿宋" w:cs="仿宋"/>
          <w:color w:val="auto"/>
          <w:sz w:val="24"/>
          <w:szCs w:val="24"/>
          <w:highlight w:val="none"/>
        </w:rPr>
        <w:t>24.1</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开</w:t>
      </w:r>
      <w:bookmarkStart w:id="403" w:name="_Toc246996204"/>
      <w:bookmarkStart w:id="404" w:name="_Toc179632578"/>
      <w:bookmarkStart w:id="405" w:name="_Toc152045560"/>
      <w:bookmarkStart w:id="406" w:name="_Toc247085718"/>
      <w:bookmarkStart w:id="407" w:name="_Toc144974528"/>
      <w:bookmarkStart w:id="408" w:name="_Toc246996947"/>
      <w:bookmarkStart w:id="409" w:name="_Toc152042336"/>
      <w:bookmarkStart w:id="410" w:name="_Toc296602448"/>
      <w:r>
        <w:rPr>
          <w:rFonts w:hint="eastAsia" w:ascii="仿宋" w:hAnsi="仿宋" w:eastAsia="仿宋" w:cs="仿宋"/>
          <w:color w:val="auto"/>
          <w:sz w:val="24"/>
          <w:szCs w:val="24"/>
          <w:highlight w:val="none"/>
        </w:rPr>
        <w:t>标将在招标文</w:t>
      </w:r>
      <w:bookmarkEnd w:id="403"/>
      <w:bookmarkEnd w:id="404"/>
      <w:bookmarkEnd w:id="405"/>
      <w:bookmarkEnd w:id="406"/>
      <w:bookmarkEnd w:id="407"/>
      <w:bookmarkEnd w:id="408"/>
      <w:bookmarkEnd w:id="409"/>
      <w:bookmarkEnd w:id="410"/>
      <w:r>
        <w:rPr>
          <w:rFonts w:hint="eastAsia" w:ascii="仿宋" w:hAnsi="仿宋" w:eastAsia="仿宋" w:cs="仿宋"/>
          <w:color w:val="auto"/>
          <w:sz w:val="24"/>
          <w:szCs w:val="24"/>
          <w:highlight w:val="none"/>
        </w:rPr>
        <w:t>件确定的提交投标文件截止时间的同一时间进行。开标地点为招标文件中预先确定的地点。</w:t>
      </w:r>
    </w:p>
    <w:p w14:paraId="4B64313B">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开标时，投标人登录“政采云”平台（http</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www.zcygov.cn）完成远程解密、查看开标一览表等相关操作。本项目解密时间为</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分钟，若投标人未在规定时间完成所有投标文件解密，则视为无效投标，不再进入评审阶段。投标人不足3家的，不得开标。</w:t>
      </w:r>
    </w:p>
    <w:p w14:paraId="042FA749">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投标人代表对开标过程和开标记录有疑义，以及认为</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相关工作人员有需要回避的情形的，应当场提出询问或者回避申请。</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对投标人代表提出的询问或者回避申请将及时进行处理。</w:t>
      </w:r>
    </w:p>
    <w:p w14:paraId="26DACACF">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24.4 采购代理机构在“政采云”平台开启报价及签字后，需由投标人代表对开标记录表进行签字确认。</w:t>
      </w:r>
    </w:p>
    <w:p w14:paraId="02CEB3D8">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r>
        <w:rPr>
          <w:rFonts w:hint="eastAsia" w:ascii="仿宋" w:hAnsi="仿宋" w:eastAsia="仿宋" w:cs="仿宋"/>
          <w:color w:val="auto"/>
          <w:sz w:val="24"/>
          <w:szCs w:val="24"/>
          <w:highlight w:val="none"/>
          <w:lang w:val="en-US" w:eastAsia="zh-CN"/>
        </w:rPr>
        <w:t xml:space="preserve">5 </w:t>
      </w:r>
      <w:r>
        <w:rPr>
          <w:rFonts w:hint="eastAsia" w:ascii="仿宋" w:hAnsi="仿宋" w:eastAsia="仿宋" w:cs="仿宋"/>
          <w:color w:val="auto"/>
          <w:sz w:val="24"/>
          <w:szCs w:val="24"/>
          <w:highlight w:val="none"/>
        </w:rPr>
        <w:t>如投标人代表未参加开标或未对开标过程和开标记录提出异议，视同认可开标结果，由此产生的后果由投标人自行负责。</w:t>
      </w:r>
    </w:p>
    <w:p w14:paraId="21AAC665">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r>
        <w:rPr>
          <w:rFonts w:hint="eastAsia" w:ascii="仿宋" w:hAnsi="仿宋" w:eastAsia="仿宋" w:cs="仿宋"/>
          <w:color w:val="auto"/>
          <w:sz w:val="24"/>
          <w:szCs w:val="24"/>
          <w:highlight w:val="none"/>
          <w:lang w:val="en-US" w:eastAsia="zh-CN"/>
        </w:rPr>
        <w:t xml:space="preserve">6 </w:t>
      </w:r>
      <w:r>
        <w:rPr>
          <w:rFonts w:hint="eastAsia" w:ascii="仿宋" w:hAnsi="仿宋" w:eastAsia="仿宋" w:cs="仿宋"/>
          <w:color w:val="auto"/>
          <w:sz w:val="24"/>
          <w:szCs w:val="24"/>
          <w:highlight w:val="none"/>
        </w:rPr>
        <w:t>开标程序</w:t>
      </w:r>
    </w:p>
    <w:p w14:paraId="27E71105">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（1）采购代理机构在开标时间在政采云平台下达解密指令，投标人在规定的时间内进行解密；</w:t>
      </w:r>
    </w:p>
    <w:p w14:paraId="28ADCD68">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（2）解密完成</w:t>
      </w:r>
      <w:r>
        <w:rPr>
          <w:rFonts w:hint="eastAsia" w:ascii="仿宋" w:hAnsi="仿宋" w:eastAsia="仿宋" w:cs="仿宋"/>
          <w:color w:val="auto"/>
          <w:sz w:val="24"/>
          <w:szCs w:val="24"/>
          <w:highlight w:val="none"/>
          <w:lang w:val="en-US" w:eastAsia="zh-CN"/>
        </w:rPr>
        <w:t>后，采购代理机构开启报价并公布开标记录表，同时开启签字，</w:t>
      </w: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val="en-US" w:eastAsia="zh-CN"/>
        </w:rPr>
        <w:t>代表</w:t>
      </w:r>
      <w:r>
        <w:rPr>
          <w:rFonts w:hint="eastAsia" w:ascii="仿宋" w:hAnsi="仿宋" w:eastAsia="仿宋" w:cs="仿宋"/>
          <w:color w:val="auto"/>
          <w:sz w:val="24"/>
          <w:szCs w:val="24"/>
          <w:highlight w:val="none"/>
        </w:rPr>
        <w:t>应在开标记录表上进行签名确认；</w:t>
      </w:r>
    </w:p>
    <w:p w14:paraId="7EEB6E10">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（3）开标会议结束。</w:t>
      </w:r>
    </w:p>
    <w:p w14:paraId="3A3137A0">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r>
        <w:rPr>
          <w:rFonts w:hint="eastAsia" w:ascii="仿宋" w:hAnsi="仿宋" w:eastAsia="仿宋" w:cs="仿宋"/>
          <w:color w:val="auto"/>
          <w:sz w:val="24"/>
          <w:szCs w:val="24"/>
          <w:highlight w:val="none"/>
          <w:lang w:val="en-US" w:eastAsia="zh-CN"/>
        </w:rPr>
        <w:t xml:space="preserve">7 </w:t>
      </w:r>
      <w:r>
        <w:rPr>
          <w:rFonts w:hint="eastAsia" w:ascii="仿宋" w:hAnsi="仿宋" w:eastAsia="仿宋" w:cs="仿宋"/>
          <w:color w:val="auto"/>
          <w:sz w:val="24"/>
          <w:szCs w:val="24"/>
          <w:highlight w:val="none"/>
        </w:rPr>
        <w:t>投标文件报价出现前后不一致的，按照下列规定修正：</w:t>
      </w:r>
    </w:p>
    <w:p w14:paraId="7FF570F5">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）投标文件中开标一览表（报价表）内容与投标文件中相应内容不一致的，以开标一览表（报价表）为准；</w:t>
      </w:r>
    </w:p>
    <w:p w14:paraId="2053B984">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）大写金额和小写金额不一致的，以大写金额为准；</w:t>
      </w:r>
    </w:p>
    <w:p w14:paraId="76956716">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）单价金额小数点或者百分比有明显错位的，以开标一览表的总价为准，并修改单价；</w:t>
      </w:r>
    </w:p>
    <w:p w14:paraId="35D7275A">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）总价金额与按单价汇总金额不一致的，以单价金额计算结果为准。</w:t>
      </w:r>
    </w:p>
    <w:p w14:paraId="07BE1AD7">
      <w:pPr>
        <w:pageBreakBefore w:val="0"/>
        <w:numPr>
          <w:ilvl w:val="0"/>
          <w:numId w:val="0"/>
        </w:numPr>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同时出现两种以上不一致的，按照前款规定的顺序修正。修正后的报价按照招标文件规定并经投标人确认后产生约束力，投标人不确认的，其投标无效。</w:t>
      </w:r>
    </w:p>
    <w:p w14:paraId="36297077">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25.资格审查</w:t>
      </w:r>
    </w:p>
    <w:p w14:paraId="6E7B48AD">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25.1 开标结束后，招标人或者采购代理机构将依法对投标人的资格进行审查。合格投标人不足3家的，不得评标。</w:t>
      </w:r>
    </w:p>
    <w:p w14:paraId="445B77EF">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25.2 招标人或者采购代理机构根据资格审查情况出具资格审查表。</w:t>
      </w:r>
    </w:p>
    <w:p w14:paraId="7A092C7A">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25.3 资格审查标准，</w:t>
      </w:r>
      <w:r>
        <w:rPr>
          <w:rFonts w:hint="eastAsia" w:ascii="仿宋" w:hAnsi="仿宋" w:eastAsia="仿宋" w:cs="仿宋"/>
          <w:color w:val="auto"/>
          <w:sz w:val="24"/>
          <w:szCs w:val="24"/>
          <w:highlight w:val="none"/>
        </w:rPr>
        <w:t>符合第</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val="en-US" w:eastAsia="zh-CN"/>
        </w:rPr>
        <w:t>招标公告</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投标人的资格要求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规定，且提供了招标文件要求提供的证明材料。</w:t>
      </w:r>
    </w:p>
    <w:p w14:paraId="44B4121E">
      <w:pPr>
        <w:pStyle w:val="8"/>
        <w:pageBreakBefore w:val="0"/>
        <w:topLinePunct w:val="0"/>
        <w:bidi w:val="0"/>
        <w:spacing w:beforeAutospacing="0" w:afterAutospacing="0" w:line="360" w:lineRule="auto"/>
        <w:ind w:left="0" w:leftChars="0" w:right="0" w:rightChars="0" w:firstLine="360" w:firstLineChars="200"/>
        <w:rPr>
          <w:rFonts w:hint="eastAsia" w:ascii="仿宋" w:hAnsi="仿宋" w:eastAsia="仿宋" w:cs="仿宋"/>
          <w:color w:val="auto"/>
          <w:lang w:val="en-US"/>
        </w:rPr>
      </w:pPr>
    </w:p>
    <w:p w14:paraId="3D7D7E7A">
      <w:pPr>
        <w:pStyle w:val="3"/>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600" w:firstLineChars="200"/>
        <w:jc w:val="center"/>
        <w:textAlignment w:val="auto"/>
        <w:outlineLvl w:val="1"/>
        <w:rPr>
          <w:rFonts w:hint="eastAsia" w:ascii="仿宋" w:hAnsi="仿宋" w:eastAsia="仿宋" w:cs="仿宋"/>
          <w:color w:val="auto"/>
          <w:sz w:val="30"/>
          <w:szCs w:val="30"/>
          <w:highlight w:val="none"/>
        </w:rPr>
      </w:pPr>
      <w:bookmarkStart w:id="411" w:name="_Toc10654"/>
      <w:bookmarkStart w:id="412" w:name="_Toc16952"/>
      <w:r>
        <w:rPr>
          <w:rFonts w:hint="eastAsia" w:ascii="仿宋" w:hAnsi="仿宋" w:eastAsia="仿宋" w:cs="仿宋"/>
          <w:color w:val="auto"/>
          <w:sz w:val="30"/>
          <w:szCs w:val="30"/>
          <w:highlight w:val="none"/>
        </w:rPr>
        <w:t>六、评标</w:t>
      </w:r>
      <w:bookmarkEnd w:id="411"/>
      <w:bookmarkEnd w:id="412"/>
    </w:p>
    <w:p w14:paraId="04869790">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413" w:name="_Toc12001"/>
      <w:bookmarkStart w:id="414" w:name="_Toc489197838"/>
      <w:bookmarkStart w:id="415" w:name="_Toc32433"/>
      <w:bookmarkStart w:id="416" w:name="_Toc489145734"/>
      <w:bookmarkStart w:id="417" w:name="_Toc11345"/>
      <w:bookmarkStart w:id="418" w:name="_Toc528186482"/>
      <w:r>
        <w:rPr>
          <w:rFonts w:hint="eastAsia" w:ascii="仿宋" w:hAnsi="仿宋" w:eastAsia="仿宋" w:cs="仿宋"/>
          <w:b/>
          <w:bCs/>
          <w:color w:val="auto"/>
          <w:sz w:val="28"/>
          <w:szCs w:val="28"/>
          <w:lang w:val="en-US" w:eastAsia="zh-CN"/>
        </w:rPr>
        <w:t>26.评标</w:t>
      </w:r>
      <w:bookmarkEnd w:id="413"/>
      <w:bookmarkEnd w:id="414"/>
      <w:bookmarkEnd w:id="415"/>
      <w:bookmarkEnd w:id="416"/>
      <w:bookmarkEnd w:id="417"/>
      <w:bookmarkEnd w:id="418"/>
    </w:p>
    <w:p w14:paraId="113ED22E">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26.1 评标委员会负责具体评标事务，并独立履行下列职责：</w:t>
      </w:r>
    </w:p>
    <w:p w14:paraId="2C98B8EA">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（一）审查、评价投标文件是否符合招标文件的商务、技术等实质性要求；</w:t>
      </w:r>
    </w:p>
    <w:p w14:paraId="52179B86">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（二）要求投标人对投标文件有关事项作出澄清或者说明；</w:t>
      </w:r>
    </w:p>
    <w:p w14:paraId="1202D3B0">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（三）对投标文件进行比较和评价；</w:t>
      </w:r>
    </w:p>
    <w:p w14:paraId="644ACC28">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（四）确定中标候选人名单，以及根据招标人委托直接确定中标人；</w:t>
      </w:r>
    </w:p>
    <w:p w14:paraId="5F340D4C">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（五）向招标人、采购代理机构或者有关部门报告评标中发现的违法行为。</w:t>
      </w:r>
    </w:p>
    <w:p w14:paraId="301FDD86">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评标委员会</w:t>
      </w:r>
      <w:r>
        <w:rPr>
          <w:rFonts w:hint="eastAsia" w:ascii="仿宋" w:hAnsi="仿宋" w:eastAsia="仿宋" w:cs="仿宋"/>
          <w:color w:val="auto"/>
          <w:sz w:val="24"/>
          <w:szCs w:val="24"/>
          <w:highlight w:val="none"/>
          <w:lang w:val="en-US" w:eastAsia="zh-CN"/>
        </w:rPr>
        <w:t>组成：</w:t>
      </w:r>
      <w:r>
        <w:rPr>
          <w:rFonts w:hint="eastAsia" w:ascii="仿宋" w:hAnsi="仿宋" w:eastAsia="仿宋" w:cs="仿宋"/>
          <w:color w:val="auto"/>
          <w:sz w:val="24"/>
          <w:szCs w:val="24"/>
          <w:highlight w:val="none"/>
        </w:rPr>
        <w:t>详见</w:t>
      </w:r>
      <w:r>
        <w:rPr>
          <w:rFonts w:hint="eastAsia" w:ascii="仿宋" w:hAnsi="仿宋" w:eastAsia="仿宋" w:cs="仿宋"/>
          <w:b/>
          <w:bCs/>
          <w:color w:val="auto"/>
          <w:sz w:val="24"/>
          <w:szCs w:val="24"/>
          <w:highlight w:val="none"/>
        </w:rPr>
        <w:t>《投标人须知前附表》</w:t>
      </w:r>
      <w:r>
        <w:rPr>
          <w:rFonts w:hint="eastAsia" w:ascii="仿宋" w:hAnsi="仿宋" w:eastAsia="仿宋" w:cs="仿宋"/>
          <w:b/>
          <w:bCs/>
          <w:color w:val="auto"/>
          <w:sz w:val="24"/>
          <w:szCs w:val="24"/>
          <w:highlight w:val="none"/>
          <w:lang w:eastAsia="zh-CN"/>
        </w:rPr>
        <w:t>。</w:t>
      </w:r>
    </w:p>
    <w:p w14:paraId="4B608202">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委派代表参加评标委员会的，要向</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出具授权函。除授权代表外，</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可以委派纪检监察等相关人员进入评审现场，对评审工作实施监督，但不得超过2人。</w:t>
      </w:r>
    </w:p>
    <w:p w14:paraId="10EBC159">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评标活动遵循</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公平、公正、科学和择优</w:t>
      </w:r>
      <w:r>
        <w:rPr>
          <w:rFonts w:hint="eastAsia" w:ascii="仿宋" w:hAnsi="仿宋" w:eastAsia="仿宋" w:cs="仿宋"/>
          <w:color w:val="auto"/>
          <w:sz w:val="24"/>
          <w:szCs w:val="24"/>
          <w:highlight w:val="none"/>
          <w:lang w:eastAsia="zh-CN"/>
        </w:rPr>
        <w:t>”</w:t>
      </w:r>
      <w:bookmarkStart w:id="419" w:name="_Toc179632583"/>
      <w:bookmarkStart w:id="420" w:name="_Toc144974533"/>
      <w:bookmarkStart w:id="421" w:name="_Toc296602454"/>
      <w:bookmarkStart w:id="422" w:name="_Toc246996952"/>
      <w:bookmarkStart w:id="423" w:name="_Toc152042341"/>
      <w:bookmarkStart w:id="424" w:name="_Toc152045565"/>
      <w:bookmarkStart w:id="425" w:name="_Toc247085723"/>
      <w:bookmarkStart w:id="426" w:name="_Toc246996209"/>
      <w:r>
        <w:rPr>
          <w:rFonts w:hint="eastAsia" w:ascii="仿宋" w:hAnsi="仿宋" w:eastAsia="仿宋" w:cs="仿宋"/>
          <w:color w:val="auto"/>
          <w:sz w:val="24"/>
          <w:szCs w:val="24"/>
          <w:highlight w:val="none"/>
        </w:rPr>
        <w:t>的原则。</w:t>
      </w:r>
    </w:p>
    <w:p w14:paraId="3780CF5F">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26.5 评标办法：</w:t>
      </w:r>
      <w:r>
        <w:rPr>
          <w:rFonts w:hint="eastAsia" w:ascii="仿宋" w:hAnsi="仿宋" w:eastAsia="仿宋" w:cs="仿宋"/>
          <w:color w:val="auto"/>
          <w:sz w:val="24"/>
          <w:szCs w:val="24"/>
          <w:highlight w:val="none"/>
        </w:rPr>
        <w:t>详见</w:t>
      </w:r>
      <w:r>
        <w:rPr>
          <w:rFonts w:hint="eastAsia" w:ascii="仿宋" w:hAnsi="仿宋" w:eastAsia="仿宋" w:cs="仿宋"/>
          <w:color w:val="auto"/>
          <w:sz w:val="24"/>
          <w:szCs w:val="24"/>
          <w:highlight w:val="none"/>
          <w:lang w:val="en-US" w:eastAsia="zh-CN"/>
        </w:rPr>
        <w:t>第七章</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评标办法</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w:t>
      </w:r>
    </w:p>
    <w:p w14:paraId="108B7BEF">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6 </w:t>
      </w:r>
      <w:r>
        <w:rPr>
          <w:rFonts w:hint="eastAsia" w:ascii="仿宋" w:hAnsi="仿宋" w:eastAsia="仿宋" w:cs="仿宋"/>
          <w:color w:val="auto"/>
          <w:sz w:val="24"/>
          <w:szCs w:val="24"/>
          <w:highlight w:val="none"/>
        </w:rPr>
        <w:t>评标委员会各成员</w:t>
      </w:r>
      <w:bookmarkEnd w:id="419"/>
      <w:bookmarkEnd w:id="420"/>
      <w:bookmarkEnd w:id="421"/>
      <w:bookmarkEnd w:id="422"/>
      <w:bookmarkEnd w:id="423"/>
      <w:bookmarkEnd w:id="424"/>
      <w:bookmarkEnd w:id="425"/>
      <w:bookmarkEnd w:id="426"/>
      <w:r>
        <w:rPr>
          <w:rFonts w:hint="eastAsia" w:ascii="仿宋" w:hAnsi="仿宋" w:eastAsia="仿宋" w:cs="仿宋"/>
          <w:color w:val="auto"/>
          <w:sz w:val="24"/>
          <w:szCs w:val="24"/>
          <w:highlight w:val="none"/>
        </w:rPr>
        <w:t>根据政府采购法律法规按照招标文件规定的评标方法和标准，独立对符合性审查合格的投标文件进行商务和技术评估，综合比较与评价，并汇总每个投标人的得分。招标文件中没有规定的方法、评审因素和标准，不作为评标依据。</w:t>
      </w:r>
    </w:p>
    <w:p w14:paraId="3ED238FE">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评标过程的保密</w:t>
      </w:r>
    </w:p>
    <w:p w14:paraId="65CA29AD">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bookmarkStart w:id="427" w:name="_Toc417913976"/>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评标在严格</w:t>
      </w:r>
      <w:bookmarkEnd w:id="427"/>
      <w:r>
        <w:rPr>
          <w:rFonts w:hint="eastAsia" w:ascii="仿宋" w:hAnsi="仿宋" w:eastAsia="仿宋" w:cs="仿宋"/>
          <w:color w:val="auto"/>
          <w:sz w:val="24"/>
          <w:szCs w:val="24"/>
          <w:highlight w:val="none"/>
        </w:rPr>
        <w:t>保密的情况下进行。除</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代表、评标现场组织人员外，</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的其他工作人员以及与评标工作无关的人员不得进入评标现场。有关人员对评标情况以及在评标过程中获悉的国家秘密、商业秘密负有保密责任。</w:t>
      </w:r>
    </w:p>
    <w:p w14:paraId="0C5022AC">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任何单位和个人不得非法干预、影响评审工作。</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和评审委员会在评审工作中，依法相互监督和制约，并自觉接受财政部门的监督。对非法干预评审工作等违法违规行为，将及时向财政部门报告。</w:t>
      </w:r>
    </w:p>
    <w:p w14:paraId="5AFCA7BA">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8 </w:t>
      </w:r>
      <w:r>
        <w:rPr>
          <w:rFonts w:hint="eastAsia" w:ascii="仿宋" w:hAnsi="仿宋" w:eastAsia="仿宋" w:cs="仿宋"/>
          <w:color w:val="auto"/>
          <w:sz w:val="24"/>
          <w:szCs w:val="24"/>
          <w:highlight w:val="none"/>
        </w:rPr>
        <w:t>投标文件中出现含义不明确、同类问题表述不一致或者有明显文字和计算错误的内容，评标委员会将以书面形式要求投标人作出必要的澄清、说明或者补正。投标人的澄清、说明或者补正应当采用书面形式，并加盖公章，或者由</w:t>
      </w:r>
      <w:r>
        <w:rPr>
          <w:rFonts w:hint="eastAsia" w:ascii="仿宋" w:hAnsi="仿宋" w:eastAsia="仿宋" w:cs="仿宋"/>
          <w:color w:val="auto"/>
          <w:sz w:val="24"/>
          <w:szCs w:val="24"/>
          <w:highlight w:val="none"/>
          <w:lang w:eastAsia="zh-CN"/>
        </w:rPr>
        <w:t>法定代表人（负责人）</w:t>
      </w:r>
      <w:r>
        <w:rPr>
          <w:rFonts w:hint="eastAsia" w:ascii="仿宋" w:hAnsi="仿宋" w:eastAsia="仿宋" w:cs="仿宋"/>
          <w:color w:val="auto"/>
          <w:sz w:val="24"/>
          <w:szCs w:val="24"/>
          <w:highlight w:val="none"/>
        </w:rPr>
        <w:t>或其授权的代表签字。投标人的澄清、说明或者补正不得超出投标文件的范围或者改变投标文件的实质性内容。</w:t>
      </w:r>
    </w:p>
    <w:p w14:paraId="6BD75BC8">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428" w:name="_Toc24802"/>
      <w:bookmarkStart w:id="429" w:name="_Toc1803"/>
      <w:bookmarkStart w:id="430" w:name="_Toc528186483"/>
      <w:bookmarkStart w:id="431" w:name="_Toc489145735"/>
      <w:bookmarkStart w:id="432" w:name="_Toc8616"/>
      <w:bookmarkStart w:id="433" w:name="_Toc489197839"/>
      <w:r>
        <w:rPr>
          <w:rFonts w:hint="eastAsia" w:ascii="仿宋" w:hAnsi="仿宋" w:eastAsia="仿宋" w:cs="仿宋"/>
          <w:b/>
          <w:bCs/>
          <w:color w:val="auto"/>
          <w:sz w:val="28"/>
          <w:szCs w:val="28"/>
          <w:lang w:val="en-US" w:eastAsia="zh-CN"/>
        </w:rPr>
        <w:t>27.投标无效及废标情形</w:t>
      </w:r>
    </w:p>
    <w:p w14:paraId="23B36E0D">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 xml:space="preserve">27.1 </w:t>
      </w:r>
      <w:r>
        <w:rPr>
          <w:rFonts w:hint="eastAsia" w:ascii="仿宋" w:hAnsi="仿宋" w:eastAsia="仿宋" w:cs="仿宋"/>
          <w:color w:val="auto"/>
          <w:sz w:val="24"/>
          <w:szCs w:val="24"/>
          <w:highlight w:val="none"/>
        </w:rPr>
        <w:t>有下列情形之一的，视为投标人串通投标，其投标无效：</w:t>
      </w:r>
      <w:bookmarkEnd w:id="428"/>
      <w:bookmarkEnd w:id="429"/>
      <w:bookmarkEnd w:id="430"/>
      <w:bookmarkEnd w:id="431"/>
      <w:bookmarkEnd w:id="432"/>
      <w:bookmarkEnd w:id="433"/>
    </w:p>
    <w:p w14:paraId="600E1408">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（一）不同投标人的投标文件由同一单位或者个人编制；</w:t>
      </w:r>
    </w:p>
    <w:p w14:paraId="76F1C15D">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（二）不同投标人委托同一单位或者个人办理投标事宜；</w:t>
      </w:r>
    </w:p>
    <w:p w14:paraId="58D7070C">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（三）不同投标人的投标文件载明的项目管理成员或者联系人员为同一人；</w:t>
      </w:r>
    </w:p>
    <w:p w14:paraId="02787F95">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（四）不同投标人的投标文件异常一致或者投标报价呈规律性差异；</w:t>
      </w:r>
    </w:p>
    <w:p w14:paraId="3F4998C6">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（五）不同投标人的投标文件相互混装；</w:t>
      </w:r>
    </w:p>
    <w:p w14:paraId="6C32FA9A">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（六）不同投标人的投标保证金从同一单位或者个人的账户转出。</w:t>
      </w:r>
    </w:p>
    <w:p w14:paraId="05D16533">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投标人应当遵循公平竞争的原则，不得恶意串通，不得妨碍其他投标人的竞争行为，不得损害</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或者其他投标人的合法权益。</w:t>
      </w:r>
    </w:p>
    <w:p w14:paraId="032BCEE1">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在评标过程中发现投标人有上述情形的，评标委员会应当认定其投标无效，并书面报告本级财政部门。</w:t>
      </w:r>
    </w:p>
    <w:p w14:paraId="6E50071F">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rPr>
          <w:rFonts w:hint="eastAsia" w:ascii="仿宋" w:hAnsi="仿宋" w:eastAsia="仿宋" w:cs="仿宋"/>
          <w:color w:val="auto"/>
          <w:sz w:val="24"/>
          <w:szCs w:val="24"/>
          <w:highlight w:val="none"/>
        </w:rPr>
      </w:pPr>
      <w:bookmarkStart w:id="434" w:name="_Toc175"/>
      <w:bookmarkStart w:id="435" w:name="_Toc18744"/>
      <w:bookmarkStart w:id="436" w:name="_Toc489197840"/>
      <w:bookmarkStart w:id="437" w:name="_Toc489145736"/>
      <w:bookmarkStart w:id="438" w:name="_Toc13478"/>
      <w:bookmarkStart w:id="439" w:name="_Toc528186484"/>
      <w:r>
        <w:rPr>
          <w:rFonts w:hint="eastAsia" w:ascii="仿宋" w:hAnsi="仿宋" w:eastAsia="仿宋" w:cs="仿宋"/>
          <w:b/>
          <w:bCs/>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 xml:space="preserve">27.2 </w:t>
      </w:r>
      <w:r>
        <w:rPr>
          <w:rFonts w:hint="eastAsia" w:ascii="仿宋" w:hAnsi="仿宋" w:eastAsia="仿宋" w:cs="仿宋"/>
          <w:color w:val="auto"/>
          <w:sz w:val="24"/>
          <w:szCs w:val="24"/>
          <w:highlight w:val="none"/>
        </w:rPr>
        <w:t>投标人存在下列情</w:t>
      </w:r>
      <w:bookmarkStart w:id="440" w:name="_Toc417913977"/>
      <w:r>
        <w:rPr>
          <w:rFonts w:hint="eastAsia" w:ascii="仿宋" w:hAnsi="仿宋" w:eastAsia="仿宋" w:cs="仿宋"/>
          <w:color w:val="auto"/>
          <w:sz w:val="24"/>
          <w:szCs w:val="24"/>
          <w:highlight w:val="none"/>
        </w:rPr>
        <w:t>况之一的，投标无效：</w:t>
      </w:r>
      <w:bookmarkEnd w:id="434"/>
      <w:bookmarkEnd w:id="435"/>
      <w:bookmarkEnd w:id="436"/>
      <w:bookmarkEnd w:id="437"/>
      <w:bookmarkEnd w:id="438"/>
      <w:bookmarkEnd w:id="439"/>
    </w:p>
    <w:p w14:paraId="10CBD847">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（一）未按照招标文件的</w:t>
      </w:r>
      <w:bookmarkEnd w:id="440"/>
      <w:r>
        <w:rPr>
          <w:rFonts w:hint="eastAsia" w:ascii="仿宋" w:hAnsi="仿宋" w:eastAsia="仿宋" w:cs="仿宋"/>
          <w:color w:val="auto"/>
          <w:sz w:val="24"/>
          <w:szCs w:val="24"/>
          <w:highlight w:val="none"/>
        </w:rPr>
        <w:t>规定提交投标保证金的；</w:t>
      </w:r>
    </w:p>
    <w:p w14:paraId="56EC43B3">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（二）投标文件未按招标文件要求签署、盖章的；</w:t>
      </w:r>
    </w:p>
    <w:p w14:paraId="0872C2FD">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（三）不具备招标文件中规定的资格要求的；</w:t>
      </w:r>
    </w:p>
    <w:p w14:paraId="00471D50">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（四）报价超过招标文件中规定的预算金额或者最高限价的；</w:t>
      </w:r>
    </w:p>
    <w:p w14:paraId="07057BD3">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（五）投标文件含有</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不能接受的附加条件的</w:t>
      </w:r>
      <w:r>
        <w:rPr>
          <w:rFonts w:hint="eastAsia" w:ascii="仿宋" w:hAnsi="仿宋" w:eastAsia="仿宋" w:cs="仿宋"/>
          <w:color w:val="auto"/>
          <w:sz w:val="24"/>
          <w:szCs w:val="24"/>
          <w:highlight w:val="none"/>
          <w:lang w:eastAsia="zh-CN"/>
        </w:rPr>
        <w:t>；</w:t>
      </w:r>
    </w:p>
    <w:p w14:paraId="57A8DC17">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和招标文件规定的其他无效情形。</w:t>
      </w:r>
    </w:p>
    <w:p w14:paraId="0D774EFE">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rPr>
          <w:rFonts w:hint="eastAsia" w:ascii="仿宋" w:hAnsi="仿宋" w:eastAsia="仿宋" w:cs="仿宋"/>
          <w:color w:val="auto"/>
          <w:sz w:val="24"/>
          <w:szCs w:val="24"/>
          <w:highlight w:val="none"/>
        </w:rPr>
      </w:pPr>
      <w:bookmarkStart w:id="441" w:name="_Toc25015"/>
      <w:bookmarkStart w:id="442" w:name="_Toc528186485"/>
      <w:bookmarkStart w:id="443" w:name="_Toc489145737"/>
      <w:bookmarkStart w:id="444" w:name="_Toc489197841"/>
      <w:bookmarkStart w:id="445" w:name="_Toc10276"/>
      <w:bookmarkStart w:id="446" w:name="_Toc30832"/>
      <w:r>
        <w:rPr>
          <w:rFonts w:hint="eastAsia" w:ascii="仿宋" w:hAnsi="仿宋" w:eastAsia="仿宋" w:cs="仿宋"/>
          <w:b/>
          <w:bCs/>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 xml:space="preserve">27.3 </w:t>
      </w:r>
      <w:r>
        <w:rPr>
          <w:rFonts w:hint="eastAsia" w:ascii="仿宋" w:hAnsi="仿宋" w:eastAsia="仿宋" w:cs="仿宋"/>
          <w:color w:val="auto"/>
          <w:sz w:val="24"/>
          <w:szCs w:val="24"/>
          <w:highlight w:val="none"/>
        </w:rPr>
        <w:t>在招标采购中，出现下列情形之一的，应予废标：</w:t>
      </w:r>
      <w:bookmarkEnd w:id="441"/>
      <w:bookmarkEnd w:id="442"/>
      <w:bookmarkEnd w:id="443"/>
      <w:bookmarkEnd w:id="444"/>
      <w:bookmarkEnd w:id="445"/>
      <w:bookmarkEnd w:id="446"/>
    </w:p>
    <w:p w14:paraId="46304BB8">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（一）符合专业条件的投标人或者对招标文件作实质响应的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不足三家的；</w:t>
      </w:r>
    </w:p>
    <w:p w14:paraId="15D1B1DA">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14:paraId="59D452B9">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（三）投标人的报价均超过了采购预算，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不能支付的；</w:t>
      </w:r>
    </w:p>
    <w:p w14:paraId="53AFC64C">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（四）因重大变故，采购任务取消的。</w:t>
      </w:r>
    </w:p>
    <w:p w14:paraId="7E8A8FCE">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废标后，</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应当将废标理由通知所有投标人。</w:t>
      </w:r>
    </w:p>
    <w:p w14:paraId="6E62B082">
      <w:pPr>
        <w:pStyle w:val="8"/>
        <w:pageBreakBefore w:val="0"/>
        <w:topLinePunct w:val="0"/>
        <w:bidi w:val="0"/>
        <w:spacing w:beforeAutospacing="0" w:afterAutospacing="0" w:line="360" w:lineRule="auto"/>
        <w:ind w:left="0" w:leftChars="0" w:right="0" w:rightChars="0" w:firstLine="360" w:firstLineChars="200"/>
        <w:rPr>
          <w:rFonts w:hint="eastAsia" w:ascii="仿宋" w:hAnsi="仿宋" w:eastAsia="仿宋" w:cs="仿宋"/>
          <w:color w:val="auto"/>
        </w:rPr>
      </w:pPr>
    </w:p>
    <w:p w14:paraId="74881A33">
      <w:pPr>
        <w:pStyle w:val="3"/>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600" w:firstLineChars="200"/>
        <w:jc w:val="center"/>
        <w:textAlignment w:val="auto"/>
        <w:outlineLvl w:val="1"/>
        <w:rPr>
          <w:rFonts w:hint="eastAsia" w:ascii="仿宋" w:hAnsi="仿宋" w:eastAsia="仿宋" w:cs="仿宋"/>
          <w:color w:val="auto"/>
          <w:sz w:val="30"/>
          <w:szCs w:val="30"/>
          <w:highlight w:val="none"/>
        </w:rPr>
      </w:pPr>
      <w:bookmarkStart w:id="447" w:name="_Toc488633610"/>
      <w:bookmarkStart w:id="448" w:name="_Toc6069"/>
      <w:bookmarkStart w:id="449" w:name="_Toc15092"/>
      <w:bookmarkStart w:id="450" w:name="_Toc489197842"/>
      <w:bookmarkStart w:id="451" w:name="_Toc18537"/>
      <w:bookmarkStart w:id="452" w:name="_Toc1245"/>
      <w:bookmarkStart w:id="453" w:name="_Toc13118"/>
      <w:bookmarkStart w:id="454" w:name="_Toc423"/>
      <w:bookmarkStart w:id="455" w:name="_Toc489145738"/>
      <w:bookmarkStart w:id="456" w:name="_Toc4598"/>
      <w:bookmarkStart w:id="457" w:name="_Toc528186486"/>
      <w:bookmarkStart w:id="458" w:name="_Toc30648"/>
      <w:r>
        <w:rPr>
          <w:rFonts w:hint="eastAsia" w:ascii="仿宋" w:hAnsi="仿宋" w:eastAsia="仿宋" w:cs="仿宋"/>
          <w:color w:val="auto"/>
          <w:sz w:val="30"/>
          <w:szCs w:val="30"/>
          <w:highlight w:val="none"/>
        </w:rPr>
        <w:t>七、中标结果</w:t>
      </w:r>
      <w:bookmarkEnd w:id="447"/>
      <w:bookmarkEnd w:id="448"/>
      <w:bookmarkEnd w:id="449"/>
      <w:bookmarkEnd w:id="450"/>
      <w:bookmarkEnd w:id="451"/>
      <w:bookmarkEnd w:id="452"/>
      <w:bookmarkEnd w:id="453"/>
      <w:bookmarkEnd w:id="454"/>
      <w:bookmarkEnd w:id="455"/>
      <w:bookmarkEnd w:id="456"/>
      <w:bookmarkEnd w:id="457"/>
      <w:bookmarkEnd w:id="458"/>
    </w:p>
    <w:p w14:paraId="4307FF60">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459" w:name="_Toc528186487"/>
      <w:bookmarkStart w:id="460" w:name="_Toc27751"/>
      <w:bookmarkStart w:id="461" w:name="_Toc18071"/>
      <w:bookmarkStart w:id="462" w:name="_Toc489197843"/>
      <w:bookmarkStart w:id="463" w:name="_Toc26494"/>
      <w:bookmarkStart w:id="464" w:name="_Toc489145739"/>
      <w:bookmarkStart w:id="465" w:name="_Toc12331"/>
      <w:r>
        <w:rPr>
          <w:rFonts w:hint="eastAsia" w:ascii="仿宋" w:hAnsi="仿宋" w:eastAsia="仿宋" w:cs="仿宋"/>
          <w:b/>
          <w:bCs/>
          <w:color w:val="auto"/>
          <w:sz w:val="28"/>
          <w:szCs w:val="28"/>
          <w:lang w:val="en-US" w:eastAsia="zh-CN"/>
        </w:rPr>
        <w:t>28.中</w:t>
      </w:r>
      <w:bookmarkStart w:id="466" w:name="_Toc246996953"/>
      <w:bookmarkStart w:id="467" w:name="_Toc179632584"/>
      <w:bookmarkStart w:id="468" w:name="_Toc247085724"/>
      <w:bookmarkStart w:id="469" w:name="_Toc378239357"/>
      <w:bookmarkStart w:id="470" w:name="_Toc401342140"/>
      <w:bookmarkStart w:id="471" w:name="_Toc296602455"/>
      <w:bookmarkStart w:id="472" w:name="_Toc152045566"/>
      <w:bookmarkStart w:id="473" w:name="_Toc144974534"/>
      <w:bookmarkStart w:id="474" w:name="_Toc246996210"/>
      <w:bookmarkStart w:id="475" w:name="_Toc152042342"/>
      <w:bookmarkStart w:id="476" w:name="_Toc378239176"/>
      <w:bookmarkStart w:id="477" w:name="_Toc378239084"/>
      <w:bookmarkStart w:id="478" w:name="_Toc13517"/>
      <w:bookmarkStart w:id="479" w:name="_Toc480817649"/>
      <w:r>
        <w:rPr>
          <w:rFonts w:hint="eastAsia" w:ascii="仿宋" w:hAnsi="仿宋" w:eastAsia="仿宋" w:cs="仿宋"/>
          <w:b/>
          <w:bCs/>
          <w:color w:val="auto"/>
          <w:sz w:val="28"/>
          <w:szCs w:val="28"/>
          <w:lang w:val="en-US" w:eastAsia="zh-CN"/>
        </w:rPr>
        <w:t>标</w:t>
      </w:r>
      <w:bookmarkEnd w:id="466"/>
      <w:bookmarkEnd w:id="467"/>
      <w:bookmarkEnd w:id="468"/>
      <w:bookmarkEnd w:id="469"/>
      <w:bookmarkEnd w:id="470"/>
      <w:bookmarkEnd w:id="471"/>
      <w:bookmarkEnd w:id="472"/>
      <w:bookmarkEnd w:id="473"/>
      <w:bookmarkEnd w:id="474"/>
      <w:bookmarkEnd w:id="475"/>
      <w:bookmarkEnd w:id="476"/>
      <w:bookmarkEnd w:id="477"/>
      <w:r>
        <w:rPr>
          <w:rFonts w:hint="eastAsia" w:ascii="仿宋" w:hAnsi="仿宋" w:eastAsia="仿宋" w:cs="仿宋"/>
          <w:b/>
          <w:bCs/>
          <w:color w:val="auto"/>
          <w:sz w:val="28"/>
          <w:szCs w:val="28"/>
          <w:lang w:val="en-US" w:eastAsia="zh-CN"/>
        </w:rPr>
        <w:t>人的</w:t>
      </w:r>
      <w:bookmarkEnd w:id="478"/>
      <w:bookmarkEnd w:id="479"/>
      <w:r>
        <w:rPr>
          <w:rFonts w:hint="eastAsia" w:ascii="仿宋" w:hAnsi="仿宋" w:eastAsia="仿宋" w:cs="仿宋"/>
          <w:b/>
          <w:bCs/>
          <w:color w:val="auto"/>
          <w:sz w:val="28"/>
          <w:szCs w:val="28"/>
          <w:lang w:val="en-US" w:eastAsia="zh-CN"/>
        </w:rPr>
        <w:t>确</w:t>
      </w:r>
      <w:bookmarkStart w:id="480" w:name="_Toc144974535"/>
      <w:bookmarkStart w:id="481" w:name="_Toc246996211"/>
      <w:bookmarkStart w:id="482" w:name="_Toc179632585"/>
      <w:bookmarkStart w:id="483" w:name="_Toc152042343"/>
      <w:bookmarkStart w:id="484" w:name="_Toc296602456"/>
      <w:bookmarkStart w:id="485" w:name="_Toc152045567"/>
      <w:bookmarkStart w:id="486" w:name="_Toc247085725"/>
      <w:bookmarkStart w:id="487" w:name="_Toc246996954"/>
      <w:r>
        <w:rPr>
          <w:rFonts w:hint="eastAsia" w:ascii="仿宋" w:hAnsi="仿宋" w:eastAsia="仿宋" w:cs="仿宋"/>
          <w:b/>
          <w:bCs/>
          <w:color w:val="auto"/>
          <w:sz w:val="28"/>
          <w:szCs w:val="28"/>
          <w:lang w:val="en-US" w:eastAsia="zh-CN"/>
        </w:rPr>
        <w:t>定</w:t>
      </w:r>
      <w:bookmarkEnd w:id="459"/>
      <w:bookmarkEnd w:id="460"/>
      <w:bookmarkEnd w:id="461"/>
      <w:bookmarkEnd w:id="462"/>
      <w:bookmarkEnd w:id="463"/>
      <w:bookmarkEnd w:id="464"/>
      <w:bookmarkEnd w:id="465"/>
    </w:p>
    <w:p w14:paraId="3168F53F">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bookmarkStart w:id="488" w:name="_Toc417913979"/>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应</w:t>
      </w:r>
      <w:bookmarkEnd w:id="480"/>
      <w:bookmarkEnd w:id="481"/>
      <w:bookmarkEnd w:id="482"/>
      <w:bookmarkEnd w:id="483"/>
      <w:bookmarkEnd w:id="484"/>
      <w:bookmarkEnd w:id="485"/>
      <w:bookmarkEnd w:id="486"/>
      <w:bookmarkEnd w:id="487"/>
      <w:bookmarkEnd w:id="488"/>
      <w:r>
        <w:rPr>
          <w:rFonts w:hint="eastAsia" w:ascii="仿宋" w:hAnsi="仿宋" w:eastAsia="仿宋" w:cs="仿宋"/>
          <w:color w:val="auto"/>
          <w:sz w:val="24"/>
          <w:szCs w:val="24"/>
          <w:highlight w:val="none"/>
        </w:rPr>
        <w:t>当在评标结束后2个工作日内将评标报告送</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w:t>
      </w:r>
    </w:p>
    <w:p w14:paraId="079289D9">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应当自收到评标报告之日起5个工作日内，在评标报告确定的中标候选人名单中按顺序确定中标人。中标候选人并列的，由评标委员会按照招标文件规定的方式确定中标人。</w:t>
      </w:r>
    </w:p>
    <w:p w14:paraId="2D79EA69">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489" w:name="_Toc528186488"/>
      <w:bookmarkStart w:id="490" w:name="_Toc9879"/>
      <w:bookmarkStart w:id="491" w:name="_Toc489145740"/>
      <w:bookmarkStart w:id="492" w:name="_Toc31584"/>
      <w:bookmarkStart w:id="493" w:name="_Toc16105"/>
      <w:bookmarkStart w:id="494" w:name="_Toc489197844"/>
      <w:bookmarkStart w:id="495" w:name="_Toc9834"/>
      <w:r>
        <w:rPr>
          <w:rFonts w:hint="eastAsia" w:ascii="仿宋" w:hAnsi="仿宋" w:eastAsia="仿宋" w:cs="仿宋"/>
          <w:b/>
          <w:bCs/>
          <w:color w:val="auto"/>
          <w:sz w:val="28"/>
          <w:szCs w:val="28"/>
          <w:lang w:val="en-US" w:eastAsia="zh-CN"/>
        </w:rPr>
        <w:t>29.中标通知书</w:t>
      </w:r>
      <w:bookmarkEnd w:id="489"/>
      <w:bookmarkEnd w:id="490"/>
      <w:bookmarkEnd w:id="491"/>
      <w:bookmarkEnd w:id="492"/>
      <w:bookmarkEnd w:id="493"/>
      <w:bookmarkEnd w:id="494"/>
      <w:bookmarkEnd w:id="495"/>
    </w:p>
    <w:p w14:paraId="35577138">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bookmarkStart w:id="496" w:name="_Toc247085726"/>
      <w:bookmarkStart w:id="497" w:name="_Toc152045568"/>
      <w:bookmarkStart w:id="498" w:name="_Toc296602458"/>
      <w:bookmarkStart w:id="499" w:name="_Toc179632586"/>
      <w:bookmarkStart w:id="500" w:name="_Toc144974536"/>
      <w:bookmarkStart w:id="501" w:name="_Toc152042344"/>
      <w:bookmarkStart w:id="502" w:name="_Toc246996955"/>
      <w:bookmarkStart w:id="503" w:name="_Toc246996212"/>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 采购代理机构在招标人</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之</w:t>
      </w:r>
      <w:bookmarkEnd w:id="496"/>
      <w:bookmarkEnd w:id="497"/>
      <w:bookmarkEnd w:id="498"/>
      <w:bookmarkEnd w:id="499"/>
      <w:bookmarkEnd w:id="500"/>
      <w:bookmarkEnd w:id="501"/>
      <w:bookmarkEnd w:id="502"/>
      <w:bookmarkEnd w:id="503"/>
      <w:r>
        <w:rPr>
          <w:rFonts w:hint="eastAsia" w:ascii="仿宋" w:hAnsi="仿宋" w:eastAsia="仿宋" w:cs="仿宋"/>
          <w:color w:val="auto"/>
          <w:sz w:val="24"/>
          <w:szCs w:val="24"/>
          <w:highlight w:val="none"/>
        </w:rPr>
        <w:t>日起</w:t>
      </w:r>
      <w:bookmarkStart w:id="504" w:name="_Toc296602460"/>
      <w:bookmarkStart w:id="505" w:name="_Toc152042346"/>
      <w:bookmarkStart w:id="506" w:name="_Toc152045570"/>
      <w:bookmarkStart w:id="507" w:name="_Toc144974538"/>
      <w:bookmarkStart w:id="508" w:name="_Toc247085728"/>
      <w:bookmarkStart w:id="509" w:name="_Toc246996957"/>
      <w:bookmarkStart w:id="510" w:name="_Toc246996214"/>
      <w:bookmarkStart w:id="511" w:name="_Toc179632588"/>
      <w:r>
        <w:rPr>
          <w:rFonts w:hint="eastAsia" w:ascii="仿宋" w:hAnsi="仿宋" w:eastAsia="仿宋" w:cs="仿宋"/>
          <w:color w:val="auto"/>
          <w:sz w:val="24"/>
          <w:szCs w:val="24"/>
          <w:highlight w:val="none"/>
        </w:rPr>
        <w:t>2个工作日内，在</w:t>
      </w:r>
      <w:r>
        <w:rPr>
          <w:rFonts w:hint="eastAsia" w:ascii="仿宋" w:hAnsi="仿宋" w:eastAsia="仿宋" w:cs="仿宋"/>
          <w:color w:val="auto"/>
          <w:sz w:val="24"/>
          <w:szCs w:val="24"/>
          <w:highlight w:val="none"/>
          <w:lang w:val="en-US" w:eastAsia="zh-CN"/>
        </w:rPr>
        <w:t>省级以上人民政府</w:t>
      </w:r>
      <w:r>
        <w:rPr>
          <w:rFonts w:hint="eastAsia" w:ascii="仿宋" w:hAnsi="仿宋" w:eastAsia="仿宋" w:cs="仿宋"/>
          <w:color w:val="auto"/>
          <w:sz w:val="24"/>
          <w:szCs w:val="24"/>
          <w:highlight w:val="none"/>
        </w:rPr>
        <w:t>财政部门指定的媒体上公告中标结果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并同时</w:t>
      </w:r>
      <w:r>
        <w:rPr>
          <w:rFonts w:hint="eastAsia" w:ascii="仿宋" w:hAnsi="仿宋" w:eastAsia="仿宋" w:cs="仿宋"/>
          <w:color w:val="auto"/>
          <w:sz w:val="24"/>
          <w:szCs w:val="24"/>
          <w:highlight w:val="none"/>
        </w:rPr>
        <w:t>向中标人发出中标通知书。中标公告期限为1个工作日。</w:t>
      </w:r>
    </w:p>
    <w:p w14:paraId="607DD77E">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中标通知书是合同的一个组成部分。</w:t>
      </w:r>
    </w:p>
    <w:p w14:paraId="7E4A37A6">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512" w:name="_Toc31113"/>
      <w:bookmarkStart w:id="513" w:name="_Toc489197845"/>
      <w:bookmarkStart w:id="514" w:name="_Toc489145741"/>
      <w:bookmarkStart w:id="515" w:name="_Toc61"/>
      <w:bookmarkStart w:id="516" w:name="_Toc528186489"/>
      <w:bookmarkStart w:id="517" w:name="_Toc30707"/>
      <w:bookmarkStart w:id="518" w:name="_Toc1652"/>
      <w:r>
        <w:rPr>
          <w:rFonts w:hint="eastAsia" w:ascii="仿宋" w:hAnsi="仿宋" w:eastAsia="仿宋" w:cs="仿宋"/>
          <w:b/>
          <w:bCs/>
          <w:color w:val="auto"/>
          <w:sz w:val="28"/>
          <w:szCs w:val="28"/>
          <w:lang w:val="en-US" w:eastAsia="zh-CN"/>
        </w:rPr>
        <w:t>30.签订合同</w:t>
      </w:r>
      <w:bookmarkEnd w:id="512"/>
      <w:bookmarkEnd w:id="513"/>
      <w:bookmarkEnd w:id="514"/>
      <w:bookmarkEnd w:id="515"/>
      <w:bookmarkEnd w:id="516"/>
      <w:bookmarkEnd w:id="517"/>
      <w:bookmarkEnd w:id="518"/>
    </w:p>
    <w:p w14:paraId="19842F4C">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应当自中</w:t>
      </w:r>
      <w:bookmarkEnd w:id="504"/>
      <w:bookmarkEnd w:id="505"/>
      <w:bookmarkEnd w:id="506"/>
      <w:bookmarkEnd w:id="507"/>
      <w:bookmarkEnd w:id="508"/>
      <w:bookmarkEnd w:id="509"/>
      <w:bookmarkEnd w:id="510"/>
      <w:bookmarkEnd w:id="511"/>
      <w:r>
        <w:rPr>
          <w:rFonts w:hint="eastAsia" w:ascii="仿宋" w:hAnsi="仿宋" w:eastAsia="仿宋" w:cs="仿宋"/>
          <w:color w:val="auto"/>
          <w:sz w:val="24"/>
          <w:szCs w:val="24"/>
          <w:highlight w:val="none"/>
        </w:rPr>
        <w:t>标通知书发出之日起30日内，按照招标文件和中标人投标文件的规定，与中标人签订书面合同。所签订的合同不得对招标文件确定的事项和中标人投标文件作实质性修改。</w:t>
      </w:r>
    </w:p>
    <w:p w14:paraId="71CC19DB">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中标通知书发出后，</w:t>
      </w:r>
      <w:r>
        <w:rPr>
          <w:rFonts w:hint="eastAsia" w:ascii="仿宋" w:hAnsi="仿宋" w:eastAsia="仿宋" w:cs="仿宋"/>
          <w:color w:val="auto"/>
          <w:sz w:val="24"/>
          <w:szCs w:val="24"/>
          <w:highlight w:val="none"/>
          <w:lang w:val="en-US" w:eastAsia="zh-CN"/>
        </w:rPr>
        <w:t>招标人不得违法改变中标结果，</w:t>
      </w:r>
      <w:r>
        <w:rPr>
          <w:rFonts w:hint="eastAsia" w:ascii="仿宋" w:hAnsi="仿宋" w:eastAsia="仿宋" w:cs="仿宋"/>
          <w:color w:val="auto"/>
          <w:sz w:val="24"/>
          <w:szCs w:val="24"/>
          <w:highlight w:val="none"/>
        </w:rPr>
        <w:t>中标人无正当理由</w:t>
      </w:r>
      <w:r>
        <w:rPr>
          <w:rFonts w:hint="eastAsia" w:ascii="仿宋" w:hAnsi="仿宋" w:eastAsia="仿宋" w:cs="仿宋"/>
          <w:color w:val="auto"/>
          <w:sz w:val="24"/>
          <w:szCs w:val="24"/>
          <w:highlight w:val="none"/>
          <w:lang w:val="en-US" w:eastAsia="zh-CN"/>
        </w:rPr>
        <w:t>不得</w:t>
      </w:r>
      <w:r>
        <w:rPr>
          <w:rFonts w:hint="eastAsia" w:ascii="仿宋" w:hAnsi="仿宋" w:eastAsia="仿宋" w:cs="仿宋"/>
          <w:color w:val="auto"/>
          <w:sz w:val="24"/>
          <w:szCs w:val="24"/>
          <w:highlight w:val="none"/>
        </w:rPr>
        <w:t>放弃中标。</w:t>
      </w:r>
    </w:p>
    <w:p w14:paraId="244B1803">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拒绝与</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签订</w:t>
      </w:r>
      <w:r>
        <w:rPr>
          <w:rFonts w:hint="eastAsia" w:ascii="仿宋" w:hAnsi="仿宋" w:eastAsia="仿宋" w:cs="仿宋"/>
          <w:color w:val="auto"/>
          <w:sz w:val="24"/>
          <w:szCs w:val="24"/>
          <w:highlight w:val="none"/>
          <w:lang w:val="en-US" w:eastAsia="zh-CN"/>
        </w:rPr>
        <w:t>政府采购</w:t>
      </w:r>
      <w:r>
        <w:rPr>
          <w:rFonts w:hint="eastAsia" w:ascii="仿宋" w:hAnsi="仿宋" w:eastAsia="仿宋" w:cs="仿宋"/>
          <w:color w:val="auto"/>
          <w:sz w:val="24"/>
          <w:szCs w:val="24"/>
          <w:highlight w:val="none"/>
        </w:rPr>
        <w:t>合同的，</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可以按照评审报告推荐的中标或者成交候选人名单排序，确定下一候选人为中标或者成交供应商，也可以重新开展政府采购活动。</w:t>
      </w:r>
    </w:p>
    <w:p w14:paraId="382A66A9">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政府采购合同应当包括</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与中标人的名称和住所、标的、数量、质量、价款或者报酬、履行期限及地点和方式、验收要求、违约责任、解决争议的方法等内容。</w:t>
      </w:r>
    </w:p>
    <w:p w14:paraId="36030BE5">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政府采购合同履行中，</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需追加与合同标的相同的货物的，在不改变合同其他条款的前提下，可以与中标人协商签订补充合同，但所有补充合同的采购金额不得超过原合同采购金额的</w:t>
      </w:r>
      <w:r>
        <w:rPr>
          <w:rFonts w:hint="eastAsia" w:ascii="仿宋" w:hAnsi="仿宋" w:eastAsia="仿宋" w:cs="仿宋"/>
          <w:color w:val="auto"/>
          <w:sz w:val="24"/>
          <w:szCs w:val="24"/>
          <w:highlight w:val="none"/>
          <w:lang w:eastAsia="zh-CN"/>
        </w:rPr>
        <w:t>10%</w:t>
      </w:r>
      <w:r>
        <w:rPr>
          <w:rFonts w:hint="eastAsia" w:ascii="仿宋" w:hAnsi="仿宋" w:eastAsia="仿宋" w:cs="仿宋"/>
          <w:color w:val="auto"/>
          <w:sz w:val="24"/>
          <w:szCs w:val="24"/>
          <w:highlight w:val="none"/>
        </w:rPr>
        <w:t>。</w:t>
      </w:r>
    </w:p>
    <w:p w14:paraId="70CACEAB">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 xml:space="preserve"> 本项目不允许分包。</w:t>
      </w:r>
    </w:p>
    <w:p w14:paraId="1E53C34F">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519" w:name="_Toc489197846"/>
      <w:bookmarkStart w:id="520" w:name="_Toc489145742"/>
      <w:bookmarkStart w:id="521" w:name="_Toc11904"/>
      <w:bookmarkStart w:id="522" w:name="_Toc528186490"/>
      <w:bookmarkStart w:id="523" w:name="_Toc22468"/>
      <w:bookmarkStart w:id="524" w:name="_Toc19700"/>
      <w:bookmarkStart w:id="525" w:name="_Toc10219"/>
      <w:r>
        <w:rPr>
          <w:rFonts w:hint="eastAsia" w:ascii="仿宋" w:hAnsi="仿宋" w:eastAsia="仿宋" w:cs="仿宋"/>
          <w:b/>
          <w:bCs/>
          <w:color w:val="auto"/>
          <w:sz w:val="28"/>
          <w:szCs w:val="28"/>
          <w:lang w:val="en-US" w:eastAsia="zh-CN"/>
        </w:rPr>
        <w:t>31.履约保证金</w:t>
      </w:r>
      <w:bookmarkEnd w:id="519"/>
      <w:bookmarkEnd w:id="520"/>
      <w:bookmarkEnd w:id="521"/>
      <w:bookmarkEnd w:id="522"/>
      <w:bookmarkEnd w:id="523"/>
      <w:bookmarkEnd w:id="524"/>
      <w:bookmarkEnd w:id="525"/>
    </w:p>
    <w:p w14:paraId="36B81111">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526" w:name="_Toc417913982"/>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w:t>
      </w:r>
      <w:bookmarkEnd w:id="526"/>
      <w:r>
        <w:rPr>
          <w:rFonts w:hint="eastAsia" w:ascii="仿宋" w:hAnsi="仿宋" w:eastAsia="仿宋" w:cs="仿宋"/>
          <w:color w:val="auto"/>
          <w:sz w:val="24"/>
          <w:szCs w:val="24"/>
          <w:highlight w:val="none"/>
          <w:lang w:val="en-US" w:eastAsia="zh-CN"/>
        </w:rPr>
        <w:t xml:space="preserve"> 详见</w:t>
      </w:r>
      <w:r>
        <w:rPr>
          <w:rFonts w:hint="eastAsia" w:ascii="仿宋" w:hAnsi="仿宋" w:eastAsia="仿宋" w:cs="仿宋"/>
          <w:b/>
          <w:bCs/>
          <w:color w:val="auto"/>
          <w:sz w:val="24"/>
          <w:szCs w:val="24"/>
          <w:highlight w:val="none"/>
        </w:rPr>
        <w:t>《投标人须知前附表》</w:t>
      </w:r>
      <w:r>
        <w:rPr>
          <w:rFonts w:hint="eastAsia" w:ascii="仿宋" w:hAnsi="仿宋" w:eastAsia="仿宋" w:cs="仿宋"/>
          <w:color w:val="auto"/>
          <w:sz w:val="24"/>
          <w:szCs w:val="24"/>
          <w:highlight w:val="none"/>
        </w:rPr>
        <w:t>。</w:t>
      </w:r>
    </w:p>
    <w:p w14:paraId="05D8950D">
      <w:pPr>
        <w:pStyle w:val="8"/>
        <w:pageBreakBefore w:val="0"/>
        <w:topLinePunct w:val="0"/>
        <w:bidi w:val="0"/>
        <w:spacing w:beforeAutospacing="0" w:afterAutospacing="0" w:line="360" w:lineRule="auto"/>
        <w:ind w:left="0" w:leftChars="0" w:right="0" w:rightChars="0" w:firstLine="360" w:firstLineChars="200"/>
        <w:rPr>
          <w:rFonts w:hint="eastAsia" w:ascii="仿宋" w:hAnsi="仿宋" w:eastAsia="仿宋" w:cs="仿宋"/>
          <w:color w:val="auto"/>
        </w:rPr>
      </w:pPr>
    </w:p>
    <w:p w14:paraId="34F54DC6">
      <w:pPr>
        <w:pStyle w:val="3"/>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600" w:firstLineChars="200"/>
        <w:jc w:val="center"/>
        <w:textAlignment w:val="auto"/>
        <w:outlineLvl w:val="1"/>
        <w:rPr>
          <w:rFonts w:hint="eastAsia" w:ascii="仿宋" w:hAnsi="仿宋" w:eastAsia="仿宋" w:cs="仿宋"/>
          <w:color w:val="auto"/>
          <w:sz w:val="30"/>
          <w:szCs w:val="30"/>
          <w:highlight w:val="none"/>
        </w:rPr>
      </w:pPr>
      <w:bookmarkStart w:id="527" w:name="_Toc488633611"/>
      <w:bookmarkStart w:id="528" w:name="_Toc528186491"/>
      <w:bookmarkStart w:id="529" w:name="_Toc26286"/>
      <w:bookmarkStart w:id="530" w:name="_Toc12084"/>
      <w:bookmarkStart w:id="531" w:name="_Toc10785"/>
      <w:bookmarkStart w:id="532" w:name="_Toc489145743"/>
      <w:bookmarkStart w:id="533" w:name="_Toc15789"/>
      <w:bookmarkStart w:id="534" w:name="_Toc489197847"/>
      <w:bookmarkStart w:id="535" w:name="_Toc23574"/>
      <w:bookmarkStart w:id="536" w:name="_Toc32208"/>
      <w:bookmarkStart w:id="537" w:name="_Toc32688"/>
      <w:bookmarkStart w:id="538" w:name="_Toc30100"/>
      <w:r>
        <w:rPr>
          <w:rFonts w:hint="eastAsia" w:ascii="仿宋" w:hAnsi="仿宋" w:eastAsia="仿宋" w:cs="仿宋"/>
          <w:color w:val="auto"/>
          <w:sz w:val="30"/>
          <w:szCs w:val="30"/>
          <w:highlight w:val="none"/>
        </w:rPr>
        <w:t>八、其他事项</w:t>
      </w:r>
      <w:bookmarkEnd w:id="527"/>
      <w:bookmarkEnd w:id="528"/>
      <w:bookmarkEnd w:id="529"/>
      <w:bookmarkEnd w:id="530"/>
      <w:bookmarkEnd w:id="531"/>
      <w:bookmarkEnd w:id="532"/>
      <w:bookmarkEnd w:id="533"/>
      <w:bookmarkEnd w:id="534"/>
      <w:bookmarkEnd w:id="535"/>
      <w:bookmarkEnd w:id="536"/>
      <w:bookmarkEnd w:id="537"/>
      <w:bookmarkEnd w:id="538"/>
    </w:p>
    <w:p w14:paraId="27B9A52C">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539" w:name="_Toc14661"/>
      <w:bookmarkStart w:id="540" w:name="_Toc489197848"/>
      <w:bookmarkStart w:id="541" w:name="_Toc528186492"/>
      <w:bookmarkStart w:id="542" w:name="_Toc489145744"/>
      <w:bookmarkStart w:id="543" w:name="_Toc30098"/>
      <w:bookmarkStart w:id="544" w:name="_Toc7122"/>
      <w:bookmarkStart w:id="545" w:name="_Toc19951"/>
      <w:r>
        <w:rPr>
          <w:rFonts w:hint="eastAsia" w:ascii="仿宋" w:hAnsi="仿宋" w:eastAsia="仿宋" w:cs="仿宋"/>
          <w:b/>
          <w:bCs/>
          <w:color w:val="auto"/>
          <w:sz w:val="28"/>
          <w:szCs w:val="28"/>
          <w:lang w:val="en-US" w:eastAsia="zh-CN"/>
        </w:rPr>
        <w:t>32.</w:t>
      </w:r>
      <w:bookmarkEnd w:id="539"/>
      <w:bookmarkEnd w:id="540"/>
      <w:bookmarkEnd w:id="541"/>
      <w:bookmarkEnd w:id="542"/>
      <w:bookmarkEnd w:id="543"/>
      <w:bookmarkEnd w:id="544"/>
      <w:bookmarkEnd w:id="545"/>
      <w:r>
        <w:rPr>
          <w:rFonts w:hint="eastAsia" w:ascii="仿宋" w:hAnsi="仿宋" w:eastAsia="仿宋" w:cs="仿宋"/>
          <w:b/>
          <w:bCs/>
          <w:color w:val="auto"/>
          <w:sz w:val="28"/>
          <w:szCs w:val="28"/>
          <w:lang w:val="en-US" w:eastAsia="zh-CN"/>
        </w:rPr>
        <w:t>中标服务费</w:t>
      </w:r>
    </w:p>
    <w:p w14:paraId="2F6B7155">
      <w:pPr>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32.1 </w:t>
      </w:r>
      <w:r>
        <w:rPr>
          <w:rFonts w:hint="eastAsia" w:ascii="仿宋" w:hAnsi="仿宋" w:eastAsia="仿宋" w:cs="仿宋"/>
          <w:color w:val="auto"/>
          <w:sz w:val="24"/>
          <w:szCs w:val="24"/>
          <w:highlight w:val="none"/>
        </w:rPr>
        <w:t>详见</w:t>
      </w:r>
      <w:r>
        <w:rPr>
          <w:rFonts w:hint="eastAsia" w:ascii="仿宋" w:hAnsi="仿宋" w:eastAsia="仿宋" w:cs="仿宋"/>
          <w:b/>
          <w:bCs/>
          <w:color w:val="auto"/>
          <w:sz w:val="24"/>
          <w:szCs w:val="24"/>
          <w:highlight w:val="none"/>
        </w:rPr>
        <w:t>《投标人须知前附表》</w:t>
      </w:r>
      <w:r>
        <w:rPr>
          <w:rFonts w:hint="eastAsia" w:ascii="仿宋" w:hAnsi="仿宋" w:eastAsia="仿宋" w:cs="仿宋"/>
          <w:color w:val="auto"/>
          <w:sz w:val="24"/>
          <w:szCs w:val="24"/>
          <w:highlight w:val="none"/>
        </w:rPr>
        <w:t>。</w:t>
      </w:r>
    </w:p>
    <w:p w14:paraId="7AC33ED5">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546" w:name="_Toc103269427"/>
      <w:bookmarkStart w:id="547" w:name="_Toc100937199"/>
      <w:bookmarkStart w:id="548" w:name="_Toc30641"/>
      <w:bookmarkStart w:id="549" w:name="_Toc112951198"/>
      <w:bookmarkStart w:id="550" w:name="_Toc103173521"/>
      <w:r>
        <w:rPr>
          <w:rFonts w:hint="eastAsia" w:ascii="仿宋" w:hAnsi="仿宋" w:eastAsia="仿宋" w:cs="仿宋"/>
          <w:b/>
          <w:bCs/>
          <w:color w:val="auto"/>
          <w:sz w:val="28"/>
          <w:szCs w:val="28"/>
          <w:lang w:val="en-US" w:eastAsia="zh-CN"/>
        </w:rPr>
        <w:t>33.其他内容</w:t>
      </w:r>
      <w:bookmarkEnd w:id="546"/>
      <w:bookmarkEnd w:id="547"/>
      <w:bookmarkEnd w:id="548"/>
      <w:bookmarkEnd w:id="549"/>
      <w:bookmarkEnd w:id="550"/>
    </w:p>
    <w:p w14:paraId="1DBEEE33">
      <w:pPr>
        <w:pStyle w:val="15"/>
        <w:keepNext w:val="0"/>
        <w:keepLines w:val="0"/>
        <w:pageBreakBefore w:val="0"/>
        <w:shd w:val="clear"/>
        <w:tabs>
          <w:tab w:val="left" w:pos="525"/>
          <w:tab w:val="left" w:pos="735"/>
        </w:tabs>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 xml:space="preserve">1 </w:t>
      </w:r>
      <w:r>
        <w:rPr>
          <w:rFonts w:hint="eastAsia" w:ascii="仿宋" w:hAnsi="仿宋" w:eastAsia="仿宋" w:cs="仿宋"/>
          <w:bCs/>
          <w:color w:val="auto"/>
          <w:sz w:val="24"/>
          <w:szCs w:val="24"/>
          <w:highlight w:val="none"/>
          <w:lang w:eastAsia="zh-CN"/>
        </w:rPr>
        <w:t>其他需要</w:t>
      </w:r>
      <w:r>
        <w:rPr>
          <w:rFonts w:hint="eastAsia" w:ascii="仿宋" w:hAnsi="仿宋" w:eastAsia="仿宋" w:cs="仿宋"/>
          <w:color w:val="auto"/>
          <w:sz w:val="24"/>
          <w:szCs w:val="24"/>
          <w:highlight w:val="none"/>
        </w:rPr>
        <w:t>补充的其他内容：详见</w:t>
      </w:r>
      <w:r>
        <w:rPr>
          <w:rFonts w:hint="eastAsia" w:ascii="仿宋" w:hAnsi="仿宋" w:eastAsia="仿宋" w:cs="仿宋"/>
          <w:b/>
          <w:bCs/>
          <w:color w:val="auto"/>
          <w:sz w:val="24"/>
          <w:szCs w:val="24"/>
          <w:highlight w:val="none"/>
        </w:rPr>
        <w:t>《投标人须知前附表》</w:t>
      </w:r>
      <w:r>
        <w:rPr>
          <w:rFonts w:hint="eastAsia" w:ascii="仿宋" w:hAnsi="仿宋" w:eastAsia="仿宋" w:cs="仿宋"/>
          <w:color w:val="auto"/>
          <w:sz w:val="24"/>
          <w:szCs w:val="24"/>
          <w:highlight w:val="none"/>
        </w:rPr>
        <w:t>。</w:t>
      </w:r>
    </w:p>
    <w:p w14:paraId="1E8AC334">
      <w:pPr>
        <w:pageBreakBefore w:val="0"/>
        <w:shd w:val="clear"/>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2B281AC">
      <w:pPr>
        <w:pStyle w:val="2"/>
        <w:pageBreakBefore w:val="0"/>
        <w:shd w:val="clear"/>
        <w:topLinePunct w:val="0"/>
        <w:bidi w:val="0"/>
        <w:spacing w:beforeAutospacing="0" w:afterAutospacing="0" w:line="360" w:lineRule="auto"/>
        <w:ind w:left="0" w:leftChars="0" w:right="0" w:rightChars="0" w:firstLine="883" w:firstLineChars="200"/>
        <w:outlineLvl w:val="0"/>
        <w:rPr>
          <w:rFonts w:hint="eastAsia" w:ascii="仿宋" w:hAnsi="仿宋" w:eastAsia="仿宋" w:cs="仿宋"/>
          <w:color w:val="auto"/>
          <w:highlight w:val="none"/>
        </w:rPr>
      </w:pPr>
      <w:bookmarkStart w:id="551" w:name="_Toc6824"/>
      <w:bookmarkStart w:id="552" w:name="_Toc31732"/>
      <w:bookmarkStart w:id="553" w:name="_Toc1846"/>
      <w:bookmarkStart w:id="554" w:name="_Toc26119"/>
      <w:bookmarkStart w:id="555" w:name="_Toc25689"/>
      <w:bookmarkStart w:id="556" w:name="_Toc364392640"/>
      <w:bookmarkStart w:id="557" w:name="_Toc6023"/>
      <w:bookmarkStart w:id="558" w:name="_Toc1592"/>
      <w:bookmarkStart w:id="559" w:name="_Toc489145733"/>
      <w:bookmarkStart w:id="560" w:name="_Toc7291"/>
      <w:bookmarkStart w:id="561" w:name="_Toc528186481"/>
      <w:bookmarkStart w:id="562" w:name="_Toc488633609"/>
      <w:bookmarkStart w:id="563" w:name="_Toc10970"/>
      <w:bookmarkStart w:id="564" w:name="_Toc489197837"/>
      <w:bookmarkStart w:id="565" w:name="_Toc30011"/>
      <w:r>
        <w:rPr>
          <w:rFonts w:hint="eastAsia" w:ascii="仿宋" w:hAnsi="仿宋" w:eastAsia="仿宋" w:cs="仿宋"/>
          <w:color w:val="auto"/>
          <w:highlight w:val="none"/>
        </w:rPr>
        <w:t>第三章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合同书样式及主要条款</w:t>
      </w:r>
      <w:bookmarkEnd w:id="551"/>
      <w:bookmarkEnd w:id="552"/>
      <w:bookmarkEnd w:id="553"/>
      <w:bookmarkEnd w:id="554"/>
      <w:bookmarkEnd w:id="555"/>
      <w:bookmarkEnd w:id="556"/>
      <w:bookmarkEnd w:id="557"/>
    </w:p>
    <w:p w14:paraId="50B1DE61">
      <w:pPr>
        <w:pageBreakBefore w:val="0"/>
        <w:shd w:val="clear"/>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p>
    <w:tbl>
      <w:tblPr>
        <w:tblStyle w:val="28"/>
        <w:tblW w:w="9788"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876"/>
        <w:gridCol w:w="6986"/>
      </w:tblGrid>
      <w:tr w14:paraId="1C3E8D2C">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26" w:type="dxa"/>
            <w:vAlign w:val="center"/>
          </w:tcPr>
          <w:p w14:paraId="70320CC5">
            <w:pPr>
              <w:pStyle w:val="15"/>
              <w:keepNext w:val="0"/>
              <w:keepLines w:val="0"/>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876" w:type="dxa"/>
            <w:vAlign w:val="center"/>
          </w:tcPr>
          <w:p w14:paraId="4D10D5DC">
            <w:pPr>
              <w:pStyle w:val="15"/>
              <w:keepNext w:val="0"/>
              <w:keepLines w:val="0"/>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w:t>
            </w:r>
          </w:p>
        </w:tc>
        <w:tc>
          <w:tcPr>
            <w:tcW w:w="6986" w:type="dxa"/>
            <w:vAlign w:val="center"/>
          </w:tcPr>
          <w:p w14:paraId="3B880501">
            <w:pPr>
              <w:pStyle w:val="15"/>
              <w:keepNext w:val="0"/>
              <w:keepLines w:val="0"/>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内容</w:t>
            </w:r>
          </w:p>
        </w:tc>
      </w:tr>
      <w:tr w14:paraId="4AA15695">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26" w:type="dxa"/>
            <w:vAlign w:val="center"/>
          </w:tcPr>
          <w:p w14:paraId="375860EC">
            <w:pPr>
              <w:pStyle w:val="15"/>
              <w:keepNext w:val="0"/>
              <w:keepLines w:val="0"/>
              <w:pageBreakBefore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1</w:t>
            </w:r>
          </w:p>
        </w:tc>
        <w:tc>
          <w:tcPr>
            <w:tcW w:w="1876" w:type="dxa"/>
            <w:vAlign w:val="center"/>
          </w:tcPr>
          <w:p w14:paraId="17AFC7B3">
            <w:pPr>
              <w:keepNext w:val="0"/>
              <w:keepLines w:val="0"/>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4"/>
                <w:highlight w:val="none"/>
                <w:lang w:val="en-US" w:eastAsia="zh-CN"/>
              </w:rPr>
              <w:t>合同履行期限</w:t>
            </w:r>
          </w:p>
        </w:tc>
        <w:tc>
          <w:tcPr>
            <w:tcW w:w="6986" w:type="dxa"/>
            <w:vAlign w:val="center"/>
          </w:tcPr>
          <w:p w14:paraId="197B64CF">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right="0" w:rightChars="0"/>
              <w:contextualSpacing/>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自合同签订之日起，至质保期期限届满之日止。</w:t>
            </w:r>
          </w:p>
        </w:tc>
      </w:tr>
      <w:tr w14:paraId="02021BA0">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26" w:type="dxa"/>
            <w:vAlign w:val="center"/>
          </w:tcPr>
          <w:p w14:paraId="12A694BA">
            <w:pPr>
              <w:pStyle w:val="15"/>
              <w:keepNext w:val="0"/>
              <w:keepLines w:val="0"/>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2</w:t>
            </w:r>
          </w:p>
        </w:tc>
        <w:tc>
          <w:tcPr>
            <w:tcW w:w="1876" w:type="dxa"/>
            <w:vAlign w:val="center"/>
          </w:tcPr>
          <w:p w14:paraId="1D53BEB1">
            <w:pPr>
              <w:keepNext w:val="0"/>
              <w:keepLines w:val="0"/>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4"/>
                <w:highlight w:val="none"/>
                <w:lang w:val="en-US" w:eastAsia="zh-CN"/>
              </w:rPr>
              <w:t>交货期限</w:t>
            </w:r>
          </w:p>
        </w:tc>
        <w:tc>
          <w:tcPr>
            <w:tcW w:w="6986" w:type="dxa"/>
            <w:vAlign w:val="center"/>
          </w:tcPr>
          <w:p w14:paraId="7B167DED">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pacing w:val="0"/>
                <w:position w:val="0"/>
                <w:sz w:val="24"/>
                <w:szCs w:val="24"/>
                <w:highlight w:val="none"/>
                <w:lang w:val="en-US" w:eastAsia="zh-CN"/>
              </w:rPr>
            </w:pPr>
            <w:r>
              <w:rPr>
                <w:rFonts w:hint="eastAsia" w:ascii="仿宋" w:hAnsi="仿宋" w:eastAsia="仿宋" w:cs="仿宋"/>
                <w:color w:val="auto"/>
                <w:sz w:val="24"/>
                <w:szCs w:val="24"/>
                <w:highlight w:val="none"/>
                <w:lang w:val="en-US" w:eastAsia="zh-CN"/>
              </w:rPr>
              <w:t>设备送达招标人指定地点并按规范安装调试完毕时间为合同签订生效后3个月内。</w:t>
            </w:r>
          </w:p>
        </w:tc>
      </w:tr>
      <w:tr w14:paraId="3A841304">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vAlign w:val="center"/>
          </w:tcPr>
          <w:p w14:paraId="46D0A3D9">
            <w:pPr>
              <w:pStyle w:val="15"/>
              <w:keepNext w:val="0"/>
              <w:keepLines w:val="0"/>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3</w:t>
            </w:r>
          </w:p>
        </w:tc>
        <w:tc>
          <w:tcPr>
            <w:tcW w:w="1876" w:type="dxa"/>
            <w:vAlign w:val="center"/>
          </w:tcPr>
          <w:p w14:paraId="1FEBF435">
            <w:pPr>
              <w:keepNext w:val="0"/>
              <w:keepLines w:val="0"/>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交货地点</w:t>
            </w:r>
          </w:p>
        </w:tc>
        <w:tc>
          <w:tcPr>
            <w:tcW w:w="6986" w:type="dxa"/>
            <w:vAlign w:val="center"/>
          </w:tcPr>
          <w:p w14:paraId="450E6848">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Cs/>
                <w:color w:val="auto"/>
                <w:spacing w:val="10"/>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招标人指定地点。</w:t>
            </w:r>
          </w:p>
        </w:tc>
      </w:tr>
      <w:tr w14:paraId="1525D3B9">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926" w:type="dxa"/>
            <w:vAlign w:val="center"/>
          </w:tcPr>
          <w:p w14:paraId="2FF9D322">
            <w:pPr>
              <w:pStyle w:val="15"/>
              <w:keepNext w:val="0"/>
              <w:keepLines w:val="0"/>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4</w:t>
            </w:r>
          </w:p>
        </w:tc>
        <w:tc>
          <w:tcPr>
            <w:tcW w:w="1876" w:type="dxa"/>
            <w:vAlign w:val="center"/>
          </w:tcPr>
          <w:p w14:paraId="1C9754F5">
            <w:pPr>
              <w:keepNext w:val="0"/>
              <w:keepLines w:val="0"/>
              <w:pageBreakBefore w:val="0"/>
              <w:shd w:val="clear"/>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4"/>
                <w:highlight w:val="none"/>
                <w:lang w:val="en-US" w:eastAsia="zh-CN"/>
              </w:rPr>
              <w:t>质保期</w:t>
            </w:r>
          </w:p>
        </w:tc>
        <w:tc>
          <w:tcPr>
            <w:tcW w:w="6986" w:type="dxa"/>
            <w:vAlign w:val="center"/>
          </w:tcPr>
          <w:p w14:paraId="695C709D">
            <w:pPr>
              <w:keepNext w:val="0"/>
              <w:keepLines w:val="0"/>
              <w:pageBreakBefore w:val="0"/>
              <w:widowControl w:val="0"/>
              <w:shd w:val="clear"/>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bCs w:val="0"/>
                <w:color w:val="000000" w:themeColor="text1"/>
                <w:kern w:val="2"/>
                <w:sz w:val="24"/>
                <w:szCs w:val="24"/>
                <w:lang w:val="en-US" w:eastAsia="zh-CN" w:bidi="ar-SA"/>
                <w14:textFill>
                  <w14:solidFill>
                    <w14:schemeClr w14:val="tx1"/>
                  </w14:solidFill>
                </w14:textFill>
              </w:rPr>
              <w:t>自产品交付之日起提供≥3年质保，质保期自设备安装验收合格且所有配件、备件齐全之日起计算，质保期内，由于设备本身质量原因造成的任何损坏保证免费负责修理和更换；质保期满后，提供终身维修服务（优价向采购方提供零部件）；</w:t>
            </w:r>
          </w:p>
        </w:tc>
      </w:tr>
      <w:tr w14:paraId="5F5E1D18">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26" w:type="dxa"/>
            <w:vAlign w:val="center"/>
          </w:tcPr>
          <w:p w14:paraId="4F0F77B8">
            <w:pPr>
              <w:pStyle w:val="15"/>
              <w:keepNext w:val="0"/>
              <w:keepLines w:val="0"/>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5</w:t>
            </w:r>
          </w:p>
        </w:tc>
        <w:tc>
          <w:tcPr>
            <w:tcW w:w="1876" w:type="dxa"/>
            <w:vAlign w:val="center"/>
          </w:tcPr>
          <w:p w14:paraId="2F426DE8">
            <w:pPr>
              <w:pStyle w:val="15"/>
              <w:keepNext w:val="0"/>
              <w:keepLines w:val="0"/>
              <w:pageBreakBefore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付款方式</w:t>
            </w:r>
          </w:p>
        </w:tc>
        <w:tc>
          <w:tcPr>
            <w:tcW w:w="6986" w:type="dxa"/>
            <w:vAlign w:val="center"/>
          </w:tcPr>
          <w:p w14:paraId="2491EB4E">
            <w:pPr>
              <w:pStyle w:val="15"/>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合同签订后支付30%，项目初验完成后支付30%，终验完成后支付40%。</w:t>
            </w:r>
          </w:p>
        </w:tc>
      </w:tr>
    </w:tbl>
    <w:p w14:paraId="1020BA76">
      <w:pPr>
        <w:pageBreakBefore w:val="0"/>
        <w:shd w:val="clear"/>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p>
    <w:p w14:paraId="31FB48A5">
      <w:pPr>
        <w:pageBreakBefore w:val="0"/>
        <w:shd w:val="clear"/>
        <w:topLinePunct w:val="0"/>
        <w:autoSpaceDE w:val="0"/>
        <w:autoSpaceDN w:val="0"/>
        <w:bidi w:val="0"/>
        <w:adjustRightInd w:val="0"/>
        <w:spacing w:beforeAutospacing="0" w:afterAutospacing="0" w:line="360" w:lineRule="auto"/>
        <w:ind w:left="0" w:leftChars="0"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注：</w:t>
      </w:r>
      <w:r>
        <w:rPr>
          <w:rFonts w:hint="eastAsia" w:ascii="仿宋" w:hAnsi="仿宋" w:eastAsia="仿宋" w:cs="仿宋"/>
          <w:b/>
          <w:color w:val="auto"/>
          <w:sz w:val="24"/>
          <w:highlight w:val="none"/>
          <w:u w:val="single"/>
        </w:rPr>
        <w:t>本合同样式仅供参考，具体合同以</w:t>
      </w:r>
      <w:r>
        <w:rPr>
          <w:rFonts w:hint="eastAsia" w:ascii="仿宋" w:hAnsi="仿宋" w:eastAsia="仿宋" w:cs="仿宋"/>
          <w:b/>
          <w:color w:val="auto"/>
          <w:sz w:val="24"/>
          <w:highlight w:val="none"/>
          <w:u w:val="single"/>
          <w:lang w:eastAsia="zh-CN"/>
        </w:rPr>
        <w:t>招标人</w:t>
      </w:r>
      <w:r>
        <w:rPr>
          <w:rFonts w:hint="eastAsia" w:ascii="仿宋" w:hAnsi="仿宋" w:eastAsia="仿宋" w:cs="仿宋"/>
          <w:b/>
          <w:color w:val="auto"/>
          <w:sz w:val="24"/>
          <w:highlight w:val="none"/>
          <w:u w:val="single"/>
        </w:rPr>
        <w:t>与中标人签订的合同为准</w:t>
      </w:r>
      <w:r>
        <w:rPr>
          <w:rFonts w:hint="eastAsia" w:ascii="仿宋" w:hAnsi="仿宋" w:eastAsia="仿宋" w:cs="仿宋"/>
          <w:color w:val="auto"/>
          <w:sz w:val="24"/>
          <w:highlight w:val="none"/>
        </w:rPr>
        <w:t>）</w:t>
      </w:r>
    </w:p>
    <w:p w14:paraId="46EE66E9">
      <w:pPr>
        <w:pageBreakBefore w:val="0"/>
        <w:topLinePunct w:val="0"/>
        <w:bidi w:val="0"/>
        <w:spacing w:beforeAutospacing="0" w:afterAutospacing="0" w:line="360" w:lineRule="auto"/>
        <w:ind w:left="0" w:leftChars="0" w:right="0" w:rightChars="0" w:firstLine="562" w:firstLineChars="200"/>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政府</w:t>
      </w:r>
      <w:r>
        <w:rPr>
          <w:rFonts w:hint="eastAsia" w:ascii="仿宋" w:hAnsi="仿宋" w:eastAsia="仿宋" w:cs="仿宋"/>
          <w:b/>
          <w:bCs/>
          <w:color w:val="auto"/>
          <w:sz w:val="28"/>
          <w:szCs w:val="28"/>
        </w:rPr>
        <w:t>采购合同书</w:t>
      </w:r>
    </w:p>
    <w:p w14:paraId="521D50DA">
      <w:pPr>
        <w:pageBreakBefore w:val="0"/>
        <w:topLinePunct w:val="0"/>
        <w:bidi w:val="0"/>
        <w:spacing w:beforeAutospacing="0" w:afterAutospacing="0" w:line="360" w:lineRule="auto"/>
        <w:ind w:left="0" w:leftChars="0" w:right="0" w:rightChars="0" w:firstLine="562" w:firstLineChars="200"/>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公开招标）</w:t>
      </w:r>
    </w:p>
    <w:p w14:paraId="10B259AE">
      <w:pPr>
        <w:pageBreakBefore w:val="0"/>
        <w:topLinePunct w:val="0"/>
        <w:bidi w:val="0"/>
        <w:spacing w:beforeAutospacing="0" w:afterAutospacing="0" w:line="360" w:lineRule="auto"/>
        <w:ind w:left="0" w:leftChars="0" w:right="0" w:rightChars="0" w:firstLine="562" w:firstLineChars="200"/>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项目名称：</w:t>
      </w:r>
      <w:r>
        <w:rPr>
          <w:rFonts w:hint="eastAsia" w:ascii="仿宋" w:hAnsi="仿宋" w:eastAsia="仿宋" w:cs="仿宋"/>
          <w:b/>
          <w:bCs/>
          <w:color w:val="auto"/>
          <w:sz w:val="28"/>
          <w:szCs w:val="28"/>
          <w:lang w:eastAsia="zh-CN"/>
        </w:rPr>
        <w:t>丽江职业技术学院教学设备更新提升项目新能源汽车“三电”技术实训中心建设项目</w:t>
      </w:r>
    </w:p>
    <w:p w14:paraId="025FEAAD">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p>
    <w:p w14:paraId="04940C32">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（招标人）</w:t>
      </w:r>
    </w:p>
    <w:p w14:paraId="0372BD8E">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丽江职业技术学院</w:t>
      </w:r>
    </w:p>
    <w:p w14:paraId="529B1644">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3EE39E77">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邮编：674100</w:t>
      </w:r>
    </w:p>
    <w:p w14:paraId="3609544B">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签章或签字</w:t>
      </w:r>
      <w:r>
        <w:rPr>
          <w:rFonts w:hint="eastAsia" w:ascii="仿宋" w:hAnsi="仿宋" w:eastAsia="仿宋" w:cs="仿宋"/>
          <w:color w:val="auto"/>
          <w:sz w:val="24"/>
          <w:szCs w:val="24"/>
          <w:highlight w:val="none"/>
          <w:lang w:eastAsia="zh-CN"/>
        </w:rPr>
        <w:t>）：</w:t>
      </w:r>
    </w:p>
    <w:p w14:paraId="50F01673">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分管领导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14:paraId="1920977F">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电</w:t>
      </w:r>
      <w:r>
        <w:rPr>
          <w:rFonts w:hint="eastAsia" w:ascii="仿宋" w:hAnsi="仿宋" w:eastAsia="仿宋" w:cs="仿宋"/>
          <w:color w:val="auto"/>
          <w:sz w:val="24"/>
          <w:szCs w:val="24"/>
          <w:highlight w:val="none"/>
        </w:rPr>
        <w:t>话：</w:t>
      </w:r>
    </w:p>
    <w:p w14:paraId="4DF90488">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p>
    <w:p w14:paraId="6AFF365B">
      <w:pPr>
        <w:pStyle w:val="11"/>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highlight w:val="none"/>
        </w:rPr>
      </w:pPr>
    </w:p>
    <w:p w14:paraId="05853BC6">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中标人）</w:t>
      </w:r>
    </w:p>
    <w:p w14:paraId="3C7F840E">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p w14:paraId="79643223">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42A0DC2C">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p w14:paraId="7A67275B">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签章或签字</w:t>
      </w:r>
      <w:r>
        <w:rPr>
          <w:rFonts w:hint="eastAsia" w:ascii="仿宋" w:hAnsi="仿宋" w:eastAsia="仿宋" w:cs="仿宋"/>
          <w:color w:val="auto"/>
          <w:sz w:val="24"/>
          <w:szCs w:val="24"/>
          <w:highlight w:val="none"/>
          <w:lang w:eastAsia="zh-CN"/>
        </w:rPr>
        <w:t>）：</w:t>
      </w:r>
    </w:p>
    <w:p w14:paraId="79B9BD8B">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售后联系人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14:paraId="50CAE4AC">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乙方户名：</w:t>
      </w:r>
    </w:p>
    <w:p w14:paraId="21BA43A3">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乙方开户行：</w:t>
      </w:r>
    </w:p>
    <w:p w14:paraId="1DABB060">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乙方账号：</w:t>
      </w:r>
    </w:p>
    <w:p w14:paraId="7617E5C5">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p w14:paraId="53B425D0">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p>
    <w:p w14:paraId="752E1F7F">
      <w:pPr>
        <w:pStyle w:val="11"/>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highlight w:val="none"/>
        </w:rPr>
      </w:pPr>
    </w:p>
    <w:p w14:paraId="24038CC6">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签订地点：</w:t>
      </w:r>
      <w:r>
        <w:rPr>
          <w:rFonts w:hint="eastAsia" w:ascii="仿宋" w:hAnsi="仿宋" w:eastAsia="仿宋" w:cs="仿宋"/>
          <w:color w:val="auto"/>
          <w:sz w:val="24"/>
          <w:szCs w:val="24"/>
          <w:highlight w:val="none"/>
          <w:lang w:eastAsia="zh-CN"/>
        </w:rPr>
        <w:t>丽江职业技术学院</w:t>
      </w:r>
    </w:p>
    <w:p w14:paraId="23149EA4">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签订时间：</w:t>
      </w:r>
    </w:p>
    <w:p w14:paraId="4AD76CE4">
      <w:pPr>
        <w:keepNext w:val="0"/>
        <w:keepLines w:val="0"/>
        <w:pageBreakBefore w:val="0"/>
        <w:widowControl w:val="0"/>
        <w:shd w:val="clear" w:fill="FFFFFF" w:themeFill="background1"/>
        <w:kinsoku/>
        <w:wordWrap/>
        <w:overflowPunct/>
        <w:topLinePunct w:val="0"/>
        <w:autoSpaceDE/>
        <w:autoSpaceDN/>
        <w:bidi w:val="0"/>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合同总价：</w:t>
      </w:r>
    </w:p>
    <w:p w14:paraId="2A57EE13">
      <w:pPr>
        <w:pageBreakBefore w:val="0"/>
        <w:shd w:val="clear" w:fill="FFFFFF" w:themeFill="background1"/>
        <w:topLinePunct w:val="0"/>
        <w:bidi w:val="0"/>
        <w:spacing w:beforeAutospacing="0" w:afterAutospacing="0" w:line="360" w:lineRule="auto"/>
        <w:ind w:left="0" w:leftChars="0" w:right="0" w:rightChars="0"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br w:type="page"/>
      </w:r>
    </w:p>
    <w:p w14:paraId="0E80F6AC">
      <w:pPr>
        <w:pStyle w:val="15"/>
        <w:pageBreakBefore w:val="0"/>
        <w:shd w:val="clear" w:fill="FFFFFF" w:themeFill="background1"/>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甲乙双方</w:t>
      </w:r>
      <w:r>
        <w:rPr>
          <w:rFonts w:hint="eastAsia" w:ascii="仿宋" w:hAnsi="仿宋" w:eastAsia="仿宋" w:cs="仿宋"/>
          <w:color w:val="auto"/>
          <w:sz w:val="24"/>
          <w:highlight w:val="none"/>
        </w:rPr>
        <w:t>根据</w:t>
      </w:r>
      <w:r>
        <w:rPr>
          <w:rFonts w:hint="eastAsia" w:ascii="仿宋" w:hAnsi="仿宋" w:eastAsia="仿宋" w:cs="仿宋"/>
          <w:color w:val="auto"/>
          <w:sz w:val="24"/>
          <w:highlight w:val="none"/>
          <w:lang w:eastAsia="zh-CN"/>
        </w:rPr>
        <w:t>丽江职业技术学院</w:t>
      </w:r>
      <w:r>
        <w:rPr>
          <w:rFonts w:hint="eastAsia" w:ascii="仿宋" w:hAnsi="仿宋" w:eastAsia="仿宋" w:cs="仿宋"/>
          <w:color w:val="auto"/>
          <w:sz w:val="24"/>
          <w:highlight w:val="none"/>
        </w:rPr>
        <w:t>委托云南蓝本招标咨询有限公司组织的项目编号为</w:t>
      </w:r>
      <w:r>
        <w:rPr>
          <w:rFonts w:hint="eastAsia" w:ascii="仿宋" w:hAnsi="仿宋" w:eastAsia="仿宋" w:cs="仿宋"/>
          <w:color w:val="auto"/>
          <w:sz w:val="24"/>
          <w:highlight w:val="none"/>
          <w:lang w:eastAsia="zh-CN"/>
        </w:rPr>
        <w:t>LJZC2026-G1-00307-YNLB-0104</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丽江职业技术学院教学设备更新提升项目新能源汽车“三电”技术实训中心建设项目</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通过</w:t>
      </w:r>
      <w:r>
        <w:rPr>
          <w:rFonts w:hint="eastAsia" w:ascii="仿宋" w:hAnsi="仿宋" w:eastAsia="仿宋" w:cs="仿宋"/>
          <w:color w:val="auto"/>
          <w:sz w:val="24"/>
          <w:highlight w:val="none"/>
          <w:lang w:val="en-US" w:eastAsia="zh-CN"/>
        </w:rPr>
        <w:t>公开招标</w:t>
      </w:r>
      <w:r>
        <w:rPr>
          <w:rFonts w:hint="eastAsia" w:ascii="仿宋" w:hAnsi="仿宋" w:eastAsia="仿宋" w:cs="仿宋"/>
          <w:color w:val="auto"/>
          <w:sz w:val="24"/>
          <w:highlight w:val="none"/>
          <w:lang w:eastAsia="zh-CN"/>
        </w:rPr>
        <w:t>的采购结果</w:t>
      </w:r>
      <w:r>
        <w:rPr>
          <w:rFonts w:hint="eastAsia" w:ascii="仿宋" w:hAnsi="仿宋" w:eastAsia="仿宋" w:cs="仿宋"/>
          <w:color w:val="auto"/>
          <w:sz w:val="24"/>
          <w:highlight w:val="none"/>
        </w:rPr>
        <w:t>，确定乙方为该项目</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。为了保护供需各方合法权益，甲乙双方依照《中华人民共和国民法典》及其相关法律、行政法规，遵循平等、自愿、公平和诚实信用的原则，经双方协定达成一致，签订以下内容：</w:t>
      </w:r>
    </w:p>
    <w:p w14:paraId="14D6DBDA">
      <w:pPr>
        <w:pStyle w:val="15"/>
        <w:pageBreakBefore w:val="0"/>
        <w:shd w:val="clear" w:fill="FFFFFF" w:themeFill="background1"/>
        <w:topLinePunct w:val="0"/>
        <w:bidi w:val="0"/>
        <w:spacing w:beforeAutospacing="0" w:afterAutospacing="0" w:line="360" w:lineRule="auto"/>
        <w:ind w:left="0" w:leftChars="0" w:right="0" w:rightChars="0" w:firstLine="482" w:firstLineChars="200"/>
        <w:rPr>
          <w:rFonts w:hint="eastAsia" w:ascii="仿宋" w:hAnsi="仿宋" w:eastAsia="仿宋" w:cs="仿宋"/>
          <w:b/>
          <w:bCs/>
          <w:color w:val="auto"/>
          <w:kern w:val="2"/>
          <w:sz w:val="24"/>
          <w:szCs w:val="24"/>
          <w:highlight w:val="none"/>
        </w:rPr>
      </w:pPr>
      <w:r>
        <w:rPr>
          <w:rFonts w:hint="eastAsia" w:ascii="仿宋" w:hAnsi="仿宋" w:eastAsia="仿宋" w:cs="仿宋"/>
          <w:b/>
          <w:bCs/>
          <w:color w:val="auto"/>
          <w:sz w:val="24"/>
          <w:szCs w:val="24"/>
          <w:highlight w:val="none"/>
        </w:rPr>
        <w:t>一、货物</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产品</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名称、品牌、型号规格、产地、</w:t>
      </w:r>
      <w:r>
        <w:rPr>
          <w:rFonts w:hint="eastAsia" w:ascii="仿宋" w:hAnsi="仿宋" w:eastAsia="仿宋" w:cs="仿宋"/>
          <w:b/>
          <w:bCs/>
          <w:color w:val="auto"/>
          <w:sz w:val="24"/>
          <w:szCs w:val="24"/>
          <w:highlight w:val="none"/>
          <w:lang w:eastAsia="zh-CN"/>
        </w:rPr>
        <w:t>制造商</w:t>
      </w:r>
      <w:r>
        <w:rPr>
          <w:rFonts w:hint="eastAsia" w:ascii="仿宋" w:hAnsi="仿宋" w:eastAsia="仿宋" w:cs="仿宋"/>
          <w:b/>
          <w:bCs/>
          <w:color w:val="auto"/>
          <w:sz w:val="24"/>
          <w:szCs w:val="24"/>
          <w:highlight w:val="none"/>
        </w:rPr>
        <w:t>、价格</w:t>
      </w:r>
    </w:p>
    <w:tbl>
      <w:tblPr>
        <w:tblStyle w:val="28"/>
        <w:tblW w:w="9599"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550"/>
        <w:gridCol w:w="1278"/>
        <w:gridCol w:w="1278"/>
        <w:gridCol w:w="2267"/>
        <w:gridCol w:w="852"/>
        <w:gridCol w:w="1186"/>
        <w:gridCol w:w="1188"/>
      </w:tblGrid>
      <w:tr w14:paraId="3B12249E">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550" w:type="dxa"/>
            <w:shd w:val="clear" w:color="auto" w:fill="FFFFFF" w:themeFill="background1"/>
          </w:tcPr>
          <w:p w14:paraId="70BBDDD6">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产品名称</w:t>
            </w:r>
          </w:p>
        </w:tc>
        <w:tc>
          <w:tcPr>
            <w:tcW w:w="1278" w:type="dxa"/>
            <w:shd w:val="clear" w:color="auto" w:fill="FFFFFF" w:themeFill="background1"/>
          </w:tcPr>
          <w:p w14:paraId="6269E1E1">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品牌</w:t>
            </w:r>
          </w:p>
        </w:tc>
        <w:tc>
          <w:tcPr>
            <w:tcW w:w="1278" w:type="dxa"/>
            <w:shd w:val="clear" w:color="auto" w:fill="FFFFFF" w:themeFill="background1"/>
          </w:tcPr>
          <w:p w14:paraId="0878123F">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产地</w:t>
            </w:r>
          </w:p>
        </w:tc>
        <w:tc>
          <w:tcPr>
            <w:tcW w:w="2267" w:type="dxa"/>
            <w:shd w:val="clear" w:color="auto" w:fill="FFFFFF" w:themeFill="background1"/>
          </w:tcPr>
          <w:p w14:paraId="3A12FDCF">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规格、型号</w:t>
            </w:r>
          </w:p>
        </w:tc>
        <w:tc>
          <w:tcPr>
            <w:tcW w:w="852" w:type="dxa"/>
            <w:shd w:val="clear" w:color="auto" w:fill="FFFFFF" w:themeFill="background1"/>
          </w:tcPr>
          <w:p w14:paraId="5BC10A43">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1186" w:type="dxa"/>
            <w:shd w:val="clear" w:color="auto" w:fill="FFFFFF" w:themeFill="background1"/>
          </w:tcPr>
          <w:p w14:paraId="770441E0">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单位</w:t>
            </w:r>
          </w:p>
        </w:tc>
        <w:tc>
          <w:tcPr>
            <w:tcW w:w="1188" w:type="dxa"/>
            <w:shd w:val="clear" w:color="auto" w:fill="FFFFFF" w:themeFill="background1"/>
          </w:tcPr>
          <w:p w14:paraId="1AC7DD2B">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合计</w:t>
            </w:r>
          </w:p>
        </w:tc>
      </w:tr>
      <w:tr w14:paraId="06802D32">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550" w:type="dxa"/>
            <w:shd w:val="clear" w:color="auto" w:fill="FFFFFF" w:themeFill="background1"/>
          </w:tcPr>
          <w:p w14:paraId="542FEBBD">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278" w:type="dxa"/>
            <w:shd w:val="clear" w:color="auto" w:fill="FFFFFF" w:themeFill="background1"/>
          </w:tcPr>
          <w:p w14:paraId="00860516">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1278" w:type="dxa"/>
            <w:shd w:val="clear" w:color="auto" w:fill="FFFFFF" w:themeFill="background1"/>
          </w:tcPr>
          <w:p w14:paraId="448FE1FE">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2267" w:type="dxa"/>
            <w:shd w:val="clear" w:color="auto" w:fill="FFFFFF" w:themeFill="background1"/>
          </w:tcPr>
          <w:p w14:paraId="0E3E7BCF">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852" w:type="dxa"/>
            <w:shd w:val="clear" w:color="auto" w:fill="FFFFFF" w:themeFill="background1"/>
          </w:tcPr>
          <w:p w14:paraId="36B6EE88">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186" w:type="dxa"/>
            <w:shd w:val="clear" w:color="auto" w:fill="FFFFFF" w:themeFill="background1"/>
          </w:tcPr>
          <w:p w14:paraId="23C2C9E8">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color w:val="auto"/>
                <w:sz w:val="24"/>
                <w:szCs w:val="24"/>
                <w:highlight w:val="none"/>
              </w:rPr>
            </w:pPr>
          </w:p>
        </w:tc>
        <w:tc>
          <w:tcPr>
            <w:tcW w:w="1188" w:type="dxa"/>
            <w:shd w:val="clear" w:color="auto" w:fill="FFFFFF" w:themeFill="background1"/>
          </w:tcPr>
          <w:p w14:paraId="151E4178">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r>
      <w:tr w14:paraId="7F7ED0C3">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550" w:type="dxa"/>
            <w:shd w:val="clear" w:color="auto" w:fill="FFFFFF" w:themeFill="background1"/>
          </w:tcPr>
          <w:p w14:paraId="4CA5013B">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278" w:type="dxa"/>
            <w:shd w:val="clear" w:color="auto" w:fill="FFFFFF" w:themeFill="background1"/>
          </w:tcPr>
          <w:p w14:paraId="24D22248">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1278" w:type="dxa"/>
            <w:shd w:val="clear" w:color="auto" w:fill="FFFFFF" w:themeFill="background1"/>
          </w:tcPr>
          <w:p w14:paraId="5A102190">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2267" w:type="dxa"/>
            <w:shd w:val="clear" w:color="auto" w:fill="FFFFFF" w:themeFill="background1"/>
          </w:tcPr>
          <w:p w14:paraId="3F104B23">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852" w:type="dxa"/>
            <w:shd w:val="clear" w:color="auto" w:fill="FFFFFF" w:themeFill="background1"/>
          </w:tcPr>
          <w:p w14:paraId="3A4C657E">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186" w:type="dxa"/>
            <w:shd w:val="clear" w:color="auto" w:fill="FFFFFF" w:themeFill="background1"/>
          </w:tcPr>
          <w:p w14:paraId="228771C2">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color w:val="auto"/>
                <w:sz w:val="24"/>
                <w:szCs w:val="24"/>
                <w:highlight w:val="none"/>
              </w:rPr>
            </w:pPr>
          </w:p>
        </w:tc>
        <w:tc>
          <w:tcPr>
            <w:tcW w:w="1188" w:type="dxa"/>
            <w:shd w:val="clear" w:color="auto" w:fill="FFFFFF" w:themeFill="background1"/>
          </w:tcPr>
          <w:p w14:paraId="249E0C05">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r>
      <w:tr w14:paraId="7D076FE4">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550" w:type="dxa"/>
            <w:shd w:val="clear" w:color="auto" w:fill="FFFFFF" w:themeFill="background1"/>
          </w:tcPr>
          <w:p w14:paraId="70BE91F9">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278" w:type="dxa"/>
            <w:shd w:val="clear" w:color="auto" w:fill="FFFFFF" w:themeFill="background1"/>
          </w:tcPr>
          <w:p w14:paraId="48F7D294">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1278" w:type="dxa"/>
            <w:shd w:val="clear" w:color="auto" w:fill="FFFFFF" w:themeFill="background1"/>
          </w:tcPr>
          <w:p w14:paraId="7764B98D">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2267" w:type="dxa"/>
            <w:shd w:val="clear" w:color="auto" w:fill="FFFFFF" w:themeFill="background1"/>
          </w:tcPr>
          <w:p w14:paraId="62FDDA63">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852" w:type="dxa"/>
            <w:shd w:val="clear" w:color="auto" w:fill="FFFFFF" w:themeFill="background1"/>
          </w:tcPr>
          <w:p w14:paraId="446D66A4">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186" w:type="dxa"/>
            <w:shd w:val="clear" w:color="auto" w:fill="FFFFFF" w:themeFill="background1"/>
          </w:tcPr>
          <w:p w14:paraId="5B9C85FA">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b/>
                <w:color w:val="auto"/>
                <w:sz w:val="24"/>
                <w:szCs w:val="24"/>
                <w:highlight w:val="none"/>
              </w:rPr>
            </w:pPr>
          </w:p>
        </w:tc>
        <w:tc>
          <w:tcPr>
            <w:tcW w:w="1188" w:type="dxa"/>
            <w:shd w:val="clear" w:color="auto" w:fill="FFFFFF" w:themeFill="background1"/>
          </w:tcPr>
          <w:p w14:paraId="32AF6C27">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r>
    </w:tbl>
    <w:p w14:paraId="3E910613">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本合同自签订之日起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年内有效，合同期自</w:t>
      </w:r>
      <w:r>
        <w:rPr>
          <w:rFonts w:hint="eastAsia" w:ascii="仿宋" w:hAnsi="仿宋" w:eastAsia="仿宋" w:cs="仿宋"/>
          <w:color w:val="auto"/>
          <w:sz w:val="24"/>
          <w:szCs w:val="24"/>
          <w:highlight w:val="none"/>
          <w:lang w:val="en-US" w:eastAsia="zh-CN"/>
        </w:rPr>
        <w:t xml:space="preserve">    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日至</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r>
        <w:rPr>
          <w:rFonts w:hint="eastAsia" w:ascii="仿宋" w:hAnsi="仿宋" w:eastAsia="仿宋" w:cs="仿宋"/>
          <w:color w:val="auto"/>
          <w:sz w:val="24"/>
          <w:szCs w:val="24"/>
          <w:highlight w:val="none"/>
        </w:rPr>
        <w:t>止</w:t>
      </w:r>
      <w:r>
        <w:rPr>
          <w:rFonts w:hint="eastAsia" w:ascii="仿宋" w:hAnsi="仿宋" w:eastAsia="仿宋" w:cs="仿宋"/>
          <w:color w:val="auto"/>
          <w:sz w:val="24"/>
          <w:szCs w:val="24"/>
          <w:highlight w:val="none"/>
          <w:lang w:eastAsia="zh-CN"/>
        </w:rPr>
        <w:t>。</w:t>
      </w:r>
    </w:p>
    <w:p w14:paraId="09F4E52B">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二、随机资料和配套附属设备要求：</w:t>
      </w:r>
    </w:p>
    <w:p w14:paraId="4B12BDC8">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提供厂家技术白皮书，并保证厂家技术白皮书必须与</w:t>
      </w:r>
      <w:r>
        <w:rPr>
          <w:rFonts w:hint="eastAsia" w:ascii="仿宋" w:hAnsi="仿宋" w:eastAsia="仿宋" w:cs="仿宋"/>
          <w:color w:val="auto"/>
          <w:sz w:val="24"/>
          <w:szCs w:val="24"/>
          <w:highlight w:val="none"/>
          <w:lang w:val="en-US" w:eastAsia="zh-CN"/>
        </w:rPr>
        <w:t>投标文件</w:t>
      </w:r>
      <w:r>
        <w:rPr>
          <w:rFonts w:hint="eastAsia" w:ascii="仿宋" w:hAnsi="仿宋" w:eastAsia="仿宋" w:cs="仿宋"/>
          <w:color w:val="auto"/>
          <w:sz w:val="24"/>
          <w:szCs w:val="24"/>
          <w:highlight w:val="none"/>
        </w:rPr>
        <w:t>一致，否则</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无效。</w:t>
      </w:r>
    </w:p>
    <w:p w14:paraId="02893616">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设备验收前，由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负责对设备进行计量检测，提供计量检测报告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计量检测需由有资质的第三方单位完成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4ECFE880">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三、安装调试要求：</w:t>
      </w:r>
    </w:p>
    <w:p w14:paraId="096B93E4">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设备安装调试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或项目建设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符合国家标准，并满足甲方技术要求，乙方负责进行设备的免费安装测试同时完成。</w:t>
      </w:r>
    </w:p>
    <w:p w14:paraId="71E7CFD9">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四、合同总价：</w:t>
      </w:r>
    </w:p>
    <w:p w14:paraId="71B3BB4E">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p w14:paraId="0F507367">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p w14:paraId="72ADF564">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以上价格为设备送达甲方指定地点的统一交货价并包含</w:t>
      </w:r>
      <w:r>
        <w:rPr>
          <w:rFonts w:hint="eastAsia" w:ascii="仿宋" w:hAnsi="仿宋" w:eastAsia="仿宋" w:cs="仿宋"/>
          <w:color w:val="auto"/>
          <w:kern w:val="0"/>
          <w:sz w:val="24"/>
          <w:szCs w:val="24"/>
          <w:highlight w:val="none"/>
        </w:rPr>
        <w:t>安装、调试、验收、售后、维修、</w:t>
      </w:r>
      <w:r>
        <w:rPr>
          <w:rFonts w:hint="eastAsia" w:ascii="仿宋" w:hAnsi="仿宋" w:eastAsia="仿宋" w:cs="仿宋"/>
          <w:color w:val="auto"/>
          <w:kern w:val="0"/>
          <w:sz w:val="24"/>
          <w:szCs w:val="24"/>
          <w:highlight w:val="none"/>
          <w:lang w:val="en-US" w:eastAsia="zh-CN"/>
        </w:rPr>
        <w:t>运维</w:t>
      </w:r>
      <w:r>
        <w:rPr>
          <w:rFonts w:hint="eastAsia" w:ascii="仿宋" w:hAnsi="仿宋" w:eastAsia="仿宋" w:cs="仿宋"/>
          <w:color w:val="auto"/>
          <w:kern w:val="0"/>
          <w:sz w:val="24"/>
          <w:szCs w:val="24"/>
          <w:highlight w:val="none"/>
        </w:rPr>
        <w:t>及不可预见费用等</w:t>
      </w:r>
      <w:r>
        <w:rPr>
          <w:rFonts w:hint="eastAsia" w:ascii="仿宋" w:hAnsi="仿宋" w:eastAsia="仿宋" w:cs="仿宋"/>
          <w:color w:val="auto"/>
          <w:kern w:val="0"/>
          <w:sz w:val="24"/>
          <w:szCs w:val="24"/>
          <w:highlight w:val="none"/>
          <w:lang w:val="en-US" w:eastAsia="zh-CN"/>
        </w:rPr>
        <w:t>完成本项目</w:t>
      </w:r>
      <w:r>
        <w:rPr>
          <w:rFonts w:hint="eastAsia" w:ascii="仿宋" w:hAnsi="仿宋" w:eastAsia="仿宋" w:cs="仿宋"/>
          <w:color w:val="auto"/>
          <w:sz w:val="24"/>
          <w:szCs w:val="24"/>
          <w:highlight w:val="none"/>
          <w:lang w:val="en-US" w:eastAsia="zh-CN"/>
        </w:rPr>
        <w:t>采购需求的</w:t>
      </w:r>
      <w:r>
        <w:rPr>
          <w:rFonts w:hint="eastAsia" w:ascii="仿宋" w:hAnsi="仿宋" w:eastAsia="仿宋" w:cs="仿宋"/>
          <w:color w:val="auto"/>
          <w:kern w:val="0"/>
          <w:sz w:val="24"/>
          <w:szCs w:val="24"/>
          <w:highlight w:val="none"/>
        </w:rPr>
        <w:t>全部费用，甲方无需另外支付任何费用。</w:t>
      </w:r>
    </w:p>
    <w:p w14:paraId="38D6930A">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五、质保及售后服务</w:t>
      </w:r>
    </w:p>
    <w:p w14:paraId="09431512">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乙方保证按本合同一、二、三、四条款负责完成甲方项目，并保证提供的设备是全新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包括零部件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规定、具有国家有关部门注册并符合国家质量检测标准和产品出厂</w:t>
      </w:r>
      <w:r>
        <w:rPr>
          <w:rFonts w:hint="eastAsia" w:ascii="仿宋" w:hAnsi="仿宋" w:eastAsia="仿宋" w:cs="仿宋"/>
          <w:color w:val="auto"/>
          <w:sz w:val="24"/>
          <w:szCs w:val="24"/>
          <w:highlight w:val="none"/>
          <w:lang w:val="en-US" w:eastAsia="zh-CN"/>
        </w:rPr>
        <w:t>标准，</w:t>
      </w:r>
      <w:r>
        <w:rPr>
          <w:rFonts w:hint="eastAsia" w:ascii="仿宋" w:hAnsi="仿宋" w:eastAsia="仿宋" w:cs="仿宋"/>
          <w:bCs/>
          <w:color w:val="auto"/>
          <w:spacing w:val="10"/>
          <w:kern w:val="0"/>
          <w:sz w:val="24"/>
          <w:szCs w:val="24"/>
          <w:lang w:val="en-US" w:eastAsia="zh-CN" w:bidi="ar-SA"/>
        </w:rPr>
        <w:t>所有设备整机</w:t>
      </w:r>
      <w:r>
        <w:rPr>
          <w:rFonts w:hint="eastAsia" w:ascii="仿宋" w:hAnsi="仿宋" w:eastAsia="仿宋" w:cs="仿宋"/>
          <w:bCs/>
          <w:color w:val="auto"/>
          <w:spacing w:val="10"/>
          <w:kern w:val="0"/>
          <w:sz w:val="24"/>
          <w:szCs w:val="24"/>
          <w:u w:val="single"/>
          <w:lang w:val="en-US" w:eastAsia="zh-CN" w:bidi="ar-SA"/>
        </w:rPr>
        <w:t xml:space="preserve">    </w:t>
      </w:r>
      <w:r>
        <w:rPr>
          <w:rFonts w:hint="eastAsia" w:ascii="仿宋" w:hAnsi="仿宋" w:eastAsia="仿宋" w:cs="仿宋"/>
          <w:bCs/>
          <w:color w:val="auto"/>
          <w:spacing w:val="10"/>
          <w:kern w:val="0"/>
          <w:sz w:val="24"/>
          <w:szCs w:val="24"/>
          <w:lang w:val="en-US" w:eastAsia="zh-CN" w:bidi="ar-SA"/>
        </w:rPr>
        <w:t>年质保（附带其他条件的维修服务其他条件不予认可），软件升级维护期自设备验收合格之日起算，终身负责维修；并保证设备在招标人报废前正常运行。具体服务：软件升级维护期内，中标人对设备提供全免费上门质保。软件升级维护期内，设备投标人提供现场维修，维修人员在收到故障报告后保证24小时内到达现场，硬件类故障保证由维修人员（或工程师）在48小时内修复。</w:t>
      </w:r>
    </w:p>
    <w:p w14:paraId="7EBE6B50">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乙方应向甲方提供维修服务中心、特约维修服务站等售后服务网点的名单、联系地址、联系电话。</w:t>
      </w:r>
    </w:p>
    <w:p w14:paraId="71043DE4">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联系地址：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5F65DE80">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及电话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5D47E743">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六、甲乙双方的权利和义务</w:t>
      </w:r>
    </w:p>
    <w:p w14:paraId="352E5564">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甲方的权利和义务</w:t>
      </w:r>
    </w:p>
    <w:p w14:paraId="595F5C94">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负责合同签订后项目实施的工作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与乙方的具体联系和衔接，货物现场安装调试或项目建设施工时配备人员进行监管控制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5F6D3476">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负责提供货物和安装调试或项目建设施工</w:t>
      </w:r>
      <w:r>
        <w:rPr>
          <w:rFonts w:hint="eastAsia" w:ascii="仿宋" w:hAnsi="仿宋" w:eastAsia="仿宋" w:cs="仿宋"/>
          <w:color w:val="auto"/>
          <w:sz w:val="24"/>
          <w:szCs w:val="24"/>
          <w:highlight w:val="none"/>
          <w:lang w:eastAsia="zh-CN"/>
        </w:rPr>
        <w:t>所必需的</w:t>
      </w:r>
      <w:r>
        <w:rPr>
          <w:rFonts w:hint="eastAsia" w:ascii="仿宋" w:hAnsi="仿宋" w:eastAsia="仿宋" w:cs="仿宋"/>
          <w:color w:val="auto"/>
          <w:sz w:val="24"/>
          <w:szCs w:val="24"/>
          <w:highlight w:val="none"/>
        </w:rPr>
        <w:t>场地和环境。</w:t>
      </w:r>
    </w:p>
    <w:p w14:paraId="62B4210D">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负责组织成立验收小组对货物或项目进行验收并签署验收报告。</w:t>
      </w:r>
    </w:p>
    <w:p w14:paraId="48DA1F6B">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按合同规定享有乙方提供的货物或项目服务。</w:t>
      </w:r>
    </w:p>
    <w:p w14:paraId="2F34AE74">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按政府采购规定落实采购资金并办理采购资金划拨手续。</w:t>
      </w:r>
    </w:p>
    <w:p w14:paraId="4FE943F4">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甲方应向乙方提供“</w:t>
      </w:r>
      <w:r>
        <w:rPr>
          <w:rFonts w:hint="eastAsia" w:ascii="仿宋" w:hAnsi="仿宋" w:eastAsia="仿宋" w:cs="仿宋"/>
          <w:color w:val="auto"/>
          <w:sz w:val="24"/>
          <w:szCs w:val="24"/>
          <w:highlight w:val="none"/>
          <w:lang w:eastAsia="zh-CN"/>
        </w:rPr>
        <w:t>丽江职业技术学院”</w:t>
      </w:r>
      <w:r>
        <w:rPr>
          <w:rFonts w:hint="eastAsia" w:ascii="仿宋" w:hAnsi="仿宋" w:eastAsia="仿宋" w:cs="仿宋"/>
          <w:color w:val="auto"/>
          <w:sz w:val="24"/>
          <w:szCs w:val="24"/>
          <w:highlight w:val="none"/>
        </w:rPr>
        <w:t>统一社会信用代码等完整信息。</w:t>
      </w:r>
    </w:p>
    <w:p w14:paraId="5D676A4F">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乙方的权利和义务</w:t>
      </w:r>
    </w:p>
    <w:p w14:paraId="3B5078D7">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保证甲方在合同设备或项目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有配套软件的还包括软件产品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使用期间不受第三方提出侵犯其专利权、商标权和工业设计权的起诉。</w:t>
      </w:r>
    </w:p>
    <w:p w14:paraId="64695A86">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严格遵守</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、技术澄清、商务磋商、</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所承诺的一切规定和条款。</w:t>
      </w:r>
    </w:p>
    <w:p w14:paraId="3A4C9F93">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3.与</w:t>
      </w:r>
      <w:r>
        <w:rPr>
          <w:rFonts w:hint="eastAsia" w:ascii="仿宋" w:hAnsi="仿宋" w:eastAsia="仿宋" w:cs="仿宋"/>
          <w:color w:val="auto"/>
          <w:sz w:val="24"/>
          <w:szCs w:val="24"/>
          <w:highlight w:val="none"/>
        </w:rPr>
        <w:t>甲方共同进行设备和项目的验收。</w:t>
      </w:r>
    </w:p>
    <w:p w14:paraId="29A8632A">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乙方应根据甲方提供的“</w:t>
      </w:r>
      <w:r>
        <w:rPr>
          <w:rFonts w:hint="eastAsia" w:ascii="仿宋" w:hAnsi="仿宋" w:eastAsia="仿宋" w:cs="仿宋"/>
          <w:color w:val="auto"/>
          <w:sz w:val="24"/>
          <w:szCs w:val="24"/>
          <w:highlight w:val="none"/>
          <w:lang w:eastAsia="zh-CN"/>
        </w:rPr>
        <w:t>丽江职业技术学院”</w:t>
      </w:r>
      <w:r>
        <w:rPr>
          <w:rFonts w:hint="eastAsia" w:ascii="仿宋" w:hAnsi="仿宋" w:eastAsia="仿宋" w:cs="仿宋"/>
          <w:color w:val="auto"/>
          <w:sz w:val="24"/>
          <w:szCs w:val="24"/>
          <w:highlight w:val="none"/>
        </w:rPr>
        <w:t>统一社会信用代码等相关信息，完整填写发票信息，由于发票信息不完整导致无法付款则由乙方负责。</w:t>
      </w:r>
    </w:p>
    <w:p w14:paraId="694C5C8B">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设备</w:t>
      </w:r>
      <w:r>
        <w:rPr>
          <w:rFonts w:hint="eastAsia" w:ascii="仿宋" w:hAnsi="仿宋" w:eastAsia="仿宋" w:cs="仿宋"/>
          <w:color w:val="auto"/>
          <w:sz w:val="24"/>
          <w:szCs w:val="24"/>
          <w:highlight w:val="none"/>
          <w:lang w:eastAsia="zh-CN"/>
        </w:rPr>
        <w:t>软件升级维护期</w:t>
      </w:r>
      <w:r>
        <w:rPr>
          <w:rFonts w:hint="eastAsia" w:ascii="仿宋" w:hAnsi="仿宋" w:eastAsia="仿宋" w:cs="仿宋"/>
          <w:color w:val="auto"/>
          <w:sz w:val="24"/>
          <w:szCs w:val="24"/>
          <w:highlight w:val="none"/>
        </w:rPr>
        <w:t>内每年向甲方提供</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次巡检报告。</w:t>
      </w:r>
    </w:p>
    <w:p w14:paraId="17F461C6">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七、以上内容与甲方采购确认和乙方</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rPr>
        <w:t>承诺情况一致</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或</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rPr>
        <w:t>产品和设备或项目的技术及服务保证甲方正常使用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w:t>
      </w:r>
    </w:p>
    <w:p w14:paraId="6A722785">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八、技术培训：</w:t>
      </w:r>
    </w:p>
    <w:p w14:paraId="192B69BB">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乙方向甲方提供</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次</w:t>
      </w:r>
      <w:r>
        <w:rPr>
          <w:rFonts w:hint="eastAsia" w:ascii="仿宋" w:hAnsi="仿宋" w:eastAsia="仿宋" w:cs="仿宋"/>
          <w:color w:val="auto"/>
          <w:sz w:val="24"/>
          <w:szCs w:val="24"/>
          <w:highlight w:val="none"/>
        </w:rPr>
        <w:t>的设备使用人员现场例行免费培训，培训内容包括设备的日常保养和维护、操作技术要领、使用注意事项、常见故障处理等，直到其掌握操作技能为止；食宿自理。</w:t>
      </w:r>
    </w:p>
    <w:p w14:paraId="7BB964B4">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九、设备送达</w:t>
      </w:r>
      <w:r>
        <w:rPr>
          <w:rFonts w:hint="eastAsia" w:ascii="仿宋" w:hAnsi="仿宋" w:eastAsia="仿宋" w:cs="仿宋"/>
          <w:b/>
          <w:bCs/>
          <w:color w:val="auto"/>
          <w:sz w:val="24"/>
          <w:szCs w:val="24"/>
          <w:highlight w:val="none"/>
          <w:lang w:eastAsia="zh-CN"/>
        </w:rPr>
        <w:t>招标人</w:t>
      </w:r>
      <w:r>
        <w:rPr>
          <w:rFonts w:hint="eastAsia" w:ascii="仿宋" w:hAnsi="仿宋" w:eastAsia="仿宋" w:cs="仿宋"/>
          <w:b/>
          <w:bCs/>
          <w:color w:val="auto"/>
          <w:sz w:val="24"/>
          <w:szCs w:val="24"/>
          <w:highlight w:val="none"/>
        </w:rPr>
        <w:t>指定地点并按规范安装调试完毕时间为合同签订生效后</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rPr>
        <w:t>日历天内</w:t>
      </w:r>
      <w:r>
        <w:rPr>
          <w:rFonts w:hint="eastAsia" w:ascii="仿宋" w:hAnsi="仿宋" w:eastAsia="仿宋" w:cs="仿宋"/>
          <w:b/>
          <w:bCs/>
          <w:color w:val="auto"/>
          <w:sz w:val="24"/>
          <w:szCs w:val="24"/>
          <w:highlight w:val="none"/>
          <w:lang w:eastAsia="zh-CN"/>
        </w:rPr>
        <w:t>。</w:t>
      </w:r>
    </w:p>
    <w:p w14:paraId="1F161120">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十、验收及验收标准</w:t>
      </w:r>
    </w:p>
    <w:p w14:paraId="106B4698">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1.设备验收：设备到达甲方指定地点后甲方统一初验是否符合合同要求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或按所提供样品进行验收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设备交验地点和方式：合同签订后，乙方负责将完整配套的原封设备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含开机必要消耗品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送到甲方指定的地点</w:t>
      </w:r>
      <w:r>
        <w:rPr>
          <w:rFonts w:hint="eastAsia" w:ascii="仿宋" w:hAnsi="仿宋" w:eastAsia="仿宋" w:cs="仿宋"/>
          <w:color w:val="auto"/>
          <w:sz w:val="24"/>
          <w:szCs w:val="24"/>
          <w:highlight w:val="none"/>
          <w:lang w:eastAsia="zh-CN"/>
        </w:rPr>
        <w:t>（丽江职业技术学院</w:t>
      </w:r>
      <w:r>
        <w:rPr>
          <w:rFonts w:hint="eastAsia" w:ascii="仿宋" w:hAnsi="仿宋" w:eastAsia="仿宋" w:cs="仿宋"/>
          <w:color w:val="auto"/>
          <w:sz w:val="24"/>
          <w:szCs w:val="24"/>
          <w:highlight w:val="none"/>
        </w:rPr>
        <w:t>指定科室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由甲乙双方共同开箱初验，并由乙方按合同规范要求完成安装及加电测试等。交货时，乙方随货向甲方交付设备</w:t>
      </w:r>
      <w:r>
        <w:rPr>
          <w:rFonts w:hint="eastAsia" w:ascii="仿宋" w:hAnsi="仿宋" w:eastAsia="仿宋" w:cs="仿宋"/>
          <w:color w:val="auto"/>
          <w:sz w:val="24"/>
          <w:szCs w:val="24"/>
          <w:highlight w:val="none"/>
          <w:lang w:eastAsia="zh-CN"/>
        </w:rPr>
        <w:t>必须</w:t>
      </w:r>
      <w:r>
        <w:rPr>
          <w:rFonts w:hint="eastAsia" w:ascii="仿宋" w:hAnsi="仿宋" w:eastAsia="仿宋" w:cs="仿宋"/>
          <w:color w:val="auto"/>
          <w:sz w:val="24"/>
          <w:szCs w:val="24"/>
          <w:highlight w:val="none"/>
        </w:rPr>
        <w:t>质保卡及相关资料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如操作手册、使用指南、维修手册、安装调试说明书、服务手册、报关单及商检证等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及配备的用件、工具等；货物到达指定交货地点后，将由甲方和乙方进行集中验货，若开箱加电测试发现不合格的货物，乙方必须予以更换；在货物最终验收后的质量保证期，乙方应对由于设计、工艺或者材料的缺陷而发生的任何不足或故障负责，费用由乙方承担。</w:t>
      </w:r>
    </w:p>
    <w:p w14:paraId="1C9196F6">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项目验收：设备安装和调试或项目建设施工完成后，甲方检验、测试是否合格并满足</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技术要求。</w:t>
      </w:r>
    </w:p>
    <w:p w14:paraId="2118FA41">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实作性操作验收：设备或</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正常运作。</w:t>
      </w:r>
    </w:p>
    <w:p w14:paraId="4389D3EA">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一般性项目由</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组成验收组负责项目验收；大型或者复杂的政府采购项目，应当邀请国家认可的质量检测机构参加验收工作。验收方成员应当在验收书上签字，并承担相应的法律责任。</w:t>
      </w:r>
    </w:p>
    <w:p w14:paraId="42E57561">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十一、合同价款结算</w:t>
      </w:r>
    </w:p>
    <w:p w14:paraId="4950D2EB">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合同签订后支付30%，项目初验完成后支付30%，终验完成后支付40%。</w:t>
      </w:r>
    </w:p>
    <w:p w14:paraId="2FA59EA1">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十二、违约责任</w:t>
      </w:r>
    </w:p>
    <w:p w14:paraId="5F70EB4E">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发生不可抗力事实外，乙方所交设备和安装调试与合同标准不相符合的，甲方有权拒收设备；逾期交货将向甲方每日偿付合同总额千分之一的违约金。因乙方不能按期交付设备和完成安装调试，或所交设备和安装调试与合同标准不符，以及设备</w:t>
      </w:r>
      <w:r>
        <w:rPr>
          <w:rFonts w:hint="eastAsia" w:ascii="仿宋" w:hAnsi="仿宋" w:eastAsia="仿宋" w:cs="仿宋"/>
          <w:color w:val="auto"/>
          <w:sz w:val="24"/>
          <w:szCs w:val="24"/>
          <w:highlight w:val="none"/>
          <w:lang w:eastAsia="zh-CN"/>
        </w:rPr>
        <w:t>软件升级维护期</w:t>
      </w:r>
      <w:r>
        <w:rPr>
          <w:rFonts w:hint="eastAsia" w:ascii="仿宋" w:hAnsi="仿宋" w:eastAsia="仿宋" w:cs="仿宋"/>
          <w:color w:val="auto"/>
          <w:sz w:val="24"/>
          <w:szCs w:val="24"/>
          <w:highlight w:val="none"/>
        </w:rPr>
        <w:t>内服务不到位，使甲方造成经济损失的应依法赔偿损失，赔偿标准为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rPr>
        <w:t>/天/台，赔偿总额为赔偿标准乘以停机天数。甲方无正当理由拒收设备，如造成损失，甲方向乙方偿付合同价款总价千分之一的违约金。</w:t>
      </w:r>
    </w:p>
    <w:p w14:paraId="15FB64EE">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甲方有权拒付合同价以外的任何费用；乙方有权拒绝合同整体范围以外的条件。</w:t>
      </w:r>
    </w:p>
    <w:p w14:paraId="53F049C6">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十三、纠纷解决</w:t>
      </w:r>
    </w:p>
    <w:p w14:paraId="7A32B627">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甲乙双方在履行合同过程中发生纠纷，应及时向有关政府采购监督管理部门反映，以便相关部门进行协调或处理；也可以直接向合同签订地人民法院提起诉讼解决。</w:t>
      </w:r>
    </w:p>
    <w:p w14:paraId="200892FA">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十四、其他</w:t>
      </w:r>
    </w:p>
    <w:p w14:paraId="38604605">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本合同其他未尽事宜，按国家《中华人民共和国民法典》有关规定处理。</w:t>
      </w:r>
    </w:p>
    <w:p w14:paraId="5FC03E24">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份，甲方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份，乙方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份。</w:t>
      </w:r>
    </w:p>
    <w:p w14:paraId="611D274A">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本合同自合同签订之日起生效。</w:t>
      </w:r>
    </w:p>
    <w:p w14:paraId="27C80037">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十五、本合同不可分割之部分：</w:t>
      </w:r>
    </w:p>
    <w:p w14:paraId="1C1FCFBC">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w:t>
      </w:r>
    </w:p>
    <w:p w14:paraId="11AFD045">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w:t>
      </w:r>
    </w:p>
    <w:p w14:paraId="0B5F3394">
      <w:pPr>
        <w:keepNext w:val="0"/>
        <w:keepLines w:val="0"/>
        <w:pageBreakBefore w:val="0"/>
        <w:widowControl/>
        <w:shd w:val="clear" w:fill="FFFFFF" w:themeFill="background1"/>
        <w:kinsoku w:val="0"/>
        <w:wordWrap/>
        <w:overflowPunct/>
        <w:topLinePunct w:val="0"/>
        <w:autoSpaceDE w:val="0"/>
        <w:autoSpaceDN w:val="0"/>
        <w:bidi w:val="0"/>
        <w:adjustRightInd w:val="0"/>
        <w:snapToGrid w:val="0"/>
        <w:spacing w:beforeAutospacing="0" w:afterAutospacing="0" w:line="360" w:lineRule="auto"/>
        <w:ind w:left="0" w:leftChars="0" w:right="0" w:rightChars="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通知书。</w:t>
      </w:r>
    </w:p>
    <w:p w14:paraId="441ADAE0">
      <w:pPr>
        <w:pageBreakBefore w:val="0"/>
        <w:topLinePunct w:val="0"/>
        <w:bidi w:val="0"/>
        <w:spacing w:beforeAutospacing="0" w:afterAutospacing="0" w:line="360" w:lineRule="auto"/>
        <w:ind w:left="0" w:leftChars="0" w:right="0" w:rightChars="0" w:firstLine="679" w:firstLineChars="200"/>
        <w:rPr>
          <w:rFonts w:hint="eastAsia" w:ascii="仿宋" w:hAnsi="仿宋" w:eastAsia="仿宋" w:cs="仿宋"/>
          <w:b/>
          <w:bCs/>
          <w:color w:val="auto"/>
          <w:spacing w:val="-6"/>
          <w:position w:val="20"/>
          <w:sz w:val="35"/>
          <w:szCs w:val="35"/>
          <w:highlight w:val="none"/>
        </w:rPr>
      </w:pPr>
      <w:r>
        <w:rPr>
          <w:rFonts w:hint="eastAsia" w:ascii="仿宋" w:hAnsi="仿宋" w:eastAsia="仿宋" w:cs="仿宋"/>
          <w:b/>
          <w:bCs/>
          <w:color w:val="auto"/>
          <w:spacing w:val="-6"/>
          <w:position w:val="20"/>
          <w:sz w:val="35"/>
          <w:szCs w:val="35"/>
          <w:highlight w:val="none"/>
        </w:rPr>
        <w:br w:type="page"/>
      </w:r>
    </w:p>
    <w:p w14:paraId="007870C6">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lang w:val="zh-CN"/>
        </w:rPr>
      </w:pPr>
    </w:p>
    <w:bookmarkEnd w:id="65"/>
    <w:bookmarkEnd w:id="558"/>
    <w:bookmarkEnd w:id="559"/>
    <w:bookmarkEnd w:id="560"/>
    <w:bookmarkEnd w:id="561"/>
    <w:bookmarkEnd w:id="562"/>
    <w:bookmarkEnd w:id="563"/>
    <w:bookmarkEnd w:id="564"/>
    <w:bookmarkEnd w:id="565"/>
    <w:p w14:paraId="5BA91987">
      <w:pPr>
        <w:pStyle w:val="2"/>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textAlignment w:val="auto"/>
        <w:outlineLvl w:val="0"/>
        <w:rPr>
          <w:rFonts w:hint="eastAsia" w:ascii="仿宋" w:hAnsi="仿宋" w:eastAsia="仿宋" w:cs="仿宋"/>
          <w:color w:val="auto"/>
          <w:highlight w:val="none"/>
        </w:rPr>
      </w:pPr>
      <w:bookmarkStart w:id="566" w:name="_Toc29357077"/>
      <w:bookmarkStart w:id="567" w:name="_Toc2690"/>
      <w:bookmarkStart w:id="568" w:name="_Toc15068"/>
      <w:bookmarkStart w:id="569" w:name="_Toc12047"/>
      <w:bookmarkStart w:id="570" w:name="_Toc1581"/>
      <w:bookmarkStart w:id="571" w:name="_Toc364392642"/>
      <w:bookmarkStart w:id="572" w:name="_Toc9955"/>
      <w:bookmarkStart w:id="573" w:name="_Toc25598"/>
      <w:r>
        <w:rPr>
          <w:rFonts w:hint="eastAsia" w:ascii="仿宋" w:hAnsi="仿宋" w:eastAsia="仿宋" w:cs="仿宋"/>
          <w:color w:val="auto"/>
          <w:highlight w:val="none"/>
        </w:rPr>
        <w:t>第四章</w:t>
      </w:r>
      <w:bookmarkEnd w:id="566"/>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投标文件格式</w:t>
      </w:r>
      <w:bookmarkEnd w:id="567"/>
      <w:bookmarkEnd w:id="568"/>
      <w:bookmarkEnd w:id="569"/>
      <w:bookmarkEnd w:id="570"/>
      <w:bookmarkEnd w:id="571"/>
      <w:bookmarkEnd w:id="572"/>
      <w:bookmarkEnd w:id="573"/>
    </w:p>
    <w:p w14:paraId="687500F3">
      <w:pPr>
        <w:pStyle w:val="3"/>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jc w:val="center"/>
        <w:textAlignment w:val="auto"/>
        <w:outlineLvl w:val="1"/>
        <w:rPr>
          <w:rFonts w:hint="eastAsia" w:ascii="仿宋" w:hAnsi="仿宋" w:eastAsia="仿宋" w:cs="仿宋"/>
          <w:color w:val="auto"/>
          <w:sz w:val="30"/>
          <w:szCs w:val="30"/>
          <w:highlight w:val="none"/>
        </w:rPr>
      </w:pPr>
      <w:bookmarkStart w:id="574" w:name="_Toc363509121"/>
      <w:bookmarkStart w:id="575" w:name="_Toc30060"/>
      <w:bookmarkStart w:id="576" w:name="_Toc364392643"/>
      <w:bookmarkStart w:id="577" w:name="_Toc3743"/>
      <w:bookmarkStart w:id="578" w:name="_Toc17057"/>
      <w:bookmarkStart w:id="579" w:name="_Toc201"/>
      <w:bookmarkStart w:id="580" w:name="_Toc578"/>
      <w:bookmarkStart w:id="581" w:name="_Toc23239"/>
      <w:r>
        <w:rPr>
          <w:rFonts w:hint="eastAsia" w:ascii="仿宋" w:hAnsi="仿宋" w:eastAsia="仿宋" w:cs="仿宋"/>
          <w:color w:val="auto"/>
          <w:sz w:val="30"/>
          <w:szCs w:val="30"/>
          <w:highlight w:val="none"/>
        </w:rPr>
        <w:t>一、投标文件封面</w:t>
      </w:r>
      <w:bookmarkEnd w:id="574"/>
      <w:bookmarkEnd w:id="575"/>
      <w:bookmarkEnd w:id="576"/>
      <w:bookmarkEnd w:id="577"/>
      <w:bookmarkEnd w:id="578"/>
      <w:bookmarkEnd w:id="579"/>
      <w:bookmarkEnd w:id="580"/>
      <w:bookmarkEnd w:id="581"/>
    </w:p>
    <w:p w14:paraId="38803135">
      <w:pPr>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bCs/>
          <w:color w:val="auto"/>
          <w:kern w:val="0"/>
          <w:sz w:val="44"/>
          <w:szCs w:val="44"/>
          <w:highlight w:val="none"/>
          <w:lang w:eastAsia="zh-CN"/>
        </w:rPr>
      </w:pPr>
      <w:r>
        <w:rPr>
          <w:rFonts w:hint="eastAsia" w:ascii="仿宋" w:hAnsi="仿宋" w:eastAsia="仿宋" w:cs="仿宋"/>
          <w:b/>
          <w:bCs/>
          <w:color w:val="auto"/>
          <w:kern w:val="0"/>
          <w:sz w:val="44"/>
          <w:szCs w:val="44"/>
          <w:highlight w:val="none"/>
          <w:lang w:eastAsia="zh-CN"/>
        </w:rPr>
        <w:t>丽江职业技术学院教学设备更新提升项目新能源汽车“三电”技术实训中心建设项目</w:t>
      </w:r>
    </w:p>
    <w:p w14:paraId="12735D69">
      <w:pPr>
        <w:pageBreakBefore w:val="0"/>
        <w:widowControl w:val="0"/>
        <w:shd w:val="clear"/>
        <w:tabs>
          <w:tab w:val="left" w:pos="5190"/>
        </w:tabs>
        <w:kinsoku/>
        <w:wordWrap/>
        <w:overflowPunct/>
        <w:topLinePunct w:val="0"/>
        <w:autoSpaceDE/>
        <w:autoSpaceDN/>
        <w:bidi w:val="0"/>
        <w:snapToGrid/>
        <w:spacing w:beforeAutospacing="0" w:afterAutospacing="0" w:line="360" w:lineRule="auto"/>
        <w:ind w:left="0" w:leftChars="0" w:right="0" w:rightChars="0" w:firstLine="0" w:firstLineChars="0"/>
        <w:jc w:val="both"/>
        <w:textAlignment w:val="auto"/>
        <w:rPr>
          <w:rFonts w:hint="eastAsia" w:ascii="仿宋" w:hAnsi="仿宋" w:eastAsia="仿宋" w:cs="仿宋"/>
          <w:b/>
          <w:color w:val="auto"/>
          <w:sz w:val="36"/>
          <w:highlight w:val="none"/>
        </w:rPr>
      </w:pPr>
    </w:p>
    <w:p w14:paraId="42763D0D">
      <w:pPr>
        <w:pageBreakBefore w:val="0"/>
        <w:widowControl w:val="0"/>
        <w:shd w:val="clear"/>
        <w:tabs>
          <w:tab w:val="left" w:pos="5190"/>
        </w:tabs>
        <w:kinsoku/>
        <w:wordWrap/>
        <w:overflowPunct/>
        <w:topLinePunct w:val="0"/>
        <w:autoSpaceDE/>
        <w:autoSpaceDN/>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z w:val="36"/>
          <w:highlight w:val="none"/>
          <w:lang w:val="en-US" w:eastAsia="zh-CN"/>
        </w:rPr>
      </w:pPr>
    </w:p>
    <w:p w14:paraId="3A771C3A">
      <w:pPr>
        <w:pageBreakBefore w:val="0"/>
        <w:widowControl w:val="0"/>
        <w:shd w:val="clear"/>
        <w:tabs>
          <w:tab w:val="left" w:pos="5190"/>
        </w:tabs>
        <w:kinsoku/>
        <w:wordWrap/>
        <w:overflowPunct/>
        <w:topLinePunct w:val="0"/>
        <w:autoSpaceDE/>
        <w:autoSpaceDN/>
        <w:bidi w:val="0"/>
        <w:snapToGrid/>
        <w:spacing w:beforeAutospacing="0" w:afterAutospacing="0" w:line="360" w:lineRule="auto"/>
        <w:ind w:left="0" w:leftChars="0" w:right="0" w:rightChars="0" w:firstLine="0" w:firstLineChars="0"/>
        <w:jc w:val="both"/>
        <w:textAlignment w:val="auto"/>
        <w:rPr>
          <w:rFonts w:hint="eastAsia" w:ascii="仿宋" w:hAnsi="仿宋" w:eastAsia="仿宋" w:cs="仿宋"/>
          <w:b/>
          <w:color w:val="auto"/>
          <w:sz w:val="36"/>
          <w:highlight w:val="none"/>
        </w:rPr>
      </w:pPr>
    </w:p>
    <w:p w14:paraId="6F51C589">
      <w:pPr>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bCs/>
          <w:color w:val="auto"/>
          <w:kern w:val="0"/>
          <w:sz w:val="72"/>
          <w:szCs w:val="72"/>
          <w:highlight w:val="none"/>
        </w:rPr>
      </w:pPr>
      <w:r>
        <w:rPr>
          <w:rFonts w:hint="eastAsia" w:ascii="仿宋" w:hAnsi="仿宋" w:eastAsia="仿宋" w:cs="仿宋"/>
          <w:b/>
          <w:bCs/>
          <w:color w:val="auto"/>
          <w:spacing w:val="217"/>
          <w:kern w:val="0"/>
          <w:sz w:val="72"/>
          <w:szCs w:val="72"/>
          <w:highlight w:val="none"/>
        </w:rPr>
        <w:t>投标文</w:t>
      </w:r>
      <w:r>
        <w:rPr>
          <w:rFonts w:hint="eastAsia" w:ascii="仿宋" w:hAnsi="仿宋" w:eastAsia="仿宋" w:cs="仿宋"/>
          <w:b/>
          <w:bCs/>
          <w:color w:val="auto"/>
          <w:kern w:val="0"/>
          <w:sz w:val="72"/>
          <w:szCs w:val="72"/>
          <w:highlight w:val="none"/>
        </w:rPr>
        <w:t>件</w:t>
      </w:r>
    </w:p>
    <w:p w14:paraId="4F9BBB07">
      <w:pPr>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bCs/>
          <w:color w:val="auto"/>
          <w:sz w:val="36"/>
          <w:szCs w:val="36"/>
          <w:highlight w:val="none"/>
          <w:lang w:val="en-US" w:eastAsia="zh-CN"/>
        </w:rPr>
      </w:pPr>
    </w:p>
    <w:p w14:paraId="5431CBF6">
      <w:pPr>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32"/>
          <w:szCs w:val="32"/>
          <w:highlight w:val="none"/>
          <w:lang w:val="en-US" w:eastAsia="zh-CN"/>
        </w:rPr>
      </w:pPr>
      <w:bookmarkStart w:id="582" w:name="_Toc1364"/>
      <w:bookmarkStart w:id="583" w:name="_Toc18518"/>
      <w:r>
        <w:rPr>
          <w:rFonts w:hint="eastAsia" w:ascii="仿宋" w:hAnsi="仿宋" w:eastAsia="仿宋" w:cs="仿宋"/>
          <w:color w:val="auto"/>
          <w:sz w:val="32"/>
          <w:szCs w:val="32"/>
          <w:highlight w:val="none"/>
        </w:rPr>
        <w:t>项目编号：</w:t>
      </w:r>
      <w:bookmarkEnd w:id="582"/>
      <w:bookmarkEnd w:id="583"/>
      <w:r>
        <w:rPr>
          <w:rFonts w:hint="eastAsia" w:ascii="仿宋" w:hAnsi="仿宋" w:eastAsia="仿宋" w:cs="仿宋"/>
          <w:b/>
          <w:color w:val="auto"/>
          <w:sz w:val="32"/>
          <w:szCs w:val="32"/>
          <w:highlight w:val="none"/>
          <w:lang w:eastAsia="zh-CN"/>
        </w:rPr>
        <w:t>LJZC2026-G1-00307-YNLB-0104</w:t>
      </w:r>
    </w:p>
    <w:p w14:paraId="49652058">
      <w:pPr>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32"/>
          <w:szCs w:val="32"/>
          <w:highlight w:val="none"/>
        </w:rPr>
      </w:pPr>
    </w:p>
    <w:p w14:paraId="79100145">
      <w:pPr>
        <w:pageBreakBefore w:val="0"/>
        <w:widowControl w:val="0"/>
        <w:shd w:val="clear"/>
        <w:tabs>
          <w:tab w:val="left" w:pos="5190"/>
        </w:tabs>
        <w:kinsoku/>
        <w:wordWrap/>
        <w:overflowPunct/>
        <w:topLinePunct w:val="0"/>
        <w:autoSpaceDE/>
        <w:autoSpaceDN/>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32"/>
          <w:szCs w:val="32"/>
          <w:highlight w:val="none"/>
        </w:rPr>
      </w:pPr>
    </w:p>
    <w:p w14:paraId="3A40F0CB">
      <w:pPr>
        <w:pageBreakBefore w:val="0"/>
        <w:widowControl w:val="0"/>
        <w:shd w:val="clear"/>
        <w:tabs>
          <w:tab w:val="left" w:pos="5190"/>
        </w:tabs>
        <w:kinsoku/>
        <w:wordWrap/>
        <w:overflowPunct/>
        <w:topLinePunct w:val="0"/>
        <w:autoSpaceDE/>
        <w:autoSpaceDN/>
        <w:bidi w:val="0"/>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32"/>
          <w:szCs w:val="32"/>
          <w:highlight w:val="none"/>
        </w:rPr>
      </w:pPr>
    </w:p>
    <w:p w14:paraId="6F7C0AB0">
      <w:pPr>
        <w:pageBreakBefore w:val="0"/>
        <w:widowControl w:val="0"/>
        <w:shd w:val="clear"/>
        <w:tabs>
          <w:tab w:val="left" w:pos="5190"/>
        </w:tabs>
        <w:kinsoku/>
        <w:wordWrap/>
        <w:overflowPunct/>
        <w:topLinePunct w:val="0"/>
        <w:autoSpaceDE/>
        <w:autoSpaceDN/>
        <w:bidi w:val="0"/>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32"/>
          <w:szCs w:val="32"/>
          <w:highlight w:val="none"/>
        </w:rPr>
      </w:pPr>
    </w:p>
    <w:p w14:paraId="1E20A145">
      <w:pPr>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32"/>
          <w:szCs w:val="32"/>
          <w:highlight w:val="none"/>
          <w:u w:val="single"/>
          <w:lang w:val="en-US" w:eastAsia="zh-CN"/>
        </w:rPr>
      </w:pPr>
      <w:bookmarkStart w:id="584" w:name="_Toc14512"/>
      <w:bookmarkStart w:id="585" w:name="_Toc7928"/>
      <w:r>
        <w:rPr>
          <w:rFonts w:hint="eastAsia" w:ascii="仿宋" w:hAnsi="仿宋" w:eastAsia="仿宋" w:cs="仿宋"/>
          <w:color w:val="auto"/>
          <w:sz w:val="32"/>
          <w:szCs w:val="32"/>
          <w:highlight w:val="none"/>
        </w:rPr>
        <w:t>投标人（电子公章）：</w:t>
      </w:r>
      <w:bookmarkEnd w:id="584"/>
      <w:bookmarkEnd w:id="585"/>
      <w:r>
        <w:rPr>
          <w:rFonts w:hint="eastAsia" w:ascii="仿宋" w:hAnsi="仿宋" w:eastAsia="仿宋" w:cs="仿宋"/>
          <w:color w:val="auto"/>
          <w:sz w:val="32"/>
          <w:szCs w:val="32"/>
          <w:highlight w:val="none"/>
          <w:u w:val="single"/>
          <w:lang w:val="en-US" w:eastAsia="zh-CN"/>
        </w:rPr>
        <w:t xml:space="preserve">                      </w:t>
      </w:r>
    </w:p>
    <w:p w14:paraId="04AB123E">
      <w:pPr>
        <w:pageBreakBefore w:val="0"/>
        <w:widowControl w:val="0"/>
        <w:shd w:val="clear"/>
        <w:tabs>
          <w:tab w:val="left" w:pos="5190"/>
        </w:tabs>
        <w:kinsoku/>
        <w:wordWrap/>
        <w:overflowPunct/>
        <w:topLinePunct w:val="0"/>
        <w:autoSpaceDE/>
        <w:autoSpaceDN/>
        <w:bidi w:val="0"/>
        <w:snapToGrid/>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32"/>
          <w:szCs w:val="32"/>
          <w:highlight w:val="none"/>
          <w:u w:val="single"/>
          <w:lang w:val="en-US" w:eastAsia="zh-CN"/>
        </w:rPr>
      </w:pPr>
      <w:bookmarkStart w:id="586" w:name="_Toc4400"/>
      <w:bookmarkStart w:id="587" w:name="_Toc19495"/>
      <w:r>
        <w:rPr>
          <w:rFonts w:hint="eastAsia" w:ascii="仿宋" w:hAnsi="仿宋" w:eastAsia="仿宋" w:cs="仿宋"/>
          <w:color w:val="auto"/>
          <w:sz w:val="32"/>
          <w:szCs w:val="32"/>
          <w:highlight w:val="none"/>
        </w:rPr>
        <w:t>法定代表人或委托代理人（</w:t>
      </w:r>
      <w:r>
        <w:rPr>
          <w:rFonts w:hint="eastAsia" w:ascii="仿宋" w:hAnsi="仿宋" w:eastAsia="仿宋" w:cs="仿宋"/>
          <w:color w:val="auto"/>
          <w:sz w:val="32"/>
          <w:szCs w:val="32"/>
          <w:highlight w:val="none"/>
          <w:lang w:eastAsia="zh-CN"/>
        </w:rPr>
        <w:t>电子签章</w:t>
      </w:r>
      <w:r>
        <w:rPr>
          <w:rFonts w:hint="eastAsia" w:ascii="仿宋" w:hAnsi="仿宋" w:eastAsia="仿宋" w:cs="仿宋"/>
          <w:color w:val="auto"/>
          <w:sz w:val="32"/>
          <w:szCs w:val="32"/>
          <w:highlight w:val="none"/>
        </w:rPr>
        <w:t>）：</w:t>
      </w:r>
      <w:bookmarkEnd w:id="586"/>
      <w:bookmarkEnd w:id="587"/>
      <w:r>
        <w:rPr>
          <w:rFonts w:hint="eastAsia" w:ascii="仿宋" w:hAnsi="仿宋" w:eastAsia="仿宋" w:cs="仿宋"/>
          <w:color w:val="auto"/>
          <w:sz w:val="32"/>
          <w:szCs w:val="32"/>
          <w:highlight w:val="none"/>
          <w:u w:val="single"/>
          <w:lang w:val="en-US" w:eastAsia="zh-CN"/>
        </w:rPr>
        <w:t xml:space="preserve">       </w:t>
      </w:r>
    </w:p>
    <w:p w14:paraId="1F68DB6D">
      <w:pPr>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32"/>
          <w:szCs w:val="32"/>
          <w:highlight w:val="none"/>
          <w:u w:val="single"/>
          <w:lang w:val="en-US" w:eastAsia="zh-CN"/>
        </w:rPr>
      </w:pPr>
      <w:bookmarkStart w:id="588" w:name="_Toc5064"/>
      <w:bookmarkStart w:id="589" w:name="_Toc16680"/>
      <w:r>
        <w:rPr>
          <w:rFonts w:hint="eastAsia" w:ascii="仿宋" w:hAnsi="仿宋" w:eastAsia="仿宋" w:cs="仿宋"/>
          <w:color w:val="auto"/>
          <w:sz w:val="32"/>
          <w:szCs w:val="32"/>
          <w:highlight w:val="none"/>
        </w:rPr>
        <w:t>日期：</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bookmarkEnd w:id="588"/>
      <w:bookmarkEnd w:id="589"/>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none"/>
          <w:lang w:val="en-US" w:eastAsia="zh-CN"/>
        </w:rPr>
        <w:t>日</w:t>
      </w:r>
    </w:p>
    <w:p w14:paraId="6147CD04">
      <w:pPr>
        <w:pageBreakBefore w:val="0"/>
        <w:widowControl w:val="0"/>
        <w:kinsoku/>
        <w:wordWrap/>
        <w:overflowPunct/>
        <w:topLinePunct w:val="0"/>
        <w:autoSpaceDE/>
        <w:autoSpaceDN/>
        <w:bidi w:val="0"/>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30"/>
          <w:szCs w:val="30"/>
          <w:highlight w:val="none"/>
        </w:rPr>
      </w:pPr>
      <w:bookmarkStart w:id="590" w:name="_Toc26634"/>
      <w:bookmarkStart w:id="591" w:name="_Toc27365"/>
      <w:bookmarkStart w:id="592" w:name="_Toc4422"/>
      <w:bookmarkStart w:id="593" w:name="_Toc391301871"/>
      <w:bookmarkStart w:id="594" w:name="_Toc13968"/>
      <w:bookmarkStart w:id="595" w:name="_Toc406162617"/>
      <w:bookmarkStart w:id="596" w:name="_Toc383636412"/>
      <w:r>
        <w:rPr>
          <w:rFonts w:hint="eastAsia" w:ascii="仿宋" w:hAnsi="仿宋" w:eastAsia="仿宋" w:cs="仿宋"/>
          <w:color w:val="auto"/>
          <w:sz w:val="30"/>
          <w:szCs w:val="30"/>
          <w:highlight w:val="none"/>
        </w:rPr>
        <w:br w:type="page"/>
      </w:r>
    </w:p>
    <w:p w14:paraId="7657DE68">
      <w:pPr>
        <w:pStyle w:val="3"/>
        <w:pageBreakBefore w:val="0"/>
        <w:shd w:val="clear"/>
        <w:topLinePunct w:val="0"/>
        <w:bidi w:val="0"/>
        <w:spacing w:beforeAutospacing="0" w:afterAutospacing="0" w:line="360" w:lineRule="auto"/>
        <w:ind w:left="0" w:leftChars="0" w:right="0" w:rightChars="0" w:firstLine="600" w:firstLineChars="200"/>
        <w:jc w:val="center"/>
        <w:outlineLvl w:val="1"/>
        <w:rPr>
          <w:rFonts w:hint="eastAsia" w:ascii="仿宋" w:hAnsi="仿宋" w:eastAsia="仿宋" w:cs="仿宋"/>
          <w:color w:val="auto"/>
          <w:sz w:val="30"/>
          <w:szCs w:val="30"/>
          <w:highlight w:val="none"/>
        </w:rPr>
      </w:pPr>
      <w:bookmarkStart w:id="597" w:name="_Toc31701"/>
      <w:bookmarkStart w:id="598" w:name="_Toc28195"/>
      <w:r>
        <w:rPr>
          <w:rFonts w:hint="eastAsia" w:ascii="仿宋" w:hAnsi="仿宋" w:eastAsia="仿宋" w:cs="仿宋"/>
          <w:color w:val="auto"/>
          <w:sz w:val="30"/>
          <w:szCs w:val="30"/>
          <w:highlight w:val="none"/>
        </w:rPr>
        <w:t>二、开标一览表</w:t>
      </w:r>
      <w:bookmarkEnd w:id="590"/>
      <w:bookmarkEnd w:id="591"/>
      <w:bookmarkEnd w:id="592"/>
      <w:bookmarkEnd w:id="593"/>
      <w:bookmarkEnd w:id="594"/>
      <w:bookmarkEnd w:id="595"/>
      <w:bookmarkEnd w:id="596"/>
      <w:bookmarkEnd w:id="597"/>
      <w:bookmarkEnd w:id="598"/>
    </w:p>
    <w:p w14:paraId="74362D56">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lang w:eastAsia="zh-CN"/>
        </w:rPr>
      </w:pPr>
      <w:bookmarkStart w:id="599" w:name="_Toc469987739"/>
      <w:bookmarkStart w:id="600" w:name="_Toc469987153"/>
      <w:bookmarkStart w:id="601" w:name="_Toc406162643"/>
      <w:bookmarkStart w:id="602" w:name="_Toc383636441"/>
      <w:bookmarkStart w:id="603" w:name="_Toc391301900"/>
      <w:bookmarkStart w:id="604" w:name="_Toc38173201"/>
      <w:bookmarkStart w:id="605" w:name="_Toc482189277"/>
      <w:bookmarkStart w:id="606" w:name="_Toc231871465"/>
      <w:bookmarkStart w:id="607" w:name="_Toc327881157"/>
      <w:bookmarkStart w:id="608" w:name="_Toc364392656"/>
      <w:bookmarkStart w:id="609" w:name="_Toc364392659"/>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丽江职业技术学院教学设备更新提升项目新能源汽车“三电”技术实训中心建设项目</w:t>
      </w:r>
    </w:p>
    <w:p w14:paraId="24BE9A74">
      <w:pPr>
        <w:pageBreakBefore w:val="0"/>
        <w:shd w:val="clear"/>
        <w:topLinePunct w:val="0"/>
        <w:bidi w:val="0"/>
        <w:spacing w:beforeAutospacing="0" w:afterAutospacing="0" w:line="360" w:lineRule="auto"/>
        <w:ind w:left="0" w:leftChars="0" w:right="0" w:rightChars="0" w:firstLine="52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lang w:eastAsia="zh-CN"/>
        </w:rPr>
        <w:t>LJZC2026-G1-00307-YNLB-0104</w:t>
      </w:r>
    </w:p>
    <w:tbl>
      <w:tblPr>
        <w:tblStyle w:val="28"/>
        <w:tblW w:w="9376" w:type="dxa"/>
        <w:jc w:val="center"/>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2678"/>
        <w:gridCol w:w="6698"/>
      </w:tblGrid>
      <w:tr w14:paraId="44774BCD">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678" w:type="dxa"/>
            <w:vAlign w:val="center"/>
          </w:tcPr>
          <w:p w14:paraId="4B4658FE">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w:t>
            </w:r>
          </w:p>
        </w:tc>
        <w:tc>
          <w:tcPr>
            <w:tcW w:w="6698" w:type="dxa"/>
            <w:vAlign w:val="center"/>
          </w:tcPr>
          <w:p w14:paraId="569FF093">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p>
        </w:tc>
      </w:tr>
      <w:tr w14:paraId="10B03FB6">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678" w:type="dxa"/>
            <w:vAlign w:val="center"/>
          </w:tcPr>
          <w:p w14:paraId="2D95F8A1">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总</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rPr>
              <w:t>）</w:t>
            </w:r>
          </w:p>
        </w:tc>
        <w:tc>
          <w:tcPr>
            <w:tcW w:w="6698" w:type="dxa"/>
            <w:vAlign w:val="center"/>
          </w:tcPr>
          <w:p w14:paraId="664A1281">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小写：</w:t>
            </w:r>
          </w:p>
          <w:p w14:paraId="6C8BEAE6">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大写：</w:t>
            </w:r>
          </w:p>
        </w:tc>
      </w:tr>
      <w:tr w14:paraId="5C292406">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678" w:type="dxa"/>
            <w:vAlign w:val="center"/>
          </w:tcPr>
          <w:p w14:paraId="58BDC237">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合同履行期限</w:t>
            </w:r>
          </w:p>
        </w:tc>
        <w:tc>
          <w:tcPr>
            <w:tcW w:w="6698" w:type="dxa"/>
            <w:vAlign w:val="center"/>
          </w:tcPr>
          <w:p w14:paraId="1DABF8B9">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textAlignment w:val="auto"/>
              <w:rPr>
                <w:rFonts w:hint="eastAsia" w:ascii="仿宋" w:hAnsi="仿宋" w:eastAsia="仿宋" w:cs="仿宋"/>
                <w:color w:val="auto"/>
                <w:sz w:val="24"/>
                <w:szCs w:val="24"/>
                <w:highlight w:val="none"/>
                <w:lang w:val="en-US" w:eastAsia="zh-CN"/>
              </w:rPr>
            </w:pPr>
          </w:p>
        </w:tc>
      </w:tr>
      <w:tr w14:paraId="04779154">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678" w:type="dxa"/>
            <w:vAlign w:val="center"/>
          </w:tcPr>
          <w:p w14:paraId="18BF4AD1">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交货期限</w:t>
            </w:r>
          </w:p>
        </w:tc>
        <w:tc>
          <w:tcPr>
            <w:tcW w:w="6698" w:type="dxa"/>
            <w:vAlign w:val="center"/>
          </w:tcPr>
          <w:p w14:paraId="10933611">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szCs w:val="24"/>
                <w:highlight w:val="none"/>
                <w:lang w:val="en-US" w:eastAsia="zh-CN"/>
              </w:rPr>
            </w:pPr>
          </w:p>
        </w:tc>
      </w:tr>
      <w:tr w14:paraId="56617E86">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678" w:type="dxa"/>
            <w:vAlign w:val="center"/>
          </w:tcPr>
          <w:p w14:paraId="34963225">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质保期</w:t>
            </w:r>
          </w:p>
        </w:tc>
        <w:tc>
          <w:tcPr>
            <w:tcW w:w="6698" w:type="dxa"/>
            <w:vAlign w:val="center"/>
          </w:tcPr>
          <w:p w14:paraId="19DB744B">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r>
      <w:tr w14:paraId="31C3D198">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678" w:type="dxa"/>
            <w:vAlign w:val="center"/>
          </w:tcPr>
          <w:p w14:paraId="488F12E2">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交货地点</w:t>
            </w:r>
          </w:p>
        </w:tc>
        <w:tc>
          <w:tcPr>
            <w:tcW w:w="6698" w:type="dxa"/>
            <w:vAlign w:val="center"/>
          </w:tcPr>
          <w:p w14:paraId="500ECCCB">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r>
    </w:tbl>
    <w:p w14:paraId="274AB6A7">
      <w:pPr>
        <w:pStyle w:val="15"/>
        <w:keepNext w:val="0"/>
        <w:keepLines w:val="0"/>
        <w:pageBreakBefore w:val="0"/>
        <w:widowControl/>
        <w:shd w:val="clear"/>
        <w:kinsoku/>
        <w:wordWrap/>
        <w:overflowPunct/>
        <w:topLinePunct w:val="0"/>
        <w:autoSpaceDE/>
        <w:autoSpaceDN/>
        <w:bidi w:val="0"/>
        <w:adjustRightInd/>
        <w:snapToGrid/>
        <w:spacing w:beforeAutospacing="0" w:afterAutospacing="0" w:line="360" w:lineRule="auto"/>
        <w:ind w:left="0" w:leftChars="0" w:right="0" w:rightChars="0"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特别注意：</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1</w:t>
      </w:r>
      <w:r>
        <w:rPr>
          <w:rFonts w:hint="eastAsia" w:ascii="仿宋" w:hAnsi="仿宋" w:eastAsia="仿宋" w:cs="仿宋"/>
          <w:b/>
          <w:bCs/>
          <w:color w:val="auto"/>
          <w:sz w:val="21"/>
          <w:szCs w:val="21"/>
          <w:highlight w:val="none"/>
        </w:rPr>
        <w:t>&gt;投标人可根据自身投标情况，按规定表格填报、不得漏报。</w:t>
      </w:r>
    </w:p>
    <w:p w14:paraId="0AAFE8CF">
      <w:pPr>
        <w:pStyle w:val="15"/>
        <w:keepNext w:val="0"/>
        <w:keepLines w:val="0"/>
        <w:pageBreakBefore w:val="0"/>
        <w:widowControl/>
        <w:shd w:val="clear"/>
        <w:kinsoku/>
        <w:wordWrap/>
        <w:overflowPunct/>
        <w:topLinePunct w:val="0"/>
        <w:autoSpaceDE/>
        <w:autoSpaceDN/>
        <w:bidi w:val="0"/>
        <w:adjustRightInd/>
        <w:snapToGrid/>
        <w:spacing w:beforeAutospacing="0" w:afterAutospacing="0" w:line="360" w:lineRule="auto"/>
        <w:ind w:left="0" w:leftChars="0" w:right="0" w:rightChars="0" w:firstLine="42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&gt;</w:t>
      </w:r>
      <w:r>
        <w:rPr>
          <w:rFonts w:hint="eastAsia" w:ascii="仿宋" w:hAnsi="仿宋" w:eastAsia="仿宋" w:cs="仿宋"/>
          <w:b/>
          <w:bCs/>
          <w:color w:val="auto"/>
          <w:sz w:val="21"/>
          <w:szCs w:val="21"/>
          <w:highlight w:val="none"/>
          <w:lang w:val="en-US" w:eastAsia="zh-CN"/>
        </w:rPr>
        <w:t>开标</w:t>
      </w:r>
      <w:r>
        <w:rPr>
          <w:rFonts w:hint="eastAsia" w:ascii="仿宋" w:hAnsi="仿宋" w:eastAsia="仿宋" w:cs="仿宋"/>
          <w:b/>
          <w:bCs/>
          <w:color w:val="auto"/>
          <w:sz w:val="21"/>
          <w:szCs w:val="21"/>
          <w:highlight w:val="none"/>
        </w:rPr>
        <w:t>一览表内容应与投标文件内容相一致，当两者不相符时，以《</w:t>
      </w:r>
      <w:r>
        <w:rPr>
          <w:rFonts w:hint="eastAsia" w:ascii="仿宋" w:hAnsi="仿宋" w:eastAsia="仿宋" w:cs="仿宋"/>
          <w:b/>
          <w:bCs/>
          <w:color w:val="auto"/>
          <w:sz w:val="21"/>
          <w:szCs w:val="21"/>
          <w:highlight w:val="none"/>
          <w:lang w:val="en-US" w:eastAsia="zh-CN"/>
        </w:rPr>
        <w:t>开标</w:t>
      </w:r>
      <w:r>
        <w:rPr>
          <w:rFonts w:hint="eastAsia" w:ascii="仿宋" w:hAnsi="仿宋" w:eastAsia="仿宋" w:cs="仿宋"/>
          <w:b/>
          <w:bCs/>
          <w:color w:val="auto"/>
          <w:sz w:val="21"/>
          <w:szCs w:val="21"/>
          <w:highlight w:val="none"/>
        </w:rPr>
        <w:t>一览表》为准。</w:t>
      </w:r>
    </w:p>
    <w:p w14:paraId="39A5F016">
      <w:pPr>
        <w:keepNext w:val="0"/>
        <w:keepLines w:val="0"/>
        <w:pageBreakBefore w:val="0"/>
        <w:widowControl/>
        <w:shd w:val="clear"/>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仿宋" w:hAnsi="仿宋" w:eastAsia="仿宋" w:cs="仿宋"/>
          <w:color w:val="auto"/>
          <w:highlight w:val="none"/>
        </w:rPr>
      </w:pPr>
    </w:p>
    <w:p w14:paraId="347BFC36">
      <w:pPr>
        <w:pStyle w:val="15"/>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sectPr>
          <w:footerReference r:id="rId6" w:type="default"/>
          <w:pgSz w:w="11906" w:h="16838"/>
          <w:pgMar w:top="1134" w:right="1247" w:bottom="1134" w:left="1247" w:header="567" w:footer="567" w:gutter="0"/>
          <w:pgNumType w:start="1"/>
          <w:cols w:space="0" w:num="1"/>
          <w:rtlGutter w:val="0"/>
          <w:docGrid w:linePitch="312" w:charSpace="0"/>
        </w:sectPr>
      </w:pPr>
    </w:p>
    <w:p w14:paraId="1ABF1B80">
      <w:pPr>
        <w:pStyle w:val="15"/>
        <w:pageBreakBefore w:val="0"/>
        <w:shd w:val="clear"/>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p>
    <w:p w14:paraId="58948D5E">
      <w:pPr>
        <w:pStyle w:val="3"/>
        <w:pageBreakBefore w:val="0"/>
        <w:shd w:val="clear"/>
        <w:topLinePunct w:val="0"/>
        <w:bidi w:val="0"/>
        <w:spacing w:beforeAutospacing="0" w:afterAutospacing="0" w:line="360" w:lineRule="auto"/>
        <w:ind w:left="0" w:leftChars="0" w:right="0" w:rightChars="0" w:firstLine="600" w:firstLineChars="200"/>
        <w:jc w:val="center"/>
        <w:outlineLvl w:val="1"/>
        <w:rPr>
          <w:rFonts w:hint="eastAsia" w:ascii="仿宋" w:hAnsi="仿宋" w:eastAsia="仿宋" w:cs="仿宋"/>
          <w:color w:val="auto"/>
          <w:sz w:val="30"/>
          <w:szCs w:val="30"/>
          <w:highlight w:val="none"/>
        </w:rPr>
      </w:pPr>
      <w:bookmarkStart w:id="610" w:name="_Toc22069"/>
      <w:bookmarkStart w:id="611" w:name="_Toc391301872"/>
      <w:bookmarkStart w:id="612" w:name="_Toc527634722"/>
      <w:bookmarkStart w:id="613" w:name="_Toc383636413"/>
      <w:bookmarkStart w:id="614" w:name="_Toc406162618"/>
      <w:bookmarkStart w:id="615" w:name="_Toc4613"/>
      <w:bookmarkStart w:id="616" w:name="_Toc9661"/>
      <w:r>
        <w:rPr>
          <w:rFonts w:hint="eastAsia" w:ascii="仿宋" w:hAnsi="仿宋" w:eastAsia="仿宋" w:cs="仿宋"/>
          <w:color w:val="auto"/>
          <w:sz w:val="30"/>
          <w:szCs w:val="30"/>
          <w:highlight w:val="none"/>
          <w:lang w:val="en-US" w:eastAsia="zh-CN"/>
        </w:rPr>
        <w:t>三</w:t>
      </w:r>
      <w:r>
        <w:rPr>
          <w:rFonts w:hint="eastAsia" w:ascii="仿宋" w:hAnsi="仿宋" w:eastAsia="仿宋" w:cs="仿宋"/>
          <w:color w:val="auto"/>
          <w:sz w:val="30"/>
          <w:szCs w:val="30"/>
          <w:highlight w:val="none"/>
        </w:rPr>
        <w:t>、资格审查文件部分</w:t>
      </w:r>
      <w:bookmarkEnd w:id="610"/>
      <w:bookmarkEnd w:id="611"/>
      <w:bookmarkEnd w:id="612"/>
      <w:bookmarkEnd w:id="613"/>
      <w:bookmarkEnd w:id="614"/>
      <w:bookmarkEnd w:id="615"/>
      <w:bookmarkEnd w:id="616"/>
    </w:p>
    <w:p w14:paraId="5881D268">
      <w:pPr>
        <w:pStyle w:val="11"/>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highlight w:val="none"/>
        </w:rPr>
      </w:pPr>
    </w:p>
    <w:p w14:paraId="20E6A313">
      <w:pPr>
        <w:keepNext/>
        <w:keepLines/>
        <w:pageBreakBefore w:val="0"/>
        <w:shd w:val="clear"/>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格式</w:t>
      </w:r>
      <w:r>
        <w:rPr>
          <w:rFonts w:hint="eastAsia" w:ascii="仿宋" w:hAnsi="仿宋" w:eastAsia="仿宋" w:cs="仿宋"/>
          <w:b/>
          <w:color w:val="auto"/>
          <w:kern w:val="0"/>
          <w:sz w:val="24"/>
          <w:szCs w:val="24"/>
          <w:highlight w:val="none"/>
          <w:lang w:val="en-US" w:eastAsia="zh-CN"/>
        </w:rPr>
        <w:t>1</w:t>
      </w:r>
      <w:r>
        <w:rPr>
          <w:rFonts w:hint="eastAsia" w:ascii="仿宋" w:hAnsi="仿宋" w:eastAsia="仿宋" w:cs="仿宋"/>
          <w:b/>
          <w:color w:val="auto"/>
          <w:kern w:val="0"/>
          <w:sz w:val="24"/>
          <w:szCs w:val="24"/>
          <w:highlight w:val="none"/>
        </w:rPr>
        <w:t>、具有独立承担民事责任的能力</w:t>
      </w:r>
    </w:p>
    <w:p w14:paraId="6CDA2107">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①若</w:t>
      </w: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为企业法人：</w:t>
      </w:r>
      <w:r>
        <w:rPr>
          <w:rFonts w:hint="eastAsia" w:ascii="仿宋" w:hAnsi="仿宋" w:eastAsia="仿宋" w:cs="仿宋"/>
          <w:color w:val="auto"/>
          <w:sz w:val="24"/>
          <w:highlight w:val="none"/>
          <w:lang w:val="en-US" w:eastAsia="zh-CN"/>
        </w:rPr>
        <w:t>则</w:t>
      </w:r>
      <w:r>
        <w:rPr>
          <w:rFonts w:hint="eastAsia" w:ascii="仿宋" w:hAnsi="仿宋" w:eastAsia="仿宋" w:cs="仿宋"/>
          <w:color w:val="auto"/>
          <w:sz w:val="24"/>
          <w:highlight w:val="none"/>
        </w:rPr>
        <w:t>提供“营业执照”；②若</w:t>
      </w: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为事业法人：</w:t>
      </w:r>
      <w:r>
        <w:rPr>
          <w:rFonts w:hint="eastAsia" w:ascii="仿宋" w:hAnsi="仿宋" w:eastAsia="仿宋" w:cs="仿宋"/>
          <w:color w:val="auto"/>
          <w:sz w:val="24"/>
          <w:highlight w:val="none"/>
          <w:lang w:val="en-US" w:eastAsia="zh-CN"/>
        </w:rPr>
        <w:t>则</w:t>
      </w:r>
      <w:r>
        <w:rPr>
          <w:rFonts w:hint="eastAsia" w:ascii="仿宋" w:hAnsi="仿宋" w:eastAsia="仿宋" w:cs="仿宋"/>
          <w:color w:val="auto"/>
          <w:sz w:val="24"/>
          <w:highlight w:val="none"/>
        </w:rPr>
        <w:t>提供“事业单位法人证书或统一社会信用代码证书”；③若</w:t>
      </w: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为其他组织：</w:t>
      </w:r>
      <w:r>
        <w:rPr>
          <w:rFonts w:hint="eastAsia" w:ascii="仿宋" w:hAnsi="仿宋" w:eastAsia="仿宋" w:cs="仿宋"/>
          <w:color w:val="auto"/>
          <w:sz w:val="24"/>
          <w:highlight w:val="none"/>
          <w:lang w:val="en-US" w:eastAsia="zh-CN"/>
        </w:rPr>
        <w:t>则</w:t>
      </w:r>
      <w:r>
        <w:rPr>
          <w:rFonts w:hint="eastAsia" w:ascii="仿宋" w:hAnsi="仿宋" w:eastAsia="仿宋" w:cs="仿宋"/>
          <w:color w:val="auto"/>
          <w:sz w:val="24"/>
          <w:highlight w:val="none"/>
        </w:rPr>
        <w:t>提供“对应主管部门颁发的准许执业证明文件或营业执照”；④若</w:t>
      </w: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为自然人：</w:t>
      </w:r>
      <w:r>
        <w:rPr>
          <w:rFonts w:hint="eastAsia" w:ascii="仿宋" w:hAnsi="仿宋" w:eastAsia="仿宋" w:cs="仿宋"/>
          <w:color w:val="auto"/>
          <w:sz w:val="24"/>
          <w:highlight w:val="none"/>
          <w:lang w:val="en-US" w:eastAsia="zh-CN"/>
        </w:rPr>
        <w:t>则</w:t>
      </w:r>
      <w:r>
        <w:rPr>
          <w:rFonts w:hint="eastAsia" w:ascii="仿宋" w:hAnsi="仿宋" w:eastAsia="仿宋" w:cs="仿宋"/>
          <w:color w:val="auto"/>
          <w:sz w:val="24"/>
          <w:highlight w:val="none"/>
        </w:rPr>
        <w:t>提供“身份证明材料”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注：上述材料需提供扫描件</w:t>
      </w:r>
      <w:r>
        <w:rPr>
          <w:rFonts w:hint="eastAsia" w:ascii="仿宋" w:hAnsi="仿宋" w:eastAsia="仿宋" w:cs="仿宋"/>
          <w:color w:val="auto"/>
          <w:sz w:val="24"/>
          <w:highlight w:val="none"/>
          <w:lang w:eastAsia="zh-CN"/>
        </w:rPr>
        <w:t>）</w:t>
      </w:r>
    </w:p>
    <w:p w14:paraId="7B828E0A">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rPr>
      </w:pPr>
    </w:p>
    <w:p w14:paraId="2D4BA297">
      <w:pPr>
        <w:keepNext/>
        <w:keepLines/>
        <w:pageBreakBefore w:val="0"/>
        <w:shd w:val="clear"/>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格式2</w:t>
      </w:r>
      <w:r>
        <w:rPr>
          <w:rFonts w:hint="eastAsia" w:ascii="仿宋" w:hAnsi="仿宋" w:eastAsia="仿宋" w:cs="仿宋"/>
          <w:b/>
          <w:color w:val="auto"/>
          <w:kern w:val="0"/>
          <w:sz w:val="24"/>
          <w:szCs w:val="24"/>
          <w:highlight w:val="none"/>
          <w:lang w:eastAsia="zh-CN"/>
        </w:rPr>
        <w:t>、具</w:t>
      </w:r>
      <w:r>
        <w:rPr>
          <w:rFonts w:hint="eastAsia" w:ascii="仿宋" w:hAnsi="仿宋" w:eastAsia="仿宋" w:cs="仿宋"/>
          <w:b/>
          <w:color w:val="auto"/>
          <w:kern w:val="0"/>
          <w:sz w:val="24"/>
          <w:szCs w:val="24"/>
          <w:highlight w:val="none"/>
        </w:rPr>
        <w:t>有良好的商业信誉和健全的财务会计制度</w:t>
      </w:r>
    </w:p>
    <w:p w14:paraId="54F54F1E">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lang w:eastAsia="zh-CN"/>
        </w:rPr>
        <w:t>①提供2022年（含2022年）至今任意一年度经审计的财务会计报告及</w:t>
      </w:r>
      <w:r>
        <w:rPr>
          <w:rFonts w:hint="eastAsia" w:ascii="仿宋" w:hAnsi="仿宋" w:eastAsia="仿宋" w:cs="仿宋"/>
          <w:color w:val="auto"/>
          <w:sz w:val="24"/>
          <w:highlight w:val="none"/>
        </w:rPr>
        <w:t>财务报表（</w:t>
      </w:r>
      <w:r>
        <w:rPr>
          <w:rFonts w:hint="eastAsia" w:ascii="仿宋" w:hAnsi="仿宋" w:eastAsia="仿宋" w:cs="仿宋"/>
          <w:color w:val="auto"/>
          <w:sz w:val="24"/>
          <w:highlight w:val="none"/>
          <w:lang w:val="en-US" w:eastAsia="zh-CN"/>
        </w:rPr>
        <w:t>至少</w:t>
      </w:r>
      <w:r>
        <w:rPr>
          <w:rFonts w:hint="eastAsia" w:ascii="仿宋" w:hAnsi="仿宋" w:eastAsia="仿宋" w:cs="仿宋"/>
          <w:color w:val="auto"/>
          <w:sz w:val="24"/>
          <w:highlight w:val="none"/>
        </w:rPr>
        <w:t>包括资产负债表、利润表、现金流量表）</w:t>
      </w:r>
      <w:r>
        <w:rPr>
          <w:rFonts w:hint="eastAsia" w:ascii="仿宋" w:hAnsi="仿宋" w:eastAsia="仿宋" w:cs="仿宋"/>
          <w:color w:val="auto"/>
          <w:sz w:val="24"/>
          <w:szCs w:val="22"/>
          <w:highlight w:val="none"/>
          <w:lang w:eastAsia="zh-CN"/>
        </w:rPr>
        <w:t>，成立不满1年的，提供自成立至今的财务报表（包括资产负债表、利润表、现金流量表）（</w:t>
      </w:r>
      <w:r>
        <w:rPr>
          <w:rFonts w:hint="eastAsia" w:ascii="仿宋" w:hAnsi="仿宋" w:eastAsia="仿宋" w:cs="仿宋"/>
          <w:color w:val="auto"/>
          <w:sz w:val="24"/>
          <w:szCs w:val="22"/>
          <w:highlight w:val="none"/>
          <w:lang w:val="en-US" w:eastAsia="zh-CN"/>
        </w:rPr>
        <w:t>若</w:t>
      </w:r>
      <w:r>
        <w:rPr>
          <w:rFonts w:hint="eastAsia" w:ascii="仿宋" w:hAnsi="仿宋" w:eastAsia="仿宋" w:cs="仿宋"/>
          <w:color w:val="auto"/>
          <w:sz w:val="24"/>
          <w:highlight w:val="none"/>
        </w:rPr>
        <w:t>投标人为自然人的</w:t>
      </w:r>
      <w:r>
        <w:rPr>
          <w:rFonts w:hint="eastAsia" w:ascii="仿宋" w:hAnsi="仿宋" w:eastAsia="仿宋" w:cs="仿宋"/>
          <w:color w:val="auto"/>
          <w:sz w:val="24"/>
          <w:highlight w:val="none"/>
          <w:lang w:val="en-US" w:eastAsia="zh-CN"/>
        </w:rPr>
        <w:t>也可</w:t>
      </w:r>
      <w:r>
        <w:rPr>
          <w:rFonts w:hint="eastAsia" w:ascii="仿宋" w:hAnsi="仿宋" w:eastAsia="仿宋" w:cs="仿宋"/>
          <w:color w:val="auto"/>
          <w:sz w:val="24"/>
          <w:highlight w:val="none"/>
        </w:rPr>
        <w:t>提供承诺函</w:t>
      </w:r>
      <w:r>
        <w:rPr>
          <w:rFonts w:hint="eastAsia" w:ascii="仿宋" w:hAnsi="仿宋" w:eastAsia="仿宋" w:cs="仿宋"/>
          <w:color w:val="auto"/>
          <w:sz w:val="24"/>
          <w:szCs w:val="22"/>
          <w:highlight w:val="none"/>
          <w:lang w:val="en-US" w:eastAsia="zh-CN"/>
        </w:rPr>
        <w:t>，若为</w:t>
      </w:r>
      <w:r>
        <w:rPr>
          <w:rFonts w:hint="eastAsia" w:ascii="仿宋" w:hAnsi="仿宋" w:eastAsia="仿宋" w:cs="仿宋"/>
          <w:color w:val="auto"/>
          <w:sz w:val="24"/>
          <w:highlight w:val="none"/>
        </w:rPr>
        <w:t>非营利性单位或者社会团体或者其他机关事业单位</w:t>
      </w:r>
      <w:r>
        <w:rPr>
          <w:rFonts w:hint="eastAsia" w:ascii="仿宋" w:hAnsi="仿宋" w:eastAsia="仿宋" w:cs="仿宋"/>
          <w:color w:val="auto"/>
          <w:sz w:val="24"/>
          <w:highlight w:val="none"/>
          <w:lang w:val="en-US" w:eastAsia="zh-CN"/>
        </w:rPr>
        <w:t>提供</w:t>
      </w:r>
      <w:r>
        <w:rPr>
          <w:rFonts w:hint="eastAsia" w:ascii="仿宋" w:hAnsi="仿宋" w:eastAsia="仿宋" w:cs="仿宋"/>
          <w:color w:val="auto"/>
          <w:sz w:val="24"/>
          <w:highlight w:val="none"/>
        </w:rPr>
        <w:t>符合财务</w:t>
      </w:r>
      <w:r>
        <w:rPr>
          <w:rFonts w:hint="eastAsia" w:ascii="仿宋" w:hAnsi="仿宋" w:eastAsia="仿宋" w:cs="仿宋"/>
          <w:color w:val="auto"/>
          <w:sz w:val="24"/>
          <w:highlight w:val="none"/>
          <w:lang w:eastAsia="zh-CN"/>
        </w:rPr>
        <w:t>会计制度</w:t>
      </w:r>
      <w:r>
        <w:rPr>
          <w:rFonts w:hint="eastAsia" w:ascii="仿宋" w:hAnsi="仿宋" w:eastAsia="仿宋" w:cs="仿宋"/>
          <w:color w:val="auto"/>
          <w:sz w:val="24"/>
          <w:highlight w:val="none"/>
          <w:lang w:val="en-US" w:eastAsia="zh-CN"/>
        </w:rPr>
        <w:t>要求</w:t>
      </w:r>
      <w:r>
        <w:rPr>
          <w:rFonts w:hint="eastAsia" w:ascii="仿宋" w:hAnsi="仿宋" w:eastAsia="仿宋" w:cs="仿宋"/>
          <w:color w:val="auto"/>
          <w:sz w:val="24"/>
          <w:highlight w:val="none"/>
          <w:lang w:eastAsia="zh-CN"/>
        </w:rPr>
        <w:t>的证明材料或者提供承诺函</w:t>
      </w:r>
      <w:r>
        <w:rPr>
          <w:rFonts w:hint="eastAsia" w:ascii="仿宋" w:hAnsi="仿宋" w:eastAsia="仿宋" w:cs="仿宋"/>
          <w:color w:val="auto"/>
          <w:sz w:val="24"/>
          <w:szCs w:val="22"/>
          <w:highlight w:val="none"/>
          <w:lang w:eastAsia="zh-CN"/>
        </w:rPr>
        <w:t>）；②提供在提交投标文件截止时间前六个月内银行开具的资信证明或银行存款证明或其他财务说明；③提供财政部门认可的政府采购专业担保机构对投标人进行资信审查后出具的投标担保函。（注：上述①—③项证明材料，提供任意一项即可）</w:t>
      </w:r>
    </w:p>
    <w:p w14:paraId="230A118F">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rPr>
      </w:pPr>
    </w:p>
    <w:p w14:paraId="6B564782">
      <w:pPr>
        <w:keepNext/>
        <w:keepLines/>
        <w:pageBreakBefore w:val="0"/>
        <w:shd w:val="clear"/>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格式3</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rPr>
        <w:t>具有履行合同所必需的设备和专业技术能力</w:t>
      </w:r>
    </w:p>
    <w:p w14:paraId="7AAA59F3">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（提供书面声明或证明材料）</w:t>
      </w:r>
    </w:p>
    <w:p w14:paraId="78A0531A">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rPr>
      </w:pPr>
    </w:p>
    <w:p w14:paraId="30B6FC58">
      <w:pPr>
        <w:keepNext/>
        <w:keepLines/>
        <w:pageBreakBefore w:val="0"/>
        <w:shd w:val="clear"/>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格式4</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rPr>
        <w:t>有依法缴纳税收和社会保障资金的良好记录</w:t>
      </w:r>
    </w:p>
    <w:p w14:paraId="1B79D8D1">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lang w:eastAsia="zh-CN"/>
        </w:rPr>
        <w:t>①提供税款所属时期</w:t>
      </w:r>
      <w:r>
        <w:rPr>
          <w:rFonts w:hint="eastAsia" w:ascii="仿宋" w:hAnsi="仿宋" w:eastAsia="仿宋" w:cs="仿宋"/>
          <w:color w:val="auto"/>
          <w:sz w:val="24"/>
          <w:szCs w:val="22"/>
          <w:highlight w:val="none"/>
          <w:lang w:val="en-US" w:eastAsia="zh-CN"/>
        </w:rPr>
        <w:t>在</w:t>
      </w:r>
      <w:r>
        <w:rPr>
          <w:rFonts w:hint="eastAsia" w:ascii="仿宋" w:hAnsi="仿宋" w:eastAsia="仿宋" w:cs="仿宋"/>
          <w:color w:val="auto"/>
          <w:sz w:val="24"/>
          <w:szCs w:val="22"/>
          <w:highlight w:val="none"/>
          <w:lang w:eastAsia="zh-CN"/>
        </w:rPr>
        <w:t>202</w:t>
      </w:r>
      <w:r>
        <w:rPr>
          <w:rFonts w:hint="eastAsia" w:ascii="仿宋" w:hAnsi="仿宋" w:eastAsia="仿宋" w:cs="仿宋"/>
          <w:color w:val="auto"/>
          <w:sz w:val="24"/>
          <w:szCs w:val="22"/>
          <w:highlight w:val="none"/>
          <w:lang w:val="en-US" w:eastAsia="zh-CN"/>
        </w:rPr>
        <w:t>5</w:t>
      </w:r>
      <w:r>
        <w:rPr>
          <w:rFonts w:hint="eastAsia" w:ascii="仿宋" w:hAnsi="仿宋" w:eastAsia="仿宋" w:cs="仿宋"/>
          <w:color w:val="auto"/>
          <w:sz w:val="24"/>
          <w:szCs w:val="22"/>
          <w:highlight w:val="none"/>
          <w:lang w:eastAsia="zh-CN"/>
        </w:rPr>
        <w:t>年</w:t>
      </w:r>
      <w:r>
        <w:rPr>
          <w:rFonts w:hint="eastAsia" w:ascii="仿宋" w:hAnsi="仿宋" w:eastAsia="仿宋" w:cs="仿宋"/>
          <w:color w:val="auto"/>
          <w:sz w:val="24"/>
          <w:szCs w:val="22"/>
          <w:highlight w:val="none"/>
          <w:lang w:val="en-US" w:eastAsia="zh-CN"/>
        </w:rPr>
        <w:t>5</w:t>
      </w:r>
      <w:r>
        <w:rPr>
          <w:rFonts w:hint="eastAsia" w:ascii="仿宋" w:hAnsi="仿宋" w:eastAsia="仿宋" w:cs="仿宋"/>
          <w:color w:val="auto"/>
          <w:sz w:val="24"/>
          <w:szCs w:val="22"/>
          <w:highlight w:val="none"/>
          <w:lang w:eastAsia="zh-CN"/>
        </w:rPr>
        <w:t>月至投标文件提交截止时间任意3个月的税务局税收通用缴款书扫描件或银行电子缴税（费）凭证或税务局出具纳税情况的相关证明（注：成立未满或刚满3个月的投标人提供自成立以来的相关纳税证明或情况说明；依法免税的，应提供依法免税的相关证明文件）；②提供</w:t>
      </w:r>
      <w:r>
        <w:rPr>
          <w:rFonts w:hint="eastAsia" w:ascii="仿宋" w:hAnsi="仿宋" w:eastAsia="仿宋" w:cs="仿宋"/>
          <w:color w:val="auto"/>
          <w:sz w:val="24"/>
          <w:szCs w:val="22"/>
          <w:highlight w:val="none"/>
          <w:lang w:val="en-US" w:eastAsia="zh-CN"/>
        </w:rPr>
        <w:t>税</w:t>
      </w:r>
      <w:r>
        <w:rPr>
          <w:rFonts w:hint="eastAsia" w:ascii="仿宋" w:hAnsi="仿宋" w:eastAsia="仿宋" w:cs="仿宋"/>
          <w:color w:val="auto"/>
          <w:sz w:val="24"/>
          <w:szCs w:val="22"/>
          <w:highlight w:val="none"/>
          <w:lang w:eastAsia="zh-CN"/>
        </w:rPr>
        <w:t>款所属时期</w:t>
      </w:r>
      <w:r>
        <w:rPr>
          <w:rFonts w:hint="eastAsia" w:ascii="仿宋" w:hAnsi="仿宋" w:eastAsia="仿宋" w:cs="仿宋"/>
          <w:color w:val="auto"/>
          <w:sz w:val="24"/>
          <w:szCs w:val="22"/>
          <w:highlight w:val="none"/>
          <w:lang w:val="en-US" w:eastAsia="zh-CN"/>
        </w:rPr>
        <w:t>在</w:t>
      </w:r>
      <w:r>
        <w:rPr>
          <w:rFonts w:hint="eastAsia" w:ascii="仿宋" w:hAnsi="仿宋" w:eastAsia="仿宋" w:cs="仿宋"/>
          <w:color w:val="auto"/>
          <w:sz w:val="24"/>
          <w:szCs w:val="22"/>
          <w:highlight w:val="none"/>
          <w:lang w:eastAsia="zh-CN"/>
        </w:rPr>
        <w:t>202</w:t>
      </w:r>
      <w:r>
        <w:rPr>
          <w:rFonts w:hint="eastAsia" w:ascii="仿宋" w:hAnsi="仿宋" w:eastAsia="仿宋" w:cs="仿宋"/>
          <w:color w:val="auto"/>
          <w:sz w:val="24"/>
          <w:szCs w:val="22"/>
          <w:highlight w:val="none"/>
          <w:lang w:val="en-US" w:eastAsia="zh-CN"/>
        </w:rPr>
        <w:t>5</w:t>
      </w:r>
      <w:r>
        <w:rPr>
          <w:rFonts w:hint="eastAsia" w:ascii="仿宋" w:hAnsi="仿宋" w:eastAsia="仿宋" w:cs="仿宋"/>
          <w:color w:val="auto"/>
          <w:sz w:val="24"/>
          <w:szCs w:val="22"/>
          <w:highlight w:val="none"/>
          <w:lang w:eastAsia="zh-CN"/>
        </w:rPr>
        <w:t>年</w:t>
      </w:r>
      <w:r>
        <w:rPr>
          <w:rFonts w:hint="eastAsia" w:ascii="仿宋" w:hAnsi="仿宋" w:eastAsia="仿宋" w:cs="仿宋"/>
          <w:color w:val="auto"/>
          <w:sz w:val="24"/>
          <w:szCs w:val="22"/>
          <w:highlight w:val="none"/>
          <w:lang w:val="en-US" w:eastAsia="zh-CN"/>
        </w:rPr>
        <w:t>5</w:t>
      </w:r>
      <w:r>
        <w:rPr>
          <w:rFonts w:hint="eastAsia" w:ascii="仿宋" w:hAnsi="仿宋" w:eastAsia="仿宋" w:cs="仿宋"/>
          <w:color w:val="auto"/>
          <w:sz w:val="24"/>
          <w:szCs w:val="22"/>
          <w:highlight w:val="none"/>
          <w:lang w:eastAsia="zh-CN"/>
        </w:rPr>
        <w:t>月至投标文件提交截止时间任意3个月的社会保险费缴款书扫描件或银行电子缴税（费）凭证或社保管理部门出具的有效的缴款证明。（成立未满或刚满3个月的提供成立以来社会保障资金缴纳凭证或相关情况说明；依法不需要缴纳社会保障资金的投标人，应提供相应文件证明其不需要缴纳社会保障资金）</w:t>
      </w:r>
    </w:p>
    <w:p w14:paraId="63C1DA65">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p>
    <w:p w14:paraId="19F2653D">
      <w:pPr>
        <w:keepNext/>
        <w:keepLines/>
        <w:pageBreakBefore w:val="0"/>
        <w:shd w:val="clear"/>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格式5</w:t>
      </w:r>
      <w:r>
        <w:rPr>
          <w:rFonts w:hint="eastAsia" w:ascii="仿宋" w:hAnsi="仿宋" w:eastAsia="仿宋" w:cs="仿宋"/>
          <w:b/>
          <w:color w:val="auto"/>
          <w:kern w:val="0"/>
          <w:sz w:val="24"/>
          <w:szCs w:val="24"/>
          <w:highlight w:val="none"/>
          <w:lang w:eastAsia="zh-CN"/>
        </w:rPr>
        <w:t>、参加政府采购活动前三年内，在经营活动中没有重大违法记录</w:t>
      </w:r>
      <w:r>
        <w:rPr>
          <w:rFonts w:hint="eastAsia" w:ascii="仿宋" w:hAnsi="仿宋" w:eastAsia="仿宋" w:cs="仿宋"/>
          <w:b/>
          <w:color w:val="auto"/>
          <w:kern w:val="0"/>
          <w:sz w:val="24"/>
          <w:szCs w:val="24"/>
          <w:highlight w:val="none"/>
        </w:rPr>
        <w:t>；</w:t>
      </w:r>
    </w:p>
    <w:p w14:paraId="76F2F1D5">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w:t>
      </w:r>
      <w:r>
        <w:rPr>
          <w:rFonts w:hint="eastAsia" w:ascii="仿宋" w:hAnsi="仿宋" w:eastAsia="仿宋" w:cs="仿宋"/>
          <w:color w:val="auto"/>
          <w:sz w:val="24"/>
          <w:szCs w:val="22"/>
          <w:highlight w:val="none"/>
          <w:lang w:val="en-US" w:eastAsia="zh-CN"/>
        </w:rPr>
        <w:t>提供书面声明</w:t>
      </w:r>
      <w:r>
        <w:rPr>
          <w:rFonts w:hint="eastAsia" w:ascii="仿宋" w:hAnsi="仿宋" w:eastAsia="仿宋" w:cs="仿宋"/>
          <w:color w:val="auto"/>
          <w:sz w:val="24"/>
          <w:szCs w:val="22"/>
          <w:highlight w:val="none"/>
        </w:rPr>
        <w:t>）</w:t>
      </w:r>
    </w:p>
    <w:p w14:paraId="3691861D">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p>
    <w:p w14:paraId="6066132B">
      <w:pPr>
        <w:keepNext/>
        <w:keepLines/>
        <w:pageBreakBefore w:val="0"/>
        <w:shd w:val="clear"/>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rPr>
        <w:t>格式</w:t>
      </w:r>
      <w:r>
        <w:rPr>
          <w:rFonts w:hint="eastAsia" w:ascii="仿宋" w:hAnsi="仿宋" w:eastAsia="仿宋" w:cs="仿宋"/>
          <w:b/>
          <w:color w:val="auto"/>
          <w:kern w:val="0"/>
          <w:sz w:val="24"/>
          <w:szCs w:val="24"/>
          <w:highlight w:val="none"/>
          <w:lang w:val="en-US" w:eastAsia="zh-CN"/>
        </w:rPr>
        <w:t>6、法律、行政法规规定的其他条件</w:t>
      </w:r>
    </w:p>
    <w:p w14:paraId="1BE30FCE">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lang w:eastAsia="zh-CN"/>
        </w:rPr>
        <w:t>②</w:t>
      </w:r>
      <w:r>
        <w:rPr>
          <w:rFonts w:hint="eastAsia" w:ascii="仿宋" w:hAnsi="仿宋" w:eastAsia="仿宋" w:cs="仿宋"/>
          <w:color w:val="auto"/>
          <w:sz w:val="24"/>
          <w:szCs w:val="22"/>
          <w:highlight w:val="none"/>
          <w:lang w:val="en-US" w:eastAsia="zh-CN"/>
        </w:rPr>
        <w:t>投标人</w:t>
      </w:r>
      <w:r>
        <w:rPr>
          <w:rFonts w:hint="eastAsia" w:ascii="仿宋" w:hAnsi="仿宋" w:eastAsia="仿宋" w:cs="仿宋"/>
          <w:color w:val="auto"/>
          <w:sz w:val="24"/>
          <w:szCs w:val="22"/>
          <w:highlight w:val="none"/>
        </w:rPr>
        <w:t>单位负责人为同一人或者存在直接控股、管理关系的不同供应商，不得参加同一合同项下的政府采购活动</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lang w:val="en-US" w:eastAsia="zh-CN"/>
        </w:rPr>
        <w:t>提供书面声明</w:t>
      </w:r>
      <w:r>
        <w:rPr>
          <w:rFonts w:hint="eastAsia" w:ascii="仿宋" w:hAnsi="仿宋" w:eastAsia="仿宋" w:cs="仿宋"/>
          <w:color w:val="auto"/>
          <w:sz w:val="24"/>
          <w:szCs w:val="22"/>
          <w:highlight w:val="none"/>
          <w:lang w:eastAsia="zh-CN"/>
        </w:rPr>
        <w:t>）</w:t>
      </w:r>
    </w:p>
    <w:p w14:paraId="38C906AB">
      <w:pPr>
        <w:pageBreakBefore w:val="0"/>
        <w:shd w:val="clear" w:fill="FFFFFF" w:themeFill="background1"/>
        <w:topLinePunct w:val="0"/>
        <w:bidi w:val="0"/>
        <w:spacing w:beforeAutospacing="0" w:afterAutospacing="0" w:line="360" w:lineRule="auto"/>
        <w:ind w:left="0" w:leftChars="0" w:right="0" w:rightChars="0" w:firstLine="480" w:firstLineChars="200"/>
        <w:contextualSpacing/>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③</w:t>
      </w:r>
      <w:r>
        <w:rPr>
          <w:rFonts w:hint="eastAsia" w:ascii="仿宋" w:hAnsi="仿宋" w:eastAsia="仿宋" w:cs="仿宋"/>
          <w:color w:val="auto"/>
          <w:sz w:val="24"/>
          <w:szCs w:val="22"/>
          <w:highlight w:val="none"/>
          <w:lang w:val="en-US" w:eastAsia="zh-CN"/>
        </w:rPr>
        <w:t>投标人</w:t>
      </w:r>
      <w:r>
        <w:rPr>
          <w:rFonts w:hint="eastAsia" w:ascii="仿宋" w:hAnsi="仿宋" w:eastAsia="仿宋" w:cs="仿宋"/>
          <w:color w:val="auto"/>
          <w:sz w:val="24"/>
          <w:szCs w:val="22"/>
          <w:highlight w:val="none"/>
        </w:rPr>
        <w:t>为采购项目提供整体设计、规范编制或者项目管理、监理、检测等服务的供应商，不得再参加该采购项目的其他采购活动。</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lang w:val="en-US" w:eastAsia="zh-CN"/>
        </w:rPr>
        <w:t>提供书面声明</w:t>
      </w:r>
      <w:r>
        <w:rPr>
          <w:rFonts w:hint="eastAsia" w:ascii="仿宋" w:hAnsi="仿宋" w:eastAsia="仿宋" w:cs="仿宋"/>
          <w:color w:val="auto"/>
          <w:sz w:val="24"/>
          <w:szCs w:val="22"/>
          <w:highlight w:val="none"/>
          <w:lang w:eastAsia="zh-CN"/>
        </w:rPr>
        <w:t>）</w:t>
      </w:r>
    </w:p>
    <w:p w14:paraId="7DB55AD1">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p>
    <w:p w14:paraId="728F1F5A">
      <w:pPr>
        <w:pageBreakBefore w:val="0"/>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br w:type="page"/>
      </w:r>
    </w:p>
    <w:p w14:paraId="33154531">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p>
    <w:bookmarkEnd w:id="599"/>
    <w:bookmarkEnd w:id="600"/>
    <w:p w14:paraId="262E3E90">
      <w:pPr>
        <w:pStyle w:val="3"/>
        <w:pageBreakBefore w:val="0"/>
        <w:shd w:val="clear"/>
        <w:topLinePunct w:val="0"/>
        <w:bidi w:val="0"/>
        <w:spacing w:beforeAutospacing="0" w:afterAutospacing="0" w:line="360" w:lineRule="auto"/>
        <w:ind w:left="0" w:leftChars="0" w:right="0" w:rightChars="0" w:firstLine="600" w:firstLineChars="200"/>
        <w:jc w:val="center"/>
        <w:outlineLvl w:val="1"/>
        <w:rPr>
          <w:rFonts w:hint="eastAsia" w:ascii="仿宋" w:hAnsi="仿宋" w:eastAsia="仿宋" w:cs="仿宋"/>
          <w:color w:val="auto"/>
          <w:sz w:val="30"/>
          <w:szCs w:val="30"/>
          <w:highlight w:val="none"/>
        </w:rPr>
      </w:pPr>
      <w:bookmarkStart w:id="617" w:name="_Toc383636434"/>
      <w:bookmarkStart w:id="618" w:name="_Toc391301893"/>
      <w:bookmarkStart w:id="619" w:name="_Toc27539"/>
      <w:bookmarkStart w:id="620" w:name="_Toc12836"/>
      <w:bookmarkStart w:id="621" w:name="_Toc527634744"/>
      <w:bookmarkStart w:id="622" w:name="_Toc8601"/>
      <w:bookmarkStart w:id="623" w:name="_Toc406162639"/>
      <w:bookmarkStart w:id="624" w:name="_Toc469987746"/>
      <w:bookmarkStart w:id="625" w:name="_Toc469987160"/>
      <w:r>
        <w:rPr>
          <w:rFonts w:hint="eastAsia" w:ascii="仿宋" w:hAnsi="仿宋" w:eastAsia="仿宋" w:cs="仿宋"/>
          <w:color w:val="auto"/>
          <w:sz w:val="30"/>
          <w:szCs w:val="30"/>
          <w:highlight w:val="none"/>
          <w:lang w:val="en-US" w:eastAsia="zh-CN"/>
        </w:rPr>
        <w:t>四</w:t>
      </w:r>
      <w:r>
        <w:rPr>
          <w:rFonts w:hint="eastAsia" w:ascii="仿宋" w:hAnsi="仿宋" w:eastAsia="仿宋" w:cs="仿宋"/>
          <w:color w:val="auto"/>
          <w:sz w:val="30"/>
          <w:szCs w:val="30"/>
          <w:highlight w:val="none"/>
        </w:rPr>
        <w:t>、技术标部分</w:t>
      </w:r>
      <w:bookmarkEnd w:id="617"/>
      <w:bookmarkEnd w:id="618"/>
      <w:bookmarkEnd w:id="619"/>
      <w:bookmarkEnd w:id="620"/>
      <w:bookmarkEnd w:id="621"/>
      <w:bookmarkEnd w:id="622"/>
      <w:bookmarkEnd w:id="623"/>
    </w:p>
    <w:p w14:paraId="357CFB44">
      <w:pPr>
        <w:pageBreakBefore w:val="0"/>
        <w:shd w:val="clear"/>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p>
    <w:bookmarkEnd w:id="624"/>
    <w:bookmarkEnd w:id="625"/>
    <w:p w14:paraId="5797B3CC">
      <w:pPr>
        <w:keepNext/>
        <w:keepLines/>
        <w:pageBreakBefore w:val="0"/>
        <w:shd w:val="clear" w:fill="FFFFFF" w:themeFill="background1"/>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b/>
          <w:color w:val="auto"/>
          <w:kern w:val="0"/>
          <w:sz w:val="24"/>
          <w:szCs w:val="24"/>
          <w:highlight w:val="none"/>
        </w:rPr>
      </w:pPr>
      <w:bookmarkStart w:id="626" w:name="_Toc469987161"/>
      <w:bookmarkStart w:id="627" w:name="_Toc469987747"/>
      <w:bookmarkStart w:id="628" w:name="_Toc2413"/>
      <w:bookmarkStart w:id="629" w:name="_Toc383636429"/>
      <w:bookmarkStart w:id="630" w:name="_Toc391301888"/>
      <w:bookmarkStart w:id="631" w:name="_Toc406162634"/>
      <w:r>
        <w:rPr>
          <w:rFonts w:hint="eastAsia" w:ascii="仿宋" w:hAnsi="仿宋" w:eastAsia="仿宋" w:cs="仿宋"/>
          <w:b/>
          <w:color w:val="auto"/>
          <w:kern w:val="0"/>
          <w:sz w:val="24"/>
          <w:szCs w:val="24"/>
          <w:highlight w:val="none"/>
        </w:rPr>
        <w:t>格式</w:t>
      </w:r>
      <w:r>
        <w:rPr>
          <w:rFonts w:hint="eastAsia" w:ascii="仿宋" w:hAnsi="仿宋" w:eastAsia="仿宋" w:cs="仿宋"/>
          <w:b/>
          <w:color w:val="auto"/>
          <w:kern w:val="0"/>
          <w:sz w:val="24"/>
          <w:szCs w:val="24"/>
          <w:highlight w:val="none"/>
          <w:lang w:val="en-US" w:eastAsia="zh-CN"/>
        </w:rPr>
        <w:t>1</w:t>
      </w:r>
      <w:r>
        <w:rPr>
          <w:rFonts w:hint="eastAsia" w:ascii="仿宋" w:hAnsi="仿宋" w:eastAsia="仿宋" w:cs="仿宋"/>
          <w:b/>
          <w:color w:val="auto"/>
          <w:kern w:val="0"/>
          <w:sz w:val="24"/>
          <w:szCs w:val="24"/>
          <w:highlight w:val="none"/>
        </w:rPr>
        <w:t>、投标产品技术参数说明及偏离表</w:t>
      </w:r>
    </w:p>
    <w:p w14:paraId="606A142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仿宋" w:hAnsi="仿宋" w:eastAsia="仿宋" w:cs="仿宋"/>
          <w:b/>
          <w:color w:val="auto"/>
          <w:sz w:val="24"/>
          <w:szCs w:val="24"/>
          <w:highlight w:val="none"/>
          <w:u w:val="single"/>
        </w:rPr>
      </w:pPr>
      <w:r>
        <w:rPr>
          <w:rFonts w:hint="eastAsia" w:ascii="仿宋" w:hAnsi="仿宋" w:eastAsia="仿宋" w:cs="仿宋"/>
          <w:color w:val="auto"/>
          <w:sz w:val="24"/>
          <w:szCs w:val="24"/>
          <w:highlight w:val="none"/>
        </w:rPr>
        <w:t>请按投标产品的实际技术参数，逐条对应招标文件</w:t>
      </w:r>
      <w:r>
        <w:rPr>
          <w:rFonts w:hint="eastAsia" w:ascii="仿宋" w:hAnsi="仿宋" w:eastAsia="仿宋" w:cs="仿宋"/>
          <w:color w:val="auto"/>
          <w:sz w:val="24"/>
          <w:szCs w:val="22"/>
          <w:highlight w:val="none"/>
        </w:rPr>
        <w:t>第五章“采购需求”</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lang w:val="en-US" w:eastAsia="zh-CN"/>
        </w:rPr>
        <w:t>三、采购标的技术、服务要求</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2"/>
          <w:highlight w:val="none"/>
          <w:lang w:val="en-US" w:eastAsia="zh-CN"/>
        </w:rPr>
        <w:t>中的</w:t>
      </w:r>
      <w:r>
        <w:rPr>
          <w:rFonts w:hint="eastAsia" w:ascii="仿宋" w:hAnsi="仿宋" w:eastAsia="仿宋" w:cs="仿宋"/>
          <w:color w:val="auto"/>
          <w:sz w:val="24"/>
          <w:szCs w:val="24"/>
          <w:highlight w:val="none"/>
        </w:rPr>
        <w:t>所有技术参数认真填写该表。</w:t>
      </w:r>
    </w:p>
    <w:tbl>
      <w:tblPr>
        <w:tblStyle w:val="28"/>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29"/>
        <w:gridCol w:w="1600"/>
        <w:gridCol w:w="2308"/>
        <w:gridCol w:w="1016"/>
        <w:gridCol w:w="1661"/>
        <w:gridCol w:w="751"/>
      </w:tblGrid>
      <w:tr w14:paraId="2149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14:paraId="1E57D7BE">
            <w:pPr>
              <w:keepNext w:val="0"/>
              <w:keepLines w:val="0"/>
              <w:pageBreakBefore w:val="0"/>
              <w:widowControl w:val="0"/>
              <w:shd w:val="clear" w:fill="FFFFFF" w:themeFill="background1"/>
              <w:kinsoku w:val="0"/>
              <w:wordWrap/>
              <w:overflowPunct w:val="0"/>
              <w:topLinePunct w:val="0"/>
              <w:autoSpaceDE w:val="0"/>
              <w:autoSpaceDN w:val="0"/>
              <w:bidi w:val="0"/>
              <w:adjustRightInd w:val="0"/>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329" w:type="dxa"/>
            <w:vAlign w:val="center"/>
          </w:tcPr>
          <w:p w14:paraId="24BBEFA6">
            <w:pPr>
              <w:keepNext w:val="0"/>
              <w:keepLines w:val="0"/>
              <w:pageBreakBefore w:val="0"/>
              <w:widowControl w:val="0"/>
              <w:shd w:val="clear" w:fill="FFFFFF" w:themeFill="background1"/>
              <w:kinsoku w:val="0"/>
              <w:wordWrap/>
              <w:overflowPunct w:val="0"/>
              <w:topLinePunct w:val="0"/>
              <w:autoSpaceDE w:val="0"/>
              <w:autoSpaceDN w:val="0"/>
              <w:bidi w:val="0"/>
              <w:adjustRightInd w:val="0"/>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产品名称</w:t>
            </w:r>
          </w:p>
        </w:tc>
        <w:tc>
          <w:tcPr>
            <w:tcW w:w="1600" w:type="dxa"/>
            <w:vAlign w:val="center"/>
          </w:tcPr>
          <w:p w14:paraId="217D266A">
            <w:pPr>
              <w:keepNext w:val="0"/>
              <w:keepLines w:val="0"/>
              <w:pageBreakBefore w:val="0"/>
              <w:widowControl w:val="0"/>
              <w:shd w:val="clear" w:fill="FFFFFF" w:themeFill="background1"/>
              <w:kinsoku w:val="0"/>
              <w:wordWrap/>
              <w:overflowPunct w:val="0"/>
              <w:topLinePunct w:val="0"/>
              <w:autoSpaceDE w:val="0"/>
              <w:autoSpaceDN w:val="0"/>
              <w:bidi w:val="0"/>
              <w:adjustRightInd w:val="0"/>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 w:val="24"/>
                <w:highlight w:val="none"/>
              </w:rPr>
              <w:t>招标文件技术规范、要求</w:t>
            </w:r>
          </w:p>
        </w:tc>
        <w:tc>
          <w:tcPr>
            <w:tcW w:w="2308" w:type="dxa"/>
            <w:vAlign w:val="center"/>
          </w:tcPr>
          <w:p w14:paraId="525F3694">
            <w:pPr>
              <w:keepNext w:val="0"/>
              <w:keepLines w:val="0"/>
              <w:pageBreakBefore w:val="0"/>
              <w:widowControl w:val="0"/>
              <w:shd w:val="clear" w:fill="FFFFFF" w:themeFill="background1"/>
              <w:kinsoku w:val="0"/>
              <w:wordWrap/>
              <w:overflowPunct w:val="0"/>
              <w:topLinePunct w:val="0"/>
              <w:autoSpaceDE w:val="0"/>
              <w:autoSpaceDN w:val="0"/>
              <w:bidi w:val="0"/>
              <w:adjustRightInd w:val="0"/>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 w:val="24"/>
                <w:highlight w:val="none"/>
              </w:rPr>
              <w:t>投标品牌、型号、技术参数及配置</w:t>
            </w:r>
          </w:p>
        </w:tc>
        <w:tc>
          <w:tcPr>
            <w:tcW w:w="1016" w:type="dxa"/>
            <w:vAlign w:val="center"/>
          </w:tcPr>
          <w:p w14:paraId="08AE41D9">
            <w:pPr>
              <w:keepNext w:val="0"/>
              <w:keepLines w:val="0"/>
              <w:pageBreakBefore w:val="0"/>
              <w:widowControl w:val="0"/>
              <w:shd w:val="clear" w:fill="FFFFFF" w:themeFill="background1"/>
              <w:kinsoku w:val="0"/>
              <w:wordWrap/>
              <w:overflowPunct w:val="0"/>
              <w:topLinePunct w:val="0"/>
              <w:autoSpaceDE w:val="0"/>
              <w:autoSpaceDN w:val="0"/>
              <w:bidi w:val="0"/>
              <w:adjustRightInd w:val="0"/>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 w:val="24"/>
                <w:highlight w:val="none"/>
              </w:rPr>
              <w:t>偏离情况</w:t>
            </w:r>
          </w:p>
        </w:tc>
        <w:tc>
          <w:tcPr>
            <w:tcW w:w="1661" w:type="dxa"/>
            <w:vAlign w:val="center"/>
          </w:tcPr>
          <w:p w14:paraId="76670F0C">
            <w:pPr>
              <w:keepNext w:val="0"/>
              <w:keepLines w:val="0"/>
              <w:pageBreakBefore w:val="0"/>
              <w:widowControl w:val="0"/>
              <w:shd w:val="clear" w:fill="FFFFFF" w:themeFill="background1"/>
              <w:kinsoku w:val="0"/>
              <w:wordWrap/>
              <w:overflowPunct w:val="0"/>
              <w:topLinePunct w:val="0"/>
              <w:autoSpaceDE w:val="0"/>
              <w:autoSpaceDN w:val="0"/>
              <w:bidi w:val="0"/>
              <w:adjustRightInd w:val="0"/>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Cs w:val="21"/>
                <w:highlight w:val="none"/>
              </w:rPr>
            </w:pPr>
            <w:r>
              <w:rPr>
                <w:rFonts w:hint="eastAsia" w:ascii="仿宋" w:hAnsi="仿宋" w:eastAsia="仿宋" w:cs="仿宋"/>
                <w:bCs/>
                <w:color w:val="auto"/>
                <w:sz w:val="24"/>
                <w:highlight w:val="none"/>
              </w:rPr>
              <w:t>技术支持资料索引（页码及条目号等）</w:t>
            </w:r>
          </w:p>
        </w:tc>
        <w:tc>
          <w:tcPr>
            <w:tcW w:w="751" w:type="dxa"/>
            <w:vAlign w:val="center"/>
          </w:tcPr>
          <w:p w14:paraId="3E9BD9B7">
            <w:pPr>
              <w:keepNext w:val="0"/>
              <w:keepLines w:val="0"/>
              <w:pageBreakBefore w:val="0"/>
              <w:widowControl w:val="0"/>
              <w:shd w:val="clear" w:fill="FFFFFF" w:themeFill="background1"/>
              <w:kinsoku w:val="0"/>
              <w:wordWrap/>
              <w:overflowPunct w:val="0"/>
              <w:topLinePunct w:val="0"/>
              <w:autoSpaceDE w:val="0"/>
              <w:autoSpaceDN w:val="0"/>
              <w:bidi w:val="0"/>
              <w:adjustRightInd w:val="0"/>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备注</w:t>
            </w:r>
          </w:p>
        </w:tc>
      </w:tr>
      <w:tr w14:paraId="1CB8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top"/>
          </w:tcPr>
          <w:p w14:paraId="3454DB73">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highlight w:val="none"/>
              </w:rPr>
            </w:pPr>
            <w:bookmarkStart w:id="632" w:name="_Hlk50472260"/>
            <w:r>
              <w:rPr>
                <w:rFonts w:hint="eastAsia" w:ascii="仿宋" w:hAnsi="仿宋" w:eastAsia="仿宋" w:cs="仿宋"/>
                <w:color w:val="auto"/>
                <w:sz w:val="24"/>
                <w:highlight w:val="none"/>
              </w:rPr>
              <w:t>1</w:t>
            </w:r>
          </w:p>
        </w:tc>
        <w:tc>
          <w:tcPr>
            <w:tcW w:w="1329" w:type="dxa"/>
            <w:vAlign w:val="top"/>
          </w:tcPr>
          <w:p w14:paraId="379631C3">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600" w:type="dxa"/>
            <w:vAlign w:val="top"/>
          </w:tcPr>
          <w:p w14:paraId="2632C160">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2308" w:type="dxa"/>
            <w:vAlign w:val="top"/>
          </w:tcPr>
          <w:p w14:paraId="77834133">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016" w:type="dxa"/>
            <w:vAlign w:val="top"/>
          </w:tcPr>
          <w:p w14:paraId="64BB1BD4">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661" w:type="dxa"/>
            <w:vAlign w:val="top"/>
          </w:tcPr>
          <w:p w14:paraId="66337B6A">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751" w:type="dxa"/>
            <w:vAlign w:val="top"/>
          </w:tcPr>
          <w:p w14:paraId="69707C95">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r>
      <w:tr w14:paraId="139A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41" w:type="dxa"/>
            <w:vAlign w:val="top"/>
          </w:tcPr>
          <w:p w14:paraId="0F52E04F">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329" w:type="dxa"/>
            <w:vAlign w:val="top"/>
          </w:tcPr>
          <w:p w14:paraId="557C47C4">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600" w:type="dxa"/>
            <w:vAlign w:val="top"/>
          </w:tcPr>
          <w:p w14:paraId="56BF7DAB">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2308" w:type="dxa"/>
            <w:vAlign w:val="top"/>
          </w:tcPr>
          <w:p w14:paraId="5918DEA1">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016" w:type="dxa"/>
            <w:vAlign w:val="top"/>
          </w:tcPr>
          <w:p w14:paraId="094974D9">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661" w:type="dxa"/>
            <w:vAlign w:val="top"/>
          </w:tcPr>
          <w:p w14:paraId="3D8D851B">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751" w:type="dxa"/>
            <w:vAlign w:val="top"/>
          </w:tcPr>
          <w:p w14:paraId="33876758">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r>
      <w:tr w14:paraId="5A1D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top"/>
          </w:tcPr>
          <w:p w14:paraId="5EC14E19">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329" w:type="dxa"/>
            <w:vAlign w:val="top"/>
          </w:tcPr>
          <w:p w14:paraId="38DEC749">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600" w:type="dxa"/>
            <w:vAlign w:val="top"/>
          </w:tcPr>
          <w:p w14:paraId="54A33C77">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2308" w:type="dxa"/>
            <w:vAlign w:val="top"/>
          </w:tcPr>
          <w:p w14:paraId="5712FCB3">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016" w:type="dxa"/>
            <w:vAlign w:val="top"/>
          </w:tcPr>
          <w:p w14:paraId="2EA3040F">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661" w:type="dxa"/>
            <w:vAlign w:val="top"/>
          </w:tcPr>
          <w:p w14:paraId="39EC75E7">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751" w:type="dxa"/>
            <w:vAlign w:val="top"/>
          </w:tcPr>
          <w:p w14:paraId="6B75708F">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r>
      <w:tr w14:paraId="316B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41" w:type="dxa"/>
            <w:vAlign w:val="top"/>
          </w:tcPr>
          <w:p w14:paraId="5CF6C088">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329" w:type="dxa"/>
            <w:vAlign w:val="top"/>
          </w:tcPr>
          <w:p w14:paraId="409A2DE3">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600" w:type="dxa"/>
            <w:vAlign w:val="top"/>
          </w:tcPr>
          <w:p w14:paraId="3B76E6EF">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2308" w:type="dxa"/>
            <w:vAlign w:val="top"/>
          </w:tcPr>
          <w:p w14:paraId="76E4F977">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016" w:type="dxa"/>
            <w:vAlign w:val="top"/>
          </w:tcPr>
          <w:p w14:paraId="03CB86E2">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661" w:type="dxa"/>
            <w:vAlign w:val="top"/>
          </w:tcPr>
          <w:p w14:paraId="1EE86A67">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751" w:type="dxa"/>
            <w:vAlign w:val="top"/>
          </w:tcPr>
          <w:p w14:paraId="226C1A96">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r>
      <w:tr w14:paraId="6DB7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41" w:type="dxa"/>
            <w:vAlign w:val="top"/>
          </w:tcPr>
          <w:p w14:paraId="0BBFE3D1">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w:t>
            </w:r>
          </w:p>
        </w:tc>
        <w:tc>
          <w:tcPr>
            <w:tcW w:w="1329" w:type="dxa"/>
            <w:vAlign w:val="top"/>
          </w:tcPr>
          <w:p w14:paraId="56C65DA8">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600" w:type="dxa"/>
            <w:vAlign w:val="top"/>
          </w:tcPr>
          <w:p w14:paraId="1356F971">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2308" w:type="dxa"/>
            <w:vAlign w:val="top"/>
          </w:tcPr>
          <w:p w14:paraId="40F471A6">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016" w:type="dxa"/>
            <w:vAlign w:val="top"/>
          </w:tcPr>
          <w:p w14:paraId="6E39B92F">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661" w:type="dxa"/>
            <w:vAlign w:val="top"/>
          </w:tcPr>
          <w:p w14:paraId="20BE0E3F">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751" w:type="dxa"/>
            <w:vAlign w:val="top"/>
          </w:tcPr>
          <w:p w14:paraId="13C4E6B4">
            <w:pPr>
              <w:keepNext w:val="0"/>
              <w:keepLines w:val="0"/>
              <w:pageBreakBefore w:val="0"/>
              <w:widowControl w:val="0"/>
              <w:shd w:val="clear" w:fill="FFFFFF" w:themeFill="background1"/>
              <w:wordWrap/>
              <w:topLinePunct w:val="0"/>
              <w:bidi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r>
      <w:bookmarkEnd w:id="626"/>
      <w:bookmarkEnd w:id="627"/>
      <w:bookmarkEnd w:id="628"/>
      <w:bookmarkEnd w:id="632"/>
    </w:tbl>
    <w:p w14:paraId="70B54AE1">
      <w:pPr>
        <w:keepNext w:val="0"/>
        <w:keepLines w:val="0"/>
        <w:pageBreakBefore w:val="0"/>
        <w:widowControl w:val="0"/>
        <w:shd w:val="clear" w:fill="FFFFFF" w:themeFill="background1"/>
        <w:kinsoku/>
        <w:wordWrap/>
        <w:overflowPunct/>
        <w:topLinePunct w:val="0"/>
        <w:bidi w:val="0"/>
        <w:adjustRightInd/>
        <w:snapToGrid/>
        <w:spacing w:beforeAutospacing="0" w:afterAutospacing="0" w:line="360" w:lineRule="auto"/>
        <w:ind w:left="0" w:leftChars="0" w:right="0" w:rightChars="0" w:firstLine="0" w:firstLineChars="0"/>
        <w:jc w:val="left"/>
        <w:textAlignment w:val="auto"/>
        <w:rPr>
          <w:rStyle w:val="46"/>
          <w:rFonts w:hint="eastAsia" w:ascii="仿宋" w:hAnsi="仿宋" w:eastAsia="仿宋" w:cs="仿宋"/>
          <w:color w:val="0000FF"/>
          <w:sz w:val="24"/>
          <w:szCs w:val="24"/>
          <w:lang w:val="en-US" w:eastAsia="zh-CN" w:bidi="ar"/>
        </w:rPr>
      </w:pPr>
      <w:r>
        <w:rPr>
          <w:rStyle w:val="46"/>
          <w:rFonts w:hint="eastAsia" w:ascii="仿宋" w:hAnsi="仿宋" w:eastAsia="仿宋" w:cs="仿宋"/>
          <w:color w:val="0000FF"/>
          <w:sz w:val="24"/>
          <w:szCs w:val="24"/>
          <w:lang w:val="en-US" w:eastAsia="zh-CN" w:bidi="ar"/>
        </w:rPr>
        <w:t>注：（1）第五章“采购需求”中，除按招标文件要求填写技术规格偏离表外，还须提供技术支持资料，包括：招标文件技术参数内明确要求提供的证明材料，未明确的可提供所投产品主要技术指标、参数及性能的公开印刷的详细说明书（非自行拟定）或制造商公开发布的印刷资料（彩页或产品宣传册或白皮书或制造商出具的证明材料）或检测(检验)报告或官方网站发布的技术资料截图。如技术支持资料字迹不清、无法辨认导致无法评判的或提供的技术支持资料不能反映该参数要求的或未按要求提供技术支持资料的，视为不响应该条技术参数。</w:t>
      </w:r>
      <w:r>
        <w:rPr>
          <w:rStyle w:val="46"/>
          <w:rFonts w:hint="eastAsia" w:ascii="仿宋" w:hAnsi="仿宋" w:eastAsia="仿宋" w:cs="仿宋"/>
          <w:color w:val="0000FF"/>
          <w:sz w:val="24"/>
          <w:szCs w:val="24"/>
          <w:lang w:val="en-US" w:eastAsia="zh-CN" w:bidi="ar"/>
        </w:rPr>
        <w:br w:type="textWrapping"/>
      </w:r>
      <w:r>
        <w:rPr>
          <w:rStyle w:val="46"/>
          <w:rFonts w:hint="eastAsia" w:ascii="仿宋" w:hAnsi="仿宋" w:eastAsia="仿宋" w:cs="仿宋"/>
          <w:color w:val="0000FF"/>
          <w:sz w:val="24"/>
          <w:szCs w:val="24"/>
          <w:lang w:val="en-US" w:eastAsia="zh-CN" w:bidi="ar"/>
        </w:rPr>
        <w:t>（2）技术规格偏离表“偏离情况”列，应据实填写“无偏离”“正偏离”或“负偏离”，未填写的视为负偏离。</w:t>
      </w:r>
      <w:r>
        <w:rPr>
          <w:rStyle w:val="46"/>
          <w:rFonts w:hint="eastAsia" w:ascii="仿宋" w:hAnsi="仿宋" w:eastAsia="仿宋" w:cs="仿宋"/>
          <w:color w:val="0000FF"/>
          <w:sz w:val="24"/>
          <w:szCs w:val="24"/>
          <w:lang w:val="en-US" w:eastAsia="zh-CN" w:bidi="ar"/>
        </w:rPr>
        <w:br w:type="textWrapping"/>
      </w:r>
      <w:r>
        <w:rPr>
          <w:rStyle w:val="46"/>
          <w:rFonts w:hint="eastAsia" w:ascii="仿宋" w:hAnsi="仿宋" w:eastAsia="仿宋" w:cs="仿宋"/>
          <w:color w:val="0000FF"/>
          <w:sz w:val="24"/>
          <w:szCs w:val="24"/>
          <w:lang w:val="en-US" w:eastAsia="zh-CN" w:bidi="ar"/>
        </w:rPr>
        <w:t>（3）第五章“采购需求”中，</w:t>
      </w:r>
      <w:r>
        <w:rPr>
          <w:rStyle w:val="46"/>
          <w:rFonts w:hint="eastAsia" w:ascii="仿宋" w:hAnsi="仿宋" w:eastAsia="仿宋" w:cs="仿宋"/>
          <w:sz w:val="24"/>
          <w:szCs w:val="24"/>
          <w:lang w:val="en-US" w:eastAsia="zh-CN" w:bidi="ar"/>
        </w:rPr>
        <w:t>未标注“</w:t>
      </w:r>
      <w:r>
        <w:rPr>
          <w:rFonts w:hint="eastAsia" w:ascii="仿宋" w:hAnsi="仿宋" w:eastAsia="仿宋" w:cs="仿宋"/>
          <w:color w:val="0000FF"/>
          <w:sz w:val="24"/>
          <w:szCs w:val="24"/>
          <w:highlight w:val="none"/>
          <w:lang w:val="en-US" w:eastAsia="zh-CN"/>
        </w:rPr>
        <w:t>▲</w:t>
      </w:r>
      <w:r>
        <w:rPr>
          <w:rStyle w:val="46"/>
          <w:rFonts w:hint="eastAsia" w:ascii="仿宋" w:hAnsi="仿宋" w:eastAsia="仿宋" w:cs="仿宋"/>
          <w:sz w:val="24"/>
          <w:szCs w:val="24"/>
          <w:lang w:val="en-US" w:eastAsia="zh-CN" w:bidi="ar"/>
        </w:rPr>
        <w:t>”符号的为一般技术参数，需在技术规格偏离表上应答，同时提交满足招标文件要求的证明材料或承诺函，若投标文件中提交了满足招标文件要求的承诺函，但在履约过程中，达不到招标文件要求的功能，采购人有权按照虚假应标处理，并上报相关部门处理。</w:t>
      </w:r>
    </w:p>
    <w:p w14:paraId="08345A29">
      <w:pPr>
        <w:pStyle w:val="11"/>
        <w:pageBreakBefore w:val="0"/>
        <w:topLinePunct w:val="0"/>
        <w:bidi w:val="0"/>
        <w:spacing w:beforeAutospacing="0" w:afterAutospacing="0" w:line="360" w:lineRule="auto"/>
        <w:ind w:left="0" w:leftChars="0" w:right="0" w:rightChars="0" w:firstLine="480" w:firstLineChars="200"/>
        <w:rPr>
          <w:rFonts w:hint="eastAsia" w:ascii="仿宋" w:hAnsi="仿宋" w:eastAsia="仿宋" w:cs="仿宋"/>
          <w:color w:val="auto"/>
          <w:highlight w:val="none"/>
          <w:lang w:val="en-US" w:eastAsia="zh-CN"/>
        </w:rPr>
      </w:pPr>
      <w:r>
        <w:rPr>
          <w:rStyle w:val="46"/>
          <w:rFonts w:hint="eastAsia" w:ascii="仿宋" w:hAnsi="仿宋" w:eastAsia="仿宋" w:cs="仿宋"/>
          <w:color w:val="0000FF"/>
          <w:sz w:val="24"/>
          <w:szCs w:val="24"/>
          <w:lang w:val="en-US" w:eastAsia="zh-CN" w:bidi="ar"/>
        </w:rPr>
        <w:t>（4）投标文件中提供了技术支持资料的技术参数，如技术支持资料内容与技术规格偏离表应答不一致，以技术支持资料显示内容为准。如技术支持资料字迹不清、无法辨认导致无法评判的或提供的技术支持资料不能反映该参数要求的或未按要求提供技术支持资料的，视为不响应该条技术参数。</w:t>
      </w:r>
      <w:r>
        <w:rPr>
          <w:rFonts w:hint="eastAsia" w:ascii="仿宋" w:hAnsi="仿宋" w:eastAsia="仿宋" w:cs="仿宋"/>
          <w:color w:val="auto"/>
          <w:highlight w:val="none"/>
          <w:lang w:val="en-US" w:eastAsia="zh-CN"/>
        </w:rPr>
        <w:br w:type="page"/>
      </w:r>
    </w:p>
    <w:p w14:paraId="6E676024">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lang w:val="en-US" w:eastAsia="zh-CN"/>
        </w:rPr>
      </w:pPr>
    </w:p>
    <w:p w14:paraId="5878A60E">
      <w:pPr>
        <w:keepNext/>
        <w:keepLines/>
        <w:pageBreakBefore w:val="0"/>
        <w:shd w:val="clear" w:fill="FFFFFF" w:themeFill="background1"/>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格式2、项目实施方案</w:t>
      </w:r>
    </w:p>
    <w:p w14:paraId="484E209E">
      <w:pPr>
        <w:pStyle w:val="11"/>
        <w:pageBreakBefore w:val="0"/>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Cs w:val="22"/>
          <w:highlight w:val="none"/>
          <w:lang w:val="en-US" w:eastAsia="zh-CN"/>
        </w:rPr>
      </w:pPr>
      <w:r>
        <w:rPr>
          <w:rFonts w:hint="eastAsia" w:ascii="仿宋" w:hAnsi="仿宋" w:eastAsia="仿宋" w:cs="仿宋"/>
          <w:color w:val="auto"/>
          <w:highlight w:val="none"/>
        </w:rPr>
        <w:t>格式自拟</w:t>
      </w:r>
    </w:p>
    <w:p w14:paraId="35C9AE5E">
      <w:pPr>
        <w:pageBreakBefore w:val="0"/>
        <w:shd w:val="clear" w:fill="FFFFFF" w:themeFill="background1"/>
        <w:topLinePunct w:val="0"/>
        <w:bidi w:val="0"/>
        <w:spacing w:beforeAutospacing="0" w:afterAutospacing="0" w:line="360" w:lineRule="auto"/>
        <w:ind w:left="0" w:leftChars="0" w:right="0" w:rightChars="0" w:firstLine="420" w:firstLineChars="200"/>
        <w:rPr>
          <w:rFonts w:hint="eastAsia" w:ascii="仿宋" w:hAnsi="仿宋" w:eastAsia="仿宋" w:cs="仿宋"/>
          <w:color w:val="auto"/>
          <w:szCs w:val="21"/>
          <w:highlight w:val="none"/>
        </w:rPr>
      </w:pPr>
    </w:p>
    <w:p w14:paraId="6734CAF7">
      <w:pPr>
        <w:pStyle w:val="12"/>
        <w:pageBreakBefore w:val="0"/>
        <w:topLinePunct w:val="0"/>
        <w:bidi w:val="0"/>
        <w:spacing w:beforeAutospacing="0" w:afterAutospacing="0" w:line="360" w:lineRule="auto"/>
        <w:ind w:left="0" w:leftChars="0" w:right="0" w:rightChars="0" w:firstLine="960" w:firstLineChars="200"/>
        <w:rPr>
          <w:rFonts w:hint="eastAsia" w:ascii="仿宋" w:hAnsi="仿宋" w:eastAsia="仿宋" w:cs="仿宋"/>
          <w:color w:val="auto"/>
          <w:lang w:val="en-US" w:eastAsia="zh-CN"/>
        </w:rPr>
      </w:pPr>
    </w:p>
    <w:p w14:paraId="10F84578">
      <w:pPr>
        <w:keepNext/>
        <w:keepLines/>
        <w:pageBreakBefore w:val="0"/>
        <w:shd w:val="clear" w:fill="FFFFFF" w:themeFill="background1"/>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kern w:val="0"/>
          <w:sz w:val="24"/>
          <w:szCs w:val="24"/>
          <w:highlight w:val="none"/>
          <w:lang w:val="en-US" w:eastAsia="zh-CN"/>
        </w:rPr>
        <w:t>格式3、交付与安装调试方案</w:t>
      </w:r>
    </w:p>
    <w:p w14:paraId="2DAB9C7B">
      <w:pPr>
        <w:pStyle w:val="11"/>
        <w:pageBreakBefore w:val="0"/>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Cs w:val="22"/>
          <w:highlight w:val="none"/>
          <w:lang w:val="en-US" w:eastAsia="zh-CN"/>
        </w:rPr>
      </w:pPr>
      <w:r>
        <w:rPr>
          <w:rFonts w:hint="eastAsia" w:ascii="仿宋" w:hAnsi="仿宋" w:eastAsia="仿宋" w:cs="仿宋"/>
          <w:color w:val="auto"/>
          <w:highlight w:val="none"/>
        </w:rPr>
        <w:t>格式自拟</w:t>
      </w:r>
    </w:p>
    <w:p w14:paraId="017B7510">
      <w:pPr>
        <w:keepNext/>
        <w:keepLines/>
        <w:pageBreakBefore w:val="0"/>
        <w:shd w:val="clear" w:fill="FFFFFF" w:themeFill="background1"/>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格式4、</w:t>
      </w:r>
      <w:r>
        <w:rPr>
          <w:rFonts w:hint="eastAsia" w:ascii="仿宋" w:hAnsi="仿宋" w:eastAsia="仿宋" w:cs="仿宋"/>
          <w:b/>
          <w:color w:val="auto"/>
          <w:kern w:val="0"/>
          <w:sz w:val="24"/>
          <w:szCs w:val="24"/>
          <w:highlight w:val="none"/>
        </w:rPr>
        <w:t>投标人认为还需要提供的其他资料</w:t>
      </w:r>
    </w:p>
    <w:p w14:paraId="7C81135C">
      <w:pPr>
        <w:pageBreakBefore w:val="0"/>
        <w:shd w:val="clear" w:fill="FFFFFF" w:themeFill="background1"/>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格式自拟</w:t>
      </w:r>
    </w:p>
    <w:p w14:paraId="496D4B7D">
      <w:pPr>
        <w:keepNext/>
        <w:keepLines/>
        <w:pageBreakBefore w:val="0"/>
        <w:shd w:val="clear"/>
        <w:topLinePunct w:val="0"/>
        <w:bidi w:val="0"/>
        <w:spacing w:beforeAutospacing="0" w:afterAutospacing="0" w:line="360" w:lineRule="auto"/>
        <w:ind w:left="0" w:leftChars="0" w:right="0" w:rightChars="0" w:firstLine="480" w:firstLineChars="200"/>
        <w:jc w:val="center"/>
        <w:outlineLvl w:val="1"/>
        <w:rPr>
          <w:rFonts w:hint="eastAsia" w:ascii="仿宋" w:hAnsi="仿宋" w:eastAsia="仿宋" w:cs="仿宋"/>
          <w:b/>
          <w:color w:val="auto"/>
          <w:sz w:val="30"/>
          <w:szCs w:val="30"/>
          <w:highlight w:val="none"/>
        </w:rPr>
      </w:pPr>
      <w:r>
        <w:rPr>
          <w:rFonts w:hint="eastAsia" w:ascii="仿宋" w:hAnsi="仿宋" w:eastAsia="仿宋" w:cs="仿宋"/>
          <w:color w:val="auto"/>
          <w:sz w:val="24"/>
          <w:szCs w:val="24"/>
          <w:highlight w:val="none"/>
        </w:rPr>
        <w:br w:type="page"/>
      </w:r>
      <w:bookmarkStart w:id="633" w:name="_Toc26861"/>
      <w:bookmarkStart w:id="634" w:name="_Toc485"/>
      <w:r>
        <w:rPr>
          <w:rFonts w:hint="eastAsia" w:ascii="仿宋" w:hAnsi="仿宋" w:eastAsia="仿宋" w:cs="仿宋"/>
          <w:b/>
          <w:color w:val="auto"/>
          <w:sz w:val="30"/>
          <w:szCs w:val="30"/>
          <w:highlight w:val="none"/>
          <w:lang w:eastAsia="zh-CN"/>
        </w:rPr>
        <w:t>五</w:t>
      </w:r>
      <w:r>
        <w:rPr>
          <w:rFonts w:hint="eastAsia" w:ascii="仿宋" w:hAnsi="仿宋" w:eastAsia="仿宋" w:cs="仿宋"/>
          <w:b/>
          <w:color w:val="auto"/>
          <w:sz w:val="30"/>
          <w:szCs w:val="30"/>
          <w:highlight w:val="none"/>
        </w:rPr>
        <w:t>、商务标部分</w:t>
      </w:r>
      <w:bookmarkEnd w:id="633"/>
      <w:bookmarkEnd w:id="634"/>
    </w:p>
    <w:p w14:paraId="067B8599">
      <w:pPr>
        <w:keepNext/>
        <w:keepLines/>
        <w:pageBreakBefore w:val="0"/>
        <w:shd w:val="clear"/>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b/>
          <w:color w:val="auto"/>
          <w:sz w:val="24"/>
          <w:szCs w:val="24"/>
          <w:highlight w:val="none"/>
        </w:rPr>
      </w:pPr>
      <w:bookmarkStart w:id="635" w:name="_Toc406162627"/>
      <w:bookmarkStart w:id="636" w:name="_Toc383636422"/>
      <w:bookmarkStart w:id="637" w:name="_Toc391301881"/>
      <w:bookmarkStart w:id="638" w:name="_Toc527634733"/>
      <w:bookmarkStart w:id="639" w:name="_Toc14410"/>
      <w:bookmarkStart w:id="640" w:name="_Toc388360814"/>
      <w:r>
        <w:rPr>
          <w:rFonts w:hint="eastAsia" w:ascii="仿宋" w:hAnsi="仿宋" w:eastAsia="仿宋" w:cs="仿宋"/>
          <w:b/>
          <w:color w:val="auto"/>
          <w:sz w:val="24"/>
          <w:szCs w:val="24"/>
          <w:highlight w:val="none"/>
        </w:rPr>
        <w:t>格式1、投标</w:t>
      </w:r>
      <w:bookmarkEnd w:id="635"/>
      <w:bookmarkEnd w:id="636"/>
      <w:bookmarkEnd w:id="637"/>
      <w:bookmarkEnd w:id="638"/>
      <w:r>
        <w:rPr>
          <w:rFonts w:hint="eastAsia" w:ascii="仿宋" w:hAnsi="仿宋" w:eastAsia="仿宋" w:cs="仿宋"/>
          <w:b/>
          <w:color w:val="auto"/>
          <w:sz w:val="24"/>
          <w:szCs w:val="24"/>
          <w:highlight w:val="none"/>
        </w:rPr>
        <w:t>书</w:t>
      </w:r>
      <w:bookmarkEnd w:id="639"/>
    </w:p>
    <w:p w14:paraId="37CE631F">
      <w:pPr>
        <w:pageBreakBefore w:val="0"/>
        <w:shd w:val="clear"/>
        <w:topLinePunct w:val="0"/>
        <w:bidi w:val="0"/>
        <w:spacing w:beforeAutospacing="0" w:afterAutospacing="0" w:line="360" w:lineRule="auto"/>
        <w:ind w:left="0" w:leftChars="0" w:right="0" w:rightChars="0"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致：</w:t>
      </w:r>
      <w:r>
        <w:rPr>
          <w:rFonts w:hint="eastAsia" w:ascii="仿宋" w:hAnsi="仿宋" w:eastAsia="仿宋" w:cs="仿宋"/>
          <w:b/>
          <w:color w:val="auto"/>
          <w:sz w:val="24"/>
          <w:szCs w:val="24"/>
          <w:highlight w:val="none"/>
          <w:u w:val="single"/>
          <w:lang w:val="en-US" w:eastAsia="zh-CN"/>
        </w:rPr>
        <w:t>采购代理机构</w:t>
      </w:r>
    </w:p>
    <w:p w14:paraId="11D9265F">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根据贵方代理的</w:t>
      </w:r>
      <w:r>
        <w:rPr>
          <w:rFonts w:hint="eastAsia" w:ascii="仿宋" w:hAnsi="仿宋" w:eastAsia="仿宋" w:cs="仿宋"/>
          <w:color w:val="auto"/>
          <w:sz w:val="24"/>
          <w:szCs w:val="24"/>
          <w:highlight w:val="none"/>
          <w:u w:val="single"/>
          <w:lang w:val="en-US" w:eastAsia="zh-CN"/>
        </w:rPr>
        <w:t xml:space="preserve">        （项目名称）         </w:t>
      </w:r>
      <w:r>
        <w:rPr>
          <w:rFonts w:hint="eastAsia" w:ascii="仿宋" w:hAnsi="仿宋" w:eastAsia="仿宋" w:cs="仿宋"/>
          <w:color w:val="auto"/>
          <w:sz w:val="24"/>
          <w:szCs w:val="24"/>
          <w:highlight w:val="none"/>
        </w:rPr>
        <w:t>招标文件。我单位（公司）决定参加该项目的投标，我单位（或公司）同意以下事项：</w:t>
      </w:r>
    </w:p>
    <w:p w14:paraId="73DAE383">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我方承诺已经具备《中华人民共和国政府采购法》中规定的参加政府采购活动的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应当具备的条件。</w:t>
      </w:r>
    </w:p>
    <w:p w14:paraId="44D79769">
      <w:pPr>
        <w:pageBreakBefore w:val="0"/>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遵守招标文件的各项条款及一切有关规定，并在投标人须知前附表第</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条规定的投标有效期满之前均具有约束力。如果我方投标被接受，则至合同履行完毕、</w:t>
      </w:r>
      <w:r>
        <w:rPr>
          <w:rFonts w:hint="eastAsia" w:ascii="仿宋" w:hAnsi="仿宋" w:eastAsia="仿宋" w:cs="仿宋"/>
          <w:color w:val="auto"/>
          <w:sz w:val="24"/>
          <w:szCs w:val="24"/>
          <w:highlight w:val="none"/>
          <w:lang w:eastAsia="zh-CN"/>
        </w:rPr>
        <w:t>维修服务</w:t>
      </w:r>
      <w:r>
        <w:rPr>
          <w:rFonts w:hint="eastAsia" w:ascii="仿宋" w:hAnsi="仿宋" w:eastAsia="仿宋" w:cs="仿宋"/>
          <w:color w:val="auto"/>
          <w:sz w:val="24"/>
          <w:szCs w:val="24"/>
          <w:highlight w:val="none"/>
        </w:rPr>
        <w:t>满为止，本投标书保持有效。</w:t>
      </w:r>
    </w:p>
    <w:p w14:paraId="282479A8">
      <w:pPr>
        <w:pageBreakBefore w:val="0"/>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3.我方承诺严格遵守招标文件中的各项要求及合同条款，并承担合同规定的责任义务。</w:t>
      </w:r>
    </w:p>
    <w:p w14:paraId="7926191A">
      <w:pPr>
        <w:pageBreakBefore w:val="0"/>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同意应贵方要求提供与</w:t>
      </w:r>
      <w:r>
        <w:rPr>
          <w:rFonts w:hint="eastAsia" w:ascii="仿宋" w:hAnsi="仿宋" w:eastAsia="仿宋" w:cs="仿宋"/>
          <w:color w:val="auto"/>
          <w:sz w:val="24"/>
          <w:szCs w:val="24"/>
          <w:highlight w:val="none"/>
          <w:lang w:eastAsia="zh-CN"/>
        </w:rPr>
        <w:t>本次</w:t>
      </w:r>
      <w:r>
        <w:rPr>
          <w:rFonts w:hint="eastAsia" w:ascii="仿宋" w:hAnsi="仿宋" w:eastAsia="仿宋" w:cs="仿宋"/>
          <w:color w:val="auto"/>
          <w:sz w:val="24"/>
          <w:szCs w:val="24"/>
          <w:highlight w:val="none"/>
        </w:rPr>
        <w:t>投标有关的任何数据和资料，并保证数据和资料的完整性和真实性，若有违反，我方愿意承担一切后果。</w:t>
      </w:r>
    </w:p>
    <w:p w14:paraId="2826E0E1">
      <w:pPr>
        <w:pageBreakBefore w:val="0"/>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我方已详细</w:t>
      </w:r>
      <w:r>
        <w:rPr>
          <w:rFonts w:hint="eastAsia" w:ascii="仿宋" w:hAnsi="仿宋" w:eastAsia="仿宋" w:cs="仿宋"/>
          <w:color w:val="auto"/>
          <w:sz w:val="24"/>
          <w:szCs w:val="24"/>
          <w:highlight w:val="none"/>
          <w:lang w:val="en-US" w:eastAsia="zh-CN"/>
        </w:rPr>
        <w:t>审阅</w:t>
      </w:r>
      <w:r>
        <w:rPr>
          <w:rFonts w:hint="eastAsia" w:ascii="仿宋" w:hAnsi="仿宋" w:eastAsia="仿宋" w:cs="仿宋"/>
          <w:color w:val="auto"/>
          <w:sz w:val="24"/>
          <w:szCs w:val="24"/>
          <w:highlight w:val="none"/>
        </w:rPr>
        <w:t>招标文件，我方对招标文件各项条款和评标办法无异议，</w:t>
      </w:r>
      <w:r>
        <w:rPr>
          <w:rFonts w:hint="eastAsia" w:ascii="仿宋" w:hAnsi="仿宋" w:eastAsia="仿宋" w:cs="仿宋"/>
          <w:color w:val="auto"/>
          <w:sz w:val="24"/>
          <w:szCs w:val="24"/>
          <w:highlight w:val="none"/>
          <w:lang w:eastAsia="zh-CN"/>
        </w:rPr>
        <w:t>并决定</w:t>
      </w:r>
      <w:r>
        <w:rPr>
          <w:rFonts w:hint="eastAsia" w:ascii="仿宋" w:hAnsi="仿宋" w:eastAsia="仿宋" w:cs="仿宋"/>
          <w:color w:val="auto"/>
          <w:sz w:val="24"/>
          <w:szCs w:val="24"/>
          <w:highlight w:val="none"/>
        </w:rPr>
        <w:t>放弃提出</w:t>
      </w:r>
      <w:r>
        <w:rPr>
          <w:rFonts w:hint="eastAsia" w:ascii="仿宋" w:hAnsi="仿宋" w:eastAsia="仿宋" w:cs="仿宋"/>
          <w:color w:val="auto"/>
          <w:sz w:val="24"/>
          <w:szCs w:val="24"/>
          <w:highlight w:val="none"/>
          <w:lang w:eastAsia="zh-CN"/>
        </w:rPr>
        <w:t>异议</w:t>
      </w:r>
      <w:r>
        <w:rPr>
          <w:rFonts w:hint="eastAsia" w:ascii="仿宋" w:hAnsi="仿宋" w:eastAsia="仿宋" w:cs="仿宋"/>
          <w:color w:val="auto"/>
          <w:sz w:val="24"/>
          <w:szCs w:val="24"/>
          <w:highlight w:val="none"/>
        </w:rPr>
        <w:t>的权利。</w:t>
      </w:r>
    </w:p>
    <w:p w14:paraId="07E0C87E">
      <w:pPr>
        <w:pageBreakBefore w:val="0"/>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如果在投标文件有效期内撤回投标或者有其他违约行为，我方的投标保证金可被贵方全部没收。</w:t>
      </w:r>
    </w:p>
    <w:p w14:paraId="44D1E86E">
      <w:pPr>
        <w:pageBreakBefore w:val="0"/>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若贵方需要，我方愿意提供我方</w:t>
      </w:r>
      <w:r>
        <w:rPr>
          <w:rFonts w:hint="eastAsia" w:ascii="仿宋" w:hAnsi="仿宋" w:eastAsia="仿宋" w:cs="仿宋"/>
          <w:color w:val="auto"/>
          <w:sz w:val="24"/>
          <w:szCs w:val="24"/>
          <w:highlight w:val="none"/>
          <w:lang w:eastAsia="zh-CN"/>
        </w:rPr>
        <w:t>做出</w:t>
      </w:r>
      <w:r>
        <w:rPr>
          <w:rFonts w:hint="eastAsia" w:ascii="仿宋" w:hAnsi="仿宋" w:eastAsia="仿宋" w:cs="仿宋"/>
          <w:color w:val="auto"/>
          <w:sz w:val="24"/>
          <w:szCs w:val="24"/>
          <w:highlight w:val="none"/>
        </w:rPr>
        <w:t>的一切承诺的证明材料。</w:t>
      </w:r>
    </w:p>
    <w:p w14:paraId="18120331">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5D480E4B">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投标人（电子公章）：</w:t>
      </w:r>
      <w:r>
        <w:rPr>
          <w:rFonts w:hint="eastAsia" w:ascii="仿宋" w:hAnsi="仿宋" w:eastAsia="仿宋" w:cs="仿宋"/>
          <w:color w:val="auto"/>
          <w:sz w:val="24"/>
          <w:szCs w:val="24"/>
          <w:highlight w:val="none"/>
          <w:u w:val="single"/>
          <w:lang w:val="en-US" w:eastAsia="zh-CN"/>
        </w:rPr>
        <w:t xml:space="preserve">                              </w:t>
      </w:r>
    </w:p>
    <w:p w14:paraId="2EC3D5F5">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lang w:val="en-US" w:eastAsia="zh-CN"/>
        </w:rPr>
        <w:t xml:space="preserve">                        </w:t>
      </w:r>
    </w:p>
    <w:p w14:paraId="09DEAF7E">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lang w:val="en-US" w:eastAsia="zh-CN"/>
        </w:rPr>
        <w:t xml:space="preserve">                        </w:t>
      </w:r>
    </w:p>
    <w:p w14:paraId="21498469">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法定代表人或委托代理人（</w:t>
      </w:r>
      <w:r>
        <w:rPr>
          <w:rFonts w:hint="eastAsia" w:ascii="仿宋" w:hAnsi="仿宋" w:eastAsia="仿宋" w:cs="仿宋"/>
          <w:color w:val="auto"/>
          <w:sz w:val="24"/>
          <w:szCs w:val="24"/>
          <w:highlight w:val="none"/>
          <w:lang w:eastAsia="zh-CN"/>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41D82ACE">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14:paraId="6E5286E8">
      <w:pPr>
        <w:pageBreakBefore w:val="0"/>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bookmarkStart w:id="641" w:name="_Toc469987741"/>
      <w:bookmarkStart w:id="642" w:name="_Toc469987155"/>
      <w:bookmarkStart w:id="643" w:name="_Toc38173198"/>
      <w:r>
        <w:rPr>
          <w:rFonts w:hint="eastAsia" w:ascii="仿宋" w:hAnsi="仿宋" w:eastAsia="仿宋" w:cs="仿宋"/>
          <w:color w:val="auto"/>
          <w:sz w:val="24"/>
          <w:szCs w:val="24"/>
          <w:highlight w:val="none"/>
        </w:rPr>
        <w:br w:type="page"/>
      </w:r>
    </w:p>
    <w:p w14:paraId="0A35F37D">
      <w:pPr>
        <w:pStyle w:val="11"/>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highlight w:val="none"/>
        </w:rPr>
      </w:pPr>
    </w:p>
    <w:p w14:paraId="54D245FA">
      <w:pPr>
        <w:keepNext/>
        <w:keepLines/>
        <w:pageBreakBefore w:val="0"/>
        <w:shd w:val="clear"/>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b/>
          <w:color w:val="auto"/>
          <w:sz w:val="24"/>
          <w:szCs w:val="24"/>
          <w:highlight w:val="none"/>
        </w:rPr>
      </w:pPr>
      <w:bookmarkStart w:id="644" w:name="_Toc7239"/>
      <w:r>
        <w:rPr>
          <w:rFonts w:hint="eastAsia" w:ascii="仿宋" w:hAnsi="仿宋" w:eastAsia="仿宋" w:cs="仿宋"/>
          <w:b/>
          <w:color w:val="auto"/>
          <w:sz w:val="24"/>
          <w:szCs w:val="24"/>
          <w:highlight w:val="none"/>
        </w:rPr>
        <w:t>格式2、投标质量保证书</w:t>
      </w:r>
      <w:bookmarkEnd w:id="641"/>
      <w:bookmarkEnd w:id="642"/>
      <w:bookmarkEnd w:id="643"/>
      <w:bookmarkEnd w:id="644"/>
    </w:p>
    <w:p w14:paraId="63826337">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31E6AED7">
      <w:pPr>
        <w:pageBreakBefore w:val="0"/>
        <w:shd w:val="clear"/>
        <w:topLinePunct w:val="0"/>
        <w:bidi w:val="0"/>
        <w:spacing w:beforeAutospacing="0" w:afterAutospacing="0" w:line="360" w:lineRule="auto"/>
        <w:ind w:left="0" w:leftChars="0" w:right="0" w:rightChars="0"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致：</w:t>
      </w:r>
      <w:r>
        <w:rPr>
          <w:rFonts w:hint="eastAsia" w:ascii="仿宋" w:hAnsi="仿宋" w:eastAsia="仿宋" w:cs="仿宋"/>
          <w:b/>
          <w:color w:val="auto"/>
          <w:sz w:val="24"/>
          <w:szCs w:val="24"/>
          <w:highlight w:val="none"/>
          <w:u w:val="single"/>
          <w:lang w:val="en-US" w:eastAsia="zh-CN"/>
        </w:rPr>
        <w:t>招标人/采购代理机构</w:t>
      </w:r>
    </w:p>
    <w:p w14:paraId="146DD6BA">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本书作为（投标人）对</w:t>
      </w:r>
      <w:r>
        <w:rPr>
          <w:rFonts w:hint="eastAsia" w:ascii="仿宋" w:hAnsi="仿宋" w:eastAsia="仿宋" w:cs="仿宋"/>
          <w:color w:val="auto"/>
          <w:sz w:val="24"/>
          <w:szCs w:val="24"/>
          <w:highlight w:val="none"/>
          <w:u w:val="single"/>
          <w:lang w:val="en-US" w:eastAsia="zh-CN"/>
        </w:rPr>
        <w:t xml:space="preserve">      （项目名称）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）所投标产品的质量保证的证明。</w:t>
      </w:r>
    </w:p>
    <w:p w14:paraId="699395AF">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我方承诺提供以下质量保证并承担相应的法律责任：</w:t>
      </w:r>
    </w:p>
    <w:p w14:paraId="0F1FE8C3">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提供的产品是全新的、符合国家质量标准的产品。</w:t>
      </w:r>
    </w:p>
    <w:p w14:paraId="161C84F6">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提供的产品符合投标文件承诺和所签合同规定的技术要求。</w:t>
      </w:r>
    </w:p>
    <w:p w14:paraId="6D36A470">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保证“投标售后服务承诺”全部内容的满足。</w:t>
      </w:r>
    </w:p>
    <w:p w14:paraId="722459EE">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提供的产品货真价实，不以次充好。</w:t>
      </w:r>
    </w:p>
    <w:p w14:paraId="4D0C0909">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保证诚信经营，绝不弄虚作假。</w:t>
      </w:r>
    </w:p>
    <w:p w14:paraId="1A51F0D1">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本保证书自开标日起90天内有效，如我方中标则至货物保质期满为止有效。</w:t>
      </w:r>
    </w:p>
    <w:p w14:paraId="097B6A6F">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53DD6312">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347001AC">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07793BDC">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09CB0D85">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08A7AE7E">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69A53C7D">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投标人（电子公章）：</w:t>
      </w:r>
      <w:r>
        <w:rPr>
          <w:rFonts w:hint="eastAsia" w:ascii="仿宋" w:hAnsi="仿宋" w:eastAsia="仿宋" w:cs="仿宋"/>
          <w:color w:val="auto"/>
          <w:sz w:val="24"/>
          <w:szCs w:val="24"/>
          <w:highlight w:val="none"/>
          <w:u w:val="single"/>
          <w:lang w:val="en-US" w:eastAsia="zh-CN"/>
        </w:rPr>
        <w:t xml:space="preserve">                        </w:t>
      </w:r>
    </w:p>
    <w:p w14:paraId="4A73723D">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法定代表人或委托代理人（</w:t>
      </w:r>
      <w:r>
        <w:rPr>
          <w:rFonts w:hint="eastAsia" w:ascii="仿宋" w:hAnsi="仿宋" w:eastAsia="仿宋" w:cs="仿宋"/>
          <w:color w:val="auto"/>
          <w:sz w:val="24"/>
          <w:szCs w:val="24"/>
          <w:highlight w:val="none"/>
          <w:lang w:eastAsia="zh-CN"/>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5C758A0C">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14:paraId="7BF6027E">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645" w:name="_Toc38173197"/>
      <w:bookmarkStart w:id="646" w:name="_Toc31603098"/>
      <w:bookmarkStart w:id="647" w:name="_Toc469987742"/>
      <w:bookmarkStart w:id="648" w:name="_Toc4678"/>
      <w:bookmarkStart w:id="649" w:name="_Toc469987156"/>
    </w:p>
    <w:p w14:paraId="16A6EA64">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p>
    <w:p w14:paraId="602F1EC9">
      <w:pPr>
        <w:keepNext/>
        <w:keepLines/>
        <w:pageBreakBefore w:val="0"/>
        <w:shd w:val="clear"/>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格式3</w:t>
      </w:r>
      <w:bookmarkEnd w:id="645"/>
      <w:bookmarkEnd w:id="646"/>
      <w:r>
        <w:rPr>
          <w:rFonts w:hint="eastAsia" w:ascii="仿宋" w:hAnsi="仿宋" w:eastAsia="仿宋" w:cs="仿宋"/>
          <w:b/>
          <w:color w:val="auto"/>
          <w:sz w:val="24"/>
          <w:szCs w:val="24"/>
          <w:highlight w:val="none"/>
        </w:rPr>
        <w:t>、投标人承诺书（1）</w:t>
      </w:r>
      <w:bookmarkEnd w:id="647"/>
      <w:bookmarkEnd w:id="648"/>
      <w:bookmarkEnd w:id="649"/>
    </w:p>
    <w:p w14:paraId="3C38DDD0">
      <w:pPr>
        <w:pageBreakBefore w:val="0"/>
        <w:widowControl/>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本单位作为参与</w:t>
      </w:r>
      <w:r>
        <w:rPr>
          <w:rFonts w:hint="eastAsia" w:ascii="仿宋" w:hAnsi="仿宋" w:eastAsia="仿宋" w:cs="仿宋"/>
          <w:color w:val="auto"/>
          <w:sz w:val="24"/>
          <w:szCs w:val="24"/>
          <w:highlight w:val="none"/>
          <w:u w:val="single"/>
          <w:lang w:val="en-US" w:eastAsia="zh-CN"/>
        </w:rPr>
        <w:t xml:space="preserve">      （项目名称）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的投标人，现</w:t>
      </w:r>
      <w:r>
        <w:rPr>
          <w:rFonts w:hint="eastAsia" w:ascii="仿宋" w:hAnsi="仿宋" w:eastAsia="仿宋" w:cs="仿宋"/>
          <w:color w:val="auto"/>
          <w:kern w:val="0"/>
          <w:sz w:val="24"/>
          <w:szCs w:val="24"/>
          <w:highlight w:val="none"/>
          <w:lang w:val="en-US" w:eastAsia="zh-CN"/>
        </w:rPr>
        <w:t>作</w:t>
      </w:r>
      <w:r>
        <w:rPr>
          <w:rFonts w:hint="eastAsia" w:ascii="仿宋" w:hAnsi="仿宋" w:eastAsia="仿宋" w:cs="仿宋"/>
          <w:color w:val="auto"/>
          <w:kern w:val="0"/>
          <w:sz w:val="24"/>
          <w:szCs w:val="24"/>
          <w:highlight w:val="none"/>
        </w:rPr>
        <w:t>如下承诺：</w:t>
      </w:r>
    </w:p>
    <w:p w14:paraId="4AC4CC06">
      <w:pPr>
        <w:pageBreakBefore w:val="0"/>
        <w:widowControl/>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1.</w:t>
      </w:r>
      <w:r>
        <w:rPr>
          <w:rFonts w:hint="eastAsia" w:ascii="仿宋" w:hAnsi="仿宋" w:eastAsia="仿宋" w:cs="仿宋"/>
          <w:color w:val="auto"/>
          <w:kern w:val="0"/>
          <w:sz w:val="24"/>
          <w:szCs w:val="24"/>
          <w:highlight w:val="none"/>
        </w:rPr>
        <w:t>所提供的一切材料都是真实、有效、合法的。</w:t>
      </w:r>
    </w:p>
    <w:p w14:paraId="7CFF82B1">
      <w:pPr>
        <w:pageBreakBefore w:val="0"/>
        <w:widowControl/>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2.</w:t>
      </w:r>
      <w:r>
        <w:rPr>
          <w:rFonts w:hint="eastAsia" w:ascii="仿宋" w:hAnsi="仿宋" w:eastAsia="仿宋" w:cs="仿宋"/>
          <w:color w:val="auto"/>
          <w:kern w:val="0"/>
          <w:sz w:val="24"/>
          <w:szCs w:val="24"/>
          <w:highlight w:val="none"/>
        </w:rPr>
        <w:t>不与其他投标人串通投标，不损害</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或其他投标人的合法权益。</w:t>
      </w:r>
    </w:p>
    <w:p w14:paraId="4F4A70BD">
      <w:pPr>
        <w:pageBreakBefore w:val="0"/>
        <w:widowControl/>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3.</w:t>
      </w:r>
      <w:r>
        <w:rPr>
          <w:rFonts w:hint="eastAsia" w:ascii="仿宋" w:hAnsi="仿宋" w:eastAsia="仿宋" w:cs="仿宋"/>
          <w:color w:val="auto"/>
          <w:kern w:val="0"/>
          <w:sz w:val="24"/>
          <w:szCs w:val="24"/>
          <w:highlight w:val="none"/>
        </w:rPr>
        <w:t>不转让、出租、出借资质证书、人员岗位证书或以其他方式允许他人以本企业名义投标。</w:t>
      </w:r>
    </w:p>
    <w:p w14:paraId="357D6E57">
      <w:pPr>
        <w:pageBreakBefore w:val="0"/>
        <w:widowControl/>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4.</w:t>
      </w:r>
      <w:r>
        <w:rPr>
          <w:rFonts w:hint="eastAsia" w:ascii="仿宋" w:hAnsi="仿宋" w:eastAsia="仿宋" w:cs="仿宋"/>
          <w:color w:val="auto"/>
          <w:kern w:val="0"/>
          <w:sz w:val="24"/>
          <w:szCs w:val="24"/>
          <w:highlight w:val="none"/>
        </w:rPr>
        <w:t>不与</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或</w:t>
      </w:r>
      <w:r>
        <w:rPr>
          <w:rFonts w:hint="eastAsia" w:ascii="仿宋" w:hAnsi="仿宋" w:eastAsia="仿宋" w:cs="仿宋"/>
          <w:color w:val="auto"/>
          <w:kern w:val="0"/>
          <w:sz w:val="24"/>
          <w:szCs w:val="24"/>
          <w:highlight w:val="none"/>
          <w:lang w:eastAsia="zh-CN"/>
        </w:rPr>
        <w:t>采购代理机构</w:t>
      </w:r>
      <w:r>
        <w:rPr>
          <w:rFonts w:hint="eastAsia" w:ascii="仿宋" w:hAnsi="仿宋" w:eastAsia="仿宋" w:cs="仿宋"/>
          <w:color w:val="auto"/>
          <w:kern w:val="0"/>
          <w:sz w:val="24"/>
          <w:szCs w:val="24"/>
          <w:highlight w:val="none"/>
        </w:rPr>
        <w:t>串通投标，损害国家利益、社会公共利益或者他人的合法权益。</w:t>
      </w:r>
    </w:p>
    <w:p w14:paraId="5292CA5E">
      <w:pPr>
        <w:pageBreakBefore w:val="0"/>
        <w:widowControl/>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5.</w:t>
      </w:r>
      <w:r>
        <w:rPr>
          <w:rFonts w:hint="eastAsia" w:ascii="仿宋" w:hAnsi="仿宋" w:eastAsia="仿宋" w:cs="仿宋"/>
          <w:color w:val="auto"/>
          <w:kern w:val="0"/>
          <w:sz w:val="24"/>
          <w:szCs w:val="24"/>
          <w:highlight w:val="none"/>
        </w:rPr>
        <w:t>不向</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、评标委员会成员、监督人员行贿。</w:t>
      </w:r>
    </w:p>
    <w:p w14:paraId="3C03FAA8">
      <w:pPr>
        <w:pageBreakBefore w:val="0"/>
        <w:widowControl/>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6.</w:t>
      </w:r>
      <w:r>
        <w:rPr>
          <w:rFonts w:hint="eastAsia" w:ascii="仿宋" w:hAnsi="仿宋" w:eastAsia="仿宋" w:cs="仿宋"/>
          <w:color w:val="auto"/>
          <w:kern w:val="0"/>
          <w:sz w:val="24"/>
          <w:szCs w:val="24"/>
          <w:highlight w:val="none"/>
        </w:rPr>
        <w:t>不扰乱招标投标活动正常秩序。</w:t>
      </w:r>
    </w:p>
    <w:p w14:paraId="6B6ECE26">
      <w:pPr>
        <w:pageBreakBefore w:val="0"/>
        <w:widowControl/>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7.</w:t>
      </w:r>
      <w:r>
        <w:rPr>
          <w:rFonts w:hint="eastAsia" w:ascii="仿宋" w:hAnsi="仿宋" w:eastAsia="仿宋" w:cs="仿宋"/>
          <w:color w:val="auto"/>
          <w:kern w:val="0"/>
          <w:sz w:val="24"/>
          <w:szCs w:val="24"/>
          <w:highlight w:val="none"/>
        </w:rPr>
        <w:t>不进行虚假恶意投诉。</w:t>
      </w:r>
    </w:p>
    <w:p w14:paraId="4F0D6494">
      <w:pPr>
        <w:pageBreakBefore w:val="0"/>
        <w:widowControl/>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8.</w:t>
      </w:r>
      <w:r>
        <w:rPr>
          <w:rFonts w:hint="eastAsia" w:ascii="仿宋" w:hAnsi="仿宋" w:eastAsia="仿宋" w:cs="仿宋"/>
          <w:color w:val="auto"/>
          <w:kern w:val="0"/>
          <w:sz w:val="24"/>
          <w:szCs w:val="24"/>
          <w:highlight w:val="none"/>
          <w:lang w:val="en-US" w:eastAsia="zh-CN"/>
        </w:rPr>
        <w:t>未</w:t>
      </w:r>
      <w:r>
        <w:rPr>
          <w:rFonts w:hint="eastAsia" w:ascii="仿宋" w:hAnsi="仿宋" w:eastAsia="仿宋" w:cs="仿宋"/>
          <w:color w:val="auto"/>
          <w:kern w:val="0"/>
          <w:sz w:val="24"/>
          <w:szCs w:val="24"/>
          <w:highlight w:val="none"/>
        </w:rPr>
        <w:t>因违反</w:t>
      </w:r>
      <w:r>
        <w:rPr>
          <w:rFonts w:hint="eastAsia" w:ascii="仿宋" w:hAnsi="仿宋" w:eastAsia="仿宋" w:cs="仿宋"/>
          <w:color w:val="auto"/>
          <w:kern w:val="0"/>
          <w:sz w:val="24"/>
          <w:szCs w:val="24"/>
          <w:highlight w:val="none"/>
          <w:lang w:eastAsia="zh-CN"/>
        </w:rPr>
        <w:t>法律法规</w:t>
      </w:r>
      <w:r>
        <w:rPr>
          <w:rFonts w:hint="eastAsia" w:ascii="仿宋" w:hAnsi="仿宋" w:eastAsia="仿宋" w:cs="仿宋"/>
          <w:color w:val="auto"/>
          <w:kern w:val="0"/>
          <w:sz w:val="24"/>
          <w:szCs w:val="24"/>
          <w:highlight w:val="none"/>
        </w:rPr>
        <w:t>、规章被查处的，不干预案件查处。</w:t>
      </w:r>
    </w:p>
    <w:p w14:paraId="4958C24C">
      <w:pPr>
        <w:pageBreakBefore w:val="0"/>
        <w:widowControl/>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如出现上述行为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投标人自愿承担相关责任，接受</w:t>
      </w:r>
      <w:r>
        <w:rPr>
          <w:rFonts w:hint="eastAsia" w:ascii="仿宋" w:hAnsi="仿宋" w:eastAsia="仿宋" w:cs="仿宋"/>
          <w:color w:val="auto"/>
          <w:sz w:val="24"/>
          <w:szCs w:val="24"/>
          <w:highlight w:val="none"/>
          <w:lang w:val="en-US" w:eastAsia="zh-CN"/>
        </w:rPr>
        <w:t>政府采购</w:t>
      </w:r>
      <w:r>
        <w:rPr>
          <w:rFonts w:hint="eastAsia" w:ascii="仿宋" w:hAnsi="仿宋" w:eastAsia="仿宋" w:cs="仿宋"/>
          <w:color w:val="auto"/>
          <w:sz w:val="24"/>
          <w:szCs w:val="24"/>
          <w:highlight w:val="none"/>
        </w:rPr>
        <w:t>监督管理部门、纪检</w:t>
      </w:r>
      <w:r>
        <w:rPr>
          <w:rFonts w:hint="eastAsia" w:ascii="仿宋" w:hAnsi="仿宋" w:eastAsia="仿宋" w:cs="仿宋"/>
          <w:color w:val="auto"/>
          <w:sz w:val="24"/>
          <w:szCs w:val="24"/>
          <w:highlight w:val="none"/>
          <w:lang w:eastAsia="zh-CN"/>
        </w:rPr>
        <w:t>国家监察委员会</w:t>
      </w:r>
      <w:r>
        <w:rPr>
          <w:rFonts w:hint="eastAsia" w:ascii="仿宋" w:hAnsi="仿宋" w:eastAsia="仿宋" w:cs="仿宋"/>
          <w:color w:val="auto"/>
          <w:sz w:val="24"/>
          <w:szCs w:val="24"/>
          <w:highlight w:val="none"/>
        </w:rPr>
        <w:t>或司法机关调查处理。</w:t>
      </w:r>
      <w:r>
        <w:rPr>
          <w:rFonts w:hint="eastAsia" w:ascii="仿宋" w:hAnsi="仿宋" w:eastAsia="仿宋" w:cs="仿宋"/>
          <w:color w:val="auto"/>
          <w:kern w:val="0"/>
          <w:sz w:val="24"/>
          <w:szCs w:val="24"/>
          <w:highlight w:val="none"/>
        </w:rPr>
        <w:t>给</w:t>
      </w:r>
      <w:r>
        <w:rPr>
          <w:rFonts w:hint="eastAsia" w:ascii="仿宋" w:hAnsi="仿宋" w:eastAsia="仿宋" w:cs="仿宋"/>
          <w:color w:val="auto"/>
          <w:kern w:val="0"/>
          <w:sz w:val="24"/>
          <w:szCs w:val="24"/>
          <w:highlight w:val="none"/>
          <w:lang w:eastAsia="zh-CN"/>
        </w:rPr>
        <w:t>招标人</w:t>
      </w:r>
      <w:r>
        <w:rPr>
          <w:rFonts w:hint="eastAsia" w:ascii="仿宋" w:hAnsi="仿宋" w:eastAsia="仿宋" w:cs="仿宋"/>
          <w:color w:val="auto"/>
          <w:kern w:val="0"/>
          <w:sz w:val="24"/>
          <w:szCs w:val="24"/>
          <w:highlight w:val="none"/>
        </w:rPr>
        <w:t>造成损失的，依法承担赔偿责任。</w:t>
      </w:r>
    </w:p>
    <w:p w14:paraId="5B3C55EB">
      <w:pPr>
        <w:pageBreakBefore w:val="0"/>
        <w:widowControl/>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kern w:val="0"/>
          <w:sz w:val="24"/>
          <w:szCs w:val="24"/>
          <w:highlight w:val="none"/>
        </w:rPr>
      </w:pPr>
    </w:p>
    <w:p w14:paraId="09637C6A">
      <w:pPr>
        <w:pageBreakBefore w:val="0"/>
        <w:widowControl/>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kern w:val="0"/>
          <w:sz w:val="24"/>
          <w:szCs w:val="24"/>
          <w:highlight w:val="none"/>
        </w:rPr>
      </w:pPr>
    </w:p>
    <w:p w14:paraId="6CCE4C0C">
      <w:pPr>
        <w:pageBreakBefore w:val="0"/>
        <w:widowControl/>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kern w:val="0"/>
          <w:sz w:val="24"/>
          <w:szCs w:val="24"/>
          <w:highlight w:val="none"/>
        </w:rPr>
      </w:pPr>
    </w:p>
    <w:p w14:paraId="361DA833">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投标人（电子公章）：</w:t>
      </w:r>
      <w:r>
        <w:rPr>
          <w:rFonts w:hint="eastAsia" w:ascii="仿宋" w:hAnsi="仿宋" w:eastAsia="仿宋" w:cs="仿宋"/>
          <w:color w:val="auto"/>
          <w:sz w:val="24"/>
          <w:szCs w:val="24"/>
          <w:highlight w:val="none"/>
          <w:u w:val="single"/>
          <w:lang w:val="en-US" w:eastAsia="zh-CN"/>
        </w:rPr>
        <w:t xml:space="preserve">                        </w:t>
      </w:r>
    </w:p>
    <w:p w14:paraId="69AAA452">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法定代表人或委托代理人（</w:t>
      </w:r>
      <w:r>
        <w:rPr>
          <w:rFonts w:hint="eastAsia" w:ascii="仿宋" w:hAnsi="仿宋" w:eastAsia="仿宋" w:cs="仿宋"/>
          <w:color w:val="auto"/>
          <w:sz w:val="24"/>
          <w:szCs w:val="24"/>
          <w:highlight w:val="none"/>
          <w:lang w:eastAsia="zh-CN"/>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57965C16">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14:paraId="093579DF">
      <w:pPr>
        <w:keepNext/>
        <w:keepLines/>
        <w:pageBreakBefore w:val="0"/>
        <w:shd w:val="clear"/>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br w:type="page"/>
      </w:r>
      <w:bookmarkStart w:id="650" w:name="_Toc469987158"/>
      <w:bookmarkStart w:id="651" w:name="_Toc22167"/>
      <w:bookmarkStart w:id="652" w:name="_Toc469987744"/>
      <w:r>
        <w:rPr>
          <w:rFonts w:hint="eastAsia" w:ascii="仿宋" w:hAnsi="仿宋" w:eastAsia="仿宋" w:cs="仿宋"/>
          <w:b/>
          <w:color w:val="auto"/>
          <w:sz w:val="24"/>
          <w:szCs w:val="24"/>
          <w:highlight w:val="none"/>
        </w:rPr>
        <w:t>格式4、投标人承诺书（2）</w:t>
      </w:r>
      <w:bookmarkEnd w:id="650"/>
      <w:bookmarkEnd w:id="651"/>
      <w:bookmarkEnd w:id="652"/>
    </w:p>
    <w:p w14:paraId="5A94D7D0">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b/>
          <w:color w:val="auto"/>
          <w:sz w:val="24"/>
          <w:szCs w:val="24"/>
          <w:highlight w:val="none"/>
          <w:u w:val="single"/>
          <w:lang w:val="en-US" w:eastAsia="zh-CN"/>
        </w:rPr>
        <w:t>招标人/采购代理机构</w:t>
      </w:r>
    </w:p>
    <w:p w14:paraId="20805F70">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本书作为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u w:val="single"/>
          <w:lang w:val="en-US" w:eastAsia="zh-CN"/>
        </w:rPr>
        <w:t xml:space="preserve">      （项目名称）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）公开招标的承诺书，现</w:t>
      </w:r>
      <w:r>
        <w:rPr>
          <w:rFonts w:hint="eastAsia" w:ascii="仿宋" w:hAnsi="仿宋" w:eastAsia="仿宋" w:cs="仿宋"/>
          <w:color w:val="auto"/>
          <w:sz w:val="24"/>
          <w:szCs w:val="24"/>
          <w:highlight w:val="none"/>
          <w:lang w:val="en-US" w:eastAsia="zh-CN"/>
        </w:rPr>
        <w:t>作</w:t>
      </w:r>
      <w:r>
        <w:rPr>
          <w:rFonts w:hint="eastAsia" w:ascii="仿宋" w:hAnsi="仿宋" w:eastAsia="仿宋" w:cs="仿宋"/>
          <w:color w:val="auto"/>
          <w:sz w:val="24"/>
          <w:szCs w:val="24"/>
          <w:highlight w:val="none"/>
        </w:rPr>
        <w:t>出如下承诺：</w:t>
      </w:r>
    </w:p>
    <w:p w14:paraId="18029B10">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我方承诺我方会认真阅读招标文件中的所有规定及要求，如发现招标文件规定有误或要求不合理的，我方</w:t>
      </w:r>
      <w:r>
        <w:rPr>
          <w:rFonts w:hint="eastAsia" w:ascii="仿宋" w:hAnsi="仿宋" w:eastAsia="仿宋" w:cs="仿宋"/>
          <w:color w:val="auto"/>
          <w:sz w:val="24"/>
          <w:szCs w:val="24"/>
          <w:highlight w:val="none"/>
          <w:lang w:eastAsia="zh-CN"/>
        </w:rPr>
        <w:t>将</w:t>
      </w:r>
      <w:r>
        <w:rPr>
          <w:rFonts w:hint="eastAsia" w:ascii="仿宋" w:hAnsi="仿宋" w:eastAsia="仿宋" w:cs="仿宋"/>
          <w:color w:val="auto"/>
          <w:sz w:val="24"/>
          <w:szCs w:val="24"/>
          <w:highlight w:val="none"/>
        </w:rPr>
        <w:t>在收到招标文件后在七个工作日内以书面形式加盖鲜公章递交至</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要求澄清，否则，即等同于我公司已完全认同招标文件的规定及要求。</w:t>
      </w:r>
    </w:p>
    <w:p w14:paraId="5D391E6D">
      <w:pPr>
        <w:pageBreakBefore w:val="0"/>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sz w:val="24"/>
          <w:szCs w:val="24"/>
          <w:highlight w:val="none"/>
        </w:rPr>
      </w:pPr>
    </w:p>
    <w:p w14:paraId="546F8D92">
      <w:pPr>
        <w:pageBreakBefore w:val="0"/>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sz w:val="24"/>
          <w:szCs w:val="24"/>
          <w:highlight w:val="none"/>
        </w:rPr>
      </w:pPr>
    </w:p>
    <w:p w14:paraId="6B8B9FCE">
      <w:pPr>
        <w:pageBreakBefore w:val="0"/>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sz w:val="24"/>
          <w:szCs w:val="24"/>
          <w:highlight w:val="none"/>
        </w:rPr>
      </w:pPr>
    </w:p>
    <w:p w14:paraId="29528882">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投标人（电子公章）：</w:t>
      </w:r>
      <w:r>
        <w:rPr>
          <w:rFonts w:hint="eastAsia" w:ascii="仿宋" w:hAnsi="仿宋" w:eastAsia="仿宋" w:cs="仿宋"/>
          <w:color w:val="auto"/>
          <w:sz w:val="24"/>
          <w:szCs w:val="24"/>
          <w:highlight w:val="none"/>
          <w:u w:val="single"/>
          <w:lang w:val="en-US" w:eastAsia="zh-CN"/>
        </w:rPr>
        <w:t xml:space="preserve">                        </w:t>
      </w:r>
    </w:p>
    <w:p w14:paraId="267C9B2B">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法定代表人或委托代理人（</w:t>
      </w:r>
      <w:r>
        <w:rPr>
          <w:rFonts w:hint="eastAsia" w:ascii="仿宋" w:hAnsi="仿宋" w:eastAsia="仿宋" w:cs="仿宋"/>
          <w:color w:val="auto"/>
          <w:sz w:val="24"/>
          <w:szCs w:val="24"/>
          <w:highlight w:val="none"/>
          <w:lang w:eastAsia="zh-CN"/>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73F6D107">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14:paraId="1D0672EE">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9A685EF">
      <w:pPr>
        <w:keepNext/>
        <w:keepLines/>
        <w:pageBreakBefore w:val="0"/>
        <w:shd w:val="clear"/>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b/>
          <w:color w:val="auto"/>
          <w:sz w:val="24"/>
          <w:szCs w:val="24"/>
          <w:highlight w:val="none"/>
        </w:rPr>
      </w:pPr>
      <w:bookmarkStart w:id="653" w:name="_Toc527634723"/>
      <w:bookmarkStart w:id="654" w:name="_Toc5187"/>
      <w:r>
        <w:rPr>
          <w:rFonts w:hint="eastAsia" w:ascii="仿宋" w:hAnsi="仿宋" w:eastAsia="仿宋" w:cs="仿宋"/>
          <w:b/>
          <w:color w:val="auto"/>
          <w:sz w:val="24"/>
          <w:szCs w:val="24"/>
          <w:highlight w:val="none"/>
        </w:rPr>
        <w:t>格式</w:t>
      </w: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、投标人基本情况表</w:t>
      </w:r>
      <w:bookmarkEnd w:id="653"/>
      <w:bookmarkEnd w:id="654"/>
    </w:p>
    <w:p w14:paraId="19FE3D5E">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14067F9A">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tbl>
      <w:tblPr>
        <w:tblStyle w:val="28"/>
        <w:tblpPr w:leftFromText="180" w:rightFromText="180" w:vertAnchor="text" w:horzAnchor="margin" w:tblpXSpec="center" w:tblpY="158"/>
        <w:tblW w:w="10031" w:type="dxa"/>
        <w:tblInd w:w="0" w:type="dxa"/>
        <w:tblLayout w:type="fixed"/>
        <w:tblCellMar>
          <w:top w:w="0" w:type="dxa"/>
          <w:left w:w="108" w:type="dxa"/>
          <w:bottom w:w="0" w:type="dxa"/>
          <w:right w:w="108" w:type="dxa"/>
        </w:tblCellMar>
      </w:tblPr>
      <w:tblGrid>
        <w:gridCol w:w="2098"/>
        <w:gridCol w:w="3455"/>
        <w:gridCol w:w="1533"/>
        <w:gridCol w:w="2945"/>
      </w:tblGrid>
      <w:tr w14:paraId="1C8779C0">
        <w:tblPrEx>
          <w:tblCellMar>
            <w:top w:w="0" w:type="dxa"/>
            <w:left w:w="108" w:type="dxa"/>
            <w:bottom w:w="0" w:type="dxa"/>
            <w:right w:w="108" w:type="dxa"/>
          </w:tblCellMar>
        </w:tblPrEx>
        <w:trPr>
          <w:trHeight w:val="25" w:hRule="atLeast"/>
        </w:trPr>
        <w:tc>
          <w:tcPr>
            <w:tcW w:w="2098" w:type="dxa"/>
            <w:tcBorders>
              <w:top w:val="single" w:color="auto" w:sz="6" w:space="0"/>
              <w:left w:val="single" w:color="auto" w:sz="6" w:space="0"/>
              <w:bottom w:val="single" w:color="auto" w:sz="6" w:space="0"/>
              <w:right w:val="single" w:color="auto" w:sz="6" w:space="0"/>
            </w:tcBorders>
            <w:shd w:val="clear" w:color="auto" w:fill="auto"/>
            <w:vAlign w:val="center"/>
          </w:tcPr>
          <w:p w14:paraId="7516E854">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7933" w:type="dxa"/>
            <w:gridSpan w:val="3"/>
            <w:tcBorders>
              <w:top w:val="single" w:color="auto" w:sz="6" w:space="0"/>
              <w:left w:val="single" w:color="auto" w:sz="6" w:space="0"/>
              <w:bottom w:val="single" w:color="auto" w:sz="6" w:space="0"/>
              <w:right w:val="single" w:color="auto" w:sz="6" w:space="0"/>
            </w:tcBorders>
            <w:vAlign w:val="center"/>
          </w:tcPr>
          <w:p w14:paraId="19C5515F">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r>
      <w:tr w14:paraId="2F1FC0ED">
        <w:tblPrEx>
          <w:tblCellMar>
            <w:top w:w="0" w:type="dxa"/>
            <w:left w:w="108" w:type="dxa"/>
            <w:bottom w:w="0" w:type="dxa"/>
            <w:right w:w="108" w:type="dxa"/>
          </w:tblCellMar>
        </w:tblPrEx>
        <w:trPr>
          <w:trHeight w:val="25" w:hRule="atLeast"/>
        </w:trPr>
        <w:tc>
          <w:tcPr>
            <w:tcW w:w="2098" w:type="dxa"/>
            <w:tcBorders>
              <w:top w:val="single" w:color="auto" w:sz="6" w:space="0"/>
              <w:left w:val="single" w:color="auto" w:sz="6" w:space="0"/>
              <w:bottom w:val="single" w:color="auto" w:sz="6" w:space="0"/>
              <w:right w:val="single" w:color="auto" w:sz="6" w:space="0"/>
            </w:tcBorders>
            <w:shd w:val="clear" w:color="auto" w:fill="auto"/>
            <w:vAlign w:val="center"/>
          </w:tcPr>
          <w:p w14:paraId="0D8422C6">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经济类型</w:t>
            </w:r>
          </w:p>
        </w:tc>
        <w:tc>
          <w:tcPr>
            <w:tcW w:w="3455" w:type="dxa"/>
            <w:tcBorders>
              <w:top w:val="single" w:color="auto" w:sz="6" w:space="0"/>
              <w:left w:val="single" w:color="auto" w:sz="6" w:space="0"/>
              <w:bottom w:val="single" w:color="auto" w:sz="6" w:space="0"/>
              <w:right w:val="single" w:color="auto" w:sz="6" w:space="0"/>
            </w:tcBorders>
            <w:vAlign w:val="center"/>
          </w:tcPr>
          <w:p w14:paraId="473267CD">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533" w:type="dxa"/>
            <w:tcBorders>
              <w:top w:val="single" w:color="auto" w:sz="6" w:space="0"/>
              <w:left w:val="single" w:color="auto" w:sz="6" w:space="0"/>
              <w:bottom w:val="single" w:color="auto" w:sz="6" w:space="0"/>
              <w:right w:val="single" w:color="auto" w:sz="6" w:space="0"/>
            </w:tcBorders>
            <w:vAlign w:val="center"/>
          </w:tcPr>
          <w:p w14:paraId="1689DAE1">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2945" w:type="dxa"/>
            <w:tcBorders>
              <w:top w:val="single" w:color="auto" w:sz="6" w:space="0"/>
              <w:left w:val="single" w:color="auto" w:sz="6" w:space="0"/>
              <w:bottom w:val="single" w:color="auto" w:sz="6" w:space="0"/>
              <w:right w:val="single" w:color="auto" w:sz="6" w:space="0"/>
            </w:tcBorders>
            <w:vAlign w:val="center"/>
          </w:tcPr>
          <w:p w14:paraId="5BE97B99">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r>
      <w:tr w14:paraId="3BBCAC44">
        <w:tblPrEx>
          <w:tblCellMar>
            <w:top w:w="0" w:type="dxa"/>
            <w:left w:w="108" w:type="dxa"/>
            <w:bottom w:w="0" w:type="dxa"/>
            <w:right w:w="108" w:type="dxa"/>
          </w:tblCellMar>
        </w:tblPrEx>
        <w:trPr>
          <w:trHeight w:val="25" w:hRule="atLeast"/>
        </w:trPr>
        <w:tc>
          <w:tcPr>
            <w:tcW w:w="2098" w:type="dxa"/>
            <w:tcBorders>
              <w:top w:val="single" w:color="auto" w:sz="6" w:space="0"/>
              <w:left w:val="single" w:color="auto" w:sz="6" w:space="0"/>
              <w:bottom w:val="single" w:color="auto" w:sz="6" w:space="0"/>
              <w:right w:val="single" w:color="auto" w:sz="6" w:space="0"/>
            </w:tcBorders>
            <w:shd w:val="clear" w:color="auto" w:fill="auto"/>
            <w:vAlign w:val="center"/>
          </w:tcPr>
          <w:p w14:paraId="62C6BC07">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3455" w:type="dxa"/>
            <w:tcBorders>
              <w:top w:val="single" w:color="auto" w:sz="6" w:space="0"/>
              <w:left w:val="single" w:color="auto" w:sz="6" w:space="0"/>
              <w:bottom w:val="single" w:color="auto" w:sz="6" w:space="0"/>
              <w:right w:val="single" w:color="auto" w:sz="6" w:space="0"/>
            </w:tcBorders>
            <w:vAlign w:val="center"/>
          </w:tcPr>
          <w:p w14:paraId="5CCD45A2">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533" w:type="dxa"/>
            <w:tcBorders>
              <w:top w:val="single" w:color="auto" w:sz="6" w:space="0"/>
              <w:left w:val="single" w:color="auto" w:sz="6" w:space="0"/>
              <w:bottom w:val="single" w:color="auto" w:sz="6" w:space="0"/>
              <w:right w:val="single" w:color="auto" w:sz="6" w:space="0"/>
            </w:tcBorders>
            <w:vAlign w:val="center"/>
          </w:tcPr>
          <w:p w14:paraId="33CC3497">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2945" w:type="dxa"/>
            <w:tcBorders>
              <w:top w:val="single" w:color="auto" w:sz="6" w:space="0"/>
              <w:left w:val="single" w:color="auto" w:sz="6" w:space="0"/>
              <w:bottom w:val="single" w:color="auto" w:sz="6" w:space="0"/>
              <w:right w:val="single" w:color="auto" w:sz="6" w:space="0"/>
            </w:tcBorders>
            <w:vAlign w:val="center"/>
          </w:tcPr>
          <w:p w14:paraId="41162ED7">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r>
      <w:tr w14:paraId="3B3AC065">
        <w:tblPrEx>
          <w:tblCellMar>
            <w:top w:w="0" w:type="dxa"/>
            <w:left w:w="108" w:type="dxa"/>
            <w:bottom w:w="0" w:type="dxa"/>
            <w:right w:w="108" w:type="dxa"/>
          </w:tblCellMar>
        </w:tblPrEx>
        <w:trPr>
          <w:trHeight w:val="25" w:hRule="atLeast"/>
        </w:trPr>
        <w:tc>
          <w:tcPr>
            <w:tcW w:w="2098"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5ADBAE64">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工商登记</w:t>
            </w:r>
          </w:p>
        </w:tc>
        <w:tc>
          <w:tcPr>
            <w:tcW w:w="7933" w:type="dxa"/>
            <w:gridSpan w:val="3"/>
            <w:tcBorders>
              <w:top w:val="single" w:color="auto" w:sz="6" w:space="0"/>
              <w:left w:val="single" w:color="auto" w:sz="6" w:space="0"/>
              <w:bottom w:val="single" w:color="auto" w:sz="6" w:space="0"/>
              <w:right w:val="single" w:color="auto" w:sz="6" w:space="0"/>
            </w:tcBorders>
            <w:vAlign w:val="center"/>
          </w:tcPr>
          <w:p w14:paraId="7388EA95">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登记机关：注册资本金</w:t>
            </w:r>
            <w:r>
              <w:rPr>
                <w:rFonts w:hint="eastAsia" w:ascii="仿宋" w:hAnsi="仿宋" w:eastAsia="仿宋" w:cs="仿宋"/>
                <w:color w:val="auto"/>
                <w:sz w:val="24"/>
                <w:szCs w:val="24"/>
                <w:highlight w:val="none"/>
                <w:lang w:eastAsia="zh-CN"/>
              </w:rPr>
              <w:t>：</w:t>
            </w:r>
          </w:p>
        </w:tc>
      </w:tr>
      <w:tr w14:paraId="6B5DB1FD">
        <w:tblPrEx>
          <w:tblCellMar>
            <w:top w:w="0" w:type="dxa"/>
            <w:left w:w="108" w:type="dxa"/>
            <w:bottom w:w="0" w:type="dxa"/>
            <w:right w:w="108" w:type="dxa"/>
          </w:tblCellMar>
        </w:tblPrEx>
        <w:trPr>
          <w:trHeight w:val="25" w:hRule="atLeast"/>
        </w:trPr>
        <w:tc>
          <w:tcPr>
            <w:tcW w:w="2098"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3DFF2E10">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7933" w:type="dxa"/>
            <w:gridSpan w:val="3"/>
            <w:tcBorders>
              <w:top w:val="single" w:color="auto" w:sz="6" w:space="0"/>
              <w:left w:val="single" w:color="auto" w:sz="6" w:space="0"/>
              <w:bottom w:val="single" w:color="auto" w:sz="6" w:space="0"/>
              <w:right w:val="single" w:color="auto" w:sz="6" w:space="0"/>
            </w:tcBorders>
            <w:vAlign w:val="center"/>
          </w:tcPr>
          <w:p w14:paraId="722C766F">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执照号：</w:t>
            </w:r>
          </w:p>
        </w:tc>
      </w:tr>
      <w:tr w14:paraId="2BF0FF6B">
        <w:tblPrEx>
          <w:tblCellMar>
            <w:top w:w="0" w:type="dxa"/>
            <w:left w:w="108" w:type="dxa"/>
            <w:bottom w:w="0" w:type="dxa"/>
            <w:right w:w="108" w:type="dxa"/>
          </w:tblCellMar>
        </w:tblPrEx>
        <w:trPr>
          <w:trHeight w:val="25" w:hRule="atLeast"/>
        </w:trPr>
        <w:tc>
          <w:tcPr>
            <w:tcW w:w="2098" w:type="dxa"/>
            <w:tcBorders>
              <w:top w:val="single" w:color="auto" w:sz="6" w:space="0"/>
              <w:left w:val="single" w:color="auto" w:sz="6" w:space="0"/>
              <w:bottom w:val="single" w:color="auto" w:sz="6" w:space="0"/>
              <w:right w:val="single" w:color="auto" w:sz="6" w:space="0"/>
            </w:tcBorders>
            <w:shd w:val="clear" w:color="auto" w:fill="auto"/>
            <w:vAlign w:val="center"/>
          </w:tcPr>
          <w:p w14:paraId="4C06A13C">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w:t>
            </w:r>
          </w:p>
        </w:tc>
        <w:tc>
          <w:tcPr>
            <w:tcW w:w="7933" w:type="dxa"/>
            <w:gridSpan w:val="3"/>
            <w:tcBorders>
              <w:top w:val="single" w:color="auto" w:sz="6" w:space="0"/>
              <w:left w:val="single" w:color="auto" w:sz="6" w:space="0"/>
              <w:bottom w:val="single" w:color="auto" w:sz="6" w:space="0"/>
              <w:right w:val="single" w:color="auto" w:sz="6" w:space="0"/>
            </w:tcBorders>
            <w:vAlign w:val="center"/>
          </w:tcPr>
          <w:p w14:paraId="4A22C66B">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登记机关：税务号：</w:t>
            </w:r>
          </w:p>
        </w:tc>
      </w:tr>
      <w:tr w14:paraId="4A3DD9A7">
        <w:tblPrEx>
          <w:tblCellMar>
            <w:top w:w="0" w:type="dxa"/>
            <w:left w:w="108" w:type="dxa"/>
            <w:bottom w:w="0" w:type="dxa"/>
            <w:right w:w="108" w:type="dxa"/>
          </w:tblCellMar>
        </w:tblPrEx>
        <w:trPr>
          <w:trHeight w:val="25" w:hRule="atLeast"/>
        </w:trPr>
        <w:tc>
          <w:tcPr>
            <w:tcW w:w="2098" w:type="dxa"/>
            <w:tcBorders>
              <w:top w:val="single" w:color="auto" w:sz="6" w:space="0"/>
              <w:left w:val="single" w:color="auto" w:sz="6" w:space="0"/>
              <w:bottom w:val="single" w:color="auto" w:sz="6" w:space="0"/>
              <w:right w:val="single" w:color="auto" w:sz="6" w:space="0"/>
            </w:tcBorders>
            <w:shd w:val="clear" w:color="auto" w:fill="auto"/>
            <w:vAlign w:val="center"/>
          </w:tcPr>
          <w:p w14:paraId="34540C0A">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7933" w:type="dxa"/>
            <w:gridSpan w:val="3"/>
            <w:tcBorders>
              <w:top w:val="single" w:color="auto" w:sz="6" w:space="0"/>
              <w:left w:val="single" w:color="auto" w:sz="6" w:space="0"/>
              <w:right w:val="single" w:color="auto" w:sz="6" w:space="0"/>
            </w:tcBorders>
            <w:vAlign w:val="center"/>
          </w:tcPr>
          <w:p w14:paraId="68053DCE">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r>
      <w:tr w14:paraId="4013A082">
        <w:tblPrEx>
          <w:tblCellMar>
            <w:top w:w="0" w:type="dxa"/>
            <w:left w:w="108" w:type="dxa"/>
            <w:bottom w:w="0" w:type="dxa"/>
            <w:right w:w="108" w:type="dxa"/>
          </w:tblCellMar>
        </w:tblPrEx>
        <w:trPr>
          <w:trHeight w:val="25" w:hRule="atLeast"/>
        </w:trPr>
        <w:tc>
          <w:tcPr>
            <w:tcW w:w="2098" w:type="dxa"/>
            <w:tcBorders>
              <w:top w:val="single" w:color="auto" w:sz="6" w:space="0"/>
              <w:left w:val="single" w:color="auto" w:sz="6" w:space="0"/>
              <w:bottom w:val="single" w:color="auto" w:sz="6" w:space="0"/>
              <w:right w:val="single" w:color="auto" w:sz="6" w:space="0"/>
            </w:tcBorders>
            <w:shd w:val="clear" w:color="auto" w:fill="auto"/>
            <w:vAlign w:val="center"/>
          </w:tcPr>
          <w:p w14:paraId="0C7A8AFE">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企业详细地址</w:t>
            </w:r>
          </w:p>
        </w:tc>
        <w:tc>
          <w:tcPr>
            <w:tcW w:w="7933" w:type="dxa"/>
            <w:gridSpan w:val="3"/>
            <w:tcBorders>
              <w:top w:val="single" w:color="auto" w:sz="6" w:space="0"/>
              <w:left w:val="single" w:color="auto" w:sz="6" w:space="0"/>
              <w:bottom w:val="single" w:color="auto" w:sz="6" w:space="0"/>
              <w:right w:val="single" w:color="auto" w:sz="6" w:space="0"/>
            </w:tcBorders>
            <w:vAlign w:val="center"/>
          </w:tcPr>
          <w:p w14:paraId="0CC1772A">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r>
      <w:tr w14:paraId="0D1457F4">
        <w:tblPrEx>
          <w:tblCellMar>
            <w:top w:w="0" w:type="dxa"/>
            <w:left w:w="108" w:type="dxa"/>
            <w:bottom w:w="0" w:type="dxa"/>
            <w:right w:w="108" w:type="dxa"/>
          </w:tblCellMar>
        </w:tblPrEx>
        <w:trPr>
          <w:trHeight w:val="25" w:hRule="atLeast"/>
        </w:trPr>
        <w:tc>
          <w:tcPr>
            <w:tcW w:w="2098"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605509E2">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通信联系</w:t>
            </w:r>
          </w:p>
        </w:tc>
        <w:tc>
          <w:tcPr>
            <w:tcW w:w="7933" w:type="dxa"/>
            <w:gridSpan w:val="3"/>
            <w:tcBorders>
              <w:top w:val="single" w:color="auto" w:sz="6" w:space="0"/>
              <w:left w:val="single" w:color="auto" w:sz="6" w:space="0"/>
              <w:bottom w:val="single" w:color="auto" w:sz="6" w:space="0"/>
              <w:right w:val="single" w:color="auto" w:sz="6" w:space="0"/>
            </w:tcBorders>
            <w:vAlign w:val="center"/>
          </w:tcPr>
          <w:p w14:paraId="32A5FD7A">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企业联系电话：传真：</w:t>
            </w:r>
          </w:p>
        </w:tc>
      </w:tr>
      <w:tr w14:paraId="5915E7FB">
        <w:tblPrEx>
          <w:tblCellMar>
            <w:top w:w="0" w:type="dxa"/>
            <w:left w:w="108" w:type="dxa"/>
            <w:bottom w:w="0" w:type="dxa"/>
            <w:right w:w="108" w:type="dxa"/>
          </w:tblCellMar>
        </w:tblPrEx>
        <w:trPr>
          <w:trHeight w:val="25" w:hRule="atLeast"/>
        </w:trPr>
        <w:tc>
          <w:tcPr>
            <w:tcW w:w="2098"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4EC91E3">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7933" w:type="dxa"/>
            <w:gridSpan w:val="3"/>
            <w:tcBorders>
              <w:top w:val="single" w:color="auto" w:sz="6" w:space="0"/>
              <w:left w:val="single" w:color="auto" w:sz="6" w:space="0"/>
              <w:bottom w:val="single" w:color="auto" w:sz="4" w:space="0"/>
              <w:right w:val="single" w:color="auto" w:sz="6" w:space="0"/>
            </w:tcBorders>
            <w:vAlign w:val="center"/>
          </w:tcPr>
          <w:p w14:paraId="278E9D76">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业务联系人：电话：</w:t>
            </w:r>
          </w:p>
        </w:tc>
      </w:tr>
    </w:tbl>
    <w:p w14:paraId="0F43B140">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323FFA6E">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11A13889">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15187405">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1F8683DC">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0518491B">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598AB449">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0B8ACAA9">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26597334">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56B0094B">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45009FDF">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5640D54D">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仿宋" w:hAnsi="仿宋" w:eastAsia="仿宋" w:cs="仿宋"/>
          <w:color w:val="auto"/>
          <w:highlight w:val="none"/>
        </w:rPr>
      </w:pPr>
      <w:bookmarkStart w:id="655" w:name="_Toc14046"/>
      <w:r>
        <w:rPr>
          <w:rFonts w:hint="eastAsia" w:ascii="仿宋" w:hAnsi="仿宋" w:eastAsia="仿宋" w:cs="仿宋"/>
          <w:color w:val="auto"/>
          <w:highlight w:val="none"/>
        </w:rPr>
        <w:br w:type="page"/>
      </w:r>
    </w:p>
    <w:p w14:paraId="6D81760A">
      <w:pPr>
        <w:pStyle w:val="11"/>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highlight w:val="none"/>
        </w:rPr>
      </w:pPr>
    </w:p>
    <w:bookmarkEnd w:id="655"/>
    <w:p w14:paraId="3A6213B3">
      <w:pPr>
        <w:keepNext/>
        <w:keepLines/>
        <w:pageBreakBefore w:val="0"/>
        <w:shd w:val="clear"/>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b/>
          <w:color w:val="auto"/>
          <w:sz w:val="24"/>
          <w:szCs w:val="24"/>
          <w:highlight w:val="none"/>
        </w:rPr>
      </w:pPr>
      <w:bookmarkStart w:id="656" w:name="_Toc391301874"/>
      <w:bookmarkStart w:id="657" w:name="_Toc406162620"/>
      <w:bookmarkStart w:id="658" w:name="_Toc6774"/>
      <w:bookmarkStart w:id="659" w:name="_Toc383636415"/>
      <w:bookmarkStart w:id="660" w:name="_Toc527634725"/>
      <w:r>
        <w:rPr>
          <w:rFonts w:hint="eastAsia" w:ascii="仿宋" w:hAnsi="仿宋" w:eastAsia="仿宋" w:cs="仿宋"/>
          <w:b/>
          <w:color w:val="auto"/>
          <w:sz w:val="24"/>
          <w:szCs w:val="24"/>
          <w:highlight w:val="none"/>
        </w:rPr>
        <w:t>格式</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、法定代表人身份证明书</w:t>
      </w:r>
      <w:bookmarkEnd w:id="656"/>
      <w:bookmarkEnd w:id="657"/>
      <w:bookmarkEnd w:id="658"/>
      <w:bookmarkEnd w:id="659"/>
      <w:bookmarkEnd w:id="660"/>
    </w:p>
    <w:p w14:paraId="4C1C6D9A">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7A9B9EA0">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单位名称：</w:t>
      </w:r>
      <w:r>
        <w:rPr>
          <w:rFonts w:hint="eastAsia" w:ascii="仿宋" w:hAnsi="仿宋" w:eastAsia="仿宋" w:cs="仿宋"/>
          <w:color w:val="auto"/>
          <w:sz w:val="24"/>
          <w:szCs w:val="24"/>
          <w:highlight w:val="none"/>
          <w:u w:val="single"/>
          <w:lang w:val="en-US" w:eastAsia="zh-CN"/>
        </w:rPr>
        <w:t xml:space="preserve">                          </w:t>
      </w:r>
    </w:p>
    <w:p w14:paraId="73555225">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lang w:val="en-US" w:eastAsia="zh-CN"/>
        </w:rPr>
        <w:t xml:space="preserve">                          </w:t>
      </w:r>
    </w:p>
    <w:p w14:paraId="126588AB">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注册资金：</w:t>
      </w:r>
      <w:r>
        <w:rPr>
          <w:rFonts w:hint="eastAsia" w:ascii="仿宋" w:hAnsi="仿宋" w:eastAsia="仿宋" w:cs="仿宋"/>
          <w:color w:val="auto"/>
          <w:sz w:val="24"/>
          <w:szCs w:val="24"/>
          <w:highlight w:val="none"/>
          <w:u w:val="single"/>
          <w:lang w:val="en-US" w:eastAsia="zh-CN"/>
        </w:rPr>
        <w:t xml:space="preserve">                          </w:t>
      </w:r>
    </w:p>
    <w:p w14:paraId="02D4F415">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址：</w:t>
      </w:r>
      <w:r>
        <w:rPr>
          <w:rFonts w:hint="eastAsia" w:ascii="仿宋" w:hAnsi="仿宋" w:eastAsia="仿宋" w:cs="仿宋"/>
          <w:color w:val="auto"/>
          <w:sz w:val="24"/>
          <w:szCs w:val="24"/>
          <w:highlight w:val="none"/>
          <w:u w:val="single"/>
          <w:lang w:val="en-US" w:eastAsia="zh-CN"/>
        </w:rPr>
        <w:t xml:space="preserve">                          </w:t>
      </w:r>
    </w:p>
    <w:p w14:paraId="597DB808">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lang w:val="en-US" w:eastAsia="zh-CN"/>
        </w:rPr>
        <w:t xml:space="preserve">                          </w:t>
      </w:r>
    </w:p>
    <w:p w14:paraId="12FC0DCD">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lang w:val="en-US" w:eastAsia="zh-CN"/>
        </w:rPr>
        <w:t xml:space="preserve">                          </w:t>
      </w:r>
    </w:p>
    <w:p w14:paraId="27DD9000">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lang w:val="en-US" w:eastAsia="zh-CN"/>
        </w:rPr>
        <w:t xml:space="preserve">        </w:t>
      </w:r>
    </w:p>
    <w:p w14:paraId="4A5773E1">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的法定代表人</w:t>
      </w:r>
    </w:p>
    <w:p w14:paraId="48B84063">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387D104D">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642FA2D1">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63170B21">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投标人（电子公章）：</w:t>
      </w:r>
      <w:r>
        <w:rPr>
          <w:rFonts w:hint="eastAsia" w:ascii="仿宋" w:hAnsi="仿宋" w:eastAsia="仿宋" w:cs="仿宋"/>
          <w:color w:val="auto"/>
          <w:sz w:val="24"/>
          <w:szCs w:val="24"/>
          <w:highlight w:val="none"/>
          <w:u w:val="single"/>
          <w:lang w:val="en-US" w:eastAsia="zh-CN"/>
        </w:rPr>
        <w:t xml:space="preserve">                        </w:t>
      </w:r>
    </w:p>
    <w:p w14:paraId="548831BF">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14:paraId="12E37B85">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632BAFAC">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1DC998C1">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09E6E2CD">
      <w:pPr>
        <w:pageBreakBefore w:val="0"/>
        <w:shd w:val="clear"/>
        <w:topLinePunct w:val="0"/>
        <w:bidi w:val="0"/>
        <w:spacing w:beforeAutospacing="0" w:afterAutospacing="0" w:line="360" w:lineRule="auto"/>
        <w:ind w:left="0" w:leftChars="0" w:right="0" w:rightChars="0" w:firstLine="482" w:firstLineChars="200"/>
        <w:jc w:val="center"/>
        <w:rPr>
          <w:rFonts w:hint="eastAsia" w:ascii="仿宋" w:hAnsi="仿宋" w:eastAsia="仿宋" w:cs="仿宋"/>
          <w:b/>
          <w:color w:val="auto"/>
          <w:sz w:val="24"/>
          <w:szCs w:val="24"/>
          <w:highlight w:val="none"/>
        </w:rPr>
      </w:pPr>
    </w:p>
    <w:p w14:paraId="674A114D">
      <w:pPr>
        <w:pageBreakBefore w:val="0"/>
        <w:shd w:val="clear"/>
        <w:topLinePunct w:val="0"/>
        <w:bidi w:val="0"/>
        <w:spacing w:beforeAutospacing="0" w:afterAutospacing="0" w:line="360" w:lineRule="auto"/>
        <w:ind w:left="0" w:leftChars="0" w:right="0" w:rightChars="0" w:firstLine="482" w:firstLineChars="200"/>
        <w:jc w:val="center"/>
        <w:rPr>
          <w:rFonts w:hint="eastAsia" w:ascii="仿宋" w:hAnsi="仿宋" w:eastAsia="仿宋" w:cs="仿宋"/>
          <w:color w:val="auto"/>
          <w:sz w:val="24"/>
          <w:szCs w:val="24"/>
          <w:highlight w:val="none"/>
          <w:lang w:eastAsia="zh-CN"/>
        </w:rPr>
      </w:pPr>
      <w:r>
        <w:rPr>
          <w:rFonts w:hint="eastAsia" w:ascii="仿宋" w:hAnsi="仿宋" w:eastAsia="仿宋" w:cs="仿宋"/>
          <w:b/>
          <w:color w:val="auto"/>
          <w:sz w:val="24"/>
          <w:szCs w:val="24"/>
          <w:highlight w:val="none"/>
        </w:rPr>
        <w:t>法定代表人有效的身份证</w:t>
      </w:r>
      <w:r>
        <w:rPr>
          <w:rFonts w:hint="eastAsia" w:ascii="仿宋" w:hAnsi="仿宋" w:eastAsia="仿宋" w:cs="仿宋"/>
          <w:b/>
          <w:color w:val="auto"/>
          <w:sz w:val="24"/>
          <w:szCs w:val="24"/>
          <w:highlight w:val="none"/>
          <w:lang w:eastAsia="zh-CN"/>
        </w:rPr>
        <w:t>扫描件</w:t>
      </w:r>
    </w:p>
    <w:p w14:paraId="5AB460DB">
      <w:pPr>
        <w:pageBreakBefore w:val="0"/>
        <w:shd w:val="clear"/>
        <w:topLinePunct w:val="0"/>
        <w:bidi w:val="0"/>
        <w:spacing w:beforeAutospacing="0" w:afterAutospacing="0" w:line="360" w:lineRule="auto"/>
        <w:ind w:left="0" w:leftChars="0" w:right="0" w:rightChars="0" w:firstLine="480" w:firstLineChars="200"/>
        <w:jc w:val="center"/>
        <w:rPr>
          <w:rFonts w:hint="eastAsia" w:ascii="仿宋" w:hAnsi="仿宋" w:eastAsia="仿宋" w:cs="仿宋"/>
          <w:color w:val="auto"/>
          <w:sz w:val="24"/>
          <w:szCs w:val="24"/>
          <w:highlight w:val="none"/>
        </w:rPr>
      </w:pPr>
    </w:p>
    <w:p w14:paraId="2E0F3ED9">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79E45CD6">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6E1EB9A1">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25275D36">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1A65E89E">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31458ED9">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43C616E1">
      <w:pPr>
        <w:pageBreakBefore w:val="0"/>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673BD2B">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7C83530B">
      <w:pPr>
        <w:keepNext/>
        <w:keepLines/>
        <w:pageBreakBefore w:val="0"/>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b/>
          <w:color w:val="auto"/>
          <w:sz w:val="24"/>
          <w:szCs w:val="24"/>
        </w:rPr>
      </w:pPr>
      <w:bookmarkStart w:id="661" w:name="_Toc430214793"/>
      <w:bookmarkStart w:id="662" w:name="_Toc2977"/>
      <w:bookmarkStart w:id="663" w:name="_Toc527634726"/>
      <w:bookmarkStart w:id="664" w:name="_Toc391301876"/>
      <w:bookmarkStart w:id="665" w:name="_Toc406162622"/>
      <w:bookmarkStart w:id="666" w:name="_Toc383636418"/>
      <w:r>
        <w:rPr>
          <w:rFonts w:hint="eastAsia" w:ascii="仿宋" w:hAnsi="仿宋" w:eastAsia="仿宋" w:cs="仿宋"/>
          <w:b/>
          <w:color w:val="auto"/>
          <w:sz w:val="24"/>
          <w:szCs w:val="24"/>
          <w:highlight w:val="none"/>
        </w:rPr>
        <w:t>格式</w:t>
      </w: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、法定代表人授权委托书</w:t>
      </w:r>
      <w:bookmarkEnd w:id="661"/>
      <w:bookmarkEnd w:id="662"/>
      <w:bookmarkEnd w:id="663"/>
      <w:r>
        <w:rPr>
          <w:rFonts w:hint="eastAsia" w:ascii="仿宋" w:hAnsi="仿宋" w:eastAsia="仿宋" w:cs="仿宋"/>
          <w:b/>
          <w:color w:val="auto"/>
          <w:sz w:val="24"/>
          <w:szCs w:val="24"/>
        </w:rPr>
        <w:t>（授权代表是法定代表人时，不必提供）</w:t>
      </w:r>
    </w:p>
    <w:p w14:paraId="52F2DC27">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321F731F">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本授权委托书声明：我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的法定代表人，现授权委托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为我公司代理人，以公司名义参加</w:t>
      </w:r>
      <w:r>
        <w:rPr>
          <w:rFonts w:hint="eastAsia" w:ascii="仿宋" w:hAnsi="仿宋" w:eastAsia="仿宋" w:cs="仿宋"/>
          <w:color w:val="auto"/>
          <w:sz w:val="24"/>
          <w:szCs w:val="24"/>
          <w:highlight w:val="none"/>
          <w:u w:val="single"/>
          <w:lang w:val="en-US" w:eastAsia="zh-CN"/>
        </w:rPr>
        <w:t xml:space="preserve">    （项目名称）   </w:t>
      </w:r>
      <w:r>
        <w:rPr>
          <w:rFonts w:hint="eastAsia" w:ascii="仿宋" w:hAnsi="仿宋" w:eastAsia="仿宋" w:cs="仿宋"/>
          <w:color w:val="auto"/>
          <w:sz w:val="24"/>
          <w:szCs w:val="24"/>
          <w:highlight w:val="none"/>
        </w:rPr>
        <w:t>的投标活动。代理人在开标、评标及合同谈判过程中所签署的一切文件和处理与之有关的一切事务，我均</w:t>
      </w:r>
      <w:r>
        <w:rPr>
          <w:rFonts w:hint="eastAsia" w:ascii="仿宋" w:hAnsi="仿宋" w:eastAsia="仿宋" w:cs="仿宋"/>
          <w:color w:val="auto"/>
          <w:sz w:val="24"/>
          <w:szCs w:val="24"/>
          <w:highlight w:val="none"/>
          <w:lang w:eastAsia="zh-CN"/>
        </w:rPr>
        <w:t>予以</w:t>
      </w:r>
      <w:r>
        <w:rPr>
          <w:rFonts w:hint="eastAsia" w:ascii="仿宋" w:hAnsi="仿宋" w:eastAsia="仿宋" w:cs="仿宋"/>
          <w:color w:val="auto"/>
          <w:sz w:val="24"/>
          <w:szCs w:val="24"/>
          <w:highlight w:val="none"/>
        </w:rPr>
        <w:t>承认。</w:t>
      </w:r>
    </w:p>
    <w:p w14:paraId="66D31B68">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2E3DCA32">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部门：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lang w:val="en-US" w:eastAsia="zh-CN"/>
        </w:rPr>
        <w:t xml:space="preserve">        </w:t>
      </w:r>
    </w:p>
    <w:p w14:paraId="713BA5AD">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代理人无转委权。特此委托。</w:t>
      </w:r>
    </w:p>
    <w:p w14:paraId="5ED0F642">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投标人（电子公章）：</w:t>
      </w:r>
      <w:r>
        <w:rPr>
          <w:rFonts w:hint="eastAsia" w:ascii="仿宋" w:hAnsi="仿宋" w:eastAsia="仿宋" w:cs="仿宋"/>
          <w:color w:val="auto"/>
          <w:sz w:val="24"/>
          <w:szCs w:val="24"/>
          <w:highlight w:val="none"/>
          <w:u w:val="single"/>
          <w:lang w:val="en-US" w:eastAsia="zh-CN"/>
        </w:rPr>
        <w:t xml:space="preserve">                        </w:t>
      </w:r>
    </w:p>
    <w:p w14:paraId="113D72CC">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0AE4BFD6">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代理人（</w:t>
      </w:r>
      <w:r>
        <w:rPr>
          <w:rFonts w:hint="eastAsia" w:ascii="仿宋" w:hAnsi="仿宋" w:eastAsia="仿宋" w:cs="仿宋"/>
          <w:color w:val="auto"/>
          <w:sz w:val="24"/>
          <w:szCs w:val="24"/>
          <w:highlight w:val="none"/>
          <w:lang w:val="en-US" w:eastAsia="zh-CN"/>
        </w:rPr>
        <w:t>签字或盖章或</w:t>
      </w:r>
      <w:r>
        <w:rPr>
          <w:rFonts w:hint="eastAsia" w:ascii="仿宋" w:hAnsi="仿宋" w:eastAsia="仿宋" w:cs="仿宋"/>
          <w:color w:val="auto"/>
          <w:sz w:val="24"/>
          <w:szCs w:val="24"/>
          <w:highlight w:val="none"/>
          <w:lang w:eastAsia="zh-CN"/>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10BA8AFB">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14:paraId="748495C1">
      <w:pPr>
        <w:pageBreakBefore w:val="0"/>
        <w:shd w:val="clear"/>
        <w:topLinePunct w:val="0"/>
        <w:bidi w:val="0"/>
        <w:spacing w:beforeAutospacing="0" w:afterAutospacing="0" w:line="360" w:lineRule="auto"/>
        <w:ind w:left="0" w:leftChars="0" w:right="0" w:rightChars="0"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注：附授权委托代理人身份证</w:t>
      </w:r>
      <w:r>
        <w:rPr>
          <w:rFonts w:hint="eastAsia" w:ascii="仿宋" w:hAnsi="仿宋" w:eastAsia="仿宋" w:cs="仿宋"/>
          <w:b/>
          <w:color w:val="auto"/>
          <w:sz w:val="24"/>
          <w:szCs w:val="24"/>
          <w:highlight w:val="none"/>
          <w:lang w:eastAsia="zh-CN"/>
        </w:rPr>
        <w:t>扫描件</w:t>
      </w:r>
      <w:r>
        <w:rPr>
          <w:rFonts w:hint="eastAsia" w:ascii="仿宋" w:hAnsi="仿宋" w:eastAsia="仿宋" w:cs="仿宋"/>
          <w:b/>
          <w:color w:val="auto"/>
          <w:sz w:val="24"/>
          <w:szCs w:val="24"/>
          <w:highlight w:val="none"/>
        </w:rPr>
        <w:t>，如投标人由法定代表人亲自签署</w:t>
      </w:r>
      <w:r>
        <w:rPr>
          <w:rFonts w:hint="eastAsia" w:ascii="仿宋" w:hAnsi="仿宋" w:eastAsia="仿宋" w:cs="仿宋"/>
          <w:b/>
          <w:bCs/>
          <w:color w:val="auto"/>
          <w:sz w:val="24"/>
          <w:szCs w:val="24"/>
          <w:highlight w:val="none"/>
        </w:rPr>
        <w:t>投标文件</w:t>
      </w:r>
      <w:r>
        <w:rPr>
          <w:rFonts w:hint="eastAsia" w:ascii="仿宋" w:hAnsi="仿宋" w:eastAsia="仿宋" w:cs="仿宋"/>
          <w:b/>
          <w:color w:val="auto"/>
          <w:sz w:val="24"/>
          <w:szCs w:val="24"/>
          <w:highlight w:val="none"/>
        </w:rPr>
        <w:t>并参与相关活动，则不需要办理授权。如有被授权的代理人签署上述文件，则必须按本格式规定填报并提交授权书，否则被授权的代理人将不被认可。</w:t>
      </w:r>
    </w:p>
    <w:p w14:paraId="24413F72">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1" locked="0" layoutInCell="1" allowOverlap="1">
                <wp:simplePos x="0" y="0"/>
                <wp:positionH relativeFrom="column">
                  <wp:posOffset>660400</wp:posOffset>
                </wp:positionH>
                <wp:positionV relativeFrom="paragraph">
                  <wp:posOffset>12065</wp:posOffset>
                </wp:positionV>
                <wp:extent cx="4229100" cy="2080260"/>
                <wp:effectExtent l="4445" t="4445" r="14605" b="10795"/>
                <wp:wrapNone/>
                <wp:docPr id="8" name="AutoShape 4"/>
                <wp:cNvGraphicFramePr/>
                <a:graphic xmlns:a="http://schemas.openxmlformats.org/drawingml/2006/main">
                  <a:graphicData uri="http://schemas.microsoft.com/office/word/2010/wordprocessingShape">
                    <wps:wsp>
                      <wps:cNvSpPr/>
                      <wps:spPr>
                        <a:xfrm>
                          <a:off x="0" y="0"/>
                          <a:ext cx="4229100" cy="20802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AutoShape 4" o:spid="_x0000_s1026" o:spt="2" style="position:absolute;left:0pt;margin-left:52pt;margin-top:0.95pt;height:163.8pt;width:333pt;z-index:-251657216;mso-width-relative:page;mso-height-relative:page;" fillcolor="#FFFFFF" filled="t" stroked="t" coordsize="21600,21600" arcsize="0.166666666666667" o:gfxdata="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UiW8NUAAAAJAQAADwAAAAAAAAABACAAAAAiAAAAZHJz&#10;L2Rvd25yZXYueG1sUEsBAhQAFAAAAAgAh07iQBRI1MsHAgAASQQAAA4AAAAAAAAAAQAgAAAAJAEA&#10;AGRycy9lMm9Eb2MueG1sUEsFBgAAAAAGAAYAWQEAAJ0FAAAAAA==&#10;">
                <v:fill on="t" focussize="0,0"/>
                <v:stroke color="#000000" joinstyle="round"/>
                <v:imagedata o:title=""/>
                <o:lock v:ext="edit" aspectratio="f"/>
              </v:roundrect>
            </w:pict>
          </mc:Fallback>
        </mc:AlternateContent>
      </w:r>
    </w:p>
    <w:p w14:paraId="40F50089">
      <w:pPr>
        <w:pageBreakBefore w:val="0"/>
        <w:shd w:val="clear"/>
        <w:topLinePunct w:val="0"/>
        <w:bidi w:val="0"/>
        <w:spacing w:beforeAutospacing="0" w:afterAutospacing="0" w:line="360" w:lineRule="auto"/>
        <w:ind w:left="0" w:leftChars="0" w:right="0" w:rightChars="0" w:firstLine="482" w:firstLineChars="200"/>
        <w:rPr>
          <w:rFonts w:hint="eastAsia" w:ascii="仿宋" w:hAnsi="仿宋" w:eastAsia="仿宋" w:cs="仿宋"/>
          <w:b/>
          <w:color w:val="auto"/>
          <w:sz w:val="24"/>
          <w:szCs w:val="24"/>
          <w:highlight w:val="none"/>
        </w:rPr>
      </w:pPr>
    </w:p>
    <w:p w14:paraId="16163294">
      <w:pPr>
        <w:pageBreakBefore w:val="0"/>
        <w:shd w:val="clear"/>
        <w:topLinePunct w:val="0"/>
        <w:bidi w:val="0"/>
        <w:spacing w:beforeAutospacing="0" w:afterAutospacing="0" w:line="360" w:lineRule="auto"/>
        <w:ind w:left="0" w:leftChars="0" w:right="0" w:rightChars="0" w:firstLine="482" w:firstLineChars="200"/>
        <w:rPr>
          <w:rFonts w:hint="eastAsia" w:ascii="仿宋" w:hAnsi="仿宋" w:eastAsia="仿宋" w:cs="仿宋"/>
          <w:b/>
          <w:color w:val="auto"/>
          <w:sz w:val="24"/>
          <w:szCs w:val="24"/>
          <w:highlight w:val="none"/>
        </w:rPr>
      </w:pPr>
    </w:p>
    <w:p w14:paraId="2C67095B">
      <w:pPr>
        <w:pageBreakBefore w:val="0"/>
        <w:shd w:val="clear"/>
        <w:topLinePunct w:val="0"/>
        <w:bidi w:val="0"/>
        <w:spacing w:beforeAutospacing="0" w:afterAutospacing="0" w:line="360" w:lineRule="auto"/>
        <w:ind w:left="0" w:leftChars="0" w:right="0" w:rightChars="0" w:firstLine="482" w:firstLineChars="20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委托代理人有效的身份证</w:t>
      </w:r>
      <w:r>
        <w:rPr>
          <w:rFonts w:hint="eastAsia" w:ascii="仿宋" w:hAnsi="仿宋" w:eastAsia="仿宋" w:cs="仿宋"/>
          <w:b/>
          <w:color w:val="auto"/>
          <w:sz w:val="24"/>
          <w:szCs w:val="24"/>
          <w:highlight w:val="none"/>
          <w:lang w:eastAsia="zh-CN"/>
        </w:rPr>
        <w:t>扫描件</w:t>
      </w:r>
    </w:p>
    <w:p w14:paraId="6EEEBDAA">
      <w:pPr>
        <w:pageBreakBefore w:val="0"/>
        <w:shd w:val="clear"/>
        <w:topLinePunct w:val="0"/>
        <w:bidi w:val="0"/>
        <w:spacing w:beforeAutospacing="0" w:afterAutospacing="0" w:line="360" w:lineRule="auto"/>
        <w:ind w:left="0" w:leftChars="0" w:right="0" w:rightChars="0" w:firstLine="482" w:firstLineChars="200"/>
        <w:rPr>
          <w:rFonts w:hint="eastAsia" w:ascii="仿宋" w:hAnsi="仿宋" w:eastAsia="仿宋" w:cs="仿宋"/>
          <w:b/>
          <w:color w:val="auto"/>
          <w:sz w:val="24"/>
          <w:szCs w:val="24"/>
          <w:highlight w:val="none"/>
        </w:rPr>
      </w:pPr>
    </w:p>
    <w:p w14:paraId="4E4F485A">
      <w:pPr>
        <w:pageBreakBefore w:val="0"/>
        <w:shd w:val="clear"/>
        <w:topLinePunct w:val="0"/>
        <w:bidi w:val="0"/>
        <w:spacing w:beforeAutospacing="0" w:afterAutospacing="0" w:line="360" w:lineRule="auto"/>
        <w:ind w:left="0" w:leftChars="0" w:right="0" w:rightChars="0" w:firstLine="482" w:firstLineChars="200"/>
        <w:rPr>
          <w:rFonts w:hint="eastAsia" w:ascii="仿宋" w:hAnsi="仿宋" w:eastAsia="仿宋" w:cs="仿宋"/>
          <w:b/>
          <w:color w:val="auto"/>
          <w:sz w:val="24"/>
          <w:szCs w:val="24"/>
          <w:highlight w:val="none"/>
        </w:rPr>
      </w:pPr>
    </w:p>
    <w:p w14:paraId="7E0FA171">
      <w:pPr>
        <w:pageBreakBefore w:val="0"/>
        <w:shd w:val="clear"/>
        <w:topLinePunct w:val="0"/>
        <w:bidi w:val="0"/>
        <w:spacing w:beforeAutospacing="0" w:afterAutospacing="0" w:line="360" w:lineRule="auto"/>
        <w:ind w:left="0" w:leftChars="0" w:right="0" w:rightChars="0" w:firstLine="482" w:firstLineChars="200"/>
        <w:rPr>
          <w:rFonts w:hint="eastAsia" w:ascii="仿宋" w:hAnsi="仿宋" w:eastAsia="仿宋" w:cs="仿宋"/>
          <w:b/>
          <w:color w:val="auto"/>
          <w:sz w:val="24"/>
          <w:szCs w:val="24"/>
          <w:highlight w:val="none"/>
        </w:rPr>
      </w:pPr>
    </w:p>
    <w:p w14:paraId="065E003D">
      <w:pPr>
        <w:pageBreakBefore w:val="0"/>
        <w:shd w:val="clear"/>
        <w:topLinePunct w:val="0"/>
        <w:bidi w:val="0"/>
        <w:spacing w:beforeAutospacing="0" w:afterAutospacing="0" w:line="360" w:lineRule="auto"/>
        <w:ind w:left="0" w:leftChars="0" w:right="0" w:rightChars="0" w:firstLine="482" w:firstLineChars="200"/>
        <w:rPr>
          <w:rFonts w:hint="eastAsia" w:ascii="仿宋" w:hAnsi="仿宋" w:eastAsia="仿宋" w:cs="仿宋"/>
          <w:b/>
          <w:color w:val="auto"/>
          <w:sz w:val="24"/>
          <w:szCs w:val="24"/>
          <w:highlight w:val="none"/>
        </w:rPr>
      </w:pPr>
    </w:p>
    <w:p w14:paraId="5F266D0F">
      <w:pPr>
        <w:pageBreakBefore w:val="0"/>
        <w:shd w:val="clear"/>
        <w:topLinePunct w:val="0"/>
        <w:bidi w:val="0"/>
        <w:adjustRightInd w:val="0"/>
        <w:spacing w:beforeAutospacing="0" w:afterAutospacing="0" w:line="360" w:lineRule="auto"/>
        <w:ind w:left="0" w:leftChars="0" w:right="0" w:rightChars="0" w:firstLine="482" w:firstLineChars="200"/>
        <w:rPr>
          <w:rFonts w:hint="eastAsia" w:ascii="仿宋" w:hAnsi="仿宋" w:eastAsia="仿宋" w:cs="仿宋"/>
          <w:b/>
          <w:bCs/>
          <w:color w:val="auto"/>
          <w:sz w:val="24"/>
          <w:szCs w:val="24"/>
          <w:highlight w:val="none"/>
        </w:rPr>
      </w:pPr>
    </w:p>
    <w:p w14:paraId="3DC2839E">
      <w:pPr>
        <w:pageBreakBefore w:val="0"/>
        <w:shd w:val="clear"/>
        <w:topLinePunct w:val="0"/>
        <w:bidi w:val="0"/>
        <w:adjustRightInd w:val="0"/>
        <w:spacing w:beforeAutospacing="0" w:afterAutospacing="0" w:line="360" w:lineRule="auto"/>
        <w:ind w:left="0" w:leftChars="0" w:right="0" w:rightChars="0" w:firstLine="482" w:firstLineChars="200"/>
        <w:rPr>
          <w:rFonts w:hint="eastAsia" w:ascii="仿宋" w:hAnsi="仿宋" w:eastAsia="仿宋" w:cs="仿宋"/>
          <w:b/>
          <w:bCs/>
          <w:color w:val="auto"/>
          <w:sz w:val="24"/>
          <w:szCs w:val="24"/>
          <w:highlight w:val="none"/>
        </w:rPr>
      </w:pPr>
    </w:p>
    <w:p w14:paraId="3056998B">
      <w:pPr>
        <w:pageBreakBefore w:val="0"/>
        <w:shd w:val="clear"/>
        <w:topLinePunct w:val="0"/>
        <w:bidi w:val="0"/>
        <w:adjustRightInd w:val="0"/>
        <w:spacing w:beforeAutospacing="0" w:afterAutospacing="0" w:line="360" w:lineRule="auto"/>
        <w:ind w:left="0" w:leftChars="0" w:right="0" w:rightChars="0" w:firstLine="482" w:firstLineChars="200"/>
        <w:rPr>
          <w:rFonts w:hint="eastAsia" w:ascii="仿宋" w:hAnsi="仿宋" w:eastAsia="仿宋" w:cs="仿宋"/>
          <w:b/>
          <w:bCs/>
          <w:color w:val="auto"/>
          <w:sz w:val="24"/>
          <w:szCs w:val="24"/>
          <w:highlight w:val="none"/>
        </w:rPr>
      </w:pPr>
    </w:p>
    <w:p w14:paraId="4C511EC5">
      <w:pPr>
        <w:pageBreakBefore w:val="0"/>
        <w:shd w:val="clear"/>
        <w:topLinePunct w:val="0"/>
        <w:bidi w:val="0"/>
        <w:adjustRightInd w:val="0"/>
        <w:spacing w:beforeAutospacing="0" w:afterAutospacing="0" w:line="360" w:lineRule="auto"/>
        <w:ind w:left="0" w:leftChars="0" w:right="0" w:rightChars="0" w:firstLine="482" w:firstLineChars="200"/>
        <w:rPr>
          <w:rFonts w:hint="eastAsia" w:ascii="仿宋" w:hAnsi="仿宋" w:eastAsia="仿宋" w:cs="仿宋"/>
          <w:b/>
          <w:bCs/>
          <w:color w:val="auto"/>
          <w:sz w:val="24"/>
          <w:szCs w:val="24"/>
          <w:highlight w:val="none"/>
        </w:rPr>
      </w:pPr>
    </w:p>
    <w:bookmarkEnd w:id="664"/>
    <w:bookmarkEnd w:id="665"/>
    <w:bookmarkEnd w:id="666"/>
    <w:p w14:paraId="630FCD92">
      <w:pPr>
        <w:keepNext/>
        <w:keepLines/>
        <w:pageBreakBefore w:val="0"/>
        <w:shd w:val="clear"/>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b/>
          <w:color w:val="auto"/>
          <w:sz w:val="24"/>
          <w:szCs w:val="24"/>
          <w:highlight w:val="none"/>
        </w:rPr>
      </w:pPr>
      <w:bookmarkStart w:id="667" w:name="_Toc24978"/>
      <w:bookmarkStart w:id="668" w:name="_Toc2711"/>
      <w:r>
        <w:rPr>
          <w:rFonts w:hint="eastAsia" w:ascii="仿宋" w:hAnsi="仿宋" w:eastAsia="仿宋" w:cs="仿宋"/>
          <w:b/>
          <w:color w:val="auto"/>
          <w:sz w:val="24"/>
          <w:szCs w:val="24"/>
          <w:highlight w:val="none"/>
        </w:rPr>
        <w:t>格式</w:t>
      </w: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、供应商具备参加政府采购活动条件承诺函</w:t>
      </w:r>
      <w:bookmarkEnd w:id="667"/>
      <w:bookmarkEnd w:id="668"/>
    </w:p>
    <w:p w14:paraId="40AA2B82">
      <w:pPr>
        <w:pageBreakBefore w:val="0"/>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5754A323">
      <w:pPr>
        <w:pageBreakBefore w:val="0"/>
        <w:topLinePunct w:val="0"/>
        <w:bidi w:val="0"/>
        <w:spacing w:beforeAutospacing="0" w:afterAutospacing="0" w:line="360" w:lineRule="auto"/>
        <w:ind w:left="0" w:leftChars="0" w:right="0" w:rightChars="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w:t>
      </w:r>
    </w:p>
    <w:p w14:paraId="35A7BFB5">
      <w:pPr>
        <w:pageBreakBefore w:val="0"/>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2C7B6A15">
      <w:pPr>
        <w:pageBreakBefore w:val="0"/>
        <w:topLinePunct w:val="0"/>
        <w:bidi w:val="0"/>
        <w:spacing w:beforeAutospacing="0" w:afterAutospacing="0" w:line="360" w:lineRule="auto"/>
        <w:ind w:left="0" w:leftChars="0" w:right="0" w:rightChars="0" w:firstLine="480" w:firstLineChars="200"/>
        <w:jc w:val="center"/>
        <w:rPr>
          <w:rFonts w:hint="eastAsia" w:ascii="仿宋" w:hAnsi="仿宋" w:eastAsia="仿宋" w:cs="仿宋"/>
          <w:color w:val="auto"/>
          <w:sz w:val="24"/>
          <w:szCs w:val="24"/>
          <w:highlight w:val="none"/>
        </w:rPr>
      </w:pPr>
    </w:p>
    <w:p w14:paraId="40E2EA4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20" w:firstLineChars="200"/>
        <w:jc w:val="center"/>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（投标自行承诺及说明具备《中华人民共和国政府采购法》第二十二条规定的条件，内容自拟）</w:t>
      </w:r>
    </w:p>
    <w:p w14:paraId="14494BE0">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p>
    <w:p w14:paraId="2F99739C">
      <w:pPr>
        <w:pStyle w:val="14"/>
        <w:pageBreakBefore w:val="0"/>
        <w:topLinePunct w:val="0"/>
        <w:bidi w:val="0"/>
        <w:spacing w:beforeAutospacing="0" w:afterAutospacing="0" w:line="360" w:lineRule="auto"/>
        <w:ind w:left="0" w:leftChars="0" w:right="0" w:rightChars="0" w:firstLine="643" w:firstLineChars="200"/>
        <w:rPr>
          <w:rFonts w:hint="eastAsia" w:ascii="仿宋" w:hAnsi="仿宋" w:eastAsia="仿宋" w:cs="仿宋"/>
          <w:color w:val="auto"/>
          <w:highlight w:val="none"/>
        </w:rPr>
      </w:pPr>
    </w:p>
    <w:p w14:paraId="3CACF488">
      <w:pPr>
        <w:pStyle w:val="14"/>
        <w:pageBreakBefore w:val="0"/>
        <w:topLinePunct w:val="0"/>
        <w:bidi w:val="0"/>
        <w:spacing w:beforeAutospacing="0" w:afterAutospacing="0" w:line="360" w:lineRule="auto"/>
        <w:ind w:left="0" w:leftChars="0" w:right="0" w:rightChars="0" w:firstLine="643" w:firstLineChars="200"/>
        <w:rPr>
          <w:rFonts w:hint="eastAsia" w:ascii="仿宋" w:hAnsi="仿宋" w:eastAsia="仿宋" w:cs="仿宋"/>
          <w:color w:val="auto"/>
          <w:highlight w:val="none"/>
        </w:rPr>
      </w:pPr>
    </w:p>
    <w:p w14:paraId="598EC260">
      <w:pPr>
        <w:pStyle w:val="14"/>
        <w:pageBreakBefore w:val="0"/>
        <w:topLinePunct w:val="0"/>
        <w:bidi w:val="0"/>
        <w:spacing w:beforeAutospacing="0" w:afterAutospacing="0" w:line="360" w:lineRule="auto"/>
        <w:ind w:left="0" w:leftChars="0" w:right="0" w:rightChars="0" w:firstLine="643" w:firstLineChars="200"/>
        <w:rPr>
          <w:rFonts w:hint="eastAsia" w:ascii="仿宋" w:hAnsi="仿宋" w:eastAsia="仿宋" w:cs="仿宋"/>
          <w:color w:val="auto"/>
          <w:highlight w:val="none"/>
        </w:rPr>
      </w:pPr>
    </w:p>
    <w:p w14:paraId="698556D7">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投标人（电子公章）：</w:t>
      </w:r>
      <w:r>
        <w:rPr>
          <w:rFonts w:hint="eastAsia" w:ascii="仿宋" w:hAnsi="仿宋" w:eastAsia="仿宋" w:cs="仿宋"/>
          <w:color w:val="auto"/>
          <w:sz w:val="24"/>
          <w:szCs w:val="24"/>
          <w:highlight w:val="none"/>
          <w:u w:val="single"/>
          <w:lang w:val="en-US" w:eastAsia="zh-CN"/>
        </w:rPr>
        <w:t xml:space="preserve">                        </w:t>
      </w:r>
    </w:p>
    <w:p w14:paraId="0CC06157">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法定代表人或委托代理人（</w:t>
      </w:r>
      <w:r>
        <w:rPr>
          <w:rFonts w:hint="eastAsia" w:ascii="仿宋" w:hAnsi="仿宋" w:eastAsia="仿宋" w:cs="仿宋"/>
          <w:color w:val="auto"/>
          <w:sz w:val="24"/>
          <w:szCs w:val="24"/>
          <w:highlight w:val="none"/>
          <w:lang w:eastAsia="zh-CN"/>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3D2BB714">
      <w:pPr>
        <w:pStyle w:val="14"/>
        <w:pageBreakBefore w:val="0"/>
        <w:topLinePunct w:val="0"/>
        <w:bidi w:val="0"/>
        <w:spacing w:beforeAutospacing="0" w:afterAutospacing="0" w:line="360" w:lineRule="auto"/>
        <w:ind w:left="0" w:leftChars="0" w:right="0" w:rightChars="0" w:firstLine="480" w:firstLineChars="200"/>
        <w:rPr>
          <w:rFonts w:hint="eastAsia" w:ascii="仿宋" w:hAnsi="仿宋" w:eastAsia="仿宋" w:cs="仿宋"/>
          <w:b w:val="0"/>
          <w:bCs/>
          <w:color w:val="auto"/>
          <w:highlight w:val="none"/>
        </w:rPr>
      </w:pPr>
      <w:r>
        <w:rPr>
          <w:rFonts w:hint="eastAsia" w:ascii="仿宋" w:hAnsi="仿宋" w:eastAsia="仿宋" w:cs="仿宋"/>
          <w:b w:val="0"/>
          <w:bCs/>
          <w:color w:val="auto"/>
          <w:sz w:val="24"/>
          <w:szCs w:val="24"/>
          <w:highlight w:val="none"/>
        </w:rPr>
        <w:t>日期：</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年</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月</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日</w:t>
      </w:r>
    </w:p>
    <w:p w14:paraId="0426989D">
      <w:pPr>
        <w:pageBreakBefore w:val="0"/>
        <w:topLinePunct w:val="0"/>
        <w:bidi w:val="0"/>
        <w:spacing w:beforeAutospacing="0" w:afterAutospacing="0" w:line="360" w:lineRule="auto"/>
        <w:ind w:left="0" w:leftChars="0" w:right="0" w:rightChars="0" w:firstLine="482" w:firstLineChars="200"/>
        <w:rPr>
          <w:rFonts w:hint="eastAsia" w:ascii="仿宋" w:hAnsi="仿宋" w:eastAsia="仿宋" w:cs="仿宋"/>
          <w:b/>
          <w:color w:val="auto"/>
          <w:kern w:val="2"/>
          <w:sz w:val="24"/>
          <w:szCs w:val="24"/>
          <w:highlight w:val="none"/>
          <w:lang w:val="en-US" w:eastAsia="zh-CN" w:bidi="ar-SA"/>
        </w:rPr>
      </w:pPr>
      <w:bookmarkStart w:id="669" w:name="_Toc22875"/>
      <w:r>
        <w:rPr>
          <w:rFonts w:hint="eastAsia" w:ascii="仿宋" w:hAnsi="仿宋" w:eastAsia="仿宋" w:cs="仿宋"/>
          <w:b/>
          <w:color w:val="auto"/>
          <w:kern w:val="2"/>
          <w:sz w:val="24"/>
          <w:szCs w:val="24"/>
          <w:highlight w:val="none"/>
          <w:lang w:val="en-US" w:eastAsia="zh-CN" w:bidi="ar-SA"/>
        </w:rPr>
        <w:br w:type="page"/>
      </w:r>
    </w:p>
    <w:p w14:paraId="1E62099D">
      <w:pPr>
        <w:pStyle w:val="4"/>
        <w:pageBreakBefore w:val="0"/>
        <w:topLinePunct w:val="0"/>
        <w:bidi w:val="0"/>
        <w:spacing w:beforeAutospacing="0" w:afterAutospacing="0" w:line="360" w:lineRule="auto"/>
        <w:ind w:left="0" w:leftChars="0" w:right="0" w:rightChars="0" w:firstLine="482" w:firstLineChars="20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格式9、</w:t>
      </w:r>
      <w:bookmarkEnd w:id="669"/>
      <w:r>
        <w:rPr>
          <w:rFonts w:hint="eastAsia" w:ascii="仿宋" w:hAnsi="仿宋" w:eastAsia="仿宋" w:cs="仿宋"/>
          <w:b/>
          <w:color w:val="auto"/>
          <w:kern w:val="2"/>
          <w:sz w:val="24"/>
          <w:szCs w:val="24"/>
          <w:highlight w:val="none"/>
          <w:lang w:val="en-US" w:eastAsia="zh-CN" w:bidi="ar-SA"/>
        </w:rPr>
        <w:t>投标分项报价表</w:t>
      </w:r>
    </w:p>
    <w:p w14:paraId="4E289D02">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仿宋" w:hAnsi="仿宋" w:eastAsia="仿宋" w:cs="仿宋"/>
          <w:color w:val="auto"/>
          <w:sz w:val="24"/>
          <w:highlight w:val="none"/>
        </w:rPr>
      </w:pPr>
    </w:p>
    <w:p w14:paraId="4A0BB839">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szCs w:val="22"/>
          <w:highlight w:val="none"/>
          <w:lang w:eastAsia="zh-CN"/>
        </w:rPr>
        <w:t>丽江职业技术学院教学设备更新提升项目新能源汽车“三电”技术实训中心建设项目</w:t>
      </w:r>
    </w:p>
    <w:p w14:paraId="0B4FFC3F">
      <w:pPr>
        <w:pStyle w:val="15"/>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52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pacing w:val="10"/>
          <w:sz w:val="24"/>
          <w:highlight w:val="none"/>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lang w:val="en-US" w:eastAsia="zh-CN"/>
        </w:rPr>
        <w:t>LJZC2026-G1-00307-YNLB-0104</w:t>
      </w:r>
    </w:p>
    <w:tbl>
      <w:tblPr>
        <w:tblStyle w:val="28"/>
        <w:tblW w:w="10074"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253"/>
        <w:gridCol w:w="1002"/>
        <w:gridCol w:w="1002"/>
        <w:gridCol w:w="541"/>
        <w:gridCol w:w="826"/>
        <w:gridCol w:w="904"/>
        <w:gridCol w:w="919"/>
        <w:gridCol w:w="999"/>
        <w:gridCol w:w="1423"/>
        <w:gridCol w:w="658"/>
      </w:tblGrid>
      <w:tr w14:paraId="489BAD9D">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547" w:type="dxa"/>
            <w:vAlign w:val="center"/>
          </w:tcPr>
          <w:p w14:paraId="75196247">
            <w:pPr>
              <w:pStyle w:val="15"/>
              <w:keepNext w:val="0"/>
              <w:keepLines w:val="0"/>
              <w:pageBreakBefore w:val="0"/>
              <w:widowControl w:val="0"/>
              <w:shd w:val="clear" w:fill="FFFFFF" w:themeFill="background1"/>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序号</w:t>
            </w:r>
          </w:p>
        </w:tc>
        <w:tc>
          <w:tcPr>
            <w:tcW w:w="1253" w:type="dxa"/>
            <w:vAlign w:val="center"/>
          </w:tcPr>
          <w:p w14:paraId="06FD123A">
            <w:pPr>
              <w:pStyle w:val="15"/>
              <w:keepNext w:val="0"/>
              <w:keepLines w:val="0"/>
              <w:pageBreakBefore w:val="0"/>
              <w:widowControl w:val="0"/>
              <w:shd w:val="clear" w:fill="FFFFFF" w:themeFill="background1"/>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投标产品名称</w:t>
            </w:r>
          </w:p>
        </w:tc>
        <w:tc>
          <w:tcPr>
            <w:tcW w:w="1002" w:type="dxa"/>
            <w:vAlign w:val="center"/>
          </w:tcPr>
          <w:p w14:paraId="3A03821B">
            <w:pPr>
              <w:keepNext w:val="0"/>
              <w:keepLines w:val="0"/>
              <w:pageBreakBefore w:val="0"/>
              <w:widowControl w:val="0"/>
              <w:shd w:val="clear" w:fill="FFFFFF" w:themeFill="background1"/>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规格、型号</w:t>
            </w:r>
          </w:p>
        </w:tc>
        <w:tc>
          <w:tcPr>
            <w:tcW w:w="1002" w:type="dxa"/>
            <w:vAlign w:val="center"/>
          </w:tcPr>
          <w:p w14:paraId="0B4E653E">
            <w:pPr>
              <w:keepNext w:val="0"/>
              <w:keepLines w:val="0"/>
              <w:pageBreakBefore w:val="0"/>
              <w:widowControl w:val="0"/>
              <w:shd w:val="clear" w:fill="FFFFFF" w:themeFill="background1"/>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生产厂商名称</w:t>
            </w:r>
            <w:r>
              <w:rPr>
                <w:rFonts w:hint="eastAsia" w:ascii="仿宋" w:hAnsi="仿宋" w:eastAsia="仿宋" w:cs="仿宋"/>
                <w:bCs/>
                <w:color w:val="auto"/>
                <w:kern w:val="0"/>
                <w:sz w:val="24"/>
                <w:szCs w:val="24"/>
                <w:highlight w:val="none"/>
                <w:lang w:val="en-US" w:eastAsia="zh-CN"/>
              </w:rPr>
              <w:t>及品牌</w:t>
            </w:r>
          </w:p>
        </w:tc>
        <w:tc>
          <w:tcPr>
            <w:tcW w:w="541" w:type="dxa"/>
            <w:vAlign w:val="center"/>
          </w:tcPr>
          <w:p w14:paraId="7EFBED58">
            <w:pPr>
              <w:keepNext w:val="0"/>
              <w:keepLines w:val="0"/>
              <w:pageBreakBefore w:val="0"/>
              <w:widowControl w:val="0"/>
              <w:shd w:val="clear" w:fill="FFFFFF" w:themeFill="background1"/>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826" w:type="dxa"/>
            <w:vAlign w:val="center"/>
          </w:tcPr>
          <w:p w14:paraId="1823B0F1">
            <w:pPr>
              <w:keepNext w:val="0"/>
              <w:keepLines w:val="0"/>
              <w:pageBreakBefore w:val="0"/>
              <w:widowControl w:val="0"/>
              <w:shd w:val="clear" w:fill="FFFFFF" w:themeFill="background1"/>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计量单位</w:t>
            </w:r>
          </w:p>
        </w:tc>
        <w:tc>
          <w:tcPr>
            <w:tcW w:w="904" w:type="dxa"/>
            <w:vAlign w:val="center"/>
          </w:tcPr>
          <w:p w14:paraId="1A0F888E">
            <w:pPr>
              <w:keepNext w:val="0"/>
              <w:keepLines w:val="0"/>
              <w:pageBreakBefore w:val="0"/>
              <w:widowControl w:val="0"/>
              <w:shd w:val="clear" w:fill="FFFFFF" w:themeFill="background1"/>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lang w:val="en-US" w:eastAsia="zh-CN"/>
              </w:rPr>
              <w:t>采购预算单价</w:t>
            </w:r>
            <w:r>
              <w:rPr>
                <w:rFonts w:hint="eastAsia" w:ascii="仿宋" w:hAnsi="仿宋" w:eastAsia="仿宋" w:cs="仿宋"/>
                <w:bCs/>
                <w:color w:val="auto"/>
                <w:kern w:val="0"/>
                <w:sz w:val="24"/>
                <w:szCs w:val="24"/>
                <w:highlight w:val="none"/>
              </w:rPr>
              <w:t>（元）</w:t>
            </w:r>
          </w:p>
        </w:tc>
        <w:tc>
          <w:tcPr>
            <w:tcW w:w="919" w:type="dxa"/>
            <w:vAlign w:val="center"/>
          </w:tcPr>
          <w:p w14:paraId="5179E8B3">
            <w:pPr>
              <w:keepNext w:val="0"/>
              <w:keepLines w:val="0"/>
              <w:pageBreakBefore w:val="0"/>
              <w:widowControl w:val="0"/>
              <w:shd w:val="clear" w:fill="FFFFFF" w:themeFill="background1"/>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投标单价（元）</w:t>
            </w:r>
          </w:p>
        </w:tc>
        <w:tc>
          <w:tcPr>
            <w:tcW w:w="999" w:type="dxa"/>
            <w:vAlign w:val="center"/>
          </w:tcPr>
          <w:p w14:paraId="0857E8CA">
            <w:pPr>
              <w:keepNext w:val="0"/>
              <w:keepLines w:val="0"/>
              <w:pageBreakBefore w:val="0"/>
              <w:widowControl w:val="0"/>
              <w:shd w:val="clear" w:fill="FFFFFF" w:themeFill="background1"/>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投标合计（元）</w:t>
            </w:r>
          </w:p>
        </w:tc>
        <w:tc>
          <w:tcPr>
            <w:tcW w:w="1423" w:type="dxa"/>
            <w:vAlign w:val="center"/>
          </w:tcPr>
          <w:p w14:paraId="051AED11">
            <w:pPr>
              <w:keepNext w:val="0"/>
              <w:keepLines w:val="0"/>
              <w:pageBreakBefore w:val="0"/>
              <w:widowControl w:val="0"/>
              <w:shd w:val="clear" w:fill="FFFFFF" w:themeFill="background1"/>
              <w:kinsoku/>
              <w:wordWrap/>
              <w:overflowPunct/>
              <w:topLinePunct w:val="0"/>
              <w:autoSpaceDE/>
              <w:autoSpaceDN/>
              <w:bidi w:val="0"/>
              <w:adjustRightInd/>
              <w:snapToGrid/>
              <w:spacing w:line="360" w:lineRule="auto"/>
              <w:jc w:val="center"/>
              <w:textAlignment w:val="auto"/>
              <w:rPr>
                <w:rFonts w:hint="default" w:ascii="仿宋" w:hAnsi="仿宋" w:eastAsia="仿宋" w:cs="仿宋"/>
                <w:bCs/>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是否本国产品</w:t>
            </w:r>
          </w:p>
        </w:tc>
        <w:tc>
          <w:tcPr>
            <w:tcW w:w="658" w:type="dxa"/>
            <w:vAlign w:val="center"/>
          </w:tcPr>
          <w:p w14:paraId="3FCF6247">
            <w:pPr>
              <w:keepNext w:val="0"/>
              <w:keepLines w:val="0"/>
              <w:pageBreakBefore w:val="0"/>
              <w:widowControl w:val="0"/>
              <w:shd w:val="clear" w:fill="FFFFFF" w:themeFill="background1"/>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备注</w:t>
            </w:r>
          </w:p>
        </w:tc>
      </w:tr>
      <w:tr w14:paraId="2CD22C4C">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47" w:type="dxa"/>
            <w:vAlign w:val="center"/>
          </w:tcPr>
          <w:p w14:paraId="666C1DA6">
            <w:pPr>
              <w:pageBreakBefore w:val="0"/>
              <w:shd w:val="clear" w:fill="FFFFFF" w:themeFill="background1"/>
              <w:topLinePunct w:val="0"/>
              <w:bidi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1253" w:type="dxa"/>
            <w:vAlign w:val="center"/>
          </w:tcPr>
          <w:p w14:paraId="5BF2CA01">
            <w:pPr>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1002" w:type="dxa"/>
            <w:vAlign w:val="center"/>
          </w:tcPr>
          <w:p w14:paraId="24BD0EC4">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1002" w:type="dxa"/>
            <w:vAlign w:val="center"/>
          </w:tcPr>
          <w:p w14:paraId="107D9C55">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541" w:type="dxa"/>
            <w:vAlign w:val="center"/>
          </w:tcPr>
          <w:p w14:paraId="3DCEFFF1">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826" w:type="dxa"/>
            <w:vAlign w:val="center"/>
          </w:tcPr>
          <w:p w14:paraId="627E6AA5">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904" w:type="dxa"/>
            <w:vAlign w:val="center"/>
          </w:tcPr>
          <w:p w14:paraId="3E4EB110">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919" w:type="dxa"/>
            <w:vAlign w:val="center"/>
          </w:tcPr>
          <w:p w14:paraId="333BC02D">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999" w:type="dxa"/>
            <w:vAlign w:val="center"/>
          </w:tcPr>
          <w:p w14:paraId="02AB77B7">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1423" w:type="dxa"/>
            <w:vAlign w:val="center"/>
          </w:tcPr>
          <w:p w14:paraId="2577B87C">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sym w:font="Wingdings 2" w:char="00A3"/>
            </w:r>
            <w:r>
              <w:rPr>
                <w:rFonts w:hint="eastAsia" w:ascii="仿宋" w:hAnsi="仿宋" w:eastAsia="仿宋" w:cs="仿宋"/>
                <w:color w:val="auto"/>
                <w:sz w:val="24"/>
                <w:highlight w:val="none"/>
                <w:lang w:val="en-US" w:eastAsia="zh-CN"/>
              </w:rPr>
              <w:t xml:space="preserve">是  </w:t>
            </w:r>
            <w:r>
              <w:rPr>
                <w:rFonts w:hint="eastAsia" w:ascii="仿宋" w:hAnsi="仿宋" w:eastAsia="仿宋" w:cs="仿宋"/>
                <w:color w:val="auto"/>
                <w:sz w:val="24"/>
                <w:highlight w:val="none"/>
                <w:lang w:val="en-US" w:eastAsia="zh-CN"/>
              </w:rPr>
              <w:sym w:font="Wingdings 2" w:char="00A3"/>
            </w:r>
            <w:r>
              <w:rPr>
                <w:rFonts w:hint="eastAsia" w:ascii="仿宋" w:hAnsi="仿宋" w:eastAsia="仿宋" w:cs="仿宋"/>
                <w:color w:val="auto"/>
                <w:sz w:val="24"/>
                <w:highlight w:val="none"/>
                <w:lang w:val="en-US" w:eastAsia="zh-CN"/>
              </w:rPr>
              <w:t>否</w:t>
            </w:r>
          </w:p>
        </w:tc>
        <w:tc>
          <w:tcPr>
            <w:tcW w:w="658" w:type="dxa"/>
            <w:vAlign w:val="center"/>
          </w:tcPr>
          <w:p w14:paraId="478EF853">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r>
      <w:tr w14:paraId="7DFEF3D9">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47" w:type="dxa"/>
            <w:vAlign w:val="center"/>
          </w:tcPr>
          <w:p w14:paraId="7BFB779B">
            <w:pPr>
              <w:pageBreakBefore w:val="0"/>
              <w:shd w:val="clear" w:fill="FFFFFF" w:themeFill="background1"/>
              <w:topLinePunct w:val="0"/>
              <w:bidi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1253" w:type="dxa"/>
            <w:vAlign w:val="center"/>
          </w:tcPr>
          <w:p w14:paraId="575C3BC5">
            <w:pPr>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1002" w:type="dxa"/>
            <w:vAlign w:val="center"/>
          </w:tcPr>
          <w:p w14:paraId="0E4E4C90">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1002" w:type="dxa"/>
            <w:vAlign w:val="center"/>
          </w:tcPr>
          <w:p w14:paraId="7B13BB0F">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541" w:type="dxa"/>
            <w:vAlign w:val="center"/>
          </w:tcPr>
          <w:p w14:paraId="2BCF33AB">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826" w:type="dxa"/>
            <w:vAlign w:val="center"/>
          </w:tcPr>
          <w:p w14:paraId="437C1D89">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904" w:type="dxa"/>
            <w:vAlign w:val="center"/>
          </w:tcPr>
          <w:p w14:paraId="7D0DDEF5">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919" w:type="dxa"/>
            <w:vAlign w:val="center"/>
          </w:tcPr>
          <w:p w14:paraId="623D3A4A">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999" w:type="dxa"/>
            <w:vAlign w:val="center"/>
          </w:tcPr>
          <w:p w14:paraId="30659D07">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1423" w:type="dxa"/>
            <w:vAlign w:val="center"/>
          </w:tcPr>
          <w:p w14:paraId="42E33468">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sym w:font="Wingdings 2" w:char="00A3"/>
            </w:r>
            <w:r>
              <w:rPr>
                <w:rFonts w:hint="eastAsia" w:ascii="仿宋" w:hAnsi="仿宋" w:eastAsia="仿宋" w:cs="仿宋"/>
                <w:color w:val="auto"/>
                <w:sz w:val="24"/>
                <w:highlight w:val="none"/>
                <w:lang w:val="en-US" w:eastAsia="zh-CN"/>
              </w:rPr>
              <w:t xml:space="preserve">是  </w:t>
            </w:r>
            <w:r>
              <w:rPr>
                <w:rFonts w:hint="eastAsia" w:ascii="仿宋" w:hAnsi="仿宋" w:eastAsia="仿宋" w:cs="仿宋"/>
                <w:color w:val="auto"/>
                <w:sz w:val="24"/>
                <w:highlight w:val="none"/>
                <w:lang w:val="en-US" w:eastAsia="zh-CN"/>
              </w:rPr>
              <w:sym w:font="Wingdings 2" w:char="00A3"/>
            </w:r>
            <w:r>
              <w:rPr>
                <w:rFonts w:hint="eastAsia" w:ascii="仿宋" w:hAnsi="仿宋" w:eastAsia="仿宋" w:cs="仿宋"/>
                <w:color w:val="auto"/>
                <w:sz w:val="24"/>
                <w:highlight w:val="none"/>
                <w:lang w:val="en-US" w:eastAsia="zh-CN"/>
              </w:rPr>
              <w:t>否</w:t>
            </w:r>
          </w:p>
        </w:tc>
        <w:tc>
          <w:tcPr>
            <w:tcW w:w="658" w:type="dxa"/>
            <w:vAlign w:val="center"/>
          </w:tcPr>
          <w:p w14:paraId="0C9916C4">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r>
      <w:tr w14:paraId="1E8AB2EB">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47" w:type="dxa"/>
            <w:vAlign w:val="center"/>
          </w:tcPr>
          <w:p w14:paraId="5C33FC22">
            <w:pPr>
              <w:pageBreakBefore w:val="0"/>
              <w:shd w:val="clear" w:fill="FFFFFF" w:themeFill="background1"/>
              <w:topLinePunct w:val="0"/>
              <w:bidi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p>
        </w:tc>
        <w:tc>
          <w:tcPr>
            <w:tcW w:w="1253" w:type="dxa"/>
            <w:vAlign w:val="center"/>
          </w:tcPr>
          <w:p w14:paraId="2E243B3C">
            <w:pPr>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1002" w:type="dxa"/>
            <w:vAlign w:val="center"/>
          </w:tcPr>
          <w:p w14:paraId="3600FE08">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1002" w:type="dxa"/>
            <w:vAlign w:val="center"/>
          </w:tcPr>
          <w:p w14:paraId="5A8EE780">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541" w:type="dxa"/>
            <w:vAlign w:val="center"/>
          </w:tcPr>
          <w:p w14:paraId="2EC880DD">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826" w:type="dxa"/>
            <w:vAlign w:val="center"/>
          </w:tcPr>
          <w:p w14:paraId="268FB30F">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904" w:type="dxa"/>
            <w:vAlign w:val="center"/>
          </w:tcPr>
          <w:p w14:paraId="097C7745">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919" w:type="dxa"/>
            <w:vAlign w:val="center"/>
          </w:tcPr>
          <w:p w14:paraId="6E985113">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999" w:type="dxa"/>
            <w:vAlign w:val="center"/>
          </w:tcPr>
          <w:p w14:paraId="00960EFD">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c>
          <w:tcPr>
            <w:tcW w:w="1423" w:type="dxa"/>
            <w:vAlign w:val="center"/>
          </w:tcPr>
          <w:p w14:paraId="56184085">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sym w:font="Wingdings 2" w:char="00A3"/>
            </w:r>
            <w:r>
              <w:rPr>
                <w:rFonts w:hint="eastAsia" w:ascii="仿宋" w:hAnsi="仿宋" w:eastAsia="仿宋" w:cs="仿宋"/>
                <w:color w:val="auto"/>
                <w:sz w:val="24"/>
                <w:highlight w:val="none"/>
                <w:lang w:val="en-US" w:eastAsia="zh-CN"/>
              </w:rPr>
              <w:t xml:space="preserve">是  </w:t>
            </w:r>
            <w:r>
              <w:rPr>
                <w:rFonts w:hint="eastAsia" w:ascii="仿宋" w:hAnsi="仿宋" w:eastAsia="仿宋" w:cs="仿宋"/>
                <w:color w:val="auto"/>
                <w:sz w:val="24"/>
                <w:highlight w:val="none"/>
                <w:lang w:val="en-US" w:eastAsia="zh-CN"/>
              </w:rPr>
              <w:sym w:font="Wingdings 2" w:char="00A3"/>
            </w:r>
            <w:r>
              <w:rPr>
                <w:rFonts w:hint="eastAsia" w:ascii="仿宋" w:hAnsi="仿宋" w:eastAsia="仿宋" w:cs="仿宋"/>
                <w:color w:val="auto"/>
                <w:sz w:val="24"/>
                <w:highlight w:val="none"/>
                <w:lang w:val="en-US" w:eastAsia="zh-CN"/>
              </w:rPr>
              <w:t>否</w:t>
            </w:r>
          </w:p>
        </w:tc>
        <w:tc>
          <w:tcPr>
            <w:tcW w:w="658" w:type="dxa"/>
            <w:vAlign w:val="center"/>
          </w:tcPr>
          <w:p w14:paraId="23B97594">
            <w:pPr>
              <w:pStyle w:val="15"/>
              <w:pageBreakBefore w:val="0"/>
              <w:shd w:val="clear" w:fill="FFFFFF" w:themeFill="background1"/>
              <w:topLinePunct w:val="0"/>
              <w:bidi w:val="0"/>
              <w:spacing w:line="360" w:lineRule="auto"/>
              <w:jc w:val="center"/>
              <w:rPr>
                <w:rFonts w:hint="eastAsia" w:ascii="仿宋" w:hAnsi="仿宋" w:eastAsia="仿宋" w:cs="仿宋"/>
                <w:color w:val="auto"/>
                <w:sz w:val="24"/>
                <w:highlight w:val="none"/>
              </w:rPr>
            </w:pPr>
          </w:p>
        </w:tc>
      </w:tr>
    </w:tbl>
    <w:p w14:paraId="3569CB3B">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应按上表格式详细列报供货范围内的所有产品、货物及其附件的明细清单。</w:t>
      </w:r>
    </w:p>
    <w:p w14:paraId="45CC642D">
      <w:pPr>
        <w:pageBreakBefore w:val="0"/>
        <w:shd w:val="clear" w:color="auto" w:fill="auto"/>
        <w:topLinePunct w:val="0"/>
        <w:bidi w:val="0"/>
        <w:spacing w:line="360" w:lineRule="auto"/>
        <w:rPr>
          <w:rFonts w:hint="eastAsia" w:ascii="仿宋" w:hAnsi="仿宋" w:eastAsia="仿宋" w:cs="仿宋"/>
          <w:strike/>
          <w:dstrike w:val="0"/>
          <w:color w:val="auto"/>
          <w:sz w:val="24"/>
          <w:szCs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供应商按照</w:t>
      </w:r>
      <w:r>
        <w:rPr>
          <w:rFonts w:hint="eastAsia" w:ascii="仿宋" w:hAnsi="仿宋" w:eastAsia="仿宋" w:cs="仿宋"/>
          <w:color w:val="auto"/>
          <w:sz w:val="24"/>
          <w:szCs w:val="24"/>
          <w:highlight w:val="none"/>
          <w:lang w:val="en-US" w:eastAsia="zh-CN"/>
        </w:rPr>
        <w:t>“第五章采购需求”内容完整报价，不得缺项漏项，否则按不响应招标文件实质性要求处理。</w:t>
      </w:r>
    </w:p>
    <w:p w14:paraId="7CA4D07E">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36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表格长度可根据需要自行调整，表中所列内容为必须填</w:t>
      </w:r>
      <w:r>
        <w:rPr>
          <w:rFonts w:hint="eastAsia" w:ascii="仿宋" w:hAnsi="仿宋" w:eastAsia="仿宋" w:cs="仿宋"/>
          <w:color w:val="auto"/>
          <w:sz w:val="24"/>
          <w:szCs w:val="24"/>
          <w:highlight w:val="none"/>
          <w:lang w:eastAsia="zh-CN"/>
        </w:rPr>
        <w:t>写的</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可根据自身情况增加内容。</w:t>
      </w:r>
    </w:p>
    <w:p w14:paraId="7A2A653E">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360" w:lineRule="auto"/>
        <w:ind w:left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本表中“是否本国产品”必须与“格式13、关于符合本国产品标准的声明函”内容对应，即“是否本国产品”标注“是”则须在“格式13、关于符合本国产品标准的声明函”按要求填写该产品相关信息，若标注“否”，则无需在“格式13、关于符合本国产品标准的声明函”填写该产品相关信息；当两者内容不对应时以“格式13、关于符合本国产品标准的声明函”内容为准。</w:t>
      </w:r>
    </w:p>
    <w:p w14:paraId="5B994634">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p>
    <w:p w14:paraId="4CB231EA">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p>
    <w:p w14:paraId="555632CE">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p>
    <w:p w14:paraId="79FC9E90">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p>
    <w:p w14:paraId="3C1C07BB">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p>
    <w:p w14:paraId="6B1A1579">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1F590AD">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p>
    <w:p w14:paraId="612E2FC5">
      <w:pPr>
        <w:pStyle w:val="4"/>
        <w:pageBreakBefore w:val="0"/>
        <w:shd w:val="clear"/>
        <w:topLinePunct w:val="0"/>
        <w:bidi w:val="0"/>
        <w:spacing w:beforeAutospacing="0" w:afterAutospacing="0" w:line="360" w:lineRule="auto"/>
        <w:ind w:left="0" w:leftChars="0" w:right="0" w:rightChars="0" w:firstLine="506" w:firstLineChars="200"/>
        <w:jc w:val="center"/>
        <w:rPr>
          <w:rFonts w:hint="eastAsia" w:ascii="仿宋" w:hAnsi="仿宋" w:eastAsia="仿宋" w:cs="仿宋"/>
          <w:b/>
          <w:bCs/>
          <w:color w:val="auto"/>
          <w:spacing w:val="6"/>
          <w:sz w:val="24"/>
          <w:highlight w:val="none"/>
        </w:rPr>
      </w:pPr>
      <w:bookmarkStart w:id="670" w:name="_Toc22957"/>
      <w:bookmarkStart w:id="671" w:name="_Toc3789"/>
      <w:r>
        <w:rPr>
          <w:rFonts w:hint="eastAsia" w:ascii="仿宋" w:hAnsi="仿宋" w:eastAsia="仿宋" w:cs="仿宋"/>
          <w:b/>
          <w:bCs/>
          <w:color w:val="auto"/>
          <w:spacing w:val="6"/>
          <w:sz w:val="24"/>
          <w:highlight w:val="none"/>
        </w:rPr>
        <w:t>格式</w:t>
      </w:r>
      <w:r>
        <w:rPr>
          <w:rFonts w:hint="eastAsia" w:ascii="仿宋" w:hAnsi="仿宋" w:eastAsia="仿宋" w:cs="仿宋"/>
          <w:b/>
          <w:bCs/>
          <w:color w:val="auto"/>
          <w:spacing w:val="6"/>
          <w:sz w:val="24"/>
          <w:highlight w:val="none"/>
          <w:lang w:val="en-US" w:eastAsia="zh-CN"/>
        </w:rPr>
        <w:t>10、</w:t>
      </w:r>
      <w:r>
        <w:rPr>
          <w:rFonts w:hint="eastAsia" w:ascii="仿宋" w:hAnsi="仿宋" w:eastAsia="仿宋" w:cs="仿宋"/>
          <w:b/>
          <w:bCs/>
          <w:color w:val="auto"/>
          <w:spacing w:val="6"/>
          <w:sz w:val="24"/>
          <w:highlight w:val="none"/>
        </w:rPr>
        <w:t>中小企业声明函</w:t>
      </w:r>
    </w:p>
    <w:p w14:paraId="4C8FD202">
      <w:pPr>
        <w:pageBreakBefore w:val="0"/>
        <w:widowControl/>
        <w:shd w:val="clear"/>
        <w:topLinePunct w:val="0"/>
        <w:bidi w:val="0"/>
        <w:spacing w:beforeAutospacing="0" w:afterAutospacing="0" w:line="360" w:lineRule="auto"/>
        <w:ind w:left="0" w:leftChars="0" w:right="0" w:rightChars="0" w:firstLine="482" w:firstLineChars="200"/>
        <w:jc w:val="left"/>
        <w:rPr>
          <w:rFonts w:hint="eastAsia" w:ascii="仿宋" w:hAnsi="仿宋" w:eastAsia="仿宋" w:cs="仿宋"/>
          <w:b/>
          <w:bCs/>
          <w:color w:val="auto"/>
          <w:sz w:val="24"/>
          <w:szCs w:val="24"/>
          <w:highlight w:val="none"/>
        </w:rPr>
      </w:pPr>
    </w:p>
    <w:p w14:paraId="5CD1DEC1">
      <w:pPr>
        <w:pageBreakBefore w:val="0"/>
        <w:shd w:val="clear"/>
        <w:topLinePunct w:val="0"/>
        <w:bidi w:val="0"/>
        <w:spacing w:beforeAutospacing="0" w:afterAutospacing="0" w:line="360" w:lineRule="auto"/>
        <w:ind w:left="0" w:leftChars="0" w:right="0" w:rightChars="0" w:firstLine="506" w:firstLineChars="200"/>
        <w:jc w:val="center"/>
        <w:rPr>
          <w:rFonts w:hint="eastAsia" w:ascii="仿宋" w:hAnsi="仿宋" w:eastAsia="仿宋" w:cs="仿宋"/>
          <w:b/>
          <w:bCs/>
          <w:color w:val="auto"/>
          <w:spacing w:val="6"/>
          <w:sz w:val="24"/>
          <w:highlight w:val="none"/>
          <w:lang w:eastAsia="zh-CN"/>
        </w:rPr>
      </w:pPr>
      <w:r>
        <w:rPr>
          <w:rFonts w:hint="eastAsia" w:ascii="仿宋" w:hAnsi="仿宋" w:eastAsia="仿宋" w:cs="仿宋"/>
          <w:b/>
          <w:bCs/>
          <w:color w:val="auto"/>
          <w:spacing w:val="6"/>
          <w:sz w:val="24"/>
          <w:highlight w:val="none"/>
        </w:rPr>
        <w:t>中小企业声明函</w:t>
      </w:r>
    </w:p>
    <w:p w14:paraId="36F4D55F">
      <w:pPr>
        <w:pageBreakBefore w:val="0"/>
        <w:shd w:val="clear"/>
        <w:topLinePunct w:val="0"/>
        <w:bidi w:val="0"/>
        <w:snapToGrid w:val="0"/>
        <w:spacing w:beforeAutospacing="0" w:afterAutospacing="0" w:line="360" w:lineRule="auto"/>
        <w:ind w:left="0" w:leftChars="0" w:right="0" w:rightChars="0" w:firstLine="504" w:firstLineChars="200"/>
        <w:rPr>
          <w:rFonts w:hint="eastAsia" w:ascii="仿宋" w:hAnsi="仿宋" w:eastAsia="仿宋" w:cs="仿宋"/>
          <w:bCs/>
          <w:color w:val="auto"/>
          <w:sz w:val="24"/>
          <w:highlight w:val="none"/>
        </w:rPr>
      </w:pPr>
      <w:r>
        <w:rPr>
          <w:rFonts w:hint="eastAsia" w:ascii="仿宋" w:hAnsi="仿宋" w:eastAsia="仿宋" w:cs="仿宋"/>
          <w:color w:val="auto"/>
          <w:spacing w:val="6"/>
          <w:sz w:val="24"/>
          <w:highlight w:val="none"/>
        </w:rPr>
        <w:t>本公司郑重声明，根据《政府采购促进中小企业发展管理办法》（财库﹝2020﹞46号）的规定，本公司参加</w:t>
      </w:r>
      <w:r>
        <w:rPr>
          <w:rFonts w:hint="eastAsia" w:ascii="仿宋" w:hAnsi="仿宋" w:eastAsia="仿宋" w:cs="仿宋"/>
          <w:color w:val="auto"/>
          <w:spacing w:val="6"/>
          <w:sz w:val="24"/>
          <w:highlight w:val="none"/>
          <w:u w:val="single"/>
        </w:rPr>
        <w:t>（单位名称）</w:t>
      </w:r>
      <w:r>
        <w:rPr>
          <w:rFonts w:hint="eastAsia" w:ascii="仿宋" w:hAnsi="仿宋" w:eastAsia="仿宋" w:cs="仿宋"/>
          <w:color w:val="auto"/>
          <w:spacing w:val="6"/>
          <w:sz w:val="24"/>
          <w:highlight w:val="none"/>
        </w:rPr>
        <w:t>的</w:t>
      </w:r>
      <w:r>
        <w:rPr>
          <w:rFonts w:hint="eastAsia" w:ascii="仿宋" w:hAnsi="仿宋" w:eastAsia="仿宋" w:cs="仿宋"/>
          <w:color w:val="auto"/>
          <w:spacing w:val="6"/>
          <w:sz w:val="24"/>
          <w:highlight w:val="none"/>
          <w:u w:val="single"/>
        </w:rPr>
        <w:t>（项目名称）</w:t>
      </w:r>
      <w:r>
        <w:rPr>
          <w:rFonts w:hint="eastAsia" w:ascii="仿宋" w:hAnsi="仿宋" w:eastAsia="仿宋" w:cs="仿宋"/>
          <w:color w:val="auto"/>
          <w:spacing w:val="6"/>
          <w:sz w:val="24"/>
          <w:highlight w:val="none"/>
        </w:rPr>
        <w:t>采购活动，</w:t>
      </w:r>
      <w:r>
        <w:rPr>
          <w:rFonts w:hint="eastAsia" w:ascii="仿宋" w:hAnsi="仿宋" w:eastAsia="仿宋" w:cs="仿宋"/>
          <w:bCs/>
          <w:color w:val="auto"/>
          <w:sz w:val="24"/>
          <w:highlight w:val="none"/>
        </w:rPr>
        <w:t>提供的货物全部由符合政策要求的中小企业制造。相关企业的具体情况如下：</w:t>
      </w:r>
    </w:p>
    <w:p w14:paraId="0AA1A4FE">
      <w:pPr>
        <w:pageBreakBefore w:val="0"/>
        <w:shd w:val="clear"/>
        <w:topLinePunct w:val="0"/>
        <w:bidi w:val="0"/>
        <w:snapToGrid w:val="0"/>
        <w:spacing w:beforeAutospacing="0" w:afterAutospacing="0" w:line="360" w:lineRule="auto"/>
        <w:ind w:left="0" w:leftChars="0" w:right="0" w:rightChars="0" w:firstLine="480" w:firstLineChars="200"/>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u w:val="single"/>
        </w:rPr>
        <w:t>（标的名称）</w:t>
      </w:r>
      <w:r>
        <w:rPr>
          <w:rFonts w:hint="eastAsia" w:ascii="仿宋" w:hAnsi="仿宋" w:eastAsia="仿宋" w:cs="仿宋"/>
          <w:bCs/>
          <w:color w:val="auto"/>
          <w:sz w:val="24"/>
          <w:highlight w:val="none"/>
        </w:rPr>
        <w:t>，属于</w:t>
      </w:r>
      <w:r>
        <w:rPr>
          <w:rFonts w:hint="eastAsia" w:ascii="仿宋" w:hAnsi="仿宋" w:eastAsia="仿宋" w:cs="仿宋"/>
          <w:bCs/>
          <w:color w:val="auto"/>
          <w:sz w:val="24"/>
          <w:highlight w:val="none"/>
          <w:u w:val="single"/>
        </w:rPr>
        <w:t>（</w:t>
      </w:r>
      <w:r>
        <w:rPr>
          <w:rFonts w:hint="eastAsia" w:ascii="仿宋" w:hAnsi="仿宋" w:eastAsia="仿宋" w:cs="仿宋"/>
          <w:bCs/>
          <w:color w:val="auto"/>
          <w:sz w:val="24"/>
          <w:highlight w:val="none"/>
          <w:u w:val="single"/>
          <w:lang w:eastAsia="zh-CN"/>
        </w:rPr>
        <w:t>招标文件</w:t>
      </w:r>
      <w:r>
        <w:rPr>
          <w:rFonts w:hint="eastAsia" w:ascii="仿宋" w:hAnsi="仿宋" w:eastAsia="仿宋" w:cs="仿宋"/>
          <w:bCs/>
          <w:color w:val="auto"/>
          <w:sz w:val="24"/>
          <w:highlight w:val="none"/>
          <w:u w:val="single"/>
        </w:rPr>
        <w:t>中明确的所属行业）</w:t>
      </w:r>
      <w:r>
        <w:rPr>
          <w:rFonts w:hint="eastAsia" w:ascii="仿宋" w:hAnsi="仿宋" w:eastAsia="仿宋" w:cs="仿宋"/>
          <w:bCs/>
          <w:color w:val="auto"/>
          <w:sz w:val="24"/>
          <w:highlight w:val="none"/>
        </w:rPr>
        <w:t>行业；制造商为</w:t>
      </w:r>
      <w:r>
        <w:rPr>
          <w:rFonts w:hint="eastAsia" w:ascii="仿宋" w:hAnsi="仿宋" w:eastAsia="仿宋" w:cs="仿宋"/>
          <w:bCs/>
          <w:color w:val="auto"/>
          <w:sz w:val="24"/>
          <w:highlight w:val="none"/>
          <w:u w:val="single"/>
        </w:rPr>
        <w:t>（企业名称）</w:t>
      </w:r>
      <w:r>
        <w:rPr>
          <w:rFonts w:hint="eastAsia" w:ascii="仿宋" w:hAnsi="仿宋" w:eastAsia="仿宋" w:cs="仿宋"/>
          <w:bCs/>
          <w:color w:val="auto"/>
          <w:sz w:val="24"/>
          <w:highlight w:val="none"/>
        </w:rPr>
        <w:t>，从业人员</w:t>
      </w:r>
      <w:r>
        <w:rPr>
          <w:rFonts w:hint="eastAsia" w:ascii="仿宋" w:hAnsi="仿宋" w:eastAsia="仿宋" w:cs="仿宋"/>
          <w:bCs/>
          <w:color w:val="auto"/>
          <w:sz w:val="24"/>
          <w:highlight w:val="none"/>
          <w:lang w:eastAsia="zh-CN"/>
        </w:rPr>
        <w:t>人</w:t>
      </w:r>
      <w:r>
        <w:rPr>
          <w:rFonts w:hint="eastAsia" w:ascii="仿宋" w:hAnsi="仿宋" w:eastAsia="仿宋" w:cs="仿宋"/>
          <w:bCs/>
          <w:color w:val="auto"/>
          <w:sz w:val="24"/>
          <w:highlight w:val="none"/>
        </w:rPr>
        <w:t>，营业收入为万元，资产总额为万元，属于</w:t>
      </w:r>
      <w:r>
        <w:rPr>
          <w:rFonts w:hint="eastAsia" w:ascii="仿宋" w:hAnsi="仿宋" w:eastAsia="仿宋" w:cs="仿宋"/>
          <w:bCs/>
          <w:color w:val="auto"/>
          <w:sz w:val="24"/>
          <w:highlight w:val="none"/>
          <w:u w:val="single"/>
        </w:rPr>
        <w:t>（中型企业、小型企业、微型企业）</w:t>
      </w:r>
      <w:r>
        <w:rPr>
          <w:rFonts w:hint="eastAsia" w:ascii="仿宋" w:hAnsi="仿宋" w:eastAsia="仿宋" w:cs="仿宋"/>
          <w:bCs/>
          <w:color w:val="auto"/>
          <w:sz w:val="24"/>
          <w:highlight w:val="none"/>
        </w:rPr>
        <w:t>；</w:t>
      </w:r>
    </w:p>
    <w:p w14:paraId="7039B910">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pacing w:val="6"/>
          <w:sz w:val="24"/>
          <w:highlight w:val="none"/>
        </w:rPr>
      </w:pP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u w:val="single"/>
        </w:rPr>
        <w:t>（标的名称）</w:t>
      </w:r>
      <w:r>
        <w:rPr>
          <w:rFonts w:hint="eastAsia" w:ascii="仿宋" w:hAnsi="仿宋" w:eastAsia="仿宋" w:cs="仿宋"/>
          <w:bCs/>
          <w:color w:val="auto"/>
          <w:sz w:val="24"/>
          <w:highlight w:val="none"/>
        </w:rPr>
        <w:t>，属于</w:t>
      </w:r>
      <w:r>
        <w:rPr>
          <w:rFonts w:hint="eastAsia" w:ascii="仿宋" w:hAnsi="仿宋" w:eastAsia="仿宋" w:cs="仿宋"/>
          <w:bCs/>
          <w:color w:val="auto"/>
          <w:sz w:val="24"/>
          <w:highlight w:val="none"/>
          <w:u w:val="single"/>
        </w:rPr>
        <w:t>（</w:t>
      </w:r>
      <w:r>
        <w:rPr>
          <w:rFonts w:hint="eastAsia" w:ascii="仿宋" w:hAnsi="仿宋" w:eastAsia="仿宋" w:cs="仿宋"/>
          <w:bCs/>
          <w:color w:val="auto"/>
          <w:sz w:val="24"/>
          <w:highlight w:val="none"/>
          <w:u w:val="single"/>
          <w:lang w:eastAsia="zh-CN"/>
        </w:rPr>
        <w:t>招标文件</w:t>
      </w:r>
      <w:r>
        <w:rPr>
          <w:rFonts w:hint="eastAsia" w:ascii="仿宋" w:hAnsi="仿宋" w:eastAsia="仿宋" w:cs="仿宋"/>
          <w:bCs/>
          <w:color w:val="auto"/>
          <w:sz w:val="24"/>
          <w:highlight w:val="none"/>
          <w:u w:val="single"/>
        </w:rPr>
        <w:t>中明确的所属行业）</w:t>
      </w:r>
      <w:r>
        <w:rPr>
          <w:rFonts w:hint="eastAsia" w:ascii="仿宋" w:hAnsi="仿宋" w:eastAsia="仿宋" w:cs="仿宋"/>
          <w:bCs/>
          <w:color w:val="auto"/>
          <w:sz w:val="24"/>
          <w:highlight w:val="none"/>
        </w:rPr>
        <w:t>行业；制造商为</w:t>
      </w:r>
      <w:r>
        <w:rPr>
          <w:rFonts w:hint="eastAsia" w:ascii="仿宋" w:hAnsi="仿宋" w:eastAsia="仿宋" w:cs="仿宋"/>
          <w:bCs/>
          <w:color w:val="auto"/>
          <w:sz w:val="24"/>
          <w:highlight w:val="none"/>
          <w:u w:val="single"/>
        </w:rPr>
        <w:t>（企业名称）</w:t>
      </w:r>
      <w:r>
        <w:rPr>
          <w:rFonts w:hint="eastAsia" w:ascii="仿宋" w:hAnsi="仿宋" w:eastAsia="仿宋" w:cs="仿宋"/>
          <w:bCs/>
          <w:color w:val="auto"/>
          <w:sz w:val="24"/>
          <w:highlight w:val="none"/>
        </w:rPr>
        <w:t>，从业人员人，营业收入为万元，资产总额为万元，属于</w:t>
      </w:r>
      <w:r>
        <w:rPr>
          <w:rFonts w:hint="eastAsia" w:ascii="仿宋" w:hAnsi="仿宋" w:eastAsia="仿宋" w:cs="仿宋"/>
          <w:bCs/>
          <w:color w:val="auto"/>
          <w:sz w:val="24"/>
          <w:highlight w:val="none"/>
          <w:u w:val="single"/>
        </w:rPr>
        <w:t>（中型企业、小型企业、微型企业）</w:t>
      </w:r>
      <w:r>
        <w:rPr>
          <w:rFonts w:hint="eastAsia" w:ascii="仿宋" w:hAnsi="仿宋" w:eastAsia="仿宋" w:cs="仿宋"/>
          <w:bCs/>
          <w:color w:val="auto"/>
          <w:sz w:val="24"/>
          <w:highlight w:val="none"/>
        </w:rPr>
        <w:t>；</w:t>
      </w:r>
    </w:p>
    <w:p w14:paraId="7B9CD4F6">
      <w:pPr>
        <w:pageBreakBefore w:val="0"/>
        <w:shd w:val="clear"/>
        <w:topLinePunct w:val="0"/>
        <w:bidi w:val="0"/>
        <w:spacing w:beforeAutospacing="0" w:afterAutospacing="0" w:line="360" w:lineRule="auto"/>
        <w:ind w:left="0" w:leftChars="0" w:right="0" w:rightChars="0"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w:t>
      </w:r>
    </w:p>
    <w:p w14:paraId="07C3614D">
      <w:pPr>
        <w:pageBreakBefore w:val="0"/>
        <w:widowControl/>
        <w:shd w:val="clear"/>
        <w:topLinePunct w:val="0"/>
        <w:bidi w:val="0"/>
        <w:spacing w:beforeAutospacing="0" w:afterAutospacing="0" w:line="360" w:lineRule="auto"/>
        <w:ind w:left="0" w:leftChars="0" w:right="0" w:rightChars="0" w:firstLine="504" w:firstLineChars="200"/>
        <w:jc w:val="left"/>
        <w:rPr>
          <w:rFonts w:hint="eastAsia" w:ascii="仿宋" w:hAnsi="仿宋" w:eastAsia="仿宋" w:cs="仿宋"/>
          <w:color w:val="auto"/>
          <w:spacing w:val="6"/>
          <w:sz w:val="24"/>
          <w:szCs w:val="22"/>
          <w:highlight w:val="none"/>
        </w:rPr>
      </w:pPr>
      <w:r>
        <w:rPr>
          <w:rFonts w:hint="eastAsia" w:ascii="仿宋" w:hAnsi="仿宋" w:eastAsia="仿宋" w:cs="仿宋"/>
          <w:color w:val="auto"/>
          <w:spacing w:val="6"/>
          <w:sz w:val="24"/>
          <w:szCs w:val="22"/>
          <w:highlight w:val="none"/>
        </w:rPr>
        <w:t>以上企业，不属于大企业的分支机构，不存在控股股东为大企业的情形，也不存在与大企业的负责人为同一人的情形。</w:t>
      </w:r>
    </w:p>
    <w:p w14:paraId="51E556DC">
      <w:pPr>
        <w:pageBreakBefore w:val="0"/>
        <w:widowControl/>
        <w:shd w:val="clear"/>
        <w:topLinePunct w:val="0"/>
        <w:bidi w:val="0"/>
        <w:spacing w:beforeAutospacing="0" w:afterAutospacing="0" w:line="360" w:lineRule="auto"/>
        <w:ind w:left="0" w:leftChars="0" w:right="0" w:rightChars="0" w:firstLine="504"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pacing w:val="6"/>
          <w:sz w:val="24"/>
          <w:highlight w:val="none"/>
        </w:rPr>
        <w:t>本企业对上述声明内容的真实性负责。如有虚假，将依法承担相应责任。</w:t>
      </w:r>
    </w:p>
    <w:p w14:paraId="533FC494">
      <w:pPr>
        <w:keepNext w:val="0"/>
        <w:keepLines w:val="0"/>
        <w:pageBreakBefore w:val="0"/>
        <w:widowControl w:val="0"/>
        <w:shd w:val="clear"/>
        <w:kinsoku/>
        <w:wordWrap/>
        <w:overflowPunct/>
        <w:topLinePunct w:val="0"/>
        <w:autoSpaceDE/>
        <w:autoSpaceDN/>
        <w:bidi w:val="0"/>
        <w:spacing w:beforeAutospacing="0" w:afterAutospacing="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lang w:eastAsia="zh-CN"/>
        </w:rPr>
      </w:pPr>
    </w:p>
    <w:p w14:paraId="5D9E3382">
      <w:pPr>
        <w:keepNext w:val="0"/>
        <w:keepLines w:val="0"/>
        <w:pageBreakBefore w:val="0"/>
        <w:widowControl w:val="0"/>
        <w:shd w:val="clear"/>
        <w:kinsoku/>
        <w:wordWrap/>
        <w:overflowPunct/>
        <w:topLinePunct w:val="0"/>
        <w:autoSpaceDE/>
        <w:autoSpaceDN/>
        <w:bidi w:val="0"/>
        <w:spacing w:beforeAutospacing="0" w:afterAutospacing="0" w:line="360" w:lineRule="auto"/>
        <w:ind w:left="0" w:leftChars="0" w:right="0" w:rightChars="0" w:firstLine="480" w:firstLineChars="200"/>
        <w:textAlignment w:val="auto"/>
        <w:outlineLvl w:val="9"/>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投标人（电子公章）</w:t>
      </w:r>
      <w:r>
        <w:rPr>
          <w:rFonts w:hint="eastAsia" w:ascii="仿宋" w:hAnsi="仿宋" w:eastAsia="仿宋" w:cs="仿宋"/>
          <w:color w:val="auto"/>
          <w:sz w:val="24"/>
          <w:szCs w:val="24"/>
          <w:highlight w:val="none"/>
        </w:rPr>
        <w:t>：</w:t>
      </w:r>
    </w:p>
    <w:p w14:paraId="1E447455">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日期：年月日</w:t>
      </w:r>
    </w:p>
    <w:p w14:paraId="69FB245D">
      <w:pPr>
        <w:pageBreakBefore w:val="0"/>
        <w:shd w:val="clear"/>
        <w:topLinePunct w:val="0"/>
        <w:bidi w:val="0"/>
        <w:spacing w:beforeAutospacing="0" w:afterAutospacing="0" w:line="360" w:lineRule="auto"/>
        <w:ind w:left="0" w:leftChars="0" w:right="0" w:rightChars="0" w:firstLine="482" w:firstLineChars="200"/>
        <w:rPr>
          <w:rFonts w:hint="eastAsia" w:ascii="仿宋" w:hAnsi="仿宋" w:eastAsia="仿宋" w:cs="仿宋"/>
          <w:b/>
          <w:bCs/>
          <w:color w:val="auto"/>
          <w:sz w:val="24"/>
          <w:szCs w:val="24"/>
          <w:highlight w:val="none"/>
        </w:rPr>
      </w:pPr>
    </w:p>
    <w:p w14:paraId="3082981F">
      <w:pPr>
        <w:pageBreakBefore w:val="0"/>
        <w:shd w:val="clear"/>
        <w:topLinePunct w:val="0"/>
        <w:bidi w:val="0"/>
        <w:spacing w:beforeAutospacing="0" w:afterAutospacing="0" w:line="360" w:lineRule="auto"/>
        <w:ind w:left="0" w:leftChars="0" w:right="0" w:rightChars="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注：1、从业人员、营业收入、资产总额填报上一年度数据，无上一年度数据的新成立企业可不填报</w:t>
      </w:r>
    </w:p>
    <w:p w14:paraId="4CE653AA">
      <w:pPr>
        <w:pageBreakBefore w:val="0"/>
        <w:shd w:val="clear"/>
        <w:topLinePunct w:val="0"/>
        <w:bidi w:val="0"/>
        <w:spacing w:beforeAutospacing="0" w:afterAutospacing="0" w:line="360" w:lineRule="auto"/>
        <w:ind w:left="0" w:leftChars="0" w:right="0" w:rightChars="0"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2.本项目属于</w:t>
      </w:r>
      <w:r>
        <w:rPr>
          <w:rFonts w:hint="eastAsia" w:ascii="仿宋" w:hAnsi="仿宋" w:eastAsia="仿宋" w:cs="仿宋"/>
          <w:b/>
          <w:color w:val="auto"/>
          <w:sz w:val="24"/>
          <w:szCs w:val="24"/>
          <w:highlight w:val="none"/>
          <w:u w:val="single"/>
        </w:rPr>
        <w:t>软件和信息技术服务业</w:t>
      </w:r>
    </w:p>
    <w:p w14:paraId="52E1CD0A">
      <w:pPr>
        <w:pageBreakBefore w:val="0"/>
        <w:widowControl/>
        <w:shd w:val="clear"/>
        <w:topLinePunct w:val="0"/>
        <w:bidi w:val="0"/>
        <w:spacing w:beforeAutospacing="0" w:afterAutospacing="0" w:line="360" w:lineRule="auto"/>
        <w:ind w:left="0" w:leftChars="0" w:right="0" w:rightChars="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6428458F">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18476142">
      <w:pPr>
        <w:pStyle w:val="4"/>
        <w:pageBreakBefore w:val="0"/>
        <w:shd w:val="clear"/>
        <w:topLinePunct w:val="0"/>
        <w:bidi w:val="0"/>
        <w:spacing w:beforeAutospacing="0" w:afterAutospacing="0" w:line="360" w:lineRule="auto"/>
        <w:ind w:left="0" w:leftChars="0" w:right="0" w:rightChars="0" w:firstLine="506" w:firstLineChars="200"/>
        <w:jc w:val="center"/>
        <w:rPr>
          <w:rFonts w:hint="eastAsia" w:ascii="仿宋" w:hAnsi="仿宋" w:eastAsia="仿宋" w:cs="仿宋"/>
          <w:b/>
          <w:bCs/>
          <w:color w:val="auto"/>
          <w:spacing w:val="6"/>
          <w:sz w:val="24"/>
          <w:highlight w:val="none"/>
        </w:rPr>
      </w:pPr>
      <w:r>
        <w:rPr>
          <w:rStyle w:val="66"/>
          <w:rFonts w:hint="eastAsia" w:ascii="仿宋" w:hAnsi="仿宋" w:eastAsia="仿宋" w:cs="仿宋"/>
          <w:b/>
          <w:bCs/>
          <w:color w:val="auto"/>
          <w:spacing w:val="6"/>
          <w:sz w:val="24"/>
          <w:highlight w:val="none"/>
        </w:rPr>
        <w:t>格式</w:t>
      </w:r>
      <w:r>
        <w:rPr>
          <w:rStyle w:val="66"/>
          <w:rFonts w:hint="eastAsia" w:ascii="仿宋" w:hAnsi="仿宋" w:eastAsia="仿宋" w:cs="仿宋"/>
          <w:color w:val="auto"/>
          <w:lang w:eastAsia="zh-CN"/>
        </w:rPr>
        <w:t>1</w:t>
      </w:r>
      <w:r>
        <w:rPr>
          <w:rStyle w:val="66"/>
          <w:rFonts w:hint="eastAsia" w:ascii="仿宋" w:hAnsi="仿宋" w:eastAsia="仿宋" w:cs="仿宋"/>
          <w:color w:val="auto"/>
          <w:lang w:val="en-US" w:eastAsia="zh-CN"/>
        </w:rPr>
        <w:t>1、</w:t>
      </w:r>
      <w:r>
        <w:rPr>
          <w:rFonts w:hint="eastAsia" w:ascii="仿宋" w:hAnsi="仿宋" w:eastAsia="仿宋" w:cs="仿宋"/>
          <w:b/>
          <w:bCs/>
          <w:color w:val="auto"/>
          <w:spacing w:val="6"/>
          <w:sz w:val="24"/>
          <w:highlight w:val="none"/>
        </w:rPr>
        <w:t>残疾人福利性单位声明函</w:t>
      </w:r>
    </w:p>
    <w:p w14:paraId="77B64B5A">
      <w:pPr>
        <w:pageBreakBefore w:val="0"/>
        <w:shd w:val="clear"/>
        <w:tabs>
          <w:tab w:val="left" w:pos="5580"/>
        </w:tabs>
        <w:topLinePunct w:val="0"/>
        <w:bidi w:val="0"/>
        <w:spacing w:beforeAutospacing="0" w:afterAutospacing="0" w:line="360" w:lineRule="auto"/>
        <w:ind w:left="0" w:leftChars="0" w:right="0" w:rightChars="0" w:firstLine="562" w:firstLineChars="200"/>
        <w:jc w:val="center"/>
        <w:rPr>
          <w:rFonts w:hint="eastAsia" w:ascii="仿宋" w:hAnsi="仿宋" w:eastAsia="仿宋" w:cs="仿宋"/>
          <w:b/>
          <w:color w:val="auto"/>
          <w:sz w:val="28"/>
          <w:highlight w:val="none"/>
        </w:rPr>
      </w:pPr>
    </w:p>
    <w:p w14:paraId="28773DC7">
      <w:pPr>
        <w:pageBreakBefore w:val="0"/>
        <w:shd w:val="clear"/>
        <w:tabs>
          <w:tab w:val="left" w:pos="5580"/>
        </w:tabs>
        <w:topLinePunct w:val="0"/>
        <w:bidi w:val="0"/>
        <w:spacing w:beforeAutospacing="0" w:afterAutospacing="0" w:line="360" w:lineRule="auto"/>
        <w:ind w:left="0" w:leftChars="0" w:right="0" w:rightChars="0" w:firstLine="482" w:firstLineChars="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《残疾人福利性单位声明函》（原件扫描件。符合《三部门联合发布关于促进残疾人就业政府采购政策的通知》财库〔2017〕141号价格扣减条件的投标人须提交）</w:t>
      </w:r>
    </w:p>
    <w:p w14:paraId="276240CA">
      <w:pPr>
        <w:pageBreakBefore w:val="0"/>
        <w:topLinePunct w:val="0"/>
        <w:bidi w:val="0"/>
        <w:spacing w:beforeAutospacing="0" w:afterAutospacing="0" w:line="360" w:lineRule="auto"/>
        <w:ind w:left="0" w:leftChars="0" w:right="0" w:rightChars="0" w:firstLine="594" w:firstLineChars="200"/>
        <w:rPr>
          <w:rStyle w:val="31"/>
          <w:rFonts w:hint="eastAsia" w:ascii="仿宋" w:hAnsi="仿宋" w:eastAsia="仿宋" w:cs="仿宋"/>
          <w:color w:val="auto"/>
          <w:spacing w:val="8"/>
          <w:sz w:val="28"/>
          <w:szCs w:val="28"/>
          <w:highlight w:val="none"/>
          <w:shd w:val="clear" w:color="auto" w:fill="FCFCFC"/>
        </w:rPr>
      </w:pPr>
    </w:p>
    <w:p w14:paraId="21E5199C">
      <w:pPr>
        <w:pageBreakBefore w:val="0"/>
        <w:shd w:val="clear"/>
        <w:tabs>
          <w:tab w:val="left" w:pos="5580"/>
        </w:tabs>
        <w:topLinePunct w:val="0"/>
        <w:bidi w:val="0"/>
        <w:spacing w:beforeAutospacing="0" w:afterAutospacing="0" w:line="360" w:lineRule="auto"/>
        <w:ind w:left="0" w:leftChars="0" w:right="0" w:rightChars="0" w:firstLine="482" w:firstLineChars="20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残疾人福利性单位声明函</w:t>
      </w:r>
    </w:p>
    <w:p w14:paraId="70C9252F">
      <w:pPr>
        <w:pageBreakBefore w:val="0"/>
        <w:shd w:val="clear"/>
        <w:topLinePunct w:val="0"/>
        <w:bidi w:val="0"/>
        <w:spacing w:beforeAutospacing="0" w:afterAutospacing="0" w:line="360" w:lineRule="auto"/>
        <w:ind w:left="0" w:leftChars="0" w:right="0" w:rightChars="0" w:firstLine="504" w:firstLineChars="200"/>
        <w:rPr>
          <w:rFonts w:hint="eastAsia" w:ascii="仿宋" w:hAnsi="仿宋" w:eastAsia="仿宋" w:cs="仿宋"/>
          <w:color w:val="auto"/>
          <w:spacing w:val="6"/>
          <w:sz w:val="24"/>
          <w:szCs w:val="24"/>
          <w:highlight w:val="none"/>
        </w:rPr>
      </w:pPr>
    </w:p>
    <w:p w14:paraId="09907B34">
      <w:pPr>
        <w:pageBreakBefore w:val="0"/>
        <w:shd w:val="clear"/>
        <w:topLinePunct w:val="0"/>
        <w:bidi w:val="0"/>
        <w:spacing w:beforeAutospacing="0" w:afterAutospacing="0" w:line="360" w:lineRule="auto"/>
        <w:ind w:left="0" w:leftChars="0" w:right="0" w:rightChars="0"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本单位郑重声明，根据《财政部民政部中国残疾人联合会关于促进残疾人就业政府采购政策的通知》（财库</w:t>
      </w:r>
      <w:r>
        <w:rPr>
          <w:rFonts w:hint="eastAsia" w:ascii="仿宋" w:hAnsi="仿宋" w:eastAsia="仿宋" w:cs="仿宋"/>
          <w:color w:val="auto"/>
          <w:sz w:val="24"/>
          <w:szCs w:val="24"/>
          <w:highlight w:val="none"/>
        </w:rPr>
        <w:t>〔2017〕141</w:t>
      </w:r>
      <w:r>
        <w:rPr>
          <w:rFonts w:hint="eastAsia" w:ascii="仿宋" w:hAnsi="仿宋" w:eastAsia="仿宋" w:cs="仿宋"/>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097BEA6">
      <w:pPr>
        <w:pageBreakBefore w:val="0"/>
        <w:shd w:val="clear"/>
        <w:topLinePunct w:val="0"/>
        <w:bidi w:val="0"/>
        <w:spacing w:beforeAutospacing="0" w:afterAutospacing="0" w:line="360" w:lineRule="auto"/>
        <w:ind w:left="0" w:leftChars="0" w:right="0" w:rightChars="0"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775DB63C">
      <w:pPr>
        <w:pageBreakBefore w:val="0"/>
        <w:shd w:val="clear"/>
        <w:tabs>
          <w:tab w:val="left" w:pos="4860"/>
        </w:tabs>
        <w:topLinePunct w:val="0"/>
        <w:bidi w:val="0"/>
        <w:spacing w:beforeAutospacing="0" w:afterAutospacing="0" w:line="360" w:lineRule="auto"/>
        <w:ind w:left="0" w:leftChars="0" w:right="0" w:rightChars="0" w:firstLine="504" w:firstLineChars="200"/>
        <w:jc w:val="center"/>
        <w:rPr>
          <w:rFonts w:hint="eastAsia" w:ascii="仿宋" w:hAnsi="仿宋" w:eastAsia="仿宋" w:cs="仿宋"/>
          <w:color w:val="auto"/>
          <w:spacing w:val="6"/>
          <w:sz w:val="24"/>
          <w:szCs w:val="24"/>
          <w:highlight w:val="none"/>
          <w:lang w:eastAsia="zh-CN"/>
        </w:rPr>
      </w:pPr>
    </w:p>
    <w:p w14:paraId="1CFE2578">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投标人（电子公章）：</w:t>
      </w:r>
      <w:r>
        <w:rPr>
          <w:rFonts w:hint="eastAsia" w:ascii="仿宋" w:hAnsi="仿宋" w:eastAsia="仿宋" w:cs="仿宋"/>
          <w:color w:val="auto"/>
          <w:sz w:val="24"/>
          <w:szCs w:val="24"/>
          <w:highlight w:val="none"/>
          <w:u w:val="single"/>
          <w:lang w:val="en-US" w:eastAsia="zh-CN"/>
        </w:rPr>
        <w:t xml:space="preserve">                        </w:t>
      </w:r>
    </w:p>
    <w:p w14:paraId="1153B5A0">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b w:val="0"/>
          <w:bCs/>
          <w:color w:val="auto"/>
          <w:sz w:val="24"/>
          <w:szCs w:val="24"/>
          <w:highlight w:val="none"/>
        </w:rPr>
        <w:t>日期：</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年</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月</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日</w:t>
      </w:r>
    </w:p>
    <w:p w14:paraId="4FF3A75E">
      <w:pPr>
        <w:pageBreakBefore w:val="0"/>
        <w:shd w:val="clear"/>
        <w:tabs>
          <w:tab w:val="left" w:pos="4860"/>
        </w:tabs>
        <w:topLinePunct w:val="0"/>
        <w:bidi w:val="0"/>
        <w:spacing w:beforeAutospacing="0" w:afterAutospacing="0" w:line="360" w:lineRule="auto"/>
        <w:ind w:left="0" w:leftChars="0" w:right="0" w:rightChars="0" w:firstLine="504" w:firstLineChars="200"/>
        <w:jc w:val="center"/>
        <w:rPr>
          <w:rFonts w:hint="eastAsia" w:ascii="仿宋" w:hAnsi="仿宋" w:eastAsia="仿宋" w:cs="仿宋"/>
          <w:color w:val="auto"/>
          <w:spacing w:val="6"/>
          <w:sz w:val="24"/>
          <w:szCs w:val="24"/>
          <w:highlight w:val="none"/>
        </w:rPr>
      </w:pPr>
    </w:p>
    <w:p w14:paraId="5F6B4AC0">
      <w:pPr>
        <w:pageBreakBefore w:val="0"/>
        <w:shd w:val="clear"/>
        <w:topLinePunct w:val="0"/>
        <w:bidi w:val="0"/>
        <w:spacing w:beforeAutospacing="0" w:afterAutospacing="0" w:line="360" w:lineRule="auto"/>
        <w:ind w:left="0" w:leftChars="0" w:right="0" w:rightChars="0"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符合条件的残疾人福利性单位在参加政府采购活动时，应当按《三部门联合发布关于促进残疾人就业政府采购政策的通知》（财库〔2017〕141号）提供规定的《残疾人福利性单位声明函》，并对声明的真实性负责。</w:t>
      </w:r>
    </w:p>
    <w:p w14:paraId="099E746B">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highlight w:val="none"/>
        </w:rPr>
      </w:pPr>
    </w:p>
    <w:p w14:paraId="2913D3D9">
      <w:pPr>
        <w:pageBreakBefore w:val="0"/>
        <w:shd w:val="clear"/>
        <w:topLinePunct w:val="0"/>
        <w:bidi w:val="0"/>
        <w:spacing w:beforeAutospacing="0" w:afterAutospacing="0" w:line="360" w:lineRule="auto"/>
        <w:ind w:left="0" w:leftChars="0" w:right="0" w:rightChars="0" w:firstLine="42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67621BE">
      <w:pPr>
        <w:pageBreakBefore w:val="0"/>
        <w:shd w:val="clear"/>
        <w:topLinePunct w:val="0"/>
        <w:bidi w:val="0"/>
        <w:spacing w:beforeAutospacing="0" w:afterAutospacing="0" w:line="360" w:lineRule="auto"/>
        <w:ind w:left="0" w:leftChars="0" w:right="0" w:rightChars="0" w:firstLine="420" w:firstLineChars="200"/>
        <w:jc w:val="center"/>
        <w:rPr>
          <w:rFonts w:hint="eastAsia" w:ascii="仿宋" w:hAnsi="仿宋" w:eastAsia="仿宋" w:cs="仿宋"/>
          <w:color w:val="auto"/>
          <w:highlight w:val="none"/>
        </w:rPr>
      </w:pPr>
    </w:p>
    <w:p w14:paraId="5121E6E8">
      <w:pPr>
        <w:pStyle w:val="4"/>
        <w:pageBreakBefore w:val="0"/>
        <w:shd w:val="clear"/>
        <w:topLinePunct w:val="0"/>
        <w:bidi w:val="0"/>
        <w:spacing w:beforeAutospacing="0" w:afterAutospacing="0" w:line="360" w:lineRule="auto"/>
        <w:ind w:left="0" w:leftChars="0" w:right="0" w:rightChars="0" w:firstLine="506" w:firstLineChars="200"/>
        <w:jc w:val="center"/>
        <w:rPr>
          <w:rFonts w:hint="eastAsia" w:ascii="仿宋" w:hAnsi="仿宋" w:eastAsia="仿宋" w:cs="仿宋"/>
          <w:b/>
          <w:bCs/>
          <w:color w:val="auto"/>
          <w:spacing w:val="6"/>
          <w:sz w:val="24"/>
          <w:highlight w:val="none"/>
        </w:rPr>
      </w:pPr>
      <w:r>
        <w:rPr>
          <w:rFonts w:hint="eastAsia" w:ascii="仿宋" w:hAnsi="仿宋" w:eastAsia="仿宋" w:cs="仿宋"/>
          <w:b/>
          <w:bCs/>
          <w:color w:val="auto"/>
          <w:spacing w:val="6"/>
          <w:sz w:val="24"/>
          <w:highlight w:val="none"/>
        </w:rPr>
        <w:t>格式</w:t>
      </w:r>
      <w:r>
        <w:rPr>
          <w:rFonts w:hint="eastAsia" w:ascii="仿宋" w:hAnsi="仿宋" w:eastAsia="仿宋" w:cs="仿宋"/>
          <w:b/>
          <w:bCs/>
          <w:color w:val="auto"/>
          <w:spacing w:val="6"/>
          <w:sz w:val="24"/>
          <w:highlight w:val="none"/>
          <w:lang w:val="en-US" w:eastAsia="zh-CN"/>
        </w:rPr>
        <w:t>12、</w:t>
      </w:r>
      <w:r>
        <w:rPr>
          <w:rFonts w:hint="eastAsia" w:ascii="仿宋" w:hAnsi="仿宋" w:eastAsia="仿宋" w:cs="仿宋"/>
          <w:b/>
          <w:bCs/>
          <w:color w:val="auto"/>
          <w:spacing w:val="6"/>
          <w:sz w:val="24"/>
          <w:highlight w:val="none"/>
        </w:rPr>
        <w:t>监狱企业证明文件</w:t>
      </w:r>
    </w:p>
    <w:p w14:paraId="0E614195">
      <w:pPr>
        <w:pageBreakBefore w:val="0"/>
        <w:shd w:val="clear"/>
        <w:topLinePunct w:val="0"/>
        <w:bidi w:val="0"/>
        <w:spacing w:beforeAutospacing="0" w:afterAutospacing="0" w:line="360" w:lineRule="auto"/>
        <w:ind w:left="0" w:leftChars="0" w:right="0" w:rightChars="0" w:firstLine="422" w:firstLineChars="200"/>
        <w:jc w:val="left"/>
        <w:rPr>
          <w:rFonts w:hint="eastAsia" w:ascii="仿宋" w:hAnsi="仿宋" w:eastAsia="仿宋" w:cs="仿宋"/>
          <w:b/>
          <w:color w:val="auto"/>
          <w:szCs w:val="21"/>
          <w:highlight w:val="none"/>
        </w:rPr>
      </w:pPr>
    </w:p>
    <w:p w14:paraId="60740668">
      <w:pPr>
        <w:pageBreakBefore w:val="0"/>
        <w:shd w:val="clear"/>
        <w:tabs>
          <w:tab w:val="left" w:pos="5580"/>
        </w:tabs>
        <w:topLinePunct w:val="0"/>
        <w:bidi w:val="0"/>
        <w:spacing w:beforeAutospacing="0" w:afterAutospacing="0" w:line="360" w:lineRule="auto"/>
        <w:ind w:left="0" w:leftChars="0" w:right="0" w:rightChars="0" w:firstLine="482" w:firstLineChars="20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《监狱企业证明文件》（符合《财政部司法部关于政府采购支持监狱企业发展有关问题的通知》财库</w:t>
      </w:r>
      <w:r>
        <w:rPr>
          <w:rFonts w:hint="eastAsia" w:ascii="仿宋" w:hAnsi="仿宋" w:eastAsia="仿宋" w:cs="仿宋"/>
          <w:b/>
          <w:color w:val="auto"/>
          <w:sz w:val="24"/>
          <w:highlight w:val="none"/>
          <w:lang w:eastAsia="zh-CN"/>
        </w:rPr>
        <w:t>〔2014〕68号</w:t>
      </w:r>
      <w:r>
        <w:rPr>
          <w:rFonts w:hint="eastAsia" w:ascii="仿宋" w:hAnsi="仿宋" w:eastAsia="仿宋" w:cs="仿宋"/>
          <w:b/>
          <w:color w:val="auto"/>
          <w:sz w:val="24"/>
          <w:highlight w:val="none"/>
        </w:rPr>
        <w:t>价格扣减条件的投标人须提交）</w:t>
      </w:r>
    </w:p>
    <w:p w14:paraId="2E042F56">
      <w:pPr>
        <w:pageBreakBefore w:val="0"/>
        <w:shd w:val="clear"/>
        <w:topLinePunct w:val="0"/>
        <w:bidi w:val="0"/>
        <w:spacing w:beforeAutospacing="0" w:afterAutospacing="0" w:line="360" w:lineRule="auto"/>
        <w:ind w:left="0" w:leftChars="0" w:right="0" w:rightChars="0" w:firstLine="482" w:firstLineChars="20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监狱企业证明文件</w:t>
      </w:r>
    </w:p>
    <w:p w14:paraId="538F2241">
      <w:pPr>
        <w:pageBreakBefore w:val="0"/>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sz w:val="24"/>
          <w:highlight w:val="none"/>
        </w:rPr>
      </w:pPr>
    </w:p>
    <w:p w14:paraId="702A63FD">
      <w:pPr>
        <w:pageBreakBefore w:val="0"/>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77B5B87">
      <w:pPr>
        <w:pageBreakBefore w:val="0"/>
        <w:shd w:val="clear"/>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监狱企业参加政府采购活动时，应当提供由省级以上监狱管理局、戒毒管理局（含新疆生产建设兵团）出具的属于监狱企业的证明文件。</w:t>
      </w:r>
    </w:p>
    <w:p w14:paraId="1E4AA28D">
      <w:pPr>
        <w:pageBreakBefore w:val="0"/>
        <w:widowControl/>
        <w:shd w:val="clear"/>
        <w:topLinePunct w:val="0"/>
        <w:bidi w:val="0"/>
        <w:spacing w:beforeAutospacing="0" w:afterAutospacing="0" w:line="360" w:lineRule="auto"/>
        <w:ind w:left="0" w:leftChars="0" w:right="0" w:rightChars="0" w:firstLine="482" w:firstLineChars="200"/>
        <w:jc w:val="left"/>
        <w:rPr>
          <w:rFonts w:hint="eastAsia" w:ascii="仿宋" w:hAnsi="仿宋" w:eastAsia="仿宋" w:cs="仿宋"/>
          <w:b/>
          <w:color w:val="auto"/>
          <w:sz w:val="24"/>
          <w:highlight w:val="none"/>
        </w:rPr>
      </w:pPr>
    </w:p>
    <w:p w14:paraId="562EC362">
      <w:pPr>
        <w:pageBreakBefore w:val="0"/>
        <w:widowControl/>
        <w:shd w:val="clear"/>
        <w:topLinePunct w:val="0"/>
        <w:bidi w:val="0"/>
        <w:spacing w:beforeAutospacing="0" w:afterAutospacing="0" w:line="360" w:lineRule="auto"/>
        <w:ind w:left="0" w:leftChars="0" w:right="0" w:rightChars="0" w:firstLine="422" w:firstLineChars="200"/>
        <w:jc w:val="left"/>
        <w:rPr>
          <w:rFonts w:hint="eastAsia" w:ascii="仿宋" w:hAnsi="仿宋" w:eastAsia="仿宋" w:cs="仿宋"/>
          <w:color w:val="auto"/>
          <w:sz w:val="28"/>
          <w:highlight w:val="none"/>
        </w:rPr>
      </w:pPr>
      <w:r>
        <w:rPr>
          <w:rFonts w:hint="eastAsia" w:ascii="仿宋" w:hAnsi="仿宋" w:eastAsia="仿宋" w:cs="仿宋"/>
          <w:b/>
          <w:color w:val="auto"/>
          <w:szCs w:val="24"/>
          <w:highlight w:val="none"/>
        </w:rPr>
        <w:t>注：符合条件的监狱企业在参加政府采购活动时，应当按《财政部司法部关于政府采购支持监狱企业发展有关问题的通知》（财库</w:t>
      </w:r>
      <w:r>
        <w:rPr>
          <w:rFonts w:hint="eastAsia" w:ascii="仿宋" w:hAnsi="仿宋" w:eastAsia="仿宋" w:cs="仿宋"/>
          <w:b/>
          <w:color w:val="auto"/>
          <w:szCs w:val="24"/>
          <w:highlight w:val="none"/>
          <w:lang w:eastAsia="zh-CN"/>
        </w:rPr>
        <w:t>〔2014〕68号</w:t>
      </w:r>
      <w:r>
        <w:rPr>
          <w:rFonts w:hint="eastAsia" w:ascii="仿宋" w:hAnsi="仿宋" w:eastAsia="仿宋" w:cs="仿宋"/>
          <w:b/>
          <w:color w:val="auto"/>
          <w:szCs w:val="24"/>
          <w:highlight w:val="none"/>
        </w:rPr>
        <w:t>）提供规定的《监狱企业证明文件》，并对声明的真实性负责。</w:t>
      </w:r>
    </w:p>
    <w:p w14:paraId="55CD0B4E">
      <w:pPr>
        <w:pageBreakBefore w:val="0"/>
        <w:shd w:val="clear"/>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p>
    <w:p w14:paraId="77FD5B88">
      <w:pPr>
        <w:pageBreakBefore w:val="0"/>
        <w:shd w:val="clear"/>
        <w:topLinePunct w:val="0"/>
        <w:bidi w:val="0"/>
        <w:spacing w:beforeAutospacing="0" w:afterAutospacing="0" w:line="360" w:lineRule="auto"/>
        <w:ind w:left="0" w:leftChars="0" w:right="0" w:rightChars="0"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br w:type="page"/>
      </w:r>
    </w:p>
    <w:p w14:paraId="3EB42EA2">
      <w:pPr>
        <w:pStyle w:val="4"/>
        <w:pageBreakBefore w:val="0"/>
        <w:shd w:val="clear"/>
        <w:topLinePunct w:val="0"/>
        <w:bidi w:val="0"/>
        <w:spacing w:beforeAutospacing="0" w:afterAutospacing="0" w:line="360" w:lineRule="auto"/>
        <w:ind w:left="0" w:leftChars="0" w:right="0" w:rightChars="0" w:firstLine="482" w:firstLineChars="200"/>
        <w:outlineLvl w:val="2"/>
        <w:rPr>
          <w:rFonts w:hint="eastAsia" w:ascii="仿宋" w:hAnsi="仿宋" w:eastAsia="仿宋" w:cs="Times New Roman"/>
          <w:b/>
          <w:bCs/>
          <w:color w:val="auto"/>
          <w:highlight w:val="none"/>
          <w:lang w:val="en-US" w:eastAsia="zh-CN"/>
        </w:rPr>
      </w:pPr>
      <w:r>
        <w:rPr>
          <w:rFonts w:hint="eastAsia" w:ascii="仿宋" w:hAnsi="仿宋" w:eastAsia="仿宋" w:cs="仿宋"/>
          <w:b/>
          <w:color w:val="auto"/>
          <w:kern w:val="2"/>
          <w:sz w:val="24"/>
          <w:szCs w:val="24"/>
          <w:highlight w:val="none"/>
          <w:lang w:val="en-US" w:eastAsia="zh-CN" w:bidi="ar-SA"/>
        </w:rPr>
        <w:t>格式13、关于符合本国产品标准的声明函</w:t>
      </w:r>
    </w:p>
    <w:p w14:paraId="2342F19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35B9BE4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u w:val="single"/>
          <w:lang w:val="en-US" w:eastAsia="zh-CN"/>
        </w:rPr>
        <w:t>（产品名称1）</w:t>
      </w:r>
      <w:r>
        <w:rPr>
          <w:rFonts w:hint="eastAsia" w:ascii="仿宋" w:hAnsi="仿宋" w:eastAsia="仿宋" w:cs="仿宋"/>
          <w:color w:val="auto"/>
          <w:sz w:val="24"/>
          <w:szCs w:val="24"/>
          <w:highlight w:val="none"/>
          <w:lang w:val="en-US" w:eastAsia="zh-CN"/>
        </w:rPr>
        <w:t>1，生产厂为</w:t>
      </w:r>
      <w:r>
        <w:rPr>
          <w:rFonts w:hint="eastAsia" w:ascii="仿宋" w:hAnsi="仿宋" w:eastAsia="仿宋" w:cs="仿宋"/>
          <w:color w:val="auto"/>
          <w:sz w:val="24"/>
          <w:szCs w:val="24"/>
          <w:highlight w:val="none"/>
          <w:u w:val="single"/>
          <w:lang w:val="en-US" w:eastAsia="zh-CN"/>
        </w:rPr>
        <w:t>（厂名）</w:t>
      </w:r>
      <w:r>
        <w:rPr>
          <w:rFonts w:hint="eastAsia" w:ascii="仿宋" w:hAnsi="仿宋" w:eastAsia="仿宋" w:cs="仿宋"/>
          <w:color w:val="auto"/>
          <w:sz w:val="24"/>
          <w:szCs w:val="24"/>
          <w:highlight w:val="none"/>
          <w:lang w:val="en-US" w:eastAsia="zh-CN"/>
        </w:rPr>
        <w:t>2，厂址为</w:t>
      </w:r>
      <w:r>
        <w:rPr>
          <w:rFonts w:hint="eastAsia" w:ascii="仿宋" w:hAnsi="仿宋" w:eastAsia="仿宋" w:cs="仿宋"/>
          <w:color w:val="auto"/>
          <w:sz w:val="24"/>
          <w:szCs w:val="24"/>
          <w:highlight w:val="none"/>
          <w:u w:val="single"/>
          <w:lang w:val="en-US" w:eastAsia="zh-CN"/>
        </w:rPr>
        <w:t>（生产厂址）</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（产品名称1）</w:t>
      </w:r>
      <w:r>
        <w:rPr>
          <w:rFonts w:hint="eastAsia" w:ascii="仿宋" w:hAnsi="仿宋" w:eastAsia="仿宋" w:cs="仿宋"/>
          <w:color w:val="auto"/>
          <w:sz w:val="24"/>
          <w:szCs w:val="24"/>
          <w:highlight w:val="none"/>
          <w:lang w:val="en-US" w:eastAsia="zh-CN"/>
        </w:rPr>
        <w:t>的中国境内生产的组件成本占比≥</w:t>
      </w:r>
      <w:r>
        <w:rPr>
          <w:rFonts w:hint="eastAsia" w:ascii="仿宋" w:hAnsi="仿宋" w:eastAsia="仿宋" w:cs="仿宋"/>
          <w:color w:val="auto"/>
          <w:sz w:val="24"/>
          <w:szCs w:val="24"/>
          <w:highlight w:val="none"/>
          <w:u w:val="single"/>
          <w:lang w:val="en-US" w:eastAsia="zh-CN"/>
        </w:rPr>
        <w:t>（规定比例/）</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u w:val="single"/>
          <w:lang w:val="en-US" w:eastAsia="zh-CN"/>
        </w:rPr>
        <w:t>（产品名称1/）</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lang w:val="en-US" w:eastAsia="zh-CN"/>
        </w:rPr>
        <w:t>（关键组件/）</w:t>
      </w:r>
      <w:r>
        <w:rPr>
          <w:rFonts w:hint="eastAsia" w:ascii="仿宋" w:hAnsi="仿宋" w:eastAsia="仿宋" w:cs="仿宋"/>
          <w:color w:val="auto"/>
          <w:sz w:val="24"/>
          <w:szCs w:val="24"/>
          <w:highlight w:val="none"/>
          <w:lang w:val="en-US" w:eastAsia="zh-CN"/>
        </w:rPr>
        <w:t>4在中国境内生产。</w:t>
      </w:r>
      <w:r>
        <w:rPr>
          <w:rFonts w:hint="eastAsia" w:ascii="仿宋" w:hAnsi="仿宋" w:eastAsia="仿宋" w:cs="仿宋"/>
          <w:color w:val="auto"/>
          <w:sz w:val="24"/>
          <w:szCs w:val="24"/>
          <w:highlight w:val="none"/>
          <w:u w:val="single"/>
          <w:lang w:val="en-US" w:eastAsia="zh-CN"/>
        </w:rPr>
        <w:t>（产品名称1/）</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lang w:val="en-US" w:eastAsia="zh-CN"/>
        </w:rPr>
        <w:t>（关键工序/）</w:t>
      </w:r>
      <w:r>
        <w:rPr>
          <w:rFonts w:hint="eastAsia" w:ascii="仿宋" w:hAnsi="仿宋" w:eastAsia="仿宋" w:cs="仿宋"/>
          <w:color w:val="auto"/>
          <w:sz w:val="24"/>
          <w:szCs w:val="24"/>
          <w:highlight w:val="none"/>
          <w:lang w:val="en-US" w:eastAsia="zh-CN"/>
        </w:rPr>
        <w:t>5在中国境内完成。</w:t>
      </w:r>
    </w:p>
    <w:p w14:paraId="2FF6930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u w:val="single"/>
          <w:lang w:val="en-US" w:eastAsia="zh-CN"/>
        </w:rPr>
        <w:t>（产品名称2）</w:t>
      </w:r>
      <w:r>
        <w:rPr>
          <w:rFonts w:hint="eastAsia" w:ascii="仿宋" w:hAnsi="仿宋" w:eastAsia="仿宋" w:cs="仿宋"/>
          <w:color w:val="auto"/>
          <w:sz w:val="24"/>
          <w:szCs w:val="24"/>
          <w:highlight w:val="none"/>
          <w:lang w:val="en-US" w:eastAsia="zh-CN"/>
        </w:rPr>
        <w:t>，生产厂为</w:t>
      </w:r>
      <w:r>
        <w:rPr>
          <w:rFonts w:hint="eastAsia" w:ascii="仿宋" w:hAnsi="仿宋" w:eastAsia="仿宋" w:cs="仿宋"/>
          <w:color w:val="auto"/>
          <w:sz w:val="24"/>
          <w:szCs w:val="24"/>
          <w:highlight w:val="none"/>
          <w:u w:val="single"/>
          <w:lang w:val="en-US" w:eastAsia="zh-CN"/>
        </w:rPr>
        <w:t>（厂名）</w:t>
      </w:r>
      <w:r>
        <w:rPr>
          <w:rFonts w:hint="eastAsia" w:ascii="仿宋" w:hAnsi="仿宋" w:eastAsia="仿宋" w:cs="仿宋"/>
          <w:color w:val="auto"/>
          <w:sz w:val="24"/>
          <w:szCs w:val="24"/>
          <w:highlight w:val="none"/>
          <w:lang w:val="en-US" w:eastAsia="zh-CN"/>
        </w:rPr>
        <w:t>，厂址为</w:t>
      </w:r>
      <w:r>
        <w:rPr>
          <w:rFonts w:hint="eastAsia" w:ascii="仿宋" w:hAnsi="仿宋" w:eastAsia="仿宋" w:cs="仿宋"/>
          <w:color w:val="auto"/>
          <w:sz w:val="24"/>
          <w:szCs w:val="24"/>
          <w:highlight w:val="none"/>
          <w:u w:val="single"/>
          <w:lang w:val="en-US" w:eastAsia="zh-CN"/>
        </w:rPr>
        <w:t>（生产厂址）</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（产品名称2）</w:t>
      </w:r>
      <w:r>
        <w:rPr>
          <w:rFonts w:hint="eastAsia" w:ascii="仿宋" w:hAnsi="仿宋" w:eastAsia="仿宋" w:cs="仿宋"/>
          <w:color w:val="auto"/>
          <w:sz w:val="24"/>
          <w:szCs w:val="24"/>
          <w:highlight w:val="none"/>
          <w:lang w:val="en-US" w:eastAsia="zh-CN"/>
        </w:rPr>
        <w:t>的中国境内生产的组件成本占比≥</w:t>
      </w:r>
      <w:r>
        <w:rPr>
          <w:rFonts w:hint="eastAsia" w:ascii="仿宋" w:hAnsi="仿宋" w:eastAsia="仿宋" w:cs="仿宋"/>
          <w:color w:val="auto"/>
          <w:sz w:val="24"/>
          <w:szCs w:val="24"/>
          <w:highlight w:val="none"/>
          <w:u w:val="single"/>
          <w:lang w:val="en-US" w:eastAsia="zh-CN"/>
        </w:rPr>
        <w:t>（规定比例）</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（产品名称2）</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lang w:val="en-US" w:eastAsia="zh-CN"/>
        </w:rPr>
        <w:t>（关键组件）</w:t>
      </w:r>
      <w:r>
        <w:rPr>
          <w:rFonts w:hint="eastAsia" w:ascii="仿宋" w:hAnsi="仿宋" w:eastAsia="仿宋" w:cs="仿宋"/>
          <w:color w:val="auto"/>
          <w:sz w:val="24"/>
          <w:szCs w:val="24"/>
          <w:highlight w:val="none"/>
          <w:lang w:val="en-US" w:eastAsia="zh-CN"/>
        </w:rPr>
        <w:t>在中国境内生产。</w:t>
      </w:r>
      <w:r>
        <w:rPr>
          <w:rFonts w:hint="eastAsia" w:ascii="仿宋" w:hAnsi="仿宋" w:eastAsia="仿宋" w:cs="仿宋"/>
          <w:color w:val="auto"/>
          <w:sz w:val="24"/>
          <w:szCs w:val="24"/>
          <w:highlight w:val="none"/>
          <w:u w:val="single"/>
          <w:lang w:val="en-US" w:eastAsia="zh-CN"/>
        </w:rPr>
        <w:t>（产品名称2）</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lang w:val="en-US" w:eastAsia="zh-CN"/>
        </w:rPr>
        <w:t>（关键工序）</w:t>
      </w:r>
      <w:r>
        <w:rPr>
          <w:rFonts w:hint="eastAsia" w:ascii="仿宋" w:hAnsi="仿宋" w:eastAsia="仿宋" w:cs="仿宋"/>
          <w:color w:val="auto"/>
          <w:sz w:val="24"/>
          <w:szCs w:val="24"/>
          <w:highlight w:val="none"/>
          <w:lang w:val="en-US" w:eastAsia="zh-CN"/>
        </w:rPr>
        <w:t>在中国境内完成。</w:t>
      </w:r>
    </w:p>
    <w:p w14:paraId="3283F56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p w14:paraId="55926AC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本公司（单位）对上述声明内容的真实性负责。如有虚假，愿承担相应法律责任。</w:t>
      </w:r>
    </w:p>
    <w:p w14:paraId="2CDE5F17">
      <w:pPr>
        <w:pageBreakBefore w:val="0"/>
        <w:topLinePunct w:val="0"/>
        <w:bidi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59BE8A86">
      <w:pPr>
        <w:pageBreakBefore w:val="0"/>
        <w:topLinePunct w:val="0"/>
        <w:bidi w:val="0"/>
        <w:spacing w:line="360" w:lineRule="auto"/>
        <w:jc w:val="center"/>
        <w:rPr>
          <w:rFonts w:hint="eastAsia" w:ascii="仿宋" w:hAnsi="仿宋" w:eastAsia="仿宋" w:cs="仿宋"/>
          <w:color w:val="auto"/>
          <w:sz w:val="24"/>
          <w:szCs w:val="24"/>
          <w:highlight w:val="none"/>
          <w:lang w:val="en-US" w:eastAsia="zh-CN"/>
        </w:rPr>
      </w:pPr>
    </w:p>
    <w:p w14:paraId="008EEF72">
      <w:pPr>
        <w:pageBreakBefore w:val="0"/>
        <w:topLinePunct w:val="0"/>
        <w:bidi w:val="0"/>
        <w:spacing w:line="360" w:lineRule="auto"/>
        <w:jc w:val="center"/>
        <w:rPr>
          <w:rFonts w:hint="eastAsia" w:ascii="仿宋" w:hAnsi="仿宋" w:eastAsia="仿宋" w:cs="仿宋"/>
          <w:color w:val="auto"/>
          <w:sz w:val="24"/>
          <w:szCs w:val="24"/>
          <w:highlight w:val="none"/>
          <w:lang w:val="en-US" w:eastAsia="zh-CN"/>
        </w:rPr>
      </w:pPr>
    </w:p>
    <w:p w14:paraId="6E55CAC3">
      <w:pPr>
        <w:pageBreakBefore w:val="0"/>
        <w:wordWrap w:val="0"/>
        <w:topLinePunct w:val="0"/>
        <w:bidi w:val="0"/>
        <w:spacing w:line="360" w:lineRule="auto"/>
        <w:ind w:firstLine="480" w:firstLineChars="200"/>
        <w:jc w:val="righ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公司（单位）名称（盖章）：</w:t>
      </w:r>
      <w:r>
        <w:rPr>
          <w:rFonts w:hint="eastAsia" w:ascii="仿宋" w:hAnsi="仿宋" w:eastAsia="仿宋" w:cs="仿宋"/>
          <w:color w:val="auto"/>
          <w:sz w:val="24"/>
          <w:szCs w:val="24"/>
          <w:highlight w:val="none"/>
          <w:u w:val="single"/>
          <w:lang w:val="en-US" w:eastAsia="zh-CN"/>
        </w:rPr>
        <w:t xml:space="preserve">                 </w:t>
      </w:r>
    </w:p>
    <w:p w14:paraId="1313CB91">
      <w:pPr>
        <w:pageBreakBefore w:val="0"/>
        <w:topLinePunct w:val="0"/>
        <w:bidi w:val="0"/>
        <w:spacing w:line="360" w:lineRule="auto"/>
        <w:ind w:firstLine="480" w:firstLineChars="20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日期：     年   月   日</w:t>
      </w:r>
    </w:p>
    <w:p w14:paraId="59028DC2">
      <w:pPr>
        <w:pStyle w:val="11"/>
        <w:pageBreakBefore w:val="0"/>
        <w:topLinePunct w:val="0"/>
        <w:bidi w:val="0"/>
        <w:spacing w:line="360" w:lineRule="auto"/>
        <w:rPr>
          <w:rFonts w:hint="eastAsia" w:ascii="仿宋" w:hAnsi="仿宋" w:eastAsia="仿宋" w:cs="仿宋"/>
          <w:color w:val="auto"/>
          <w:sz w:val="24"/>
          <w:szCs w:val="24"/>
          <w:highlight w:val="none"/>
          <w:lang w:val="en-US" w:eastAsia="zh-CN"/>
        </w:rPr>
      </w:pPr>
    </w:p>
    <w:p w14:paraId="617AC710">
      <w:pPr>
        <w:pageBreakBefore w:val="0"/>
        <w:topLinePunct w:val="0"/>
        <w:bidi w:val="0"/>
        <w:spacing w:line="360" w:lineRule="auto"/>
        <w:rPr>
          <w:rFonts w:hint="eastAsia" w:ascii="仿宋" w:hAnsi="仿宋" w:eastAsia="仿宋" w:cs="仿宋"/>
          <w:color w:val="auto"/>
          <w:sz w:val="24"/>
          <w:szCs w:val="24"/>
          <w:highlight w:val="none"/>
          <w:lang w:val="en-US" w:eastAsia="zh-CN"/>
        </w:rPr>
      </w:pPr>
    </w:p>
    <w:p w14:paraId="28ED8D70">
      <w:pPr>
        <w:pageBreakBefore w:val="0"/>
        <w:topLinePunct w:val="0"/>
        <w:bidi w:val="0"/>
        <w:spacing w:line="360" w:lineRule="auto"/>
        <w:jc w:val="both"/>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注：1.产品如有型号，请在“产品名称”栏一并填写。</w:t>
      </w:r>
    </w:p>
    <w:p w14:paraId="6682D947">
      <w:pPr>
        <w:pageBreakBefore w:val="0"/>
        <w:topLinePunct w:val="0"/>
        <w:bidi w:val="0"/>
        <w:spacing w:line="360" w:lineRule="auto"/>
        <w:ind w:firstLine="482" w:firstLineChars="200"/>
        <w:jc w:val="both"/>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2.生产厂名与厂址应与生产厂营业执照载明的相关信息保持一致。</w:t>
      </w:r>
    </w:p>
    <w:p w14:paraId="227541A0">
      <w:pPr>
        <w:pageBreakBefore w:val="0"/>
        <w:topLinePunct w:val="0"/>
        <w:bidi w:val="0"/>
        <w:spacing w:line="360" w:lineRule="auto"/>
        <w:ind w:firstLine="482" w:firstLineChars="200"/>
        <w:jc w:val="both"/>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3.该产品的中国境内生产的组件成本占比相关要求实施前，“规定比例”栏可不填，下同。</w:t>
      </w:r>
    </w:p>
    <w:p w14:paraId="24D68524">
      <w:pPr>
        <w:pageBreakBefore w:val="0"/>
        <w:topLinePunct w:val="0"/>
        <w:bidi w:val="0"/>
        <w:spacing w:line="360" w:lineRule="auto"/>
        <w:ind w:firstLine="482" w:firstLineChars="200"/>
        <w:jc w:val="both"/>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4.该产品的关键组件要求实施前，“关键组件”栏可不填，下同。</w:t>
      </w:r>
    </w:p>
    <w:p w14:paraId="57AD3777">
      <w:pPr>
        <w:pageBreakBefore w:val="0"/>
        <w:topLinePunct w:val="0"/>
        <w:bidi w:val="0"/>
        <w:spacing w:line="360" w:lineRule="auto"/>
        <w:ind w:firstLine="482"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5.该产品的关键工序要求实施前，“关键工序”栏可不填，下同。</w:t>
      </w:r>
    </w:p>
    <w:p w14:paraId="058DA33A">
      <w:pPr>
        <w:pageBreakBefore w:val="0"/>
        <w:topLinePunct w:val="0"/>
        <w:bidi w:val="0"/>
        <w:spacing w:line="360" w:lineRule="auto"/>
        <w:rPr>
          <w:rFonts w:hint="eastAsia"/>
          <w:color w:val="auto"/>
          <w:highlight w:val="none"/>
        </w:rPr>
      </w:pPr>
    </w:p>
    <w:p w14:paraId="4C3AC3BD">
      <w:pPr>
        <w:pageBreakBefore w:val="0"/>
        <w:topLinePunct w:val="0"/>
        <w:bidi w:val="0"/>
        <w:spacing w:line="360" w:lineRule="auto"/>
        <w:rPr>
          <w:rFonts w:hint="eastAsia"/>
          <w:color w:val="auto"/>
          <w:highlight w:val="none"/>
        </w:rPr>
      </w:pPr>
    </w:p>
    <w:p w14:paraId="7C1A00E2">
      <w:pPr>
        <w:pageBreakBefore w:val="0"/>
        <w:topLinePunct w:val="0"/>
        <w:bidi w:val="0"/>
        <w:spacing w:line="360" w:lineRule="auto"/>
        <w:rPr>
          <w:rFonts w:hint="eastAsia"/>
          <w:color w:val="auto"/>
          <w:highlight w:val="none"/>
        </w:rPr>
      </w:pPr>
    </w:p>
    <w:p w14:paraId="239A0061">
      <w:pPr>
        <w:pageBreakBefore w:val="0"/>
        <w:topLinePunct w:val="0"/>
        <w:bidi w:val="0"/>
        <w:spacing w:line="360" w:lineRule="auto"/>
        <w:rPr>
          <w:rFonts w:hint="eastAsia"/>
          <w:color w:val="auto"/>
          <w:highlight w:val="none"/>
        </w:rPr>
      </w:pPr>
    </w:p>
    <w:p w14:paraId="1C6184AD">
      <w:pPr>
        <w:pageBreakBefore w:val="0"/>
        <w:topLinePunct w:val="0"/>
        <w:bidi w:val="0"/>
        <w:spacing w:line="360" w:lineRule="auto"/>
        <w:rPr>
          <w:rFonts w:hint="eastAsia"/>
          <w:color w:val="auto"/>
          <w:highlight w:val="none"/>
        </w:rPr>
      </w:pPr>
    </w:p>
    <w:p w14:paraId="17003DB3">
      <w:pPr>
        <w:pageBreakBefore w:val="0"/>
        <w:topLinePunct w:val="0"/>
        <w:bidi w:val="0"/>
        <w:spacing w:line="360" w:lineRule="auto"/>
        <w:rPr>
          <w:rFonts w:hint="eastAsia"/>
          <w:color w:val="auto"/>
          <w:highlight w:val="none"/>
        </w:rPr>
      </w:pPr>
    </w:p>
    <w:p w14:paraId="3C8E52E2">
      <w:pPr>
        <w:pageBreakBefore w:val="0"/>
        <w:topLinePunct w:val="0"/>
        <w:bidi w:val="0"/>
        <w:spacing w:line="360" w:lineRule="auto"/>
        <w:rPr>
          <w:rFonts w:hint="eastAsia"/>
          <w:color w:val="auto"/>
          <w:highlight w:val="none"/>
        </w:rPr>
      </w:pPr>
    </w:p>
    <w:p w14:paraId="50BD7354">
      <w:pPr>
        <w:pageBreakBefore w:val="0"/>
        <w:topLinePunct w:val="0"/>
        <w:bidi w:val="0"/>
        <w:spacing w:line="360" w:lineRule="auto"/>
        <w:rPr>
          <w:rFonts w:hint="eastAsia"/>
          <w:color w:val="auto"/>
          <w:highlight w:val="none"/>
        </w:rPr>
      </w:pPr>
    </w:p>
    <w:p w14:paraId="4BCEC922">
      <w:pPr>
        <w:pageBreakBefore w:val="0"/>
        <w:topLinePunct w:val="0"/>
        <w:bidi w:val="0"/>
        <w:spacing w:line="360" w:lineRule="auto"/>
        <w:rPr>
          <w:rFonts w:hint="eastAsia"/>
          <w:color w:val="auto"/>
          <w:lang w:val="en-US" w:eastAsia="zh-CN"/>
        </w:rPr>
      </w:pPr>
    </w:p>
    <w:p w14:paraId="3D5C3534">
      <w:pPr>
        <w:pStyle w:val="4"/>
        <w:pageBreakBefore w:val="0"/>
        <w:topLinePunct w:val="0"/>
        <w:bidi w:val="0"/>
        <w:spacing w:line="360" w:lineRule="auto"/>
        <w:ind w:left="0" w:lef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8"/>
          <w:szCs w:val="28"/>
          <w:highlight w:val="none"/>
          <w:lang w:val="en-US" w:eastAsia="zh-CN"/>
        </w:rPr>
        <w:t>格式14、</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在</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lang w:eastAsia="zh-CN"/>
        </w:rPr>
        <w:t>文件</w:t>
      </w:r>
      <w:r>
        <w:rPr>
          <w:rFonts w:hint="eastAsia" w:ascii="仿宋" w:hAnsi="仿宋" w:eastAsia="仿宋" w:cs="仿宋"/>
          <w:b/>
          <w:bCs/>
          <w:color w:val="auto"/>
          <w:sz w:val="28"/>
          <w:szCs w:val="28"/>
          <w:highlight w:val="none"/>
        </w:rPr>
        <w:t>中未提供虚假材料的承诺</w:t>
      </w:r>
    </w:p>
    <w:p w14:paraId="59D2B465">
      <w:pPr>
        <w:pageBreakBefore w:val="0"/>
        <w:topLinePunct w:val="0"/>
        <w:bidi w:val="0"/>
        <w:spacing w:line="360" w:lineRule="auto"/>
        <w:rPr>
          <w:rFonts w:hint="eastAsia"/>
          <w:color w:val="auto"/>
          <w:highlight w:val="none"/>
        </w:rPr>
      </w:pPr>
    </w:p>
    <w:p w14:paraId="029C06E6">
      <w:pPr>
        <w:pageBreakBefore w:val="0"/>
        <w:topLinePunct w:val="0"/>
        <w:bidi w:val="0"/>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致：</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eastAsia="zh-CN"/>
        </w:rPr>
        <w:t>招标人</w:t>
      </w:r>
      <w:r>
        <w:rPr>
          <w:rFonts w:hint="eastAsia" w:ascii="仿宋" w:hAnsi="仿宋" w:eastAsia="仿宋" w:cs="仿宋"/>
          <w:b/>
          <w:bCs/>
          <w:color w:val="auto"/>
          <w:sz w:val="24"/>
          <w:szCs w:val="24"/>
          <w:highlight w:val="none"/>
          <w:u w:val="single"/>
        </w:rPr>
        <w:t>名称）</w:t>
      </w:r>
    </w:p>
    <w:p w14:paraId="22653F5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投标人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现对我公司参与的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（项目名称）（项目编号：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）投标中，所提供的所有投标材料的真实性郑重声明如下：</w:t>
      </w:r>
    </w:p>
    <w:p w14:paraId="12311E5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我公司参与本项目投标所提供的各项材料，包括但不限于企业基本信息材料、资质与资格材料、《中小企业声明函》（若有）、残疾人福利性单位声明函（若有）、监狱企业的证明文件（若有）、</w:t>
      </w:r>
      <w:r>
        <w:rPr>
          <w:rFonts w:hint="eastAsia" w:ascii="仿宋" w:hAnsi="仿宋" w:eastAsia="仿宋" w:cs="仿宋"/>
          <w:color w:val="auto"/>
          <w:sz w:val="24"/>
          <w:szCs w:val="24"/>
          <w:highlight w:val="none"/>
          <w:lang w:val="en-US" w:eastAsia="zh-CN"/>
        </w:rPr>
        <w:t>关于符合本国产品标准的声明函</w:t>
      </w:r>
      <w:r>
        <w:rPr>
          <w:rFonts w:hint="eastAsia" w:ascii="仿宋" w:hAnsi="仿宋" w:eastAsia="仿宋" w:cs="仿宋"/>
          <w:color w:val="auto"/>
          <w:sz w:val="24"/>
          <w:szCs w:val="24"/>
          <w:highlight w:val="none"/>
        </w:rPr>
        <w:t>（若有）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业绩证明材料等均是真实的。</w:t>
      </w:r>
    </w:p>
    <w:p w14:paraId="0EC5CE0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eastAsia="zh-CN"/>
        </w:rPr>
        <w:t>方在投标文件</w:t>
      </w:r>
      <w:r>
        <w:rPr>
          <w:rFonts w:hint="eastAsia" w:ascii="仿宋" w:hAnsi="仿宋" w:eastAsia="仿宋" w:cs="仿宋"/>
          <w:color w:val="auto"/>
          <w:sz w:val="24"/>
          <w:szCs w:val="24"/>
          <w:highlight w:val="none"/>
        </w:rPr>
        <w:t>中提供的业绩证明材料满足</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依照本招标文件有关规定进行核查的要求。若根据我方提供的业绩证明材料无法进行核查或者核查结果证明我方提供的业绩证明材料不实，我方愿意承担相应的后果。</w:t>
      </w:r>
    </w:p>
    <w:p w14:paraId="730F460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我方郑重承诺：如提供虚假、不真实资料，我方将接受相关处罚，并对因此而造成的损失承担法律责任。</w:t>
      </w:r>
    </w:p>
    <w:p w14:paraId="20922D63">
      <w:pPr>
        <w:pageBreakBefore w:val="0"/>
        <w:topLinePunct w:val="0"/>
        <w:bidi w:val="0"/>
        <w:spacing w:line="360" w:lineRule="auto"/>
        <w:rPr>
          <w:color w:val="auto"/>
          <w:highlight w:val="none"/>
        </w:rPr>
      </w:pPr>
    </w:p>
    <w:p w14:paraId="4FB958B0">
      <w:pPr>
        <w:pageBreakBefore w:val="0"/>
        <w:topLinePunct w:val="0"/>
        <w:bidi w:val="0"/>
        <w:adjustRightInd w:val="0"/>
        <w:snapToGrid w:val="0"/>
        <w:spacing w:line="360" w:lineRule="auto"/>
        <w:jc w:val="left"/>
        <w:rPr>
          <w:rFonts w:ascii="仿宋" w:hAnsi="仿宋" w:eastAsia="仿宋"/>
          <w:color w:val="auto"/>
          <w:sz w:val="24"/>
          <w:highlight w:val="none"/>
          <w:u w:val="single"/>
        </w:rPr>
      </w:pPr>
      <w:r>
        <w:rPr>
          <w:rFonts w:hint="eastAsia" w:ascii="仿宋" w:hAnsi="仿宋" w:eastAsia="仿宋"/>
          <w:color w:val="auto"/>
          <w:sz w:val="24"/>
          <w:highlight w:val="none"/>
        </w:rPr>
        <w:t>投标人</w:t>
      </w:r>
      <w:r>
        <w:rPr>
          <w:rFonts w:hint="eastAsia" w:ascii="仿宋" w:hAnsi="仿宋" w:eastAsia="仿宋"/>
          <w:color w:val="auto"/>
          <w:sz w:val="24"/>
          <w:highlight w:val="none"/>
          <w:lang w:val="en-US" w:eastAsia="zh-CN"/>
        </w:rPr>
        <w:t>全称</w:t>
      </w:r>
      <w:r>
        <w:rPr>
          <w:rFonts w:hint="eastAsia" w:ascii="仿宋" w:hAnsi="仿宋" w:eastAsia="仿宋"/>
          <w:color w:val="auto"/>
          <w:sz w:val="24"/>
          <w:highlight w:val="none"/>
        </w:rPr>
        <w:t>（盖单位电子公章）：</w:t>
      </w:r>
      <w:r>
        <w:rPr>
          <w:rFonts w:hint="eastAsia" w:ascii="仿宋" w:hAnsi="仿宋" w:eastAsia="仿宋"/>
          <w:color w:val="auto"/>
          <w:sz w:val="24"/>
          <w:highlight w:val="none"/>
          <w:u w:val="single"/>
        </w:rPr>
        <w:t xml:space="preserve">                                        </w:t>
      </w:r>
    </w:p>
    <w:p w14:paraId="37E76A01">
      <w:pPr>
        <w:pageBreakBefore w:val="0"/>
        <w:topLinePunct w:val="0"/>
        <w:bidi w:val="0"/>
        <w:adjustRightInd w:val="0"/>
        <w:snapToGrid w:val="0"/>
        <w:spacing w:line="360" w:lineRule="auto"/>
        <w:jc w:val="left"/>
        <w:rPr>
          <w:rFonts w:ascii="仿宋" w:hAnsi="仿宋" w:eastAsia="仿宋"/>
          <w:color w:val="auto"/>
          <w:sz w:val="24"/>
          <w:highlight w:val="none"/>
        </w:rPr>
      </w:pPr>
      <w:r>
        <w:rPr>
          <w:rFonts w:hint="eastAsia" w:ascii="仿宋" w:hAnsi="仿宋" w:eastAsia="仿宋"/>
          <w:color w:val="auto"/>
          <w:sz w:val="24"/>
          <w:szCs w:val="24"/>
          <w:highlight w:val="none"/>
        </w:rPr>
        <w:t>法定代表人或委托代理人（</w:t>
      </w:r>
      <w:r>
        <w:rPr>
          <w:rFonts w:hint="eastAsia" w:ascii="仿宋" w:hAnsi="仿宋" w:eastAsia="仿宋"/>
          <w:color w:val="auto"/>
          <w:sz w:val="24"/>
          <w:szCs w:val="24"/>
          <w:highlight w:val="none"/>
          <w:lang w:eastAsia="zh-CN"/>
        </w:rPr>
        <w:t>电子签章或签字</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p>
    <w:p w14:paraId="55F14C93">
      <w:pPr>
        <w:pageBreakBefore w:val="0"/>
        <w:topLinePunct w:val="0"/>
        <w:bidi w:val="0"/>
        <w:adjustRightInd w:val="0"/>
        <w:snapToGrid w:val="0"/>
        <w:spacing w:line="360" w:lineRule="auto"/>
        <w:jc w:val="left"/>
        <w:rPr>
          <w:rFonts w:hint="eastAsia" w:ascii="仿宋" w:hAnsi="仿宋" w:eastAsia="仿宋"/>
          <w:color w:val="auto"/>
          <w:sz w:val="24"/>
          <w:highlight w:val="none"/>
        </w:rPr>
      </w:pPr>
      <w:r>
        <w:rPr>
          <w:rFonts w:hint="eastAsia" w:ascii="仿宋" w:hAnsi="仿宋" w:eastAsia="仿宋"/>
          <w:color w:val="auto"/>
          <w:sz w:val="24"/>
          <w:highlight w:val="none"/>
        </w:rPr>
        <w:t>日  期：</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14:paraId="5FA6CE77">
      <w:pPr>
        <w:pageBreakBefore w:val="0"/>
        <w:topLinePunct w:val="0"/>
        <w:bidi w:val="0"/>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br w:type="page"/>
      </w:r>
    </w:p>
    <w:p w14:paraId="3F214EB9">
      <w:pPr>
        <w:pStyle w:val="4"/>
        <w:pageBreakBefore w:val="0"/>
        <w:shd w:val="clear"/>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格式15、商务条款偏离表</w:t>
      </w:r>
      <w:bookmarkEnd w:id="670"/>
    </w:p>
    <w:tbl>
      <w:tblPr>
        <w:tblStyle w:val="28"/>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130"/>
        <w:gridCol w:w="2236"/>
        <w:gridCol w:w="2419"/>
        <w:gridCol w:w="825"/>
        <w:gridCol w:w="825"/>
      </w:tblGrid>
      <w:tr w14:paraId="04D5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03AB2453">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130" w:type="dxa"/>
            <w:tcBorders>
              <w:top w:val="single" w:color="auto" w:sz="4" w:space="0"/>
              <w:left w:val="nil"/>
              <w:bottom w:val="single" w:color="auto" w:sz="4" w:space="0"/>
              <w:right w:val="single" w:color="auto" w:sz="4" w:space="0"/>
            </w:tcBorders>
            <w:vAlign w:val="center"/>
          </w:tcPr>
          <w:p w14:paraId="6633AD6A">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招标文件</w:t>
            </w:r>
            <w:r>
              <w:rPr>
                <w:rFonts w:hint="eastAsia" w:ascii="仿宋" w:hAnsi="仿宋" w:eastAsia="仿宋" w:cs="仿宋"/>
                <w:b/>
                <w:bCs/>
                <w:color w:val="auto"/>
                <w:sz w:val="24"/>
                <w:szCs w:val="24"/>
                <w:highlight w:val="none"/>
              </w:rPr>
              <w:t>条款号</w:t>
            </w:r>
          </w:p>
        </w:tc>
        <w:tc>
          <w:tcPr>
            <w:tcW w:w="2236" w:type="dxa"/>
            <w:tcBorders>
              <w:top w:val="single" w:color="auto" w:sz="4" w:space="0"/>
              <w:left w:val="nil"/>
              <w:bottom w:val="single" w:color="auto" w:sz="4" w:space="0"/>
              <w:right w:val="single" w:color="auto" w:sz="4" w:space="0"/>
            </w:tcBorders>
            <w:vAlign w:val="center"/>
          </w:tcPr>
          <w:p w14:paraId="7E72BA50">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招标文件</w:t>
            </w:r>
            <w:r>
              <w:rPr>
                <w:rFonts w:hint="eastAsia" w:ascii="仿宋" w:hAnsi="仿宋" w:eastAsia="仿宋" w:cs="仿宋"/>
                <w:b/>
                <w:bCs/>
                <w:color w:val="auto"/>
                <w:sz w:val="24"/>
                <w:szCs w:val="24"/>
                <w:highlight w:val="none"/>
              </w:rPr>
              <w:t>的商务条款内容</w:t>
            </w:r>
          </w:p>
        </w:tc>
        <w:tc>
          <w:tcPr>
            <w:tcW w:w="2419" w:type="dxa"/>
            <w:tcBorders>
              <w:top w:val="single" w:color="auto" w:sz="4" w:space="0"/>
              <w:left w:val="nil"/>
              <w:bottom w:val="single" w:color="auto" w:sz="4" w:space="0"/>
              <w:right w:val="single" w:color="auto" w:sz="4" w:space="0"/>
            </w:tcBorders>
            <w:vAlign w:val="center"/>
          </w:tcPr>
          <w:p w14:paraId="7A876D52">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投标文件</w:t>
            </w:r>
            <w:r>
              <w:rPr>
                <w:rFonts w:hint="eastAsia" w:ascii="仿宋" w:hAnsi="仿宋" w:eastAsia="仿宋" w:cs="仿宋"/>
                <w:b/>
                <w:bCs/>
                <w:color w:val="auto"/>
                <w:sz w:val="24"/>
                <w:szCs w:val="24"/>
                <w:highlight w:val="none"/>
              </w:rPr>
              <w:t>的商务条款响应情况</w:t>
            </w:r>
          </w:p>
        </w:tc>
        <w:tc>
          <w:tcPr>
            <w:tcW w:w="825" w:type="dxa"/>
            <w:tcBorders>
              <w:top w:val="single" w:color="auto" w:sz="4" w:space="0"/>
              <w:left w:val="nil"/>
              <w:bottom w:val="single" w:color="auto" w:sz="4" w:space="0"/>
              <w:right w:val="single" w:color="auto" w:sz="4" w:space="0"/>
            </w:tcBorders>
            <w:vAlign w:val="center"/>
          </w:tcPr>
          <w:p w14:paraId="05748AEA">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偏离情况</w:t>
            </w:r>
          </w:p>
        </w:tc>
        <w:tc>
          <w:tcPr>
            <w:tcW w:w="825" w:type="dxa"/>
            <w:tcBorders>
              <w:top w:val="single" w:color="auto" w:sz="4" w:space="0"/>
              <w:left w:val="nil"/>
              <w:bottom w:val="single" w:color="auto" w:sz="4" w:space="0"/>
              <w:right w:val="single" w:color="auto" w:sz="4" w:space="0"/>
            </w:tcBorders>
            <w:vAlign w:val="center"/>
          </w:tcPr>
          <w:p w14:paraId="5FF90A96">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说明</w:t>
            </w:r>
          </w:p>
        </w:tc>
      </w:tr>
      <w:tr w14:paraId="145A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07425B45">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130" w:type="dxa"/>
            <w:tcBorders>
              <w:top w:val="single" w:color="auto" w:sz="4" w:space="0"/>
              <w:left w:val="nil"/>
              <w:bottom w:val="single" w:color="auto" w:sz="4" w:space="0"/>
              <w:right w:val="single" w:color="auto" w:sz="4" w:space="0"/>
            </w:tcBorders>
            <w:vAlign w:val="center"/>
          </w:tcPr>
          <w:p w14:paraId="3FE8A058">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“投标人须知前附表”第</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款</w:t>
            </w:r>
          </w:p>
        </w:tc>
        <w:tc>
          <w:tcPr>
            <w:tcW w:w="2236" w:type="dxa"/>
            <w:tcBorders>
              <w:top w:val="single" w:color="auto" w:sz="4" w:space="0"/>
              <w:left w:val="nil"/>
              <w:bottom w:val="single" w:color="auto" w:sz="4" w:space="0"/>
              <w:right w:val="single" w:color="auto" w:sz="4" w:space="0"/>
            </w:tcBorders>
            <w:vAlign w:val="center"/>
          </w:tcPr>
          <w:p w14:paraId="10855396">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合同履行期限</w:t>
            </w:r>
          </w:p>
        </w:tc>
        <w:tc>
          <w:tcPr>
            <w:tcW w:w="2419" w:type="dxa"/>
            <w:tcBorders>
              <w:top w:val="single" w:color="auto" w:sz="4" w:space="0"/>
              <w:left w:val="nil"/>
              <w:bottom w:val="single" w:color="auto" w:sz="4" w:space="0"/>
              <w:right w:val="single" w:color="auto" w:sz="4" w:space="0"/>
            </w:tcBorders>
            <w:vAlign w:val="center"/>
          </w:tcPr>
          <w:p w14:paraId="0E07308A">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825" w:type="dxa"/>
            <w:tcBorders>
              <w:top w:val="single" w:color="auto" w:sz="4" w:space="0"/>
              <w:left w:val="nil"/>
              <w:bottom w:val="single" w:color="auto" w:sz="4" w:space="0"/>
              <w:right w:val="single" w:color="auto" w:sz="4" w:space="0"/>
            </w:tcBorders>
            <w:vAlign w:val="center"/>
          </w:tcPr>
          <w:p w14:paraId="3F7FFDD9">
            <w:pPr>
              <w:keepNext w:val="0"/>
              <w:keepLines w:val="0"/>
              <w:pageBreakBefore w:val="0"/>
              <w:widowControl w:val="0"/>
              <w:shd w:val="clear" w:fill="FFFFFF" w:themeFill="background1"/>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825" w:type="dxa"/>
            <w:tcBorders>
              <w:top w:val="single" w:color="auto" w:sz="4" w:space="0"/>
              <w:left w:val="nil"/>
              <w:bottom w:val="single" w:color="auto" w:sz="4" w:space="0"/>
              <w:right w:val="single" w:color="auto" w:sz="4" w:space="0"/>
            </w:tcBorders>
            <w:vAlign w:val="center"/>
          </w:tcPr>
          <w:p w14:paraId="40F2D133">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65D9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4C95E59D">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130" w:type="dxa"/>
            <w:tcBorders>
              <w:top w:val="single" w:color="auto" w:sz="4" w:space="0"/>
              <w:left w:val="nil"/>
              <w:bottom w:val="single" w:color="auto" w:sz="4" w:space="0"/>
              <w:right w:val="single" w:color="auto" w:sz="4" w:space="0"/>
            </w:tcBorders>
            <w:vAlign w:val="center"/>
          </w:tcPr>
          <w:p w14:paraId="29EA4185">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“投标人须知前附表”第</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款</w:t>
            </w:r>
          </w:p>
        </w:tc>
        <w:tc>
          <w:tcPr>
            <w:tcW w:w="2236" w:type="dxa"/>
            <w:tcBorders>
              <w:top w:val="single" w:color="auto" w:sz="4" w:space="0"/>
              <w:left w:val="nil"/>
              <w:bottom w:val="single" w:color="auto" w:sz="4" w:space="0"/>
              <w:right w:val="single" w:color="auto" w:sz="4" w:space="0"/>
            </w:tcBorders>
            <w:vAlign w:val="center"/>
          </w:tcPr>
          <w:p w14:paraId="108BEFCA">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交货期限</w:t>
            </w:r>
          </w:p>
        </w:tc>
        <w:tc>
          <w:tcPr>
            <w:tcW w:w="2419" w:type="dxa"/>
            <w:tcBorders>
              <w:top w:val="single" w:color="auto" w:sz="4" w:space="0"/>
              <w:left w:val="nil"/>
              <w:bottom w:val="single" w:color="auto" w:sz="4" w:space="0"/>
              <w:right w:val="single" w:color="auto" w:sz="4" w:space="0"/>
            </w:tcBorders>
            <w:vAlign w:val="center"/>
          </w:tcPr>
          <w:p w14:paraId="27BE5046">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825" w:type="dxa"/>
            <w:tcBorders>
              <w:top w:val="single" w:color="auto" w:sz="4" w:space="0"/>
              <w:left w:val="nil"/>
              <w:bottom w:val="single" w:color="auto" w:sz="4" w:space="0"/>
              <w:right w:val="single" w:color="auto" w:sz="4" w:space="0"/>
            </w:tcBorders>
            <w:vAlign w:val="center"/>
          </w:tcPr>
          <w:p w14:paraId="7AE69057">
            <w:pPr>
              <w:keepNext w:val="0"/>
              <w:keepLines w:val="0"/>
              <w:pageBreakBefore w:val="0"/>
              <w:widowControl w:val="0"/>
              <w:shd w:val="clear" w:fill="FFFFFF" w:themeFill="background1"/>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825" w:type="dxa"/>
            <w:tcBorders>
              <w:top w:val="single" w:color="auto" w:sz="4" w:space="0"/>
              <w:left w:val="nil"/>
              <w:bottom w:val="single" w:color="auto" w:sz="4" w:space="0"/>
              <w:right w:val="single" w:color="auto" w:sz="4" w:space="0"/>
            </w:tcBorders>
            <w:vAlign w:val="center"/>
          </w:tcPr>
          <w:p w14:paraId="435CD197">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0779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3A4430EA">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130" w:type="dxa"/>
            <w:tcBorders>
              <w:top w:val="single" w:color="auto" w:sz="4" w:space="0"/>
              <w:left w:val="nil"/>
              <w:bottom w:val="single" w:color="auto" w:sz="4" w:space="0"/>
              <w:right w:val="single" w:color="auto" w:sz="4" w:space="0"/>
            </w:tcBorders>
            <w:vAlign w:val="center"/>
          </w:tcPr>
          <w:p w14:paraId="0DA67B09">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“投标人须知前附表”第</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款</w:t>
            </w:r>
          </w:p>
        </w:tc>
        <w:tc>
          <w:tcPr>
            <w:tcW w:w="2236" w:type="dxa"/>
            <w:tcBorders>
              <w:top w:val="single" w:color="auto" w:sz="4" w:space="0"/>
              <w:left w:val="nil"/>
              <w:bottom w:val="single" w:color="auto" w:sz="4" w:space="0"/>
              <w:right w:val="single" w:color="auto" w:sz="4" w:space="0"/>
            </w:tcBorders>
            <w:vAlign w:val="center"/>
          </w:tcPr>
          <w:p w14:paraId="39BC984E">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交货地点</w:t>
            </w:r>
          </w:p>
        </w:tc>
        <w:tc>
          <w:tcPr>
            <w:tcW w:w="2419" w:type="dxa"/>
            <w:tcBorders>
              <w:top w:val="single" w:color="auto" w:sz="4" w:space="0"/>
              <w:left w:val="nil"/>
              <w:bottom w:val="single" w:color="auto" w:sz="4" w:space="0"/>
              <w:right w:val="single" w:color="auto" w:sz="4" w:space="0"/>
            </w:tcBorders>
            <w:vAlign w:val="center"/>
          </w:tcPr>
          <w:p w14:paraId="6C71C886">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825" w:type="dxa"/>
            <w:tcBorders>
              <w:top w:val="single" w:color="auto" w:sz="4" w:space="0"/>
              <w:left w:val="nil"/>
              <w:bottom w:val="single" w:color="auto" w:sz="4" w:space="0"/>
              <w:right w:val="single" w:color="auto" w:sz="4" w:space="0"/>
            </w:tcBorders>
            <w:vAlign w:val="center"/>
          </w:tcPr>
          <w:p w14:paraId="025CCDE6">
            <w:pPr>
              <w:keepNext w:val="0"/>
              <w:keepLines w:val="0"/>
              <w:pageBreakBefore w:val="0"/>
              <w:widowControl w:val="0"/>
              <w:shd w:val="clear" w:fill="FFFFFF" w:themeFill="background1"/>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825" w:type="dxa"/>
            <w:tcBorders>
              <w:top w:val="single" w:color="auto" w:sz="4" w:space="0"/>
              <w:left w:val="nil"/>
              <w:bottom w:val="single" w:color="auto" w:sz="4" w:space="0"/>
              <w:right w:val="single" w:color="auto" w:sz="4" w:space="0"/>
            </w:tcBorders>
            <w:vAlign w:val="center"/>
          </w:tcPr>
          <w:p w14:paraId="4AAF0F0F">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365F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6241C1AC">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130" w:type="dxa"/>
            <w:tcBorders>
              <w:top w:val="single" w:color="auto" w:sz="4" w:space="0"/>
              <w:left w:val="nil"/>
              <w:bottom w:val="single" w:color="auto" w:sz="4" w:space="0"/>
              <w:right w:val="single" w:color="auto" w:sz="4" w:space="0"/>
            </w:tcBorders>
            <w:vAlign w:val="center"/>
          </w:tcPr>
          <w:p w14:paraId="2297866C">
            <w:pPr>
              <w:keepNext w:val="0"/>
              <w:keepLines w:val="0"/>
              <w:pageBreakBefore w:val="0"/>
              <w:widowControl w:val="0"/>
              <w:shd w:val="clear" w:fill="FFFFFF" w:themeFill="background1"/>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“投标人须知前附表”第</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款</w:t>
            </w:r>
          </w:p>
        </w:tc>
        <w:tc>
          <w:tcPr>
            <w:tcW w:w="2236" w:type="dxa"/>
            <w:tcBorders>
              <w:top w:val="single" w:color="auto" w:sz="4" w:space="0"/>
              <w:left w:val="nil"/>
              <w:bottom w:val="single" w:color="auto" w:sz="4" w:space="0"/>
              <w:right w:val="single" w:color="auto" w:sz="4" w:space="0"/>
            </w:tcBorders>
            <w:vAlign w:val="center"/>
          </w:tcPr>
          <w:p w14:paraId="28B09907">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质保期</w:t>
            </w:r>
          </w:p>
        </w:tc>
        <w:tc>
          <w:tcPr>
            <w:tcW w:w="2419" w:type="dxa"/>
            <w:tcBorders>
              <w:top w:val="single" w:color="auto" w:sz="4" w:space="0"/>
              <w:left w:val="nil"/>
              <w:bottom w:val="single" w:color="auto" w:sz="4" w:space="0"/>
              <w:right w:val="single" w:color="auto" w:sz="4" w:space="0"/>
            </w:tcBorders>
            <w:vAlign w:val="center"/>
          </w:tcPr>
          <w:p w14:paraId="356F7ECD">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825" w:type="dxa"/>
            <w:tcBorders>
              <w:top w:val="single" w:color="auto" w:sz="4" w:space="0"/>
              <w:left w:val="nil"/>
              <w:bottom w:val="single" w:color="auto" w:sz="4" w:space="0"/>
              <w:right w:val="single" w:color="auto" w:sz="4" w:space="0"/>
            </w:tcBorders>
            <w:vAlign w:val="center"/>
          </w:tcPr>
          <w:p w14:paraId="58E4D311">
            <w:pPr>
              <w:keepNext w:val="0"/>
              <w:keepLines w:val="0"/>
              <w:pageBreakBefore w:val="0"/>
              <w:widowControl w:val="0"/>
              <w:shd w:val="clear" w:fill="FFFFFF" w:themeFill="background1"/>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825" w:type="dxa"/>
            <w:tcBorders>
              <w:top w:val="single" w:color="auto" w:sz="4" w:space="0"/>
              <w:left w:val="nil"/>
              <w:bottom w:val="single" w:color="auto" w:sz="4" w:space="0"/>
              <w:right w:val="single" w:color="auto" w:sz="4" w:space="0"/>
            </w:tcBorders>
            <w:vAlign w:val="center"/>
          </w:tcPr>
          <w:p w14:paraId="714ACEAE">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76A0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618F98E9">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130" w:type="dxa"/>
            <w:tcBorders>
              <w:top w:val="single" w:color="auto" w:sz="4" w:space="0"/>
              <w:left w:val="nil"/>
              <w:bottom w:val="single" w:color="auto" w:sz="4" w:space="0"/>
              <w:right w:val="single" w:color="auto" w:sz="4" w:space="0"/>
            </w:tcBorders>
            <w:vAlign w:val="center"/>
          </w:tcPr>
          <w:p w14:paraId="479E8CAF">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“投标人须知前附表</w:t>
            </w: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17.1款</w:t>
            </w:r>
          </w:p>
        </w:tc>
        <w:tc>
          <w:tcPr>
            <w:tcW w:w="2236" w:type="dxa"/>
            <w:tcBorders>
              <w:top w:val="single" w:color="auto" w:sz="4" w:space="0"/>
              <w:left w:val="nil"/>
              <w:bottom w:val="single" w:color="auto" w:sz="4" w:space="0"/>
              <w:right w:val="single" w:color="auto" w:sz="4" w:space="0"/>
            </w:tcBorders>
            <w:vAlign w:val="center"/>
          </w:tcPr>
          <w:p w14:paraId="78D85E45">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投标有效期</w:t>
            </w:r>
          </w:p>
        </w:tc>
        <w:tc>
          <w:tcPr>
            <w:tcW w:w="2419" w:type="dxa"/>
            <w:tcBorders>
              <w:top w:val="single" w:color="auto" w:sz="4" w:space="0"/>
              <w:left w:val="nil"/>
              <w:bottom w:val="single" w:color="auto" w:sz="4" w:space="0"/>
              <w:right w:val="single" w:color="auto" w:sz="4" w:space="0"/>
            </w:tcBorders>
            <w:vAlign w:val="center"/>
          </w:tcPr>
          <w:p w14:paraId="4C9257E6">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825" w:type="dxa"/>
            <w:tcBorders>
              <w:top w:val="single" w:color="auto" w:sz="4" w:space="0"/>
              <w:left w:val="nil"/>
              <w:bottom w:val="single" w:color="auto" w:sz="4" w:space="0"/>
              <w:right w:val="single" w:color="auto" w:sz="4" w:space="0"/>
            </w:tcBorders>
            <w:vAlign w:val="center"/>
          </w:tcPr>
          <w:p w14:paraId="534D0CD3">
            <w:pPr>
              <w:keepNext w:val="0"/>
              <w:keepLines w:val="0"/>
              <w:pageBreakBefore w:val="0"/>
              <w:widowControl w:val="0"/>
              <w:shd w:val="clear" w:fill="FFFFFF" w:themeFill="background1"/>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825" w:type="dxa"/>
            <w:tcBorders>
              <w:top w:val="single" w:color="auto" w:sz="4" w:space="0"/>
              <w:left w:val="nil"/>
              <w:bottom w:val="single" w:color="auto" w:sz="4" w:space="0"/>
              <w:right w:val="single" w:color="auto" w:sz="4" w:space="0"/>
            </w:tcBorders>
            <w:vAlign w:val="center"/>
          </w:tcPr>
          <w:p w14:paraId="297FFAA7">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r w14:paraId="73D9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7" w:type="dxa"/>
            <w:tcBorders>
              <w:top w:val="single" w:color="auto" w:sz="4" w:space="0"/>
              <w:left w:val="single" w:color="auto" w:sz="4" w:space="0"/>
              <w:bottom w:val="single" w:color="auto" w:sz="4" w:space="0"/>
              <w:right w:val="single" w:color="auto" w:sz="4" w:space="0"/>
            </w:tcBorders>
            <w:vAlign w:val="center"/>
          </w:tcPr>
          <w:p w14:paraId="61A3F886">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130" w:type="dxa"/>
            <w:tcBorders>
              <w:top w:val="single" w:color="auto" w:sz="4" w:space="0"/>
              <w:left w:val="nil"/>
              <w:bottom w:val="single" w:color="auto" w:sz="4" w:space="0"/>
              <w:right w:val="single" w:color="auto" w:sz="4" w:space="0"/>
            </w:tcBorders>
            <w:vAlign w:val="center"/>
          </w:tcPr>
          <w:p w14:paraId="2971472E">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采购需求</w:t>
            </w:r>
            <w:r>
              <w:rPr>
                <w:rFonts w:hint="eastAsia" w:ascii="仿宋" w:hAnsi="仿宋" w:eastAsia="仿宋" w:cs="仿宋"/>
                <w:color w:val="auto"/>
                <w:sz w:val="24"/>
                <w:szCs w:val="24"/>
                <w:highlight w:val="none"/>
              </w:rPr>
              <w:t>”</w:t>
            </w:r>
          </w:p>
          <w:p w14:paraId="2EDBE1F8">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款</w:t>
            </w:r>
          </w:p>
        </w:tc>
        <w:tc>
          <w:tcPr>
            <w:tcW w:w="2236" w:type="dxa"/>
            <w:tcBorders>
              <w:top w:val="single" w:color="auto" w:sz="4" w:space="0"/>
              <w:left w:val="nil"/>
              <w:bottom w:val="single" w:color="auto" w:sz="4" w:space="0"/>
              <w:right w:val="single" w:color="auto" w:sz="4" w:space="0"/>
            </w:tcBorders>
            <w:vAlign w:val="center"/>
          </w:tcPr>
          <w:p w14:paraId="1C357D2F">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合同价款结算</w:t>
            </w:r>
          </w:p>
        </w:tc>
        <w:tc>
          <w:tcPr>
            <w:tcW w:w="2419" w:type="dxa"/>
            <w:tcBorders>
              <w:top w:val="single" w:color="auto" w:sz="4" w:space="0"/>
              <w:left w:val="nil"/>
              <w:bottom w:val="single" w:color="auto" w:sz="4" w:space="0"/>
              <w:right w:val="single" w:color="auto" w:sz="4" w:space="0"/>
            </w:tcBorders>
            <w:vAlign w:val="center"/>
          </w:tcPr>
          <w:p w14:paraId="066DCBEB">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825" w:type="dxa"/>
            <w:tcBorders>
              <w:top w:val="single" w:color="auto" w:sz="4" w:space="0"/>
              <w:left w:val="nil"/>
              <w:bottom w:val="single" w:color="auto" w:sz="4" w:space="0"/>
              <w:right w:val="single" w:color="auto" w:sz="4" w:space="0"/>
            </w:tcBorders>
            <w:vAlign w:val="center"/>
          </w:tcPr>
          <w:p w14:paraId="4A3D55E7">
            <w:pPr>
              <w:keepNext w:val="0"/>
              <w:keepLines w:val="0"/>
              <w:pageBreakBefore w:val="0"/>
              <w:widowControl w:val="0"/>
              <w:shd w:val="clear" w:fill="FFFFFF" w:themeFill="background1"/>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c>
          <w:tcPr>
            <w:tcW w:w="825" w:type="dxa"/>
            <w:tcBorders>
              <w:top w:val="single" w:color="auto" w:sz="4" w:space="0"/>
              <w:left w:val="nil"/>
              <w:bottom w:val="single" w:color="auto" w:sz="4" w:space="0"/>
              <w:right w:val="single" w:color="auto" w:sz="4" w:space="0"/>
            </w:tcBorders>
            <w:vAlign w:val="center"/>
          </w:tcPr>
          <w:p w14:paraId="1065BD93">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p>
        </w:tc>
      </w:tr>
    </w:tbl>
    <w:p w14:paraId="6B936613">
      <w:pPr>
        <w:pageBreakBefore w:val="0"/>
        <w:shd w:val="clear"/>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p>
    <w:bookmarkEnd w:id="671"/>
    <w:p w14:paraId="59CF4475">
      <w:pPr>
        <w:keepNext/>
        <w:keepLines/>
        <w:pageBreakBefore w:val="0"/>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rPr>
        <w:t>格式</w:t>
      </w:r>
      <w:r>
        <w:rPr>
          <w:rFonts w:hint="eastAsia" w:ascii="仿宋" w:hAnsi="仿宋" w:eastAsia="仿宋" w:cs="仿宋"/>
          <w:b/>
          <w:color w:val="auto"/>
          <w:kern w:val="0"/>
          <w:sz w:val="24"/>
          <w:szCs w:val="24"/>
          <w:highlight w:val="none"/>
          <w:lang w:val="en-US" w:eastAsia="zh-CN"/>
        </w:rPr>
        <w:t>16</w:t>
      </w: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val="en-US" w:eastAsia="zh-CN"/>
        </w:rPr>
        <w:t>售</w:t>
      </w:r>
      <w:r>
        <w:rPr>
          <w:rFonts w:hint="eastAsia" w:ascii="仿宋" w:hAnsi="仿宋" w:eastAsia="仿宋" w:cs="仿宋"/>
          <w:b/>
          <w:color w:val="auto"/>
          <w:kern w:val="0"/>
          <w:sz w:val="24"/>
          <w:szCs w:val="24"/>
          <w:highlight w:val="none"/>
        </w:rPr>
        <w:t>后服务能力</w:t>
      </w:r>
    </w:p>
    <w:p w14:paraId="231554F0">
      <w:pPr>
        <w:pStyle w:val="11"/>
        <w:pageBreakBefore w:val="0"/>
        <w:topLinePunct w:val="0"/>
        <w:bidi w:val="0"/>
        <w:spacing w:beforeAutospacing="0" w:afterAutospacing="0" w:line="360" w:lineRule="auto"/>
        <w:ind w:left="0" w:leftChars="0" w:right="0" w:rightChars="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格式自拟</w:t>
      </w:r>
    </w:p>
    <w:p w14:paraId="7EE76B23">
      <w:pPr>
        <w:keepNext/>
        <w:keepLines/>
        <w:pageBreakBefore w:val="0"/>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格式17、</w:t>
      </w:r>
      <w:r>
        <w:rPr>
          <w:rFonts w:hint="eastAsia" w:ascii="仿宋" w:hAnsi="仿宋" w:eastAsia="仿宋" w:cs="仿宋"/>
          <w:b/>
          <w:color w:val="auto"/>
          <w:sz w:val="24"/>
          <w:szCs w:val="24"/>
          <w:highlight w:val="none"/>
        </w:rPr>
        <w:t>类似项目业绩</w:t>
      </w:r>
    </w:p>
    <w:tbl>
      <w:tblPr>
        <w:tblStyle w:val="28"/>
        <w:tblW w:w="8572" w:type="dxa"/>
        <w:jc w:val="center"/>
        <w:tblLayout w:type="fixed"/>
        <w:tblCellMar>
          <w:top w:w="0" w:type="dxa"/>
          <w:left w:w="54" w:type="dxa"/>
          <w:bottom w:w="0" w:type="dxa"/>
          <w:right w:w="54" w:type="dxa"/>
        </w:tblCellMar>
      </w:tblPr>
      <w:tblGrid>
        <w:gridCol w:w="835"/>
        <w:gridCol w:w="1258"/>
        <w:gridCol w:w="1843"/>
        <w:gridCol w:w="1559"/>
        <w:gridCol w:w="1843"/>
        <w:gridCol w:w="1234"/>
      </w:tblGrid>
      <w:tr w14:paraId="7CA7CCF1">
        <w:tblPrEx>
          <w:tblCellMar>
            <w:top w:w="0" w:type="dxa"/>
            <w:left w:w="54" w:type="dxa"/>
            <w:bottom w:w="0" w:type="dxa"/>
            <w:right w:w="54" w:type="dxa"/>
          </w:tblCellMar>
        </w:tblPrEx>
        <w:trPr>
          <w:cantSplit/>
          <w:trHeight w:val="437" w:hRule="atLeast"/>
          <w:jc w:val="center"/>
        </w:trPr>
        <w:tc>
          <w:tcPr>
            <w:tcW w:w="835" w:type="dxa"/>
            <w:tcBorders>
              <w:top w:val="single" w:color="auto" w:sz="6" w:space="0"/>
              <w:left w:val="single" w:color="auto" w:sz="6" w:space="0"/>
              <w:bottom w:val="single" w:color="auto" w:sz="4" w:space="0"/>
              <w:right w:val="single" w:color="auto" w:sz="4" w:space="0"/>
            </w:tcBorders>
            <w:vAlign w:val="center"/>
          </w:tcPr>
          <w:p w14:paraId="303B0EE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258" w:type="dxa"/>
            <w:tcBorders>
              <w:top w:val="single" w:color="auto" w:sz="6" w:space="0"/>
              <w:left w:val="single" w:color="auto" w:sz="4" w:space="0"/>
              <w:bottom w:val="single" w:color="auto" w:sz="4" w:space="0"/>
              <w:right w:val="single" w:color="auto" w:sz="4" w:space="0"/>
            </w:tcBorders>
            <w:vAlign w:val="center"/>
          </w:tcPr>
          <w:p w14:paraId="122AE61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p>
        </w:tc>
        <w:tc>
          <w:tcPr>
            <w:tcW w:w="1843" w:type="dxa"/>
            <w:tcBorders>
              <w:top w:val="single" w:color="auto" w:sz="6" w:space="0"/>
              <w:left w:val="single" w:color="auto" w:sz="4" w:space="0"/>
              <w:bottom w:val="single" w:color="auto" w:sz="4" w:space="0"/>
              <w:right w:val="single" w:color="auto" w:sz="6" w:space="0"/>
            </w:tcBorders>
            <w:vAlign w:val="center"/>
          </w:tcPr>
          <w:p w14:paraId="57FF49E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合同签订日期</w:t>
            </w:r>
          </w:p>
        </w:tc>
        <w:tc>
          <w:tcPr>
            <w:tcW w:w="1559" w:type="dxa"/>
            <w:tcBorders>
              <w:top w:val="single" w:color="auto" w:sz="6" w:space="0"/>
              <w:left w:val="single" w:color="auto" w:sz="6" w:space="0"/>
              <w:bottom w:val="single" w:color="auto" w:sz="4" w:space="0"/>
              <w:right w:val="single" w:color="auto" w:sz="4" w:space="0"/>
            </w:tcBorders>
            <w:vAlign w:val="center"/>
          </w:tcPr>
          <w:p w14:paraId="55E4979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合同金额</w:t>
            </w:r>
          </w:p>
        </w:tc>
        <w:tc>
          <w:tcPr>
            <w:tcW w:w="1843" w:type="dxa"/>
            <w:tcBorders>
              <w:top w:val="single" w:color="auto" w:sz="6" w:space="0"/>
              <w:left w:val="single" w:color="auto" w:sz="4" w:space="0"/>
              <w:bottom w:val="single" w:color="auto" w:sz="4" w:space="0"/>
              <w:right w:val="single" w:color="auto" w:sz="4" w:space="0"/>
            </w:tcBorders>
            <w:vAlign w:val="center"/>
          </w:tcPr>
          <w:p w14:paraId="781EE6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采购单位联系人</w:t>
            </w:r>
          </w:p>
        </w:tc>
        <w:tc>
          <w:tcPr>
            <w:tcW w:w="1234" w:type="dxa"/>
            <w:tcBorders>
              <w:top w:val="single" w:color="auto" w:sz="6" w:space="0"/>
              <w:left w:val="single" w:color="auto" w:sz="4" w:space="0"/>
              <w:bottom w:val="single" w:color="auto" w:sz="4" w:space="0"/>
              <w:right w:val="single" w:color="auto" w:sz="4" w:space="0"/>
            </w:tcBorders>
            <w:vAlign w:val="center"/>
          </w:tcPr>
          <w:p w14:paraId="4D2AD9D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r>
      <w:tr w14:paraId="6E8A4568">
        <w:tblPrEx>
          <w:tblCellMar>
            <w:top w:w="0" w:type="dxa"/>
            <w:left w:w="54" w:type="dxa"/>
            <w:bottom w:w="0" w:type="dxa"/>
            <w:right w:w="54" w:type="dxa"/>
          </w:tblCellMar>
        </w:tblPrEx>
        <w:trPr>
          <w:cantSplit/>
          <w:trHeight w:val="461" w:hRule="atLeast"/>
          <w:jc w:val="center"/>
        </w:trPr>
        <w:tc>
          <w:tcPr>
            <w:tcW w:w="835" w:type="dxa"/>
            <w:tcBorders>
              <w:top w:val="single" w:color="auto" w:sz="4" w:space="0"/>
              <w:left w:val="single" w:color="auto" w:sz="6" w:space="0"/>
              <w:bottom w:val="single" w:color="auto" w:sz="4" w:space="0"/>
              <w:right w:val="single" w:color="auto" w:sz="4" w:space="0"/>
            </w:tcBorders>
            <w:vAlign w:val="center"/>
          </w:tcPr>
          <w:p w14:paraId="5B19FCC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258" w:type="dxa"/>
            <w:tcBorders>
              <w:top w:val="single" w:color="auto" w:sz="4" w:space="0"/>
              <w:left w:val="single" w:color="auto" w:sz="4" w:space="0"/>
              <w:bottom w:val="single" w:color="auto" w:sz="4" w:space="0"/>
              <w:right w:val="single" w:color="auto" w:sz="4" w:space="0"/>
            </w:tcBorders>
            <w:vAlign w:val="center"/>
          </w:tcPr>
          <w:p w14:paraId="0DC1643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843" w:type="dxa"/>
            <w:tcBorders>
              <w:top w:val="single" w:color="auto" w:sz="4" w:space="0"/>
              <w:left w:val="single" w:color="auto" w:sz="4" w:space="0"/>
              <w:bottom w:val="single" w:color="auto" w:sz="4" w:space="0"/>
              <w:right w:val="single" w:color="auto" w:sz="6" w:space="0"/>
            </w:tcBorders>
            <w:vAlign w:val="center"/>
          </w:tcPr>
          <w:p w14:paraId="67F101A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559" w:type="dxa"/>
            <w:tcBorders>
              <w:top w:val="single" w:color="auto" w:sz="4" w:space="0"/>
              <w:left w:val="single" w:color="auto" w:sz="6" w:space="0"/>
              <w:bottom w:val="single" w:color="auto" w:sz="4" w:space="0"/>
              <w:right w:val="single" w:color="auto" w:sz="4" w:space="0"/>
            </w:tcBorders>
            <w:vAlign w:val="center"/>
          </w:tcPr>
          <w:p w14:paraId="712C1F8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A53E3F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234" w:type="dxa"/>
            <w:tcBorders>
              <w:top w:val="single" w:color="auto" w:sz="4" w:space="0"/>
              <w:left w:val="single" w:color="auto" w:sz="4" w:space="0"/>
              <w:bottom w:val="single" w:color="auto" w:sz="4" w:space="0"/>
              <w:right w:val="single" w:color="auto" w:sz="6" w:space="0"/>
            </w:tcBorders>
            <w:vAlign w:val="center"/>
          </w:tcPr>
          <w:p w14:paraId="74C812A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r>
      <w:tr w14:paraId="358B9CD5">
        <w:tblPrEx>
          <w:tblCellMar>
            <w:top w:w="0" w:type="dxa"/>
            <w:left w:w="54" w:type="dxa"/>
            <w:bottom w:w="0" w:type="dxa"/>
            <w:right w:w="54" w:type="dxa"/>
          </w:tblCellMar>
        </w:tblPrEx>
        <w:trPr>
          <w:cantSplit/>
          <w:trHeight w:val="452" w:hRule="atLeast"/>
          <w:jc w:val="center"/>
        </w:trPr>
        <w:tc>
          <w:tcPr>
            <w:tcW w:w="835" w:type="dxa"/>
            <w:tcBorders>
              <w:top w:val="single" w:color="auto" w:sz="4" w:space="0"/>
              <w:left w:val="single" w:color="auto" w:sz="6" w:space="0"/>
              <w:bottom w:val="single" w:color="auto" w:sz="4" w:space="0"/>
              <w:right w:val="single" w:color="auto" w:sz="4" w:space="0"/>
            </w:tcBorders>
            <w:vAlign w:val="center"/>
          </w:tcPr>
          <w:p w14:paraId="213515A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1258" w:type="dxa"/>
            <w:tcBorders>
              <w:top w:val="single" w:color="auto" w:sz="4" w:space="0"/>
              <w:left w:val="single" w:color="auto" w:sz="4" w:space="0"/>
              <w:bottom w:val="single" w:color="auto" w:sz="4" w:space="0"/>
              <w:right w:val="single" w:color="auto" w:sz="4" w:space="0"/>
            </w:tcBorders>
            <w:vAlign w:val="center"/>
          </w:tcPr>
          <w:p w14:paraId="3899342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843" w:type="dxa"/>
            <w:tcBorders>
              <w:top w:val="single" w:color="auto" w:sz="4" w:space="0"/>
              <w:left w:val="single" w:color="auto" w:sz="4" w:space="0"/>
              <w:bottom w:val="single" w:color="auto" w:sz="4" w:space="0"/>
              <w:right w:val="single" w:color="auto" w:sz="6" w:space="0"/>
            </w:tcBorders>
            <w:vAlign w:val="center"/>
          </w:tcPr>
          <w:p w14:paraId="5137EA3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559" w:type="dxa"/>
            <w:tcBorders>
              <w:top w:val="single" w:color="auto" w:sz="4" w:space="0"/>
              <w:left w:val="single" w:color="auto" w:sz="6" w:space="0"/>
              <w:bottom w:val="single" w:color="auto" w:sz="4" w:space="0"/>
              <w:right w:val="single" w:color="auto" w:sz="4" w:space="0"/>
            </w:tcBorders>
            <w:vAlign w:val="center"/>
          </w:tcPr>
          <w:p w14:paraId="1315DD6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0560E60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234" w:type="dxa"/>
            <w:tcBorders>
              <w:top w:val="single" w:color="auto" w:sz="4" w:space="0"/>
              <w:left w:val="single" w:color="auto" w:sz="4" w:space="0"/>
              <w:bottom w:val="single" w:color="auto" w:sz="4" w:space="0"/>
              <w:right w:val="single" w:color="auto" w:sz="6" w:space="0"/>
            </w:tcBorders>
            <w:vAlign w:val="center"/>
          </w:tcPr>
          <w:p w14:paraId="0104F82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r>
      <w:tr w14:paraId="722AAC18">
        <w:tblPrEx>
          <w:tblCellMar>
            <w:top w:w="0" w:type="dxa"/>
            <w:left w:w="54" w:type="dxa"/>
            <w:bottom w:w="0" w:type="dxa"/>
            <w:right w:w="54" w:type="dxa"/>
          </w:tblCellMar>
        </w:tblPrEx>
        <w:trPr>
          <w:cantSplit/>
          <w:trHeight w:val="473" w:hRule="atLeast"/>
          <w:jc w:val="center"/>
        </w:trPr>
        <w:tc>
          <w:tcPr>
            <w:tcW w:w="835" w:type="dxa"/>
            <w:tcBorders>
              <w:top w:val="single" w:color="auto" w:sz="4" w:space="0"/>
              <w:left w:val="single" w:color="auto" w:sz="6" w:space="0"/>
              <w:bottom w:val="single" w:color="auto" w:sz="4" w:space="0"/>
              <w:right w:val="single" w:color="auto" w:sz="4" w:space="0"/>
            </w:tcBorders>
            <w:vAlign w:val="center"/>
          </w:tcPr>
          <w:p w14:paraId="56799AF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1258" w:type="dxa"/>
            <w:tcBorders>
              <w:top w:val="single" w:color="auto" w:sz="4" w:space="0"/>
              <w:left w:val="single" w:color="auto" w:sz="4" w:space="0"/>
              <w:bottom w:val="single" w:color="auto" w:sz="4" w:space="0"/>
              <w:right w:val="single" w:color="auto" w:sz="4" w:space="0"/>
            </w:tcBorders>
          </w:tcPr>
          <w:p w14:paraId="3CF89C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843" w:type="dxa"/>
            <w:tcBorders>
              <w:top w:val="single" w:color="auto" w:sz="4" w:space="0"/>
              <w:left w:val="single" w:color="auto" w:sz="4" w:space="0"/>
              <w:bottom w:val="single" w:color="auto" w:sz="4" w:space="0"/>
              <w:right w:val="single" w:color="auto" w:sz="6" w:space="0"/>
            </w:tcBorders>
            <w:vAlign w:val="center"/>
          </w:tcPr>
          <w:p w14:paraId="6F07538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559" w:type="dxa"/>
            <w:tcBorders>
              <w:top w:val="single" w:color="auto" w:sz="4" w:space="0"/>
              <w:left w:val="single" w:color="auto" w:sz="6" w:space="0"/>
              <w:bottom w:val="single" w:color="auto" w:sz="4" w:space="0"/>
              <w:right w:val="single" w:color="auto" w:sz="4" w:space="0"/>
            </w:tcBorders>
            <w:vAlign w:val="center"/>
          </w:tcPr>
          <w:p w14:paraId="3074F3B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169534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234" w:type="dxa"/>
            <w:tcBorders>
              <w:top w:val="single" w:color="auto" w:sz="4" w:space="0"/>
              <w:left w:val="single" w:color="auto" w:sz="4" w:space="0"/>
              <w:bottom w:val="single" w:color="auto" w:sz="4" w:space="0"/>
              <w:right w:val="single" w:color="auto" w:sz="6" w:space="0"/>
            </w:tcBorders>
            <w:vAlign w:val="center"/>
          </w:tcPr>
          <w:p w14:paraId="78AE6B4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r>
      <w:tr w14:paraId="782A5F70">
        <w:tblPrEx>
          <w:tblCellMar>
            <w:top w:w="0" w:type="dxa"/>
            <w:left w:w="54" w:type="dxa"/>
            <w:bottom w:w="0" w:type="dxa"/>
            <w:right w:w="54" w:type="dxa"/>
          </w:tblCellMar>
        </w:tblPrEx>
        <w:trPr>
          <w:cantSplit/>
          <w:trHeight w:val="473" w:hRule="atLeast"/>
          <w:jc w:val="center"/>
        </w:trPr>
        <w:tc>
          <w:tcPr>
            <w:tcW w:w="835" w:type="dxa"/>
            <w:tcBorders>
              <w:top w:val="single" w:color="auto" w:sz="4" w:space="0"/>
              <w:left w:val="single" w:color="auto" w:sz="6" w:space="0"/>
              <w:bottom w:val="single" w:color="auto" w:sz="4" w:space="0"/>
              <w:right w:val="single" w:color="auto" w:sz="4" w:space="0"/>
            </w:tcBorders>
            <w:vAlign w:val="center"/>
          </w:tcPr>
          <w:p w14:paraId="4BBFBEE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258" w:type="dxa"/>
            <w:tcBorders>
              <w:top w:val="single" w:color="auto" w:sz="4" w:space="0"/>
              <w:left w:val="single" w:color="auto" w:sz="4" w:space="0"/>
              <w:bottom w:val="single" w:color="auto" w:sz="4" w:space="0"/>
              <w:right w:val="single" w:color="auto" w:sz="4" w:space="0"/>
            </w:tcBorders>
          </w:tcPr>
          <w:p w14:paraId="1126C7A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843" w:type="dxa"/>
            <w:tcBorders>
              <w:top w:val="single" w:color="auto" w:sz="4" w:space="0"/>
              <w:left w:val="single" w:color="auto" w:sz="4" w:space="0"/>
              <w:bottom w:val="single" w:color="auto" w:sz="4" w:space="0"/>
              <w:right w:val="single" w:color="auto" w:sz="6" w:space="0"/>
            </w:tcBorders>
            <w:vAlign w:val="center"/>
          </w:tcPr>
          <w:p w14:paraId="42338BD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559" w:type="dxa"/>
            <w:tcBorders>
              <w:top w:val="single" w:color="auto" w:sz="4" w:space="0"/>
              <w:left w:val="single" w:color="auto" w:sz="6" w:space="0"/>
              <w:bottom w:val="single" w:color="auto" w:sz="4" w:space="0"/>
              <w:right w:val="single" w:color="auto" w:sz="4" w:space="0"/>
            </w:tcBorders>
            <w:vAlign w:val="center"/>
          </w:tcPr>
          <w:p w14:paraId="59B7271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BEA306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234" w:type="dxa"/>
            <w:tcBorders>
              <w:top w:val="single" w:color="auto" w:sz="4" w:space="0"/>
              <w:left w:val="single" w:color="auto" w:sz="4" w:space="0"/>
              <w:bottom w:val="single" w:color="auto" w:sz="4" w:space="0"/>
              <w:right w:val="single" w:color="auto" w:sz="6" w:space="0"/>
            </w:tcBorders>
            <w:vAlign w:val="center"/>
          </w:tcPr>
          <w:p w14:paraId="00F285E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r>
      <w:tr w14:paraId="16BC28E7">
        <w:tblPrEx>
          <w:tblCellMar>
            <w:top w:w="0" w:type="dxa"/>
            <w:left w:w="54" w:type="dxa"/>
            <w:bottom w:w="0" w:type="dxa"/>
            <w:right w:w="54" w:type="dxa"/>
          </w:tblCellMar>
        </w:tblPrEx>
        <w:trPr>
          <w:cantSplit/>
          <w:trHeight w:val="473" w:hRule="atLeast"/>
          <w:jc w:val="center"/>
        </w:trPr>
        <w:tc>
          <w:tcPr>
            <w:tcW w:w="835" w:type="dxa"/>
            <w:tcBorders>
              <w:top w:val="single" w:color="auto" w:sz="4" w:space="0"/>
              <w:left w:val="single" w:color="auto" w:sz="6" w:space="0"/>
              <w:bottom w:val="single" w:color="auto" w:sz="4" w:space="0"/>
              <w:right w:val="single" w:color="auto" w:sz="4" w:space="0"/>
            </w:tcBorders>
            <w:vAlign w:val="center"/>
          </w:tcPr>
          <w:p w14:paraId="33B0FC4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258" w:type="dxa"/>
            <w:tcBorders>
              <w:top w:val="single" w:color="auto" w:sz="4" w:space="0"/>
              <w:left w:val="single" w:color="auto" w:sz="4" w:space="0"/>
              <w:bottom w:val="single" w:color="auto" w:sz="4" w:space="0"/>
              <w:right w:val="single" w:color="auto" w:sz="4" w:space="0"/>
            </w:tcBorders>
          </w:tcPr>
          <w:p w14:paraId="3C57FC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843" w:type="dxa"/>
            <w:tcBorders>
              <w:top w:val="single" w:color="auto" w:sz="4" w:space="0"/>
              <w:left w:val="single" w:color="auto" w:sz="4" w:space="0"/>
              <w:bottom w:val="single" w:color="auto" w:sz="4" w:space="0"/>
              <w:right w:val="single" w:color="auto" w:sz="6" w:space="0"/>
            </w:tcBorders>
            <w:vAlign w:val="center"/>
          </w:tcPr>
          <w:p w14:paraId="305B14B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559" w:type="dxa"/>
            <w:tcBorders>
              <w:top w:val="single" w:color="auto" w:sz="4" w:space="0"/>
              <w:left w:val="single" w:color="auto" w:sz="6" w:space="0"/>
              <w:bottom w:val="single" w:color="auto" w:sz="4" w:space="0"/>
              <w:right w:val="single" w:color="auto" w:sz="4" w:space="0"/>
            </w:tcBorders>
            <w:vAlign w:val="center"/>
          </w:tcPr>
          <w:p w14:paraId="7C709D5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519623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c>
          <w:tcPr>
            <w:tcW w:w="1234" w:type="dxa"/>
            <w:tcBorders>
              <w:top w:val="single" w:color="auto" w:sz="4" w:space="0"/>
              <w:left w:val="single" w:color="auto" w:sz="4" w:space="0"/>
              <w:bottom w:val="single" w:color="auto" w:sz="4" w:space="0"/>
              <w:right w:val="single" w:color="auto" w:sz="6" w:space="0"/>
            </w:tcBorders>
            <w:vAlign w:val="center"/>
          </w:tcPr>
          <w:p w14:paraId="51C63AB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highlight w:val="none"/>
              </w:rPr>
            </w:pPr>
          </w:p>
        </w:tc>
      </w:tr>
    </w:tbl>
    <w:p w14:paraId="2826E83E">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lang w:val="en-US" w:eastAsia="zh-CN"/>
        </w:rPr>
        <w:t>1.</w:t>
      </w:r>
      <w:r>
        <w:rPr>
          <w:rFonts w:hint="eastAsia" w:ascii="仿宋" w:hAnsi="仿宋" w:eastAsia="仿宋" w:cs="仿宋"/>
          <w:bCs/>
          <w:color w:val="auto"/>
          <w:szCs w:val="21"/>
          <w:highlight w:val="none"/>
        </w:rPr>
        <w:t>投标人可根据实际情况拓展本表。</w:t>
      </w:r>
    </w:p>
    <w:p w14:paraId="7207CE68">
      <w:pPr>
        <w:pStyle w:val="11"/>
        <w:pageBreakBefore w:val="0"/>
        <w:topLinePunct w:val="0"/>
        <w:bidi w:val="0"/>
        <w:spacing w:beforeAutospacing="0" w:afterAutospacing="0" w:line="360" w:lineRule="auto"/>
        <w:ind w:left="0" w:leftChars="0" w:right="0" w:rightChars="0" w:firstLine="480" w:firstLineChars="200"/>
        <w:rPr>
          <w:rFonts w:hint="eastAsia" w:ascii="仿宋" w:hAnsi="仿宋" w:eastAsia="仿宋" w:cs="仿宋"/>
          <w:color w:val="auto"/>
          <w:highlight w:val="none"/>
        </w:rPr>
      </w:pPr>
    </w:p>
    <w:p w14:paraId="7D99F4ED">
      <w:pPr>
        <w:pageBreakBefore w:val="0"/>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p>
    <w:p w14:paraId="02D3F943">
      <w:pPr>
        <w:pStyle w:val="37"/>
        <w:pageBreakBefore w:val="0"/>
        <w:topLinePunct w:val="0"/>
        <w:bidi w:val="0"/>
        <w:spacing w:before="0" w:beforeAutospacing="0" w:after="0" w:afterAutospacing="0" w:line="360" w:lineRule="auto"/>
        <w:ind w:left="0" w:leftChars="0" w:right="0" w:rightChars="0" w:firstLine="522" w:firstLineChars="200"/>
        <w:rPr>
          <w:rFonts w:hint="eastAsia" w:ascii="仿宋" w:hAnsi="仿宋" w:eastAsia="仿宋" w:cs="仿宋"/>
          <w:b/>
          <w:color w:val="auto"/>
          <w:szCs w:val="24"/>
          <w:highlight w:val="none"/>
        </w:rPr>
      </w:pPr>
    </w:p>
    <w:p w14:paraId="1C04EBBE">
      <w:pPr>
        <w:keepNext/>
        <w:keepLines/>
        <w:pageBreakBefore w:val="0"/>
        <w:topLinePunct w:val="0"/>
        <w:bidi w:val="0"/>
        <w:spacing w:beforeAutospacing="0" w:afterAutospacing="0" w:line="360" w:lineRule="auto"/>
        <w:ind w:left="0" w:leftChars="0" w:right="0" w:rightChars="0" w:firstLine="482" w:firstLineChars="200"/>
        <w:outlineLvl w:val="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格式</w:t>
      </w:r>
      <w:r>
        <w:rPr>
          <w:rFonts w:hint="eastAsia" w:ascii="仿宋" w:hAnsi="仿宋" w:eastAsia="仿宋" w:cs="仿宋"/>
          <w:b/>
          <w:color w:val="auto"/>
          <w:sz w:val="24"/>
          <w:szCs w:val="24"/>
          <w:highlight w:val="none"/>
          <w:lang w:val="en-US" w:eastAsia="zh-CN"/>
        </w:rPr>
        <w:t>18</w:t>
      </w:r>
      <w:r>
        <w:rPr>
          <w:rFonts w:hint="eastAsia" w:ascii="仿宋" w:hAnsi="仿宋" w:eastAsia="仿宋" w:cs="仿宋"/>
          <w:b/>
          <w:color w:val="auto"/>
          <w:sz w:val="24"/>
          <w:szCs w:val="24"/>
          <w:highlight w:val="none"/>
        </w:rPr>
        <w:t>、投标人认为还需要提供的其他资料</w:t>
      </w:r>
    </w:p>
    <w:p w14:paraId="5FCCC730">
      <w:pPr>
        <w:pageBreakBefore w:val="0"/>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格式自拟</w:t>
      </w:r>
    </w:p>
    <w:p w14:paraId="2D75EDCE">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C379A11">
      <w:pPr>
        <w:pStyle w:val="37"/>
        <w:pageBreakBefore w:val="0"/>
        <w:shd w:val="clear"/>
        <w:topLinePunct w:val="0"/>
        <w:bidi w:val="0"/>
        <w:spacing w:before="0" w:beforeAutospacing="0" w:after="0" w:afterAutospacing="0" w:line="360" w:lineRule="auto"/>
        <w:ind w:left="0" w:leftChars="0" w:right="0" w:rightChars="0" w:firstLine="520" w:firstLineChars="200"/>
        <w:rPr>
          <w:rFonts w:hint="eastAsia" w:ascii="仿宋" w:hAnsi="仿宋" w:eastAsia="仿宋" w:cs="仿宋"/>
          <w:color w:val="auto"/>
          <w:highlight w:val="none"/>
        </w:rPr>
      </w:pPr>
    </w:p>
    <w:bookmarkEnd w:id="601"/>
    <w:bookmarkEnd w:id="602"/>
    <w:bookmarkEnd w:id="603"/>
    <w:bookmarkEnd w:id="629"/>
    <w:bookmarkEnd w:id="630"/>
    <w:bookmarkEnd w:id="631"/>
    <w:bookmarkEnd w:id="640"/>
    <w:p w14:paraId="249A6186">
      <w:pPr>
        <w:pStyle w:val="2"/>
        <w:keepNext/>
        <w:keepLines w:val="0"/>
        <w:pageBreakBefore w:val="0"/>
        <w:widowControl w:val="0"/>
        <w:shd w:val="clear"/>
        <w:kinsoku/>
        <w:wordWrap/>
        <w:overflowPunct/>
        <w:topLinePunct w:val="0"/>
        <w:autoSpaceDE/>
        <w:autoSpaceDN/>
        <w:bidi w:val="0"/>
        <w:adjustRightInd w:val="0"/>
        <w:snapToGrid/>
        <w:spacing w:beforeAutospacing="0" w:afterAutospacing="0" w:line="360" w:lineRule="auto"/>
        <w:ind w:left="0" w:leftChars="0" w:right="0" w:rightChars="0" w:firstLine="0" w:firstLineChars="0"/>
        <w:textAlignment w:val="auto"/>
        <w:outlineLvl w:val="0"/>
        <w:rPr>
          <w:rFonts w:hint="eastAsia" w:ascii="仿宋" w:hAnsi="仿宋" w:eastAsia="仿宋" w:cs="仿宋"/>
          <w:b/>
          <w:bCs/>
          <w:color w:val="auto"/>
          <w:sz w:val="24"/>
          <w:szCs w:val="22"/>
          <w:highlight w:val="none"/>
          <w:lang w:val="en-US" w:eastAsia="zh-CN"/>
        </w:rPr>
      </w:pPr>
      <w:bookmarkStart w:id="672" w:name="_Toc25496"/>
      <w:bookmarkStart w:id="673" w:name="_Toc1521"/>
      <w:bookmarkStart w:id="674" w:name="_Toc31916"/>
      <w:bookmarkStart w:id="675" w:name="_Toc13082"/>
      <w:bookmarkStart w:id="676" w:name="_Toc28450"/>
      <w:bookmarkStart w:id="677" w:name="_Toc20864"/>
      <w:r>
        <w:rPr>
          <w:rFonts w:hint="eastAsia" w:ascii="仿宋" w:hAnsi="仿宋" w:eastAsia="仿宋" w:cs="仿宋"/>
          <w:color w:val="auto"/>
          <w:highlight w:val="none"/>
          <w:lang w:eastAsia="zh-CN"/>
        </w:rPr>
        <w:t>第五章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采购需求</w:t>
      </w:r>
      <w:bookmarkEnd w:id="672"/>
      <w:bookmarkEnd w:id="673"/>
    </w:p>
    <w:bookmarkEnd w:id="604"/>
    <w:bookmarkEnd w:id="605"/>
    <w:bookmarkEnd w:id="606"/>
    <w:bookmarkEnd w:id="607"/>
    <w:bookmarkEnd w:id="608"/>
    <w:bookmarkEnd w:id="674"/>
    <w:bookmarkEnd w:id="675"/>
    <w:bookmarkEnd w:id="676"/>
    <w:bookmarkEnd w:id="677"/>
    <w:p w14:paraId="697BBC15">
      <w:pPr>
        <w:pStyle w:val="3"/>
        <w:pageBreakBefore w:val="0"/>
        <w:kinsoku/>
        <w:wordWrap/>
        <w:overflowPunct/>
        <w:topLinePunct w:val="0"/>
        <w:autoSpaceDE/>
        <w:autoSpaceDN/>
        <w:bidi w:val="0"/>
        <w:spacing w:line="360" w:lineRule="auto"/>
        <w:jc w:val="left"/>
        <w:textAlignment w:val="auto"/>
        <w:rPr>
          <w:rFonts w:hint="eastAsia" w:ascii="仿宋" w:hAnsi="仿宋" w:eastAsia="仿宋" w:cs="仿宋"/>
          <w:i w:val="0"/>
          <w:iCs w:val="0"/>
          <w:caps w:val="0"/>
          <w:color w:val="auto"/>
          <w:spacing w:val="0"/>
          <w:sz w:val="24"/>
          <w:szCs w:val="24"/>
          <w:shd w:val="clear" w:fill="FFFFFF"/>
        </w:rPr>
      </w:pPr>
      <w:bookmarkStart w:id="678" w:name="_Toc26538"/>
      <w:bookmarkStart w:id="679" w:name="_Toc21806"/>
      <w:bookmarkStart w:id="680" w:name="_Toc29341"/>
      <w:bookmarkStart w:id="681" w:name="_Toc11050"/>
      <w:bookmarkStart w:id="682" w:name="_Toc25153"/>
      <w:bookmarkStart w:id="683" w:name="_Toc26823"/>
      <w:bookmarkStart w:id="684" w:name="_Toc29288"/>
      <w:bookmarkStart w:id="685" w:name="_Toc20392"/>
      <w:r>
        <w:rPr>
          <w:rFonts w:hint="eastAsia" w:ascii="仿宋" w:hAnsi="仿宋" w:eastAsia="仿宋" w:cs="仿宋"/>
          <w:color w:val="auto"/>
          <w:sz w:val="24"/>
          <w:szCs w:val="24"/>
          <w:highlight w:val="none"/>
          <w:lang w:val="en-US" w:eastAsia="zh-CN"/>
        </w:rPr>
        <w:t>一、</w:t>
      </w:r>
      <w:r>
        <w:rPr>
          <w:rStyle w:val="31"/>
          <w:rFonts w:hint="eastAsia" w:ascii="仿宋" w:hAnsi="仿宋" w:eastAsia="仿宋" w:cs="仿宋"/>
          <w:b/>
          <w:bCs/>
          <w:i w:val="0"/>
          <w:iCs w:val="0"/>
          <w:caps w:val="0"/>
          <w:color w:val="auto"/>
          <w:spacing w:val="0"/>
          <w:sz w:val="24"/>
          <w:szCs w:val="24"/>
          <w:shd w:val="clear" w:fill="FFFFFF"/>
        </w:rPr>
        <w:t>采购标的需实现的功能或者目标，以及为落实政府采购政策需满足的要求</w:t>
      </w:r>
      <w:r>
        <w:rPr>
          <w:rFonts w:hint="eastAsia" w:ascii="仿宋" w:hAnsi="仿宋" w:eastAsia="仿宋" w:cs="仿宋"/>
          <w:i w:val="0"/>
          <w:iCs w:val="0"/>
          <w:caps w:val="0"/>
          <w:color w:val="auto"/>
          <w:spacing w:val="0"/>
          <w:sz w:val="24"/>
          <w:szCs w:val="24"/>
          <w:shd w:val="clear" w:fill="FFFFFF"/>
        </w:rPr>
        <w:t>‌：</w:t>
      </w:r>
      <w:bookmarkEnd w:id="678"/>
      <w:bookmarkEnd w:id="679"/>
    </w:p>
    <w:p w14:paraId="5A71F26C">
      <w:pPr>
        <w:spacing w:beforeAutospacing="0" w:line="500" w:lineRule="exact"/>
        <w:ind w:firstLine="420"/>
        <w:rPr>
          <w:rFonts w:hint="eastAsia" w:ascii="仿宋" w:hAnsi="仿宋" w:eastAsia="仿宋" w:cs="仿宋"/>
          <w:sz w:val="24"/>
          <w:szCs w:val="24"/>
        </w:rPr>
      </w:pPr>
      <w:bookmarkStart w:id="686" w:name="_Toc24310"/>
      <w:bookmarkStart w:id="687" w:name="_Toc26183"/>
      <w:r>
        <w:rPr>
          <w:rStyle w:val="31"/>
          <w:rFonts w:hint="eastAsia" w:ascii="仿宋" w:hAnsi="仿宋" w:eastAsia="仿宋" w:cs="仿宋"/>
          <w:b/>
          <w:i w:val="0"/>
          <w:iCs w:val="0"/>
          <w:caps w:val="0"/>
          <w:color w:val="auto"/>
          <w:spacing w:val="0"/>
          <w:sz w:val="24"/>
          <w:szCs w:val="24"/>
          <w:shd w:val="clear" w:fill="FFFFFF"/>
          <w:lang w:val="en-US" w:eastAsia="zh-CN"/>
        </w:rPr>
        <w:t>（一）目标：</w:t>
      </w:r>
      <w:bookmarkEnd w:id="686"/>
      <w:bookmarkEnd w:id="687"/>
      <w:r>
        <w:rPr>
          <w:rFonts w:hint="eastAsia" w:ascii="仿宋" w:hAnsi="仿宋" w:eastAsia="仿宋" w:cs="仿宋"/>
          <w:color w:val="000000" w:themeColor="text1"/>
          <w:kern w:val="2"/>
          <w:sz w:val="24"/>
          <w:szCs w:val="24"/>
          <w:lang w:val="en-US" w:eastAsia="zh-Hans" w:bidi="ar-SA"/>
          <w14:textFill>
            <w14:solidFill>
              <w14:schemeClr w14:val="tx1"/>
            </w14:solidFill>
          </w14:textFill>
        </w:rPr>
        <w:t>为顺应新能源汽车产业快速发展趋势，满足高素质技术技能人才培养需求，聚焦新能源汽车关键技术领域，以培养学生掌握电池系统维护、电机电控调试、整车故障排查等核心职业能力为目标，参照新能源汽车维修行业技术标准与企业岗位工作流程，还原真实生产场景，实现“教学内容与岗位需求对接、实训项目与工作任务同步、技能考核与职业认证融合”，为新能源汽车维修、制造、服务等领域输送具备实践操作能力、技术创新能力和职业素养的高素质人才，同时兼具面向企业员工技能培训、技术研发服务的社会服务功能。</w:t>
      </w:r>
    </w:p>
    <w:p w14:paraId="2CB585C8">
      <w:pPr>
        <w:pageBreakBefore w:val="0"/>
        <w:kinsoku/>
        <w:wordWrap/>
        <w:overflowPunct/>
        <w:topLinePunct w:val="0"/>
        <w:autoSpaceDE/>
        <w:autoSpaceDN/>
        <w:bidi w:val="0"/>
        <w:spacing w:beforeAutospacing="0" w:afterAutospacing="0" w:line="360" w:lineRule="auto"/>
        <w:ind w:left="0" w:leftChars="0" w:right="0" w:rightChars="0" w:firstLine="482" w:firstLineChars="200"/>
        <w:textAlignment w:val="auto"/>
        <w:rPr>
          <w:rFonts w:hint="eastAsia" w:ascii="仿宋" w:hAnsi="仿宋" w:eastAsia="仿宋" w:cs="仿宋"/>
          <w:i w:val="0"/>
          <w:iCs w:val="0"/>
          <w:caps w:val="0"/>
          <w:color w:val="auto"/>
          <w:spacing w:val="0"/>
          <w:sz w:val="24"/>
          <w:szCs w:val="24"/>
          <w:shd w:val="clear" w:fill="FFFFFF"/>
        </w:rPr>
      </w:pPr>
      <w:r>
        <w:rPr>
          <w:rStyle w:val="31"/>
          <w:rFonts w:hint="eastAsia" w:ascii="仿宋" w:hAnsi="仿宋" w:eastAsia="仿宋" w:cs="仿宋"/>
          <w:b/>
          <w:i w:val="0"/>
          <w:iCs w:val="0"/>
          <w:caps w:val="0"/>
          <w:color w:val="auto"/>
          <w:spacing w:val="0"/>
          <w:sz w:val="24"/>
          <w:szCs w:val="24"/>
          <w:shd w:val="clear" w:fill="FFFFFF"/>
          <w:lang w:eastAsia="zh-CN"/>
        </w:rPr>
        <w:t>（</w:t>
      </w:r>
      <w:r>
        <w:rPr>
          <w:rStyle w:val="31"/>
          <w:rFonts w:hint="eastAsia" w:ascii="仿宋" w:hAnsi="仿宋" w:eastAsia="仿宋" w:cs="仿宋"/>
          <w:b/>
          <w:i w:val="0"/>
          <w:iCs w:val="0"/>
          <w:caps w:val="0"/>
          <w:color w:val="auto"/>
          <w:spacing w:val="0"/>
          <w:sz w:val="24"/>
          <w:szCs w:val="24"/>
          <w:shd w:val="clear" w:fill="FFFFFF"/>
          <w:lang w:val="en-US" w:eastAsia="zh-CN"/>
        </w:rPr>
        <w:t>二</w:t>
      </w:r>
      <w:r>
        <w:rPr>
          <w:rStyle w:val="31"/>
          <w:rFonts w:hint="eastAsia" w:ascii="仿宋" w:hAnsi="仿宋" w:eastAsia="仿宋" w:cs="仿宋"/>
          <w:b/>
          <w:i w:val="0"/>
          <w:iCs w:val="0"/>
          <w:caps w:val="0"/>
          <w:color w:val="auto"/>
          <w:spacing w:val="0"/>
          <w:sz w:val="24"/>
          <w:szCs w:val="24"/>
          <w:shd w:val="clear" w:fill="FFFFFF"/>
          <w:lang w:eastAsia="zh-CN"/>
        </w:rPr>
        <w:t>）</w:t>
      </w:r>
      <w:r>
        <w:rPr>
          <w:rStyle w:val="31"/>
          <w:rFonts w:hint="eastAsia" w:ascii="仿宋" w:hAnsi="仿宋" w:eastAsia="仿宋" w:cs="仿宋"/>
          <w:b/>
          <w:i w:val="0"/>
          <w:iCs w:val="0"/>
          <w:caps w:val="0"/>
          <w:color w:val="auto"/>
          <w:spacing w:val="0"/>
          <w:sz w:val="24"/>
          <w:szCs w:val="24"/>
          <w:shd w:val="clear" w:fill="FFFFFF"/>
        </w:rPr>
        <w:t>落实政府采购政策需满足的要求</w:t>
      </w:r>
      <w:r>
        <w:rPr>
          <w:rStyle w:val="31"/>
          <w:rFonts w:hint="eastAsia" w:ascii="仿宋" w:hAnsi="仿宋" w:eastAsia="仿宋" w:cs="仿宋"/>
          <w:b/>
          <w:i w:val="0"/>
          <w:iCs w:val="0"/>
          <w:caps w:val="0"/>
          <w:color w:val="auto"/>
          <w:spacing w:val="0"/>
          <w:sz w:val="24"/>
          <w:szCs w:val="24"/>
          <w:shd w:val="clear" w:fill="FFFFFF"/>
          <w:lang w:eastAsia="zh-CN"/>
        </w:rPr>
        <w:t>：</w:t>
      </w:r>
      <w:r>
        <w:rPr>
          <w:rFonts w:hint="eastAsia" w:ascii="仿宋" w:hAnsi="仿宋" w:eastAsia="仿宋" w:cs="仿宋"/>
          <w:color w:val="auto"/>
          <w:sz w:val="24"/>
          <w:szCs w:val="24"/>
          <w:highlight w:val="none"/>
          <w:lang w:val="en-US" w:eastAsia="zh-CN"/>
        </w:rPr>
        <w:t>未预留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本项目不</w:t>
      </w:r>
      <w:r>
        <w:rPr>
          <w:rFonts w:hint="eastAsia" w:ascii="仿宋" w:hAnsi="仿宋" w:eastAsia="仿宋" w:cs="仿宋"/>
          <w:color w:val="auto"/>
          <w:sz w:val="24"/>
          <w:szCs w:val="24"/>
          <w:highlight w:val="none"/>
          <w:lang w:eastAsia="zh-CN"/>
        </w:rPr>
        <w:t>属于专门面向中小</w:t>
      </w:r>
      <w:r>
        <w:rPr>
          <w:rFonts w:hint="eastAsia" w:ascii="仿宋" w:hAnsi="仿宋" w:eastAsia="仿宋" w:cs="仿宋"/>
          <w:color w:val="auto"/>
          <w:sz w:val="24"/>
          <w:szCs w:val="24"/>
          <w:highlight w:val="none"/>
          <w:lang w:val="en-US" w:eastAsia="zh-CN"/>
        </w:rPr>
        <w:t>微</w:t>
      </w:r>
      <w:r>
        <w:rPr>
          <w:rFonts w:hint="eastAsia" w:ascii="仿宋" w:hAnsi="仿宋" w:eastAsia="仿宋" w:cs="仿宋"/>
          <w:color w:val="auto"/>
          <w:sz w:val="24"/>
          <w:szCs w:val="24"/>
          <w:highlight w:val="none"/>
          <w:lang w:eastAsia="zh-CN"/>
        </w:rPr>
        <w:t>企业（监狱企业、残疾人福利企业）采购项目</w:t>
      </w:r>
    </w:p>
    <w:p w14:paraId="62F3408D">
      <w:pPr>
        <w:pStyle w:val="3"/>
        <w:pageBreakBefore w:val="0"/>
        <w:kinsoku/>
        <w:wordWrap/>
        <w:overflowPunct/>
        <w:topLinePunct w:val="0"/>
        <w:autoSpaceDE/>
        <w:autoSpaceDN/>
        <w:bidi w:val="0"/>
        <w:spacing w:line="360" w:lineRule="auto"/>
        <w:jc w:val="left"/>
        <w:textAlignment w:val="auto"/>
        <w:rPr>
          <w:rFonts w:hint="eastAsia" w:ascii="仿宋" w:hAnsi="仿宋" w:eastAsia="仿宋" w:cs="仿宋"/>
          <w:i w:val="0"/>
          <w:iCs w:val="0"/>
          <w:caps w:val="0"/>
          <w:color w:val="auto"/>
          <w:spacing w:val="0"/>
          <w:sz w:val="24"/>
          <w:szCs w:val="24"/>
          <w:shd w:val="clear" w:fill="FFFFFF"/>
          <w:lang w:val="en-US" w:eastAsia="zh-CN"/>
        </w:rPr>
      </w:pPr>
      <w:bookmarkStart w:id="688" w:name="_Toc3365"/>
      <w:bookmarkStart w:id="689" w:name="_Toc13355"/>
      <w:r>
        <w:rPr>
          <w:rFonts w:hint="eastAsia" w:ascii="仿宋" w:hAnsi="仿宋" w:eastAsia="仿宋" w:cs="仿宋"/>
          <w:i w:val="0"/>
          <w:iCs w:val="0"/>
          <w:caps w:val="0"/>
          <w:color w:val="auto"/>
          <w:spacing w:val="0"/>
          <w:sz w:val="24"/>
          <w:szCs w:val="24"/>
          <w:shd w:val="clear" w:fill="FFFFFF"/>
          <w:lang w:val="en-US" w:eastAsia="zh-CN"/>
        </w:rPr>
        <w:t>二、</w:t>
      </w:r>
      <w:r>
        <w:rPr>
          <w:rStyle w:val="31"/>
          <w:rFonts w:hint="eastAsia" w:ascii="仿宋" w:hAnsi="仿宋" w:eastAsia="仿宋" w:cs="仿宋"/>
          <w:b/>
          <w:bCs/>
          <w:i w:val="0"/>
          <w:iCs w:val="0"/>
          <w:caps w:val="0"/>
          <w:color w:val="auto"/>
          <w:spacing w:val="0"/>
          <w:sz w:val="24"/>
          <w:szCs w:val="24"/>
          <w:shd w:val="clear" w:fill="FFFFFF"/>
        </w:rPr>
        <w:t>采购标的需执行的国家相关标准、行业标准、地方标准或者其他标准、规范</w:t>
      </w:r>
      <w:r>
        <w:rPr>
          <w:rStyle w:val="31"/>
          <w:rFonts w:hint="eastAsia" w:ascii="仿宋" w:hAnsi="仿宋" w:eastAsia="仿宋" w:cs="仿宋"/>
          <w:b/>
          <w:bCs/>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rPr>
        <w:t>‌</w:t>
      </w:r>
      <w:bookmarkEnd w:id="688"/>
      <w:bookmarkEnd w:id="689"/>
    </w:p>
    <w:p w14:paraId="386092E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bookmarkStart w:id="690" w:name="_Toc24781"/>
      <w:r>
        <w:rPr>
          <w:rFonts w:hint="eastAsia" w:ascii="仿宋" w:hAnsi="仿宋" w:eastAsia="仿宋" w:cs="仿宋"/>
          <w:color w:val="auto"/>
          <w:sz w:val="24"/>
          <w:szCs w:val="24"/>
          <w:highlight w:val="none"/>
          <w:lang w:val="en-US" w:eastAsia="zh-CN"/>
        </w:rPr>
        <w:t>1.国家相关标准：《中华人民共和国政府采购法》《中华人民共和国产品质量法等。</w:t>
      </w:r>
    </w:p>
    <w:p w14:paraId="6FF490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color w:val="auto"/>
          <w:sz w:val="24"/>
          <w:szCs w:val="24"/>
          <w:highlight w:val="none"/>
          <w:lang w:val="en-US" w:eastAsia="zh-CN"/>
        </w:rPr>
        <w:t>2.其他标准：供应商投标文件承诺的产品标准、生产厂家企业标准，以及与本项目相关的技术规范、验收规范等。</w:t>
      </w:r>
    </w:p>
    <w:p w14:paraId="4423ECFF">
      <w:pPr>
        <w:pStyle w:val="3"/>
        <w:pageBreakBefore w:val="0"/>
        <w:numPr>
          <w:ilvl w:val="0"/>
          <w:numId w:val="7"/>
        </w:numPr>
        <w:kinsoku/>
        <w:wordWrap/>
        <w:overflowPunct/>
        <w:topLinePunct w:val="0"/>
        <w:autoSpaceDE/>
        <w:autoSpaceDN/>
        <w:bidi w:val="0"/>
        <w:spacing w:line="360" w:lineRule="auto"/>
        <w:jc w:val="left"/>
        <w:textAlignment w:val="auto"/>
        <w:rPr>
          <w:rStyle w:val="31"/>
          <w:rFonts w:hint="eastAsia" w:ascii="仿宋" w:hAnsi="仿宋" w:eastAsia="仿宋" w:cs="仿宋"/>
          <w:b/>
          <w:bCs/>
          <w:i w:val="0"/>
          <w:iCs w:val="0"/>
          <w:caps w:val="0"/>
          <w:color w:val="auto"/>
          <w:spacing w:val="0"/>
          <w:sz w:val="24"/>
          <w:szCs w:val="24"/>
          <w:shd w:val="clear" w:fill="FFFFFF"/>
        </w:rPr>
      </w:pPr>
      <w:bookmarkStart w:id="691" w:name="_Toc16394"/>
      <w:r>
        <w:rPr>
          <w:rStyle w:val="31"/>
          <w:rFonts w:hint="eastAsia" w:ascii="仿宋" w:hAnsi="仿宋" w:eastAsia="仿宋" w:cs="仿宋"/>
          <w:b/>
          <w:bCs/>
          <w:i w:val="0"/>
          <w:iCs w:val="0"/>
          <w:caps w:val="0"/>
          <w:color w:val="auto"/>
          <w:spacing w:val="0"/>
          <w:sz w:val="24"/>
          <w:szCs w:val="24"/>
          <w:shd w:val="clear" w:fill="FFFFFF"/>
        </w:rPr>
        <w:t>采购标的</w:t>
      </w:r>
      <w:r>
        <w:rPr>
          <w:rStyle w:val="31"/>
          <w:rFonts w:hint="eastAsia" w:ascii="仿宋" w:hAnsi="仿宋" w:eastAsia="仿宋" w:cs="仿宋"/>
          <w:b/>
          <w:bCs/>
          <w:i w:val="0"/>
          <w:iCs w:val="0"/>
          <w:caps w:val="0"/>
          <w:color w:val="auto"/>
          <w:spacing w:val="0"/>
          <w:sz w:val="24"/>
          <w:szCs w:val="24"/>
          <w:shd w:val="clear" w:fill="FFFFFF"/>
          <w:lang w:val="en-US" w:eastAsia="zh-CN"/>
        </w:rPr>
        <w:t>技术、服务</w:t>
      </w:r>
      <w:r>
        <w:rPr>
          <w:rStyle w:val="31"/>
          <w:rFonts w:hint="eastAsia" w:ascii="仿宋" w:hAnsi="仿宋" w:eastAsia="仿宋" w:cs="仿宋"/>
          <w:b/>
          <w:bCs/>
          <w:i w:val="0"/>
          <w:iCs w:val="0"/>
          <w:caps w:val="0"/>
          <w:color w:val="auto"/>
          <w:spacing w:val="0"/>
          <w:sz w:val="24"/>
          <w:szCs w:val="24"/>
          <w:shd w:val="clear" w:fill="FFFFFF"/>
        </w:rPr>
        <w:t>要求</w:t>
      </w:r>
      <w:bookmarkEnd w:id="690"/>
      <w:bookmarkEnd w:id="691"/>
    </w:p>
    <w:p w14:paraId="1518723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eastAsia="仿宋"/>
          <w:color w:val="auto"/>
          <w:lang w:val="en-US" w:eastAsia="zh-CN"/>
        </w:rPr>
      </w:pPr>
      <w:r>
        <w:rPr>
          <w:rFonts w:hint="eastAsia" w:ascii="仿宋" w:hAnsi="仿宋" w:eastAsia="仿宋" w:cs="仿宋"/>
          <w:color w:val="auto"/>
          <w:sz w:val="24"/>
          <w:szCs w:val="24"/>
          <w:highlight w:val="none"/>
          <w:lang w:val="en-US" w:eastAsia="zh-CN"/>
        </w:rPr>
        <w:t>本项目共有4间教室，具体参数如下</w:t>
      </w:r>
      <w:r>
        <w:rPr>
          <w:rStyle w:val="31"/>
          <w:rFonts w:hint="eastAsia" w:ascii="仿宋" w:hAnsi="仿宋" w:eastAsia="仿宋" w:cs="仿宋"/>
          <w:b/>
          <w:bCs/>
          <w:i w:val="0"/>
          <w:iCs w:val="0"/>
          <w:caps w:val="0"/>
          <w:color w:val="auto"/>
          <w:spacing w:val="0"/>
          <w:sz w:val="24"/>
          <w:szCs w:val="24"/>
          <w:shd w:val="clear" w:fill="FFFFFF"/>
          <w:lang w:val="en-US" w:eastAsia="zh-CN"/>
        </w:rPr>
        <w:t>：</w:t>
      </w:r>
    </w:p>
    <w:p w14:paraId="4061ED1F">
      <w:pPr>
        <w:pStyle w:val="4"/>
        <w:bidi w:val="0"/>
        <w:rPr>
          <w:rFonts w:hint="default"/>
          <w:color w:val="auto"/>
          <w:lang w:val="en-US" w:eastAsia="zh-CN"/>
        </w:rPr>
      </w:pPr>
      <w:r>
        <w:rPr>
          <w:rFonts w:hint="eastAsia"/>
          <w:color w:val="auto"/>
          <w:lang w:val="en-US" w:eastAsia="zh-CN"/>
        </w:rPr>
        <w:t>1.低压电工作业培训考证教室具体参数如下：</w:t>
      </w:r>
    </w:p>
    <w:tbl>
      <w:tblPr>
        <w:tblStyle w:val="2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440"/>
        <w:gridCol w:w="854"/>
        <w:gridCol w:w="854"/>
        <w:gridCol w:w="5286"/>
      </w:tblGrid>
      <w:tr w14:paraId="258C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54" w:type="dxa"/>
            <w:vAlign w:val="center"/>
          </w:tcPr>
          <w:p w14:paraId="2BEE958E">
            <w:pPr>
              <w:pStyle w:val="2"/>
              <w:keepNext/>
              <w:snapToGrid w:val="0"/>
              <w:ind w:left="0" w:leftChars="0" w:right="0" w:rightChars="0" w:firstLine="0" w:firstLineChars="0"/>
              <w:rPr>
                <w:rFonts w:hint="eastAsia" w:ascii="仿宋" w:hAnsi="仿宋" w:eastAsia="仿宋" w:cs="仿宋"/>
                <w:b/>
                <w:bCs/>
                <w:color w:val="auto"/>
                <w:kern w:val="0"/>
                <w:sz w:val="22"/>
                <w:szCs w:val="22"/>
                <w:vertAlign w:val="baseline"/>
                <w:lang w:val="en-US" w:eastAsia="zh-CN" w:bidi="ar"/>
              </w:rPr>
            </w:pPr>
            <w:bookmarkStart w:id="692" w:name="_Toc21494"/>
            <w:bookmarkStart w:id="693" w:name="_Toc21515"/>
            <w:r>
              <w:rPr>
                <w:rFonts w:hint="eastAsia" w:ascii="仿宋" w:hAnsi="仿宋" w:eastAsia="仿宋" w:cs="仿宋"/>
                <w:b/>
                <w:bCs/>
                <w:color w:val="auto"/>
                <w:kern w:val="0"/>
                <w:sz w:val="22"/>
                <w:szCs w:val="22"/>
                <w:vertAlign w:val="baseline"/>
                <w:lang w:val="en-US" w:eastAsia="zh-CN" w:bidi="ar"/>
              </w:rPr>
              <w:t>序号</w:t>
            </w:r>
            <w:bookmarkEnd w:id="692"/>
            <w:bookmarkEnd w:id="693"/>
          </w:p>
        </w:tc>
        <w:tc>
          <w:tcPr>
            <w:tcW w:w="0" w:type="auto"/>
            <w:vAlign w:val="center"/>
          </w:tcPr>
          <w:p w14:paraId="3315DD15">
            <w:pPr>
              <w:keepNext/>
              <w:keepLines w:val="0"/>
              <w:widowControl/>
              <w:numPr>
                <w:ilvl w:val="0"/>
                <w:numId w:val="0"/>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2"/>
                <w:szCs w:val="22"/>
                <w:vertAlign w:val="baseline"/>
                <w:lang w:val="en-US" w:eastAsia="zh-CN" w:bidi="ar"/>
              </w:rPr>
            </w:pPr>
            <w:r>
              <w:rPr>
                <w:rFonts w:hint="eastAsia" w:ascii="仿宋" w:hAnsi="仿宋" w:eastAsia="仿宋" w:cs="仿宋"/>
                <w:b/>
                <w:bCs/>
                <w:color w:val="auto"/>
                <w:kern w:val="0"/>
                <w:sz w:val="22"/>
                <w:szCs w:val="22"/>
                <w:vertAlign w:val="baseline"/>
                <w:lang w:val="en-US" w:eastAsia="zh-CN" w:bidi="ar"/>
              </w:rPr>
              <w:t>产品名称</w:t>
            </w:r>
          </w:p>
        </w:tc>
        <w:tc>
          <w:tcPr>
            <w:tcW w:w="854" w:type="dxa"/>
            <w:vAlign w:val="center"/>
          </w:tcPr>
          <w:p w14:paraId="46CCF725">
            <w:pPr>
              <w:keepNext/>
              <w:keepLines w:val="0"/>
              <w:widowControl/>
              <w:numPr>
                <w:ilvl w:val="0"/>
                <w:numId w:val="0"/>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2"/>
                <w:szCs w:val="22"/>
                <w:vertAlign w:val="baseline"/>
                <w:lang w:val="en-US" w:eastAsia="zh-CN" w:bidi="ar"/>
              </w:rPr>
            </w:pPr>
            <w:r>
              <w:rPr>
                <w:rFonts w:hint="eastAsia" w:ascii="仿宋" w:hAnsi="仿宋" w:eastAsia="仿宋" w:cs="仿宋"/>
                <w:b/>
                <w:bCs/>
                <w:color w:val="auto"/>
                <w:kern w:val="0"/>
                <w:sz w:val="22"/>
                <w:szCs w:val="22"/>
                <w:vertAlign w:val="baseline"/>
                <w:lang w:val="en-US" w:eastAsia="zh-CN" w:bidi="ar"/>
              </w:rPr>
              <w:t>数量</w:t>
            </w:r>
          </w:p>
        </w:tc>
        <w:tc>
          <w:tcPr>
            <w:tcW w:w="854" w:type="dxa"/>
            <w:vAlign w:val="center"/>
          </w:tcPr>
          <w:p w14:paraId="5705D15A">
            <w:pPr>
              <w:keepNext/>
              <w:keepLines w:val="0"/>
              <w:widowControl/>
              <w:numPr>
                <w:ilvl w:val="0"/>
                <w:numId w:val="0"/>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2"/>
                <w:szCs w:val="22"/>
                <w:vertAlign w:val="baseline"/>
                <w:lang w:val="en-US" w:eastAsia="zh-CN" w:bidi="ar"/>
              </w:rPr>
            </w:pPr>
            <w:r>
              <w:rPr>
                <w:rFonts w:hint="eastAsia" w:ascii="仿宋" w:hAnsi="仿宋" w:eastAsia="仿宋" w:cs="仿宋"/>
                <w:b/>
                <w:bCs/>
                <w:color w:val="auto"/>
                <w:kern w:val="0"/>
                <w:sz w:val="22"/>
                <w:szCs w:val="22"/>
                <w:vertAlign w:val="baseline"/>
                <w:lang w:val="en-US" w:eastAsia="zh-CN" w:bidi="ar"/>
              </w:rPr>
              <w:t>单位</w:t>
            </w:r>
          </w:p>
        </w:tc>
        <w:tc>
          <w:tcPr>
            <w:tcW w:w="5286" w:type="dxa"/>
            <w:vAlign w:val="center"/>
          </w:tcPr>
          <w:p w14:paraId="4327139F">
            <w:pPr>
              <w:keepNext/>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技术参数</w:t>
            </w:r>
          </w:p>
        </w:tc>
      </w:tr>
      <w:tr w14:paraId="575E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4" w:type="dxa"/>
            <w:vAlign w:val="center"/>
          </w:tcPr>
          <w:p w14:paraId="577301F5">
            <w:pPr>
              <w:keepNext/>
              <w:keepLines w:val="0"/>
              <w:widowControl/>
              <w:numPr>
                <w:ilvl w:val="0"/>
                <w:numId w:val="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0"/>
                <w:vertAlign w:val="baseline"/>
                <w:lang w:val="en-US" w:eastAsia="zh-CN" w:bidi="ar"/>
              </w:rPr>
            </w:pPr>
          </w:p>
        </w:tc>
        <w:tc>
          <w:tcPr>
            <w:tcW w:w="0" w:type="auto"/>
            <w:vAlign w:val="center"/>
          </w:tcPr>
          <w:p w14:paraId="4B05D4E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安全用具使用(K1)</w:t>
            </w:r>
          </w:p>
        </w:tc>
        <w:tc>
          <w:tcPr>
            <w:tcW w:w="854" w:type="dxa"/>
            <w:vAlign w:val="center"/>
          </w:tcPr>
          <w:p w14:paraId="7C5783D2">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54" w:type="dxa"/>
            <w:vAlign w:val="center"/>
          </w:tcPr>
          <w:p w14:paraId="0BF75A2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86" w:type="dxa"/>
            <w:vAlign w:val="center"/>
          </w:tcPr>
          <w:p w14:paraId="39551D64">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bookmarkStart w:id="694" w:name="_Toc3566"/>
            <w:bookmarkStart w:id="695" w:name="_Toc25970"/>
            <w:r>
              <w:rPr>
                <w:rFonts w:hint="eastAsia" w:ascii="仿宋" w:hAnsi="仿宋" w:eastAsia="仿宋" w:cs="仿宋"/>
                <w:color w:val="auto"/>
                <w:sz w:val="24"/>
                <w:szCs w:val="24"/>
              </w:rPr>
              <w:t>（一）通用部分</w:t>
            </w:r>
            <w:bookmarkEnd w:id="694"/>
            <w:bookmarkEnd w:id="695"/>
          </w:p>
          <w:p w14:paraId="78F4D560">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1 范围</w:t>
            </w:r>
          </w:p>
          <w:p w14:paraId="474D80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本文件规定了</w:t>
            </w:r>
            <w:r>
              <w:rPr>
                <w:rFonts w:hint="eastAsia" w:ascii="仿宋" w:hAnsi="仿宋" w:eastAsia="仿宋" w:cs="仿宋"/>
                <w:b/>
                <w:bCs/>
                <w:color w:val="auto"/>
                <w:kern w:val="0"/>
                <w:sz w:val="24"/>
                <w:szCs w:val="24"/>
                <w:lang w:val="en-US" w:eastAsia="zh-CN" w:bidi="ar"/>
              </w:rPr>
              <w:t>低压电工K1安全用具使用实操设备</w:t>
            </w:r>
            <w:r>
              <w:rPr>
                <w:rFonts w:hint="eastAsia" w:ascii="仿宋" w:hAnsi="仿宋" w:eastAsia="仿宋" w:cs="仿宋"/>
                <w:color w:val="auto"/>
                <w:kern w:val="0"/>
                <w:sz w:val="24"/>
                <w:szCs w:val="24"/>
                <w:lang w:val="en-US" w:eastAsia="zh-CN" w:bidi="ar"/>
              </w:rPr>
              <w:t>的总体要求、场地参数、安全设计、功能配置、试验验收、技术服务及包装运输。本系统适用于低压电工作业安全技术实际操作考试、实训与技能鉴定，满足安全用具认知、使用、登杆作业、仪器仪表测量、安全标识辨识考核需求，适用于招标、生产、安装、验收、培训及考核全流程。</w:t>
            </w:r>
          </w:p>
          <w:p w14:paraId="7E49D4A8">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2 规范性引用文件</w:t>
            </w:r>
          </w:p>
          <w:p w14:paraId="3F52AE66">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 4793.1 《测量、控制和实验室用电气设备的安全要求 第1部分：通用要求》</w:t>
            </w:r>
          </w:p>
          <w:p w14:paraId="07864DD1">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DL/T 879 《便携式接地和接地短路装置》</w:t>
            </w:r>
          </w:p>
          <w:p w14:paraId="1F60F552">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 13398 《带电作业用空心绝缘管、泡沫填充绝缘管和实心绝缘棒》</w:t>
            </w:r>
          </w:p>
          <w:p w14:paraId="3D1D4022">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GB/T 17620 《带电作业用绝缘硬梯》</w:t>
            </w:r>
          </w:p>
          <w:p w14:paraId="357C3171">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DL/T 853 《带电作业用绝缘垫》</w:t>
            </w:r>
          </w:p>
          <w:p w14:paraId="3175772C">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GB/T 17622 《带电作业用绝缘手套》</w:t>
            </w:r>
          </w:p>
          <w:p w14:paraId="6DAB0CE3">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 21148 《足部防护 安全鞋》</w:t>
            </w:r>
          </w:p>
          <w:p w14:paraId="251B6923">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 2811 《头部防护 安全帽》</w:t>
            </w:r>
          </w:p>
          <w:p w14:paraId="3829A996">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 14866 《眼面防护具通用技术规范》</w:t>
            </w:r>
          </w:p>
          <w:p w14:paraId="5E09034C">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 24543 《坠落防护 安全绳》</w:t>
            </w:r>
          </w:p>
          <w:p w14:paraId="5AC390AB">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 6095 《坠落防护 安全带》</w:t>
            </w:r>
          </w:p>
          <w:p w14:paraId="0577C13B">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AQ 6109 《坠落防护 登杆脚扣》</w:t>
            </w:r>
          </w:p>
          <w:p w14:paraId="591D1E5C">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DL/T 1643 《电杆用登高板》</w:t>
            </w:r>
          </w:p>
          <w:p w14:paraId="58E9CA7A">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GB/T 29481 《电气安全标志》</w:t>
            </w:r>
          </w:p>
          <w:p w14:paraId="6F7D68C7">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 2894 《安全标志及其使用导则》</w:t>
            </w:r>
          </w:p>
          <w:p w14:paraId="332A25A2">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 19517 《国家电气设备安全技术规范》</w:t>
            </w:r>
          </w:p>
          <w:p w14:paraId="34ACD1A4">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GB/T 4623 《环形混凝土电杆》</w:t>
            </w:r>
          </w:p>
          <w:p w14:paraId="1A07C3DB">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低压电工作业安全技术实际操作考试标准</w:t>
            </w:r>
          </w:p>
          <w:p w14:paraId="701D2D1C">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3 术语和定义</w:t>
            </w:r>
          </w:p>
          <w:p w14:paraId="4EA0F234">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Style w:val="31"/>
                <w:rFonts w:hint="eastAsia" w:ascii="仿宋" w:hAnsi="仿宋" w:eastAsia="仿宋" w:cs="仿宋"/>
                <w:b w:val="0"/>
                <w:bCs w:val="0"/>
                <w:color w:val="auto"/>
                <w:sz w:val="24"/>
                <w:szCs w:val="24"/>
              </w:rPr>
            </w:pPr>
            <w:r>
              <w:rPr>
                <w:rStyle w:val="31"/>
                <w:rFonts w:hint="eastAsia" w:ascii="仿宋" w:hAnsi="仿宋" w:eastAsia="仿宋" w:cs="仿宋"/>
                <w:b/>
                <w:bCs/>
                <w:color w:val="auto"/>
                <w:sz w:val="24"/>
                <w:szCs w:val="24"/>
              </w:rPr>
              <w:t>低压电工K1安全用具使用实操设备：</w:t>
            </w:r>
            <w:r>
              <w:rPr>
                <w:rStyle w:val="31"/>
                <w:rFonts w:hint="eastAsia" w:ascii="仿宋" w:hAnsi="仿宋" w:eastAsia="仿宋" w:cs="仿宋"/>
                <w:b w:val="0"/>
                <w:bCs w:val="0"/>
                <w:color w:val="auto"/>
                <w:sz w:val="24"/>
                <w:szCs w:val="24"/>
              </w:rPr>
              <w:t>用于低压电工作业安全用具认知、选用、穿戴、使用及登杆作业、仪器仪表测量、安全标识辨识的实训考核装置。</w:t>
            </w:r>
          </w:p>
          <w:p w14:paraId="69CB7931">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Style w:val="31"/>
                <w:rFonts w:hint="eastAsia" w:ascii="仿宋" w:hAnsi="仿宋" w:eastAsia="仿宋" w:cs="仿宋"/>
                <w:b w:val="0"/>
                <w:bCs w:val="0"/>
                <w:color w:val="auto"/>
                <w:sz w:val="24"/>
                <w:szCs w:val="24"/>
              </w:rPr>
            </w:pPr>
            <w:r>
              <w:rPr>
                <w:rStyle w:val="31"/>
                <w:rFonts w:hint="eastAsia" w:ascii="仿宋" w:hAnsi="仿宋" w:eastAsia="仿宋" w:cs="仿宋"/>
                <w:b/>
                <w:bCs/>
                <w:color w:val="auto"/>
                <w:sz w:val="24"/>
                <w:szCs w:val="24"/>
              </w:rPr>
              <w:t>安全用具干扰项：</w:t>
            </w:r>
            <w:r>
              <w:rPr>
                <w:rStyle w:val="31"/>
                <w:rFonts w:hint="eastAsia" w:ascii="仿宋" w:hAnsi="仿宋" w:eastAsia="仿宋" w:cs="仿宋"/>
                <w:b w:val="0"/>
                <w:bCs w:val="0"/>
                <w:color w:val="auto"/>
                <w:sz w:val="24"/>
                <w:szCs w:val="24"/>
              </w:rPr>
              <w:t>设置不合格、过期、损坏的安全工器具与仪器仪表，用于考核考生辨别筛选能力。</w:t>
            </w:r>
          </w:p>
          <w:p w14:paraId="64317C5C">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Style w:val="31"/>
                <w:rFonts w:hint="eastAsia" w:ascii="仿宋" w:hAnsi="仿宋" w:eastAsia="仿宋" w:cs="仿宋"/>
                <w:b w:val="0"/>
                <w:bCs w:val="0"/>
                <w:color w:val="auto"/>
                <w:sz w:val="24"/>
                <w:szCs w:val="24"/>
              </w:rPr>
            </w:pPr>
            <w:r>
              <w:rPr>
                <w:rStyle w:val="31"/>
                <w:rFonts w:hint="eastAsia" w:ascii="仿宋" w:hAnsi="仿宋" w:eastAsia="仿宋" w:cs="仿宋"/>
                <w:b/>
                <w:bCs/>
                <w:color w:val="auto"/>
                <w:sz w:val="24"/>
                <w:szCs w:val="24"/>
              </w:rPr>
              <w:t>登杆作业仿真：</w:t>
            </w:r>
            <w:r>
              <w:rPr>
                <w:rStyle w:val="31"/>
                <w:rFonts w:hint="eastAsia" w:ascii="仿宋" w:hAnsi="仿宋" w:eastAsia="仿宋" w:cs="仿宋"/>
                <w:b w:val="0"/>
                <w:bCs w:val="0"/>
                <w:color w:val="auto"/>
                <w:sz w:val="24"/>
                <w:szCs w:val="24"/>
              </w:rPr>
              <w:t>采用真实混凝土电杆及防坠设施，模拟低压登杆作业全流程。</w:t>
            </w:r>
          </w:p>
          <w:p w14:paraId="5C7DCE17">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hanging="360"/>
              <w:jc w:val="left"/>
              <w:textAlignment w:val="auto"/>
              <w:rPr>
                <w:rStyle w:val="31"/>
                <w:rFonts w:hint="eastAsia" w:ascii="仿宋" w:hAnsi="仿宋" w:eastAsia="仿宋" w:cs="仿宋"/>
                <w:b w:val="0"/>
                <w:bCs w:val="0"/>
                <w:color w:val="auto"/>
                <w:sz w:val="24"/>
                <w:szCs w:val="24"/>
              </w:rPr>
            </w:pPr>
            <w:r>
              <w:rPr>
                <w:rStyle w:val="31"/>
                <w:rFonts w:hint="eastAsia" w:ascii="仿宋" w:hAnsi="仿宋" w:eastAsia="仿宋" w:cs="仿宋"/>
                <w:b/>
                <w:bCs/>
                <w:color w:val="auto"/>
                <w:sz w:val="24"/>
                <w:szCs w:val="24"/>
              </w:rPr>
              <w:t>仪器仪表测量台：</w:t>
            </w:r>
            <w:r>
              <w:rPr>
                <w:rStyle w:val="31"/>
                <w:rFonts w:hint="eastAsia" w:ascii="仿宋" w:hAnsi="仿宋" w:eastAsia="仿宋" w:cs="仿宋"/>
                <w:b w:val="0"/>
                <w:bCs w:val="0"/>
                <w:color w:val="auto"/>
                <w:sz w:val="24"/>
                <w:szCs w:val="24"/>
              </w:rPr>
              <w:t>提供安全电压下的各类电工仪表测量实训场景。</w:t>
            </w:r>
          </w:p>
          <w:p w14:paraId="7A573D01">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4 总则</w:t>
            </w:r>
          </w:p>
          <w:p w14:paraId="74FB66D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4.1 本文件为最低技术要求，未明确项按国家及电力行业现行标准执行。</w:t>
            </w:r>
          </w:p>
          <w:p w14:paraId="66BD7C3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4.2 所有实训回路采用AC/DC≤36V安全电压，登杆作业配备完善防坠保护，确保人身安全。</w:t>
            </w:r>
          </w:p>
          <w:p w14:paraId="5FCDBD2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4.3 安全工器具、仪器仪表、操作流程与现场实际一致，符合考试标准要求。</w:t>
            </w:r>
          </w:p>
          <w:p w14:paraId="70DC6C0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4.4 供方对设备质量、安全、功能、安装、调试、质保负全部责任，本文件为合同技术附件。</w:t>
            </w:r>
          </w:p>
          <w:p w14:paraId="264EF78F">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bookmarkStart w:id="696" w:name="_Toc19141"/>
            <w:bookmarkStart w:id="697" w:name="_Toc24133"/>
            <w:r>
              <w:rPr>
                <w:rFonts w:hint="eastAsia" w:ascii="仿宋" w:hAnsi="仿宋" w:eastAsia="仿宋" w:cs="仿宋"/>
                <w:color w:val="auto"/>
                <w:sz w:val="24"/>
                <w:szCs w:val="24"/>
              </w:rPr>
              <w:t>（二）专项技术要求</w:t>
            </w:r>
            <w:bookmarkEnd w:id="696"/>
            <w:bookmarkEnd w:id="697"/>
          </w:p>
          <w:p w14:paraId="5CA5910F">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 电气及物理参数</w:t>
            </w:r>
          </w:p>
          <w:p w14:paraId="7BBF0C6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1）工作电源：AC220V±10%，50Hz</w:t>
            </w:r>
          </w:p>
          <w:p w14:paraId="19A254C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2）实训电压：AC 36V±10%、DC 0-36V±10%</w:t>
            </w:r>
          </w:p>
          <w:p w14:paraId="46F4610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3）安全工器具考位面积：≥10㎡</w:t>
            </w:r>
          </w:p>
          <w:p w14:paraId="6AA6AB3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4）登杆作业考位面积：≥5㎡</w:t>
            </w:r>
          </w:p>
          <w:p w14:paraId="6FDF5A0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5）仪器仪表测量台尺寸：1m×0.6m×1.35m（±0.02m）</w:t>
            </w:r>
          </w:p>
          <w:p w14:paraId="1597279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6）安全用具架尺寸：1.2m×0.4m×2m（±0.05m）</w:t>
            </w:r>
          </w:p>
          <w:p w14:paraId="75E6220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7）晾衣架尺寸：1.2m×0.4m×1.55m（±0.05m）</w:t>
            </w:r>
          </w:p>
          <w:p w14:paraId="3747833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8）电杆高度：≥4m</w:t>
            </w:r>
          </w:p>
          <w:p w14:paraId="1C64EC9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9）防摔垫尺寸：2m×1.5m×0.3m</w:t>
            </w:r>
          </w:p>
          <w:p w14:paraId="732E13D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10）设备功耗：&lt;100W</w:t>
            </w:r>
          </w:p>
          <w:p w14:paraId="1B085F3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11）使用环境：温度-5℃～+40℃，湿度≤85%无凝露，海拔≤2000m</w:t>
            </w:r>
          </w:p>
          <w:p w14:paraId="1EB272ED">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 安全保护系统</w:t>
            </w:r>
          </w:p>
          <w:p w14:paraId="6767784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1）仪器仪表测量台配置漏电、过流保护，紧急急停、短路速断保护</w:t>
            </w:r>
          </w:p>
          <w:p w14:paraId="6BBB8D8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2）登杆作业配置速差自控器（防坠器）及双防摔垫</w:t>
            </w:r>
          </w:p>
          <w:p w14:paraId="1BD77D1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3）电杆采用室内抱箍+钢板固定或室外埋设固定，杆顶多根扁钢加固</w:t>
            </w:r>
          </w:p>
          <w:p w14:paraId="50ED685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4）所有可触及金属部分可靠接地，安全标识齐全</w:t>
            </w:r>
          </w:p>
          <w:p w14:paraId="3D4EAF7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5）交流、直流回路区独立设置急停开关</w:t>
            </w:r>
          </w:p>
          <w:p w14:paraId="0CA51729">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 系统组成</w:t>
            </w:r>
          </w:p>
          <w:p w14:paraId="4FA6D94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1）安全工器具单元：含合格项与干扰项低压安全工器具</w:t>
            </w:r>
          </w:p>
          <w:p w14:paraId="1FFE0DC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2）仪器仪表单元：含合格项与干扰项电工仪器仪表</w:t>
            </w:r>
          </w:p>
          <w:p w14:paraId="196043B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3）辅助器材单元：安全用具架、晾衣架</w:t>
            </w:r>
          </w:p>
          <w:p w14:paraId="6C76F78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4）登杆作业单元：混凝土电杆、防坠设施、登杆工具</w:t>
            </w:r>
          </w:p>
          <w:p w14:paraId="4E968FA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5）仪器仪表测量台单元：直流回路区、交流回路区、交流电源测量区、接地电阻测试区、绝缘电阻测量区</w:t>
            </w:r>
          </w:p>
          <w:p w14:paraId="31DFB51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6）安全标识辨识单元：禁止、警告、指令、提示四类电气安全标识</w:t>
            </w:r>
          </w:p>
          <w:p w14:paraId="2A8A7E05">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 核心功能要求</w:t>
            </w:r>
          </w:p>
          <w:p w14:paraId="411BFE50">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4.1 安全工器具考核功能</w:t>
            </w:r>
          </w:p>
          <w:p w14:paraId="6AE771F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1）安全工器具与仪器仪表的辨别与筛选：混合摆放合格项与干扰项，考核考生识别能力</w:t>
            </w:r>
          </w:p>
          <w:p w14:paraId="69665CA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2）安全工器具的正确穿戴与使用：考核安全帽、安全带、绝缘手套等规范穿戴及操作流程</w:t>
            </w:r>
          </w:p>
          <w:p w14:paraId="773501A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3）安全工器具的放置与恢复：考核作业后工器具整理、归位及简单维护能力</w:t>
            </w:r>
          </w:p>
          <w:p w14:paraId="26707F6C">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 登杆作业考核功能</w:t>
            </w:r>
          </w:p>
          <w:p w14:paraId="3029BF2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1）登杆前安全检查：考核电杆、工器具、防护用品检查流程</w:t>
            </w:r>
          </w:p>
          <w:p w14:paraId="2706C96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2）个人防护用品正确选用：考核登杆作业防护装备搭配</w:t>
            </w:r>
          </w:p>
          <w:p w14:paraId="3465B14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3）登杆流程规范性：考核上下杆动作规范及安全注意事项</w:t>
            </w:r>
          </w:p>
          <w:p w14:paraId="67B1DC4E">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4.3 仪器仪表测量功能</w:t>
            </w:r>
          </w:p>
          <w:p w14:paraId="3D7E344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1）交流电压、电流、电阻测量：提供AC36V安全电压下的测量场景</w:t>
            </w:r>
          </w:p>
          <w:p w14:paraId="2224D3D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2）直流电压、电流、电阻测量：提供0-36V可调直流电源测量场景</w:t>
            </w:r>
          </w:p>
          <w:p w14:paraId="770F632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3）接地电阻测量：模拟接地电阻测量全过程</w:t>
            </w:r>
          </w:p>
          <w:p w14:paraId="5A02046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4）绝缘电阻测量：提供三相异步电动机绝缘测量场景</w:t>
            </w:r>
          </w:p>
          <w:p w14:paraId="47ECCB8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5）多档位交流电源输出：36V安全电压内不少于5种交流电源输出</w:t>
            </w:r>
          </w:p>
          <w:p w14:paraId="586AB211">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4.4 安全标识辨识功能</w:t>
            </w:r>
          </w:p>
          <w:p w14:paraId="6DE6199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1）安全标识识别与理解：考核标识分类、名称、图形符号、颜色含义</w:t>
            </w:r>
          </w:p>
          <w:p w14:paraId="79E5B89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2）安全标识正确布置：考核依据场景规范布置标识的能力</w:t>
            </w:r>
          </w:p>
          <w:p w14:paraId="4802CED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3）标识合规执行与风险规避：考核依据标识要求规范作业的意识</w:t>
            </w:r>
          </w:p>
          <w:p w14:paraId="559CF532">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 结构与配置要求</w:t>
            </w:r>
          </w:p>
          <w:p w14:paraId="24B0BFF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1）安全用具架：白色4层架，层高可调节，冷轧钢板材质，表面喷塑</w:t>
            </w:r>
          </w:p>
          <w:p w14:paraId="08A0C0A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2）晾衣架：白色金属材质，可悬挂工作服及各类绳具</w:t>
            </w:r>
          </w:p>
          <w:p w14:paraId="57C336A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3）仪器仪表测量台：优质冷轧钢板，带抽屉、储物柜，2定向+2万向带刹车脚轮</w:t>
            </w:r>
          </w:p>
          <w:p w14:paraId="1532EC5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4）电杆：环形混凝土电杆，符合GB/T 4623要求</w:t>
            </w:r>
          </w:p>
          <w:p w14:paraId="5C59FF2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5）防摔垫：高密度海绵材质，耐磨防水外套</w:t>
            </w:r>
          </w:p>
          <w:p w14:paraId="02565C2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6）所有工器具标识清晰，分类摆放，便于实训考核</w:t>
            </w:r>
          </w:p>
          <w:p w14:paraId="5F3ADB98">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bookmarkStart w:id="698" w:name="_Toc15060"/>
            <w:bookmarkStart w:id="699" w:name="_Toc12335"/>
            <w:r>
              <w:rPr>
                <w:rFonts w:hint="eastAsia" w:ascii="仿宋" w:hAnsi="仿宋" w:eastAsia="仿宋" w:cs="仿宋"/>
                <w:color w:val="auto"/>
                <w:sz w:val="24"/>
                <w:szCs w:val="24"/>
              </w:rPr>
              <w:t>（三）专用部分</w:t>
            </w:r>
            <w:bookmarkEnd w:id="698"/>
            <w:bookmarkEnd w:id="699"/>
          </w:p>
          <w:p w14:paraId="4470AC34">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 标准技术参数表</w:t>
            </w:r>
          </w:p>
          <w:p w14:paraId="573C17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表格</w:t>
            </w:r>
          </w:p>
          <w:tbl>
            <w:tblPr>
              <w:tblStyle w:val="28"/>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86"/>
              <w:gridCol w:w="1121"/>
              <w:gridCol w:w="369"/>
              <w:gridCol w:w="3294"/>
            </w:tblGrid>
            <w:tr w14:paraId="645A3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shd w:val="clear" w:color="auto" w:fill="auto"/>
                  <w:vAlign w:val="center"/>
                </w:tcPr>
                <w:p w14:paraId="167FDC18">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序号</w:t>
                  </w:r>
                </w:p>
              </w:tc>
              <w:tc>
                <w:tcPr>
                  <w:tcW w:w="1727" w:type="dxa"/>
                  <w:shd w:val="clear" w:color="auto" w:fill="auto"/>
                  <w:vAlign w:val="center"/>
                </w:tcPr>
                <w:p w14:paraId="1C567D4D">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项目</w:t>
                  </w:r>
                </w:p>
              </w:tc>
              <w:tc>
                <w:tcPr>
                  <w:tcW w:w="0" w:type="auto"/>
                  <w:shd w:val="clear" w:color="auto" w:fill="auto"/>
                  <w:vAlign w:val="center"/>
                </w:tcPr>
                <w:p w14:paraId="520548C1">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单位</w:t>
                  </w:r>
                </w:p>
              </w:tc>
              <w:tc>
                <w:tcPr>
                  <w:tcW w:w="0" w:type="auto"/>
                  <w:shd w:val="clear" w:color="auto" w:fill="auto"/>
                  <w:vAlign w:val="center"/>
                </w:tcPr>
                <w:p w14:paraId="5539F9E7">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要求</w:t>
                  </w:r>
                </w:p>
              </w:tc>
            </w:tr>
            <w:tr w14:paraId="67DC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5E47A3F7">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w:t>
                  </w:r>
                </w:p>
              </w:tc>
              <w:tc>
                <w:tcPr>
                  <w:tcW w:w="1727" w:type="dxa"/>
                  <w:shd w:val="clear" w:color="auto" w:fill="auto"/>
                  <w:vAlign w:val="top"/>
                </w:tcPr>
                <w:p w14:paraId="1DC2561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设备名称</w:t>
                  </w:r>
                </w:p>
              </w:tc>
              <w:tc>
                <w:tcPr>
                  <w:tcW w:w="412" w:type="dxa"/>
                  <w:shd w:val="clear" w:color="auto" w:fill="auto"/>
                  <w:vAlign w:val="top"/>
                </w:tcPr>
                <w:p w14:paraId="0735249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4510" w:type="dxa"/>
                  <w:shd w:val="clear" w:color="auto" w:fill="auto"/>
                  <w:vAlign w:val="top"/>
                </w:tcPr>
                <w:p w14:paraId="0CD427C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低压电工K1安全用具使用实操设备</w:t>
                  </w:r>
                </w:p>
              </w:tc>
            </w:tr>
            <w:tr w14:paraId="71DA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5A383B9A">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2</w:t>
                  </w:r>
                </w:p>
              </w:tc>
              <w:tc>
                <w:tcPr>
                  <w:tcW w:w="1727" w:type="dxa"/>
                  <w:shd w:val="clear" w:color="auto" w:fill="auto"/>
                  <w:vAlign w:val="top"/>
                </w:tcPr>
                <w:p w14:paraId="0FD69EE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工作电源</w:t>
                  </w:r>
                </w:p>
              </w:tc>
              <w:tc>
                <w:tcPr>
                  <w:tcW w:w="412" w:type="dxa"/>
                  <w:shd w:val="clear" w:color="auto" w:fill="auto"/>
                  <w:vAlign w:val="top"/>
                </w:tcPr>
                <w:p w14:paraId="2E153D6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4510" w:type="dxa"/>
                  <w:shd w:val="clear" w:color="auto" w:fill="auto"/>
                  <w:vAlign w:val="top"/>
                </w:tcPr>
                <w:p w14:paraId="1CD2FF4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AC220V±10%，50Hz</w:t>
                  </w:r>
                </w:p>
              </w:tc>
            </w:tr>
            <w:tr w14:paraId="0BAF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7A6C3B23">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3</w:t>
                  </w:r>
                </w:p>
              </w:tc>
              <w:tc>
                <w:tcPr>
                  <w:tcW w:w="1727" w:type="dxa"/>
                  <w:shd w:val="clear" w:color="auto" w:fill="auto"/>
                  <w:vAlign w:val="top"/>
                </w:tcPr>
                <w:p w14:paraId="6D53236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实训电压</w:t>
                  </w:r>
                </w:p>
              </w:tc>
              <w:tc>
                <w:tcPr>
                  <w:tcW w:w="412" w:type="dxa"/>
                  <w:shd w:val="clear" w:color="auto" w:fill="auto"/>
                  <w:vAlign w:val="top"/>
                </w:tcPr>
                <w:p w14:paraId="442713E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V</w:t>
                  </w:r>
                </w:p>
              </w:tc>
              <w:tc>
                <w:tcPr>
                  <w:tcW w:w="4510" w:type="dxa"/>
                  <w:shd w:val="clear" w:color="auto" w:fill="auto"/>
                  <w:vAlign w:val="top"/>
                </w:tcPr>
                <w:p w14:paraId="3A3DFB2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AC 36V±10%、DC 0-36V±10%</w:t>
                  </w:r>
                </w:p>
              </w:tc>
            </w:tr>
            <w:tr w14:paraId="02DF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7003A552">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4</w:t>
                  </w:r>
                </w:p>
              </w:tc>
              <w:tc>
                <w:tcPr>
                  <w:tcW w:w="1727" w:type="dxa"/>
                  <w:shd w:val="clear" w:color="auto" w:fill="auto"/>
                  <w:vAlign w:val="top"/>
                </w:tcPr>
                <w:p w14:paraId="3DF8FD6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安全工器具考位面积</w:t>
                  </w:r>
                </w:p>
              </w:tc>
              <w:tc>
                <w:tcPr>
                  <w:tcW w:w="412" w:type="dxa"/>
                  <w:shd w:val="clear" w:color="auto" w:fill="auto"/>
                  <w:vAlign w:val="top"/>
                </w:tcPr>
                <w:p w14:paraId="170BD77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4510" w:type="dxa"/>
                  <w:shd w:val="clear" w:color="auto" w:fill="auto"/>
                  <w:vAlign w:val="top"/>
                </w:tcPr>
                <w:p w14:paraId="5D2096A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14:paraId="29046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5589D981">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5</w:t>
                  </w:r>
                </w:p>
              </w:tc>
              <w:tc>
                <w:tcPr>
                  <w:tcW w:w="1727" w:type="dxa"/>
                  <w:shd w:val="clear" w:color="auto" w:fill="auto"/>
                  <w:vAlign w:val="top"/>
                </w:tcPr>
                <w:p w14:paraId="2B31FD4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登杆作业考位面积</w:t>
                  </w:r>
                </w:p>
              </w:tc>
              <w:tc>
                <w:tcPr>
                  <w:tcW w:w="412" w:type="dxa"/>
                  <w:shd w:val="clear" w:color="auto" w:fill="auto"/>
                  <w:vAlign w:val="top"/>
                </w:tcPr>
                <w:p w14:paraId="37711E6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4510" w:type="dxa"/>
                  <w:shd w:val="clear" w:color="auto" w:fill="auto"/>
                  <w:vAlign w:val="top"/>
                </w:tcPr>
                <w:p w14:paraId="7DE64DE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09F39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04F1BF07">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6</w:t>
                  </w:r>
                </w:p>
              </w:tc>
              <w:tc>
                <w:tcPr>
                  <w:tcW w:w="1727" w:type="dxa"/>
                  <w:shd w:val="clear" w:color="auto" w:fill="auto"/>
                  <w:vAlign w:val="top"/>
                </w:tcPr>
                <w:p w14:paraId="08556F8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电杆高度</w:t>
                  </w:r>
                </w:p>
              </w:tc>
              <w:tc>
                <w:tcPr>
                  <w:tcW w:w="412" w:type="dxa"/>
                  <w:shd w:val="clear" w:color="auto" w:fill="auto"/>
                  <w:vAlign w:val="top"/>
                </w:tcPr>
                <w:p w14:paraId="489D333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m</w:t>
                  </w:r>
                </w:p>
              </w:tc>
              <w:tc>
                <w:tcPr>
                  <w:tcW w:w="4510" w:type="dxa"/>
                  <w:shd w:val="clear" w:color="auto" w:fill="auto"/>
                  <w:vAlign w:val="top"/>
                </w:tcPr>
                <w:p w14:paraId="4268F94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p>
              </w:tc>
            </w:tr>
            <w:tr w14:paraId="50414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7829489A">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7</w:t>
                  </w:r>
                </w:p>
              </w:tc>
              <w:tc>
                <w:tcPr>
                  <w:tcW w:w="1727" w:type="dxa"/>
                  <w:shd w:val="clear" w:color="auto" w:fill="auto"/>
                  <w:vAlign w:val="top"/>
                </w:tcPr>
                <w:p w14:paraId="076B22E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交流电源输出档位</w:t>
                  </w:r>
                </w:p>
              </w:tc>
              <w:tc>
                <w:tcPr>
                  <w:tcW w:w="412" w:type="dxa"/>
                  <w:shd w:val="clear" w:color="auto" w:fill="auto"/>
                  <w:vAlign w:val="top"/>
                </w:tcPr>
                <w:p w14:paraId="16FF0E6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种</w:t>
                  </w:r>
                </w:p>
              </w:tc>
              <w:tc>
                <w:tcPr>
                  <w:tcW w:w="4510" w:type="dxa"/>
                  <w:shd w:val="clear" w:color="auto" w:fill="auto"/>
                  <w:vAlign w:val="top"/>
                </w:tcPr>
                <w:p w14:paraId="07F9CF2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3CA6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6AD7628C">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8</w:t>
                  </w:r>
                </w:p>
              </w:tc>
              <w:tc>
                <w:tcPr>
                  <w:tcW w:w="1727" w:type="dxa"/>
                  <w:shd w:val="clear" w:color="auto" w:fill="auto"/>
                  <w:vAlign w:val="top"/>
                </w:tcPr>
                <w:p w14:paraId="001D9F2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防摔垫厚度</w:t>
                  </w:r>
                </w:p>
              </w:tc>
              <w:tc>
                <w:tcPr>
                  <w:tcW w:w="412" w:type="dxa"/>
                  <w:shd w:val="clear" w:color="auto" w:fill="auto"/>
                  <w:vAlign w:val="top"/>
                </w:tcPr>
                <w:p w14:paraId="686DDDA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cm</w:t>
                  </w:r>
                </w:p>
              </w:tc>
              <w:tc>
                <w:tcPr>
                  <w:tcW w:w="4510" w:type="dxa"/>
                  <w:shd w:val="clear" w:color="auto" w:fill="auto"/>
                  <w:vAlign w:val="top"/>
                </w:tcPr>
                <w:p w14:paraId="7214B5C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≥30</w:t>
                  </w:r>
                </w:p>
              </w:tc>
            </w:tr>
            <w:tr w14:paraId="10D1A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4F14C5DF">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9</w:t>
                  </w:r>
                </w:p>
              </w:tc>
              <w:tc>
                <w:tcPr>
                  <w:tcW w:w="1727" w:type="dxa"/>
                  <w:shd w:val="clear" w:color="auto" w:fill="auto"/>
                  <w:vAlign w:val="top"/>
                </w:tcPr>
                <w:p w14:paraId="54F22A6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设备功耗</w:t>
                  </w:r>
                </w:p>
              </w:tc>
              <w:tc>
                <w:tcPr>
                  <w:tcW w:w="412" w:type="dxa"/>
                  <w:shd w:val="clear" w:color="auto" w:fill="auto"/>
                  <w:vAlign w:val="top"/>
                </w:tcPr>
                <w:p w14:paraId="0F088C9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W</w:t>
                  </w:r>
                </w:p>
              </w:tc>
              <w:tc>
                <w:tcPr>
                  <w:tcW w:w="4510" w:type="dxa"/>
                  <w:shd w:val="clear" w:color="auto" w:fill="auto"/>
                  <w:vAlign w:val="top"/>
                </w:tcPr>
                <w:p w14:paraId="5A88D50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&lt;100</w:t>
                  </w:r>
                </w:p>
              </w:tc>
            </w:tr>
            <w:tr w14:paraId="7939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165F6B0E">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10</w:t>
                  </w:r>
                </w:p>
              </w:tc>
              <w:tc>
                <w:tcPr>
                  <w:tcW w:w="1727" w:type="dxa"/>
                  <w:shd w:val="clear" w:color="auto" w:fill="auto"/>
                  <w:vAlign w:val="top"/>
                </w:tcPr>
                <w:p w14:paraId="16D1425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安全结构</w:t>
                  </w:r>
                </w:p>
              </w:tc>
              <w:tc>
                <w:tcPr>
                  <w:tcW w:w="412" w:type="dxa"/>
                  <w:shd w:val="clear" w:color="auto" w:fill="auto"/>
                  <w:vAlign w:val="top"/>
                </w:tcPr>
                <w:p w14:paraId="6B3D6C6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w:t>
                  </w:r>
                </w:p>
              </w:tc>
              <w:tc>
                <w:tcPr>
                  <w:tcW w:w="4510" w:type="dxa"/>
                  <w:shd w:val="clear" w:color="auto" w:fill="auto"/>
                  <w:vAlign w:val="top"/>
                </w:tcPr>
                <w:p w14:paraId="3FD2B23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漏电保护、急停、防坠器、双防摔垫</w:t>
                  </w:r>
                </w:p>
              </w:tc>
            </w:tr>
          </w:tbl>
          <w:p w14:paraId="39A09191">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 组件配置清单</w:t>
            </w:r>
          </w:p>
          <w:p w14:paraId="20DDE5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表格</w:t>
            </w:r>
          </w:p>
          <w:tbl>
            <w:tblPr>
              <w:tblStyle w:val="28"/>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2"/>
              <w:gridCol w:w="2340"/>
              <w:gridCol w:w="442"/>
              <w:gridCol w:w="472"/>
            </w:tblGrid>
            <w:tr w14:paraId="5DF1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blCellSpacing w:w="15" w:type="dxa"/>
              </w:trPr>
              <w:tc>
                <w:tcPr>
                  <w:tcW w:w="0" w:type="auto"/>
                  <w:shd w:val="clear" w:color="auto" w:fill="auto"/>
                  <w:vAlign w:val="center"/>
                </w:tcPr>
                <w:p w14:paraId="0E394A9F">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序号</w:t>
                  </w:r>
                </w:p>
              </w:tc>
              <w:tc>
                <w:tcPr>
                  <w:tcW w:w="0" w:type="auto"/>
                  <w:shd w:val="clear" w:color="auto" w:fill="auto"/>
                  <w:vAlign w:val="center"/>
                </w:tcPr>
                <w:p w14:paraId="1738E38D">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名称</w:t>
                  </w:r>
                </w:p>
              </w:tc>
              <w:tc>
                <w:tcPr>
                  <w:tcW w:w="0" w:type="auto"/>
                  <w:shd w:val="clear" w:color="auto" w:fill="auto"/>
                  <w:vAlign w:val="center"/>
                </w:tcPr>
                <w:p w14:paraId="462BEAF9">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单位</w:t>
                  </w:r>
                </w:p>
              </w:tc>
              <w:tc>
                <w:tcPr>
                  <w:tcW w:w="0" w:type="auto"/>
                  <w:shd w:val="clear" w:color="auto" w:fill="auto"/>
                  <w:vAlign w:val="center"/>
                </w:tcPr>
                <w:p w14:paraId="38C9BDD5">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数量</w:t>
                  </w:r>
                </w:p>
              </w:tc>
            </w:tr>
            <w:tr w14:paraId="637A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459AD97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310" w:type="dxa"/>
                  <w:shd w:val="clear" w:color="auto" w:fill="auto"/>
                  <w:vAlign w:val="top"/>
                </w:tcPr>
                <w:p w14:paraId="0E675D9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低压安全工器具（合格项）</w:t>
                  </w:r>
                </w:p>
              </w:tc>
              <w:tc>
                <w:tcPr>
                  <w:tcW w:w="412" w:type="dxa"/>
                  <w:shd w:val="clear" w:color="auto" w:fill="auto"/>
                  <w:vAlign w:val="top"/>
                </w:tcPr>
                <w:p w14:paraId="21EA6F0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套</w:t>
                  </w:r>
                </w:p>
              </w:tc>
              <w:tc>
                <w:tcPr>
                  <w:tcW w:w="427" w:type="dxa"/>
                  <w:shd w:val="clear" w:color="auto" w:fill="auto"/>
                  <w:vAlign w:val="top"/>
                </w:tcPr>
                <w:p w14:paraId="3AD48E0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20A4A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27" w:type="dxa"/>
                  <w:shd w:val="clear" w:color="auto" w:fill="auto"/>
                  <w:vAlign w:val="top"/>
                </w:tcPr>
                <w:p w14:paraId="3A74B9F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310" w:type="dxa"/>
                  <w:shd w:val="clear" w:color="auto" w:fill="auto"/>
                  <w:vAlign w:val="top"/>
                </w:tcPr>
                <w:p w14:paraId="2A52E80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低压安全工器具（干扰项）</w:t>
                  </w:r>
                </w:p>
              </w:tc>
              <w:tc>
                <w:tcPr>
                  <w:tcW w:w="412" w:type="dxa"/>
                  <w:shd w:val="clear" w:color="auto" w:fill="auto"/>
                  <w:vAlign w:val="top"/>
                </w:tcPr>
                <w:p w14:paraId="1C1CFA8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套</w:t>
                  </w:r>
                </w:p>
              </w:tc>
              <w:tc>
                <w:tcPr>
                  <w:tcW w:w="427" w:type="dxa"/>
                  <w:shd w:val="clear" w:color="auto" w:fill="auto"/>
                  <w:vAlign w:val="top"/>
                </w:tcPr>
                <w:p w14:paraId="7ABB3D7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31657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2356866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310" w:type="dxa"/>
                  <w:shd w:val="clear" w:color="auto" w:fill="auto"/>
                  <w:vAlign w:val="top"/>
                </w:tcPr>
                <w:p w14:paraId="3ED4315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电工仪器仪表（合格项）</w:t>
                  </w:r>
                </w:p>
              </w:tc>
              <w:tc>
                <w:tcPr>
                  <w:tcW w:w="412" w:type="dxa"/>
                  <w:shd w:val="clear" w:color="auto" w:fill="auto"/>
                  <w:vAlign w:val="top"/>
                </w:tcPr>
                <w:p w14:paraId="2ED662D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套</w:t>
                  </w:r>
                </w:p>
              </w:tc>
              <w:tc>
                <w:tcPr>
                  <w:tcW w:w="427" w:type="dxa"/>
                  <w:shd w:val="clear" w:color="auto" w:fill="auto"/>
                  <w:vAlign w:val="top"/>
                </w:tcPr>
                <w:p w14:paraId="7A9ECFA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15CB1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27" w:type="dxa"/>
                  <w:shd w:val="clear" w:color="auto" w:fill="auto"/>
                  <w:vAlign w:val="top"/>
                </w:tcPr>
                <w:p w14:paraId="40C6977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2310" w:type="dxa"/>
                  <w:shd w:val="clear" w:color="auto" w:fill="auto"/>
                  <w:vAlign w:val="top"/>
                </w:tcPr>
                <w:p w14:paraId="2CF322F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电工仪器仪表（干扰项）</w:t>
                  </w:r>
                </w:p>
              </w:tc>
              <w:tc>
                <w:tcPr>
                  <w:tcW w:w="412" w:type="dxa"/>
                  <w:shd w:val="clear" w:color="auto" w:fill="auto"/>
                  <w:vAlign w:val="top"/>
                </w:tcPr>
                <w:p w14:paraId="63DEC63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套</w:t>
                  </w:r>
                </w:p>
              </w:tc>
              <w:tc>
                <w:tcPr>
                  <w:tcW w:w="427" w:type="dxa"/>
                  <w:shd w:val="clear" w:color="auto" w:fill="auto"/>
                  <w:vAlign w:val="top"/>
                </w:tcPr>
                <w:p w14:paraId="38544B5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260C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29608B9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310" w:type="dxa"/>
                  <w:shd w:val="clear" w:color="auto" w:fill="auto"/>
                  <w:vAlign w:val="top"/>
                </w:tcPr>
                <w:p w14:paraId="4833B00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安全用具架</w:t>
                  </w:r>
                </w:p>
              </w:tc>
              <w:tc>
                <w:tcPr>
                  <w:tcW w:w="412" w:type="dxa"/>
                  <w:shd w:val="clear" w:color="auto" w:fill="auto"/>
                  <w:vAlign w:val="top"/>
                </w:tcPr>
                <w:p w14:paraId="6A7CED3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个</w:t>
                  </w:r>
                </w:p>
              </w:tc>
              <w:tc>
                <w:tcPr>
                  <w:tcW w:w="427" w:type="dxa"/>
                  <w:shd w:val="clear" w:color="auto" w:fill="auto"/>
                  <w:vAlign w:val="top"/>
                </w:tcPr>
                <w:p w14:paraId="5082E48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14:paraId="34DB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478CADE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w:t>
                  </w:r>
                </w:p>
              </w:tc>
              <w:tc>
                <w:tcPr>
                  <w:tcW w:w="2310" w:type="dxa"/>
                  <w:shd w:val="clear" w:color="auto" w:fill="auto"/>
                  <w:vAlign w:val="top"/>
                </w:tcPr>
                <w:p w14:paraId="7F06D0B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晾衣架</w:t>
                  </w:r>
                </w:p>
              </w:tc>
              <w:tc>
                <w:tcPr>
                  <w:tcW w:w="412" w:type="dxa"/>
                  <w:shd w:val="clear" w:color="auto" w:fill="auto"/>
                  <w:vAlign w:val="top"/>
                </w:tcPr>
                <w:p w14:paraId="03F1120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个</w:t>
                  </w:r>
                </w:p>
              </w:tc>
              <w:tc>
                <w:tcPr>
                  <w:tcW w:w="427" w:type="dxa"/>
                  <w:shd w:val="clear" w:color="auto" w:fill="auto"/>
                  <w:vAlign w:val="top"/>
                </w:tcPr>
                <w:p w14:paraId="7A146A6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5F97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27" w:type="dxa"/>
                  <w:shd w:val="clear" w:color="auto" w:fill="auto"/>
                  <w:vAlign w:val="top"/>
                </w:tcPr>
                <w:p w14:paraId="21480C1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7</w:t>
                  </w:r>
                </w:p>
              </w:tc>
              <w:tc>
                <w:tcPr>
                  <w:tcW w:w="2310" w:type="dxa"/>
                  <w:shd w:val="clear" w:color="auto" w:fill="auto"/>
                  <w:vAlign w:val="top"/>
                </w:tcPr>
                <w:p w14:paraId="45B7869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环形混凝土电杆</w:t>
                  </w:r>
                </w:p>
              </w:tc>
              <w:tc>
                <w:tcPr>
                  <w:tcW w:w="412" w:type="dxa"/>
                  <w:shd w:val="clear" w:color="auto" w:fill="auto"/>
                  <w:vAlign w:val="top"/>
                </w:tcPr>
                <w:p w14:paraId="0DBD374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w:t>
                  </w:r>
                </w:p>
              </w:tc>
              <w:tc>
                <w:tcPr>
                  <w:tcW w:w="427" w:type="dxa"/>
                  <w:shd w:val="clear" w:color="auto" w:fill="auto"/>
                  <w:vAlign w:val="top"/>
                </w:tcPr>
                <w:p w14:paraId="1AE16B4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1D9F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2BFC20F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8</w:t>
                  </w:r>
                </w:p>
              </w:tc>
              <w:tc>
                <w:tcPr>
                  <w:tcW w:w="2310" w:type="dxa"/>
                  <w:shd w:val="clear" w:color="auto" w:fill="auto"/>
                  <w:vAlign w:val="top"/>
                </w:tcPr>
                <w:p w14:paraId="4DFC0A7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速差自控器（防坠器）</w:t>
                  </w:r>
                </w:p>
              </w:tc>
              <w:tc>
                <w:tcPr>
                  <w:tcW w:w="412" w:type="dxa"/>
                  <w:shd w:val="clear" w:color="auto" w:fill="auto"/>
                  <w:vAlign w:val="top"/>
                </w:tcPr>
                <w:p w14:paraId="27B920E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套</w:t>
                  </w:r>
                </w:p>
              </w:tc>
              <w:tc>
                <w:tcPr>
                  <w:tcW w:w="427" w:type="dxa"/>
                  <w:shd w:val="clear" w:color="auto" w:fill="auto"/>
                  <w:vAlign w:val="top"/>
                </w:tcPr>
                <w:p w14:paraId="7287D42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1</w:t>
                  </w:r>
                </w:p>
              </w:tc>
            </w:tr>
            <w:tr w14:paraId="005D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27" w:type="dxa"/>
                  <w:shd w:val="clear" w:color="auto" w:fill="auto"/>
                  <w:vAlign w:val="top"/>
                </w:tcPr>
                <w:p w14:paraId="41B243B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9</w:t>
                  </w:r>
                </w:p>
              </w:tc>
              <w:tc>
                <w:tcPr>
                  <w:tcW w:w="2310" w:type="dxa"/>
                  <w:shd w:val="clear" w:color="auto" w:fill="auto"/>
                  <w:vAlign w:val="top"/>
                </w:tcPr>
                <w:p w14:paraId="5B9169A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防摔垫</w:t>
                  </w:r>
                </w:p>
              </w:tc>
              <w:tc>
                <w:tcPr>
                  <w:tcW w:w="412" w:type="dxa"/>
                  <w:shd w:val="clear" w:color="auto" w:fill="auto"/>
                  <w:vAlign w:val="top"/>
                </w:tcPr>
                <w:p w14:paraId="306A889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块</w:t>
                  </w:r>
                </w:p>
              </w:tc>
              <w:tc>
                <w:tcPr>
                  <w:tcW w:w="427" w:type="dxa"/>
                  <w:shd w:val="clear" w:color="auto" w:fill="auto"/>
                  <w:vAlign w:val="top"/>
                </w:tcPr>
                <w:p w14:paraId="57031F1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2</w:t>
                  </w:r>
                </w:p>
              </w:tc>
            </w:tr>
            <w:tr w14:paraId="6800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5DF42B9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10</w:t>
                  </w:r>
                </w:p>
              </w:tc>
              <w:tc>
                <w:tcPr>
                  <w:tcW w:w="2310" w:type="dxa"/>
                  <w:shd w:val="clear" w:color="auto" w:fill="auto"/>
                  <w:vAlign w:val="top"/>
                </w:tcPr>
                <w:p w14:paraId="05F8FC9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仪器仪表测量台</w:t>
                  </w:r>
                </w:p>
              </w:tc>
              <w:tc>
                <w:tcPr>
                  <w:tcW w:w="412" w:type="dxa"/>
                  <w:shd w:val="clear" w:color="auto" w:fill="auto"/>
                  <w:vAlign w:val="top"/>
                </w:tcPr>
                <w:p w14:paraId="2E10928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台</w:t>
                  </w:r>
                </w:p>
              </w:tc>
              <w:tc>
                <w:tcPr>
                  <w:tcW w:w="427" w:type="dxa"/>
                  <w:shd w:val="clear" w:color="auto" w:fill="auto"/>
                  <w:vAlign w:val="top"/>
                </w:tcPr>
                <w:p w14:paraId="55762FA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1</w:t>
                  </w:r>
                </w:p>
              </w:tc>
            </w:tr>
            <w:tr w14:paraId="13CB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27" w:type="dxa"/>
                  <w:shd w:val="clear" w:color="auto" w:fill="auto"/>
                  <w:vAlign w:val="top"/>
                </w:tcPr>
                <w:p w14:paraId="43773B3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11</w:t>
                  </w:r>
                </w:p>
              </w:tc>
              <w:tc>
                <w:tcPr>
                  <w:tcW w:w="2310" w:type="dxa"/>
                  <w:shd w:val="clear" w:color="auto" w:fill="auto"/>
                  <w:vAlign w:val="top"/>
                </w:tcPr>
                <w:p w14:paraId="1C643D1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电气安全标识（四类）</w:t>
                  </w:r>
                </w:p>
              </w:tc>
              <w:tc>
                <w:tcPr>
                  <w:tcW w:w="412" w:type="dxa"/>
                  <w:shd w:val="clear" w:color="auto" w:fill="auto"/>
                  <w:vAlign w:val="top"/>
                </w:tcPr>
                <w:p w14:paraId="0DD6388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套</w:t>
                  </w:r>
                </w:p>
              </w:tc>
              <w:tc>
                <w:tcPr>
                  <w:tcW w:w="427" w:type="dxa"/>
                  <w:shd w:val="clear" w:color="auto" w:fill="auto"/>
                  <w:vAlign w:val="top"/>
                </w:tcPr>
                <w:p w14:paraId="254BE6F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1</w:t>
                  </w:r>
                </w:p>
              </w:tc>
            </w:tr>
            <w:tr w14:paraId="7F7B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4513130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12</w:t>
                  </w:r>
                </w:p>
              </w:tc>
              <w:tc>
                <w:tcPr>
                  <w:tcW w:w="2310" w:type="dxa"/>
                  <w:shd w:val="clear" w:color="auto" w:fill="auto"/>
                  <w:vAlign w:val="top"/>
                </w:tcPr>
                <w:p w14:paraId="61BC483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登杆工具套装</w:t>
                  </w:r>
                </w:p>
              </w:tc>
              <w:tc>
                <w:tcPr>
                  <w:tcW w:w="412" w:type="dxa"/>
                  <w:shd w:val="clear" w:color="auto" w:fill="auto"/>
                  <w:vAlign w:val="top"/>
                </w:tcPr>
                <w:p w14:paraId="6C8ECC4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套</w:t>
                  </w:r>
                </w:p>
              </w:tc>
              <w:tc>
                <w:tcPr>
                  <w:tcW w:w="427" w:type="dxa"/>
                  <w:shd w:val="clear" w:color="auto" w:fill="auto"/>
                  <w:vAlign w:val="top"/>
                </w:tcPr>
                <w:p w14:paraId="48CD2BE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1</w:t>
                  </w:r>
                </w:p>
              </w:tc>
            </w:tr>
          </w:tbl>
          <w:p w14:paraId="4957E5FD">
            <w:pPr>
              <w:pStyle w:val="4"/>
              <w:keepNext w:val="0"/>
              <w:keepLines w:val="0"/>
              <w:pageBreakBefore w:val="0"/>
              <w:widowControl w:val="0"/>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 试验与验收</w:t>
            </w:r>
          </w:p>
          <w:p w14:paraId="741BD8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1）出厂试验：保护逻辑、故障触发、显示、报警、安全全部合格2）现场验收：定值整定、故障排查、动作模拟正常3）不合格：供方免费更换、调试至合格</w:t>
            </w:r>
          </w:p>
          <w:p w14:paraId="2B5DAFE8">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 技术服务与质保</w:t>
            </w:r>
          </w:p>
          <w:p w14:paraId="52D852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1）现场安装、调试、培训、考核指导2）质保期≥12 个月3）24 小时响应，72 小时解决方案</w:t>
            </w:r>
          </w:p>
          <w:p w14:paraId="4C383B56">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 包装与运输</w:t>
            </w:r>
          </w:p>
          <w:p w14:paraId="179757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color w:val="auto"/>
                <w:kern w:val="0"/>
                <w:sz w:val="24"/>
                <w:szCs w:val="24"/>
                <w:lang w:val="en-US" w:eastAsia="zh-CN" w:bidi="ar"/>
              </w:rPr>
              <w:t>防潮、防撞、分类包装，平稳运输，严禁碰撞、淋雨、倒置。</w:t>
            </w:r>
          </w:p>
        </w:tc>
      </w:tr>
      <w:tr w14:paraId="4069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4" w:type="dxa"/>
            <w:vAlign w:val="center"/>
          </w:tcPr>
          <w:p w14:paraId="68273D40">
            <w:pPr>
              <w:keepNext/>
              <w:keepLines w:val="0"/>
              <w:widowControl/>
              <w:numPr>
                <w:ilvl w:val="0"/>
                <w:numId w:val="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0"/>
                <w:vertAlign w:val="baseline"/>
                <w:lang w:val="en-US" w:eastAsia="zh-CN" w:bidi="ar"/>
              </w:rPr>
            </w:pPr>
          </w:p>
        </w:tc>
        <w:tc>
          <w:tcPr>
            <w:tcW w:w="0" w:type="auto"/>
            <w:vAlign w:val="center"/>
          </w:tcPr>
          <w:p w14:paraId="05CD38A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作业现场安全隐患排除(K2)</w:t>
            </w:r>
          </w:p>
        </w:tc>
        <w:tc>
          <w:tcPr>
            <w:tcW w:w="854" w:type="dxa"/>
            <w:vAlign w:val="center"/>
          </w:tcPr>
          <w:p w14:paraId="246D6A25">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54" w:type="dxa"/>
            <w:vAlign w:val="center"/>
          </w:tcPr>
          <w:p w14:paraId="3FEF3E6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86" w:type="dxa"/>
            <w:vAlign w:val="center"/>
          </w:tcPr>
          <w:p w14:paraId="650C1C45">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bookmarkStart w:id="700" w:name="_Toc22992"/>
            <w:bookmarkStart w:id="701" w:name="_Toc3580"/>
            <w:r>
              <w:rPr>
                <w:rFonts w:hint="eastAsia" w:ascii="仿宋" w:hAnsi="仿宋" w:eastAsia="仿宋" w:cs="仿宋"/>
                <w:color w:val="auto"/>
                <w:sz w:val="24"/>
                <w:szCs w:val="24"/>
              </w:rPr>
              <w:t>（一）通用部分</w:t>
            </w:r>
            <w:bookmarkEnd w:id="700"/>
            <w:bookmarkEnd w:id="701"/>
          </w:p>
          <w:p w14:paraId="0821EC5B">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 范围</w:t>
            </w:r>
          </w:p>
          <w:p w14:paraId="79562AC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本文件规定了</w:t>
            </w:r>
            <w:r>
              <w:rPr>
                <w:rFonts w:hint="eastAsia" w:ascii="仿宋" w:hAnsi="仿宋" w:eastAsia="仿宋" w:cs="仿宋"/>
                <w:b/>
                <w:bCs/>
                <w:color w:val="auto"/>
                <w:sz w:val="24"/>
                <w:szCs w:val="24"/>
              </w:rPr>
              <w:t>低压电工K2作业现场安全隐患排除实操设备</w:t>
            </w:r>
            <w:r>
              <w:rPr>
                <w:rFonts w:hint="eastAsia" w:ascii="仿宋" w:hAnsi="仿宋" w:eastAsia="仿宋" w:cs="仿宋"/>
                <w:color w:val="auto"/>
                <w:sz w:val="24"/>
                <w:szCs w:val="24"/>
              </w:rPr>
              <w:t>的总体要求、场地参数、安全设计、隐患场景配置、试验验收、技术服务及包装运输。本系统适用于低压电工作业安全技术实际操作考试、实训与技能鉴定，满足临时用电、登杆作业、移动电动工具使用三类安全隐患排查考核需求，适用于招标、生产、安装、验收、培训及考核全流程。</w:t>
            </w:r>
          </w:p>
          <w:p w14:paraId="64AE0873">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 规范性引用文件</w:t>
            </w:r>
          </w:p>
          <w:p w14:paraId="5640FFCE">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leftChars="0" w:right="0" w:rightChars="0" w:hanging="36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GB/T 14048 《低压开关设备和控制设备》</w:t>
            </w:r>
          </w:p>
          <w:p w14:paraId="675718B8">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leftChars="0" w:right="0" w:rightChars="0" w:hanging="36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GB/T 14044 《灯具 第2-1部分：特殊要求 固定式通用灯具》</w:t>
            </w:r>
          </w:p>
          <w:p w14:paraId="6BA19FD0">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leftChars="0" w:right="0" w:rightChars="0" w:hanging="36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GB/T 3091 《低压流体输送用焊接钢管》</w:t>
            </w:r>
          </w:p>
          <w:p w14:paraId="7544A666">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leftChars="0" w:right="0" w:rightChars="0" w:hanging="36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GB/T 17622 《带电作业用绝缘手套》</w:t>
            </w:r>
          </w:p>
          <w:p w14:paraId="79BB2965">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leftChars="0" w:right="0" w:rightChars="0" w:hanging="36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 21148 《足部防护 安全鞋》</w:t>
            </w:r>
          </w:p>
          <w:p w14:paraId="7CE0D8BD">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leftChars="0" w:right="0" w:rightChars="0" w:hanging="36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 2811 《头部防护 安全帽》</w:t>
            </w:r>
          </w:p>
          <w:p w14:paraId="1DD3A6EC">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leftChars="0" w:right="0" w:rightChars="0" w:hanging="36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 14866 《眼面防护具通用技术规范》</w:t>
            </w:r>
          </w:p>
          <w:p w14:paraId="56B692C3">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leftChars="0" w:right="0" w:rightChars="0" w:hanging="36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 6095 《坠落防护 安全带》</w:t>
            </w:r>
          </w:p>
          <w:p w14:paraId="4B567B0F">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leftChars="0" w:right="0" w:rightChars="0" w:hanging="36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AQ 6109 《坠落防护 登杆脚扣》</w:t>
            </w:r>
          </w:p>
          <w:p w14:paraId="5D1F1E0E">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leftChars="0" w:right="0" w:rightChars="0" w:hanging="36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低压电工作业安全技术实际操作考试标准</w:t>
            </w:r>
          </w:p>
          <w:p w14:paraId="268F28A6">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 术语和定义</w:t>
            </w:r>
          </w:p>
          <w:p w14:paraId="509229E8">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eastAsia" w:ascii="仿宋" w:hAnsi="仿宋" w:eastAsia="仿宋" w:cs="仿宋"/>
                <w:color w:val="auto"/>
                <w:sz w:val="24"/>
                <w:szCs w:val="24"/>
              </w:rPr>
            </w:pPr>
            <w:r>
              <w:rPr>
                <w:rFonts w:hint="eastAsia" w:ascii="仿宋" w:hAnsi="仿宋" w:eastAsia="仿宋" w:cs="仿宋"/>
                <w:b/>
                <w:bCs/>
                <w:color w:val="auto"/>
                <w:sz w:val="24"/>
                <w:szCs w:val="24"/>
              </w:rPr>
              <w:t>低压电工K2作业现场安全隐患排除实操设备：</w:t>
            </w:r>
            <w:r>
              <w:rPr>
                <w:rFonts w:hint="eastAsia" w:ascii="仿宋" w:hAnsi="仿宋" w:eastAsia="仿宋" w:cs="仿宋"/>
                <w:color w:val="auto"/>
                <w:sz w:val="24"/>
                <w:szCs w:val="24"/>
              </w:rPr>
              <w:t>通过搭建实物作业场景，设置典型低压电工作业安全隐患，考核考生隐患识别能力的实训考核装置。</w:t>
            </w:r>
          </w:p>
          <w:p w14:paraId="141A7C58">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eastAsia" w:ascii="仿宋" w:hAnsi="仿宋" w:eastAsia="仿宋" w:cs="仿宋"/>
                <w:color w:val="auto"/>
                <w:sz w:val="24"/>
                <w:szCs w:val="24"/>
              </w:rPr>
            </w:pPr>
            <w:r>
              <w:rPr>
                <w:rFonts w:hint="eastAsia" w:ascii="仿宋" w:hAnsi="仿宋" w:eastAsia="仿宋" w:cs="仿宋"/>
                <w:b/>
                <w:bCs/>
                <w:color w:val="auto"/>
                <w:sz w:val="24"/>
                <w:szCs w:val="24"/>
              </w:rPr>
              <w:t>隐患场景：</w:t>
            </w:r>
            <w:r>
              <w:rPr>
                <w:rFonts w:hint="eastAsia" w:ascii="仿宋" w:hAnsi="仿宋" w:eastAsia="仿宋" w:cs="仿宋"/>
                <w:color w:val="auto"/>
                <w:sz w:val="24"/>
                <w:szCs w:val="24"/>
              </w:rPr>
              <w:t>还原真实低压作业环境，预置可辨识的安全风险点。</w:t>
            </w:r>
          </w:p>
          <w:p w14:paraId="6FABE7DF">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eastAsia" w:ascii="仿宋" w:hAnsi="仿宋" w:eastAsia="仿宋" w:cs="仿宋"/>
                <w:color w:val="auto"/>
                <w:sz w:val="24"/>
                <w:szCs w:val="24"/>
              </w:rPr>
            </w:pPr>
            <w:r>
              <w:rPr>
                <w:rFonts w:hint="eastAsia" w:ascii="仿宋" w:hAnsi="仿宋" w:eastAsia="仿宋" w:cs="仿宋"/>
                <w:b/>
                <w:bCs/>
                <w:color w:val="auto"/>
                <w:sz w:val="24"/>
                <w:szCs w:val="24"/>
              </w:rPr>
              <w:t>实物隐患：</w:t>
            </w:r>
            <w:r>
              <w:rPr>
                <w:rFonts w:hint="eastAsia" w:ascii="仿宋" w:hAnsi="仿宋" w:eastAsia="仿宋" w:cs="仿宋"/>
                <w:color w:val="auto"/>
                <w:sz w:val="24"/>
                <w:szCs w:val="24"/>
              </w:rPr>
              <w:t>采用真实元器件搭建，设置直观可见的安全隐患。</w:t>
            </w:r>
          </w:p>
          <w:p w14:paraId="67D74E7B">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 总则</w:t>
            </w:r>
          </w:p>
          <w:p w14:paraId="2B14019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4.1 本文件为最低技术要求，未明确项按国家及电力行业现行标准执行。</w:t>
            </w:r>
          </w:p>
          <w:p w14:paraId="642DEE8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 所有实训回路采用AC24V及以下安全电压，无触电风险。</w:t>
            </w:r>
          </w:p>
          <w:p w14:paraId="2189D92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4.3 隐患设置符合现场实际，覆盖考试大纲要求的全部考点。</w:t>
            </w:r>
          </w:p>
          <w:p w14:paraId="31C15BE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4.4 供方对设备质量、安全、功能、安装、调试、质保负全部责任，本文件为合同技术附件。</w:t>
            </w:r>
          </w:p>
          <w:p w14:paraId="4039CDCA">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bookmarkStart w:id="702" w:name="_Toc1595"/>
            <w:bookmarkStart w:id="703" w:name="_Toc7805"/>
            <w:r>
              <w:rPr>
                <w:rFonts w:hint="eastAsia" w:ascii="仿宋" w:hAnsi="仿宋" w:eastAsia="仿宋" w:cs="仿宋"/>
                <w:color w:val="auto"/>
                <w:sz w:val="24"/>
                <w:szCs w:val="24"/>
              </w:rPr>
              <w:t>（二）专项技术要求</w:t>
            </w:r>
            <w:bookmarkEnd w:id="702"/>
            <w:bookmarkEnd w:id="703"/>
          </w:p>
          <w:p w14:paraId="5F1D639B">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 电气及物理参数</w:t>
            </w:r>
          </w:p>
          <w:p w14:paraId="695F1DA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1）工作电源：AC220V±10%，50Hz</w:t>
            </w:r>
          </w:p>
          <w:p w14:paraId="4DB6685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2）实训电压：AC24V及以下</w:t>
            </w:r>
          </w:p>
          <w:p w14:paraId="3543A44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3）考位面积：≥20㎡</w:t>
            </w:r>
          </w:p>
          <w:p w14:paraId="6FC1F56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4）防静电工作台尺寸：1.2m×0.6m×0.75m（±0.02m）</w:t>
            </w:r>
          </w:p>
          <w:p w14:paraId="603320F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5）照明开关箱尺寸：0.2m×0.3m×0.4m（±0.02m）</w:t>
            </w:r>
          </w:p>
          <w:p w14:paraId="33C5D51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6）镀锌铁板尺寸：1.2m×1.2m</w:t>
            </w:r>
          </w:p>
          <w:p w14:paraId="4D84E5E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7）使用环境：温度-5℃～+40℃，湿度≤85%无凝露，海拔≤2000m</w:t>
            </w:r>
          </w:p>
          <w:p w14:paraId="1A251939">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 安全保护系统</w:t>
            </w:r>
          </w:p>
          <w:p w14:paraId="19A7961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1）所有回路配置漏电保护、短路保护</w:t>
            </w:r>
          </w:p>
          <w:p w14:paraId="7D76953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2）照明开关箱采用透明塑壳断路器，分断时可见分断点</w:t>
            </w:r>
          </w:p>
          <w:p w14:paraId="615C785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3）所有可触及金属部分可靠接地</w:t>
            </w:r>
          </w:p>
          <w:p w14:paraId="7C8B53F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4）模特假人采用轻质材质，无尖锐边角</w:t>
            </w:r>
          </w:p>
          <w:p w14:paraId="34B2088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5）安全标识齐全，危险区域设置警示标识</w:t>
            </w:r>
          </w:p>
          <w:p w14:paraId="4AB522F4">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 系统组成</w:t>
            </w:r>
          </w:p>
          <w:p w14:paraId="59D1B28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1）临时用电隐患场景单元：照明开关箱、三相异步电机、照明灯具、各类电缆</w:t>
            </w:r>
          </w:p>
          <w:p w14:paraId="126C519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2）登杆作业隐患场景单元：模特假人、登杆防护用品、镀锌钢管、法兰盘、标示牌</w:t>
            </w:r>
          </w:p>
          <w:p w14:paraId="7B02B30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3）移动电动工具使用隐患场景单元：镀锌铁板、断路器、插线板、手电钻、模特假人、防护用品</w:t>
            </w:r>
          </w:p>
          <w:p w14:paraId="5C617E6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4）辅助器材单元：防静电工作台、各类辅材</w:t>
            </w:r>
          </w:p>
          <w:p w14:paraId="7C9B24F8">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 核心功能要求</w:t>
            </w:r>
          </w:p>
          <w:p w14:paraId="2B11FEA2">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4.1 临时用电隐患排查功能</w:t>
            </w:r>
          </w:p>
          <w:p w14:paraId="10ADE63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设置以下典型隐患：箱体或箱门接地松脱；同一开关直接控制2台及以上用电设备；电缆未从箱体底部出线孔出线；箱体内有杂物。</w:t>
            </w:r>
          </w:p>
          <w:p w14:paraId="42A65496">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 登杆作业隐患排查功能</w:t>
            </w:r>
          </w:p>
          <w:p w14:paraId="50B46B4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设置以下典型隐患：登杆作业人员未按规范携带器材；登杆作业人员未佩戴安全帽；登杆作业区域未设置封闭护栏。</w:t>
            </w:r>
          </w:p>
          <w:p w14:paraId="611FA1F8">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4.3 移动电动工具使用隐患排查功能</w:t>
            </w:r>
          </w:p>
          <w:p w14:paraId="42B1AA2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设置以下典型隐患：移动电动工具导线绝缘破损；插板电源线未使用橡皮护套软电缆；在金属平台上使用Ⅱ类电动工具未配备漏电保护器。</w:t>
            </w:r>
          </w:p>
          <w:p w14:paraId="39EBDC52">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4.4 综合考核功能</w:t>
            </w:r>
          </w:p>
          <w:p w14:paraId="6AC5361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1）可随机组合不同隐患点，生成多套考核试卷</w:t>
            </w:r>
          </w:p>
          <w:p w14:paraId="4012F3A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2）支持考生独立排查隐患并记录</w:t>
            </w:r>
          </w:p>
          <w:p w14:paraId="6E35339F">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 结构与配置要求</w:t>
            </w:r>
          </w:p>
          <w:p w14:paraId="0109C48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1）柜体：优质冷轧钢板，表面喷塑，耐磨防腐</w:t>
            </w:r>
          </w:p>
          <w:p w14:paraId="173F046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2）防静电工作台：防静电台面，带抽屉、储物柜</w:t>
            </w:r>
          </w:p>
          <w:p w14:paraId="0AD6697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3）所有元器件采用标准工业级产品，与现场一致</w:t>
            </w:r>
          </w:p>
          <w:p w14:paraId="32DE50E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4）隐患点设置隐蔽但可辨识，便于反复考核</w:t>
            </w:r>
          </w:p>
          <w:p w14:paraId="50F4CD5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5）场景布局合理，符合真实作业环境</w:t>
            </w:r>
          </w:p>
          <w:p w14:paraId="7C6108AC">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bookmarkStart w:id="704" w:name="_Toc8261"/>
            <w:bookmarkStart w:id="705" w:name="_Toc26110"/>
            <w:r>
              <w:rPr>
                <w:rFonts w:hint="eastAsia" w:ascii="仿宋" w:hAnsi="仿宋" w:eastAsia="仿宋" w:cs="仿宋"/>
                <w:color w:val="auto"/>
                <w:sz w:val="24"/>
                <w:szCs w:val="24"/>
              </w:rPr>
              <w:t>（三）专用部分</w:t>
            </w:r>
            <w:bookmarkEnd w:id="704"/>
            <w:bookmarkEnd w:id="705"/>
          </w:p>
          <w:p w14:paraId="5165FBC9">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 标准技术参数表</w:t>
            </w:r>
          </w:p>
          <w:p w14:paraId="0B9102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表格</w:t>
            </w:r>
          </w:p>
          <w:tbl>
            <w:tblPr>
              <w:tblStyle w:val="28"/>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86"/>
              <w:gridCol w:w="954"/>
              <w:gridCol w:w="378"/>
              <w:gridCol w:w="3452"/>
            </w:tblGrid>
            <w:tr w14:paraId="30D87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blCellSpacing w:w="15" w:type="dxa"/>
              </w:trPr>
              <w:tc>
                <w:tcPr>
                  <w:tcW w:w="0" w:type="auto"/>
                  <w:shd w:val="clear" w:color="auto" w:fill="auto"/>
                  <w:vAlign w:val="center"/>
                </w:tcPr>
                <w:p w14:paraId="269E0AF6">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序号</w:t>
                  </w:r>
                </w:p>
              </w:tc>
              <w:tc>
                <w:tcPr>
                  <w:tcW w:w="1331" w:type="dxa"/>
                  <w:shd w:val="clear" w:color="auto" w:fill="auto"/>
                  <w:vAlign w:val="center"/>
                </w:tcPr>
                <w:p w14:paraId="5EEFE908">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项目</w:t>
                  </w:r>
                </w:p>
              </w:tc>
              <w:tc>
                <w:tcPr>
                  <w:tcW w:w="0" w:type="auto"/>
                  <w:shd w:val="clear" w:color="auto" w:fill="auto"/>
                  <w:vAlign w:val="center"/>
                </w:tcPr>
                <w:p w14:paraId="30715CA7">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单位</w:t>
                  </w:r>
                </w:p>
              </w:tc>
              <w:tc>
                <w:tcPr>
                  <w:tcW w:w="0" w:type="auto"/>
                  <w:shd w:val="clear" w:color="auto" w:fill="auto"/>
                  <w:vAlign w:val="center"/>
                </w:tcPr>
                <w:p w14:paraId="5FDD5354">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要求</w:t>
                  </w:r>
                </w:p>
              </w:tc>
            </w:tr>
            <w:tr w14:paraId="565F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157B133E">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w:t>
                  </w:r>
                </w:p>
              </w:tc>
              <w:tc>
                <w:tcPr>
                  <w:tcW w:w="1331" w:type="dxa"/>
                  <w:shd w:val="clear" w:color="auto" w:fill="auto"/>
                  <w:vAlign w:val="top"/>
                </w:tcPr>
                <w:p w14:paraId="0CDC10E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设备名称</w:t>
                  </w:r>
                </w:p>
              </w:tc>
              <w:tc>
                <w:tcPr>
                  <w:tcW w:w="412" w:type="dxa"/>
                  <w:shd w:val="clear" w:color="auto" w:fill="auto"/>
                  <w:vAlign w:val="top"/>
                </w:tcPr>
                <w:p w14:paraId="7134448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4510" w:type="dxa"/>
                  <w:shd w:val="clear" w:color="auto" w:fill="auto"/>
                  <w:vAlign w:val="top"/>
                </w:tcPr>
                <w:p w14:paraId="4B3B160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低压电工K2作业现场安全隐患排除实操设备</w:t>
                  </w:r>
                </w:p>
              </w:tc>
            </w:tr>
            <w:tr w14:paraId="3252E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2B6F45DD">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2</w:t>
                  </w:r>
                </w:p>
              </w:tc>
              <w:tc>
                <w:tcPr>
                  <w:tcW w:w="1331" w:type="dxa"/>
                  <w:shd w:val="clear" w:color="auto" w:fill="auto"/>
                  <w:vAlign w:val="top"/>
                </w:tcPr>
                <w:p w14:paraId="6124E9E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工作电源</w:t>
                  </w:r>
                </w:p>
              </w:tc>
              <w:tc>
                <w:tcPr>
                  <w:tcW w:w="412" w:type="dxa"/>
                  <w:shd w:val="clear" w:color="auto" w:fill="auto"/>
                  <w:vAlign w:val="top"/>
                </w:tcPr>
                <w:p w14:paraId="5E1274D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4510" w:type="dxa"/>
                  <w:shd w:val="clear" w:color="auto" w:fill="auto"/>
                  <w:vAlign w:val="top"/>
                </w:tcPr>
                <w:p w14:paraId="2D9FE8B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AC220V±10%，50Hz</w:t>
                  </w:r>
                </w:p>
              </w:tc>
            </w:tr>
            <w:tr w14:paraId="4E57F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49322961">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3</w:t>
                  </w:r>
                </w:p>
              </w:tc>
              <w:tc>
                <w:tcPr>
                  <w:tcW w:w="1331" w:type="dxa"/>
                  <w:shd w:val="clear" w:color="auto" w:fill="auto"/>
                  <w:vAlign w:val="top"/>
                </w:tcPr>
                <w:p w14:paraId="0B60577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实训电压</w:t>
                  </w:r>
                </w:p>
              </w:tc>
              <w:tc>
                <w:tcPr>
                  <w:tcW w:w="412" w:type="dxa"/>
                  <w:shd w:val="clear" w:color="auto" w:fill="auto"/>
                  <w:vAlign w:val="top"/>
                </w:tcPr>
                <w:p w14:paraId="40BC095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V</w:t>
                  </w:r>
                </w:p>
              </w:tc>
              <w:tc>
                <w:tcPr>
                  <w:tcW w:w="4510" w:type="dxa"/>
                  <w:shd w:val="clear" w:color="auto" w:fill="auto"/>
                  <w:vAlign w:val="top"/>
                </w:tcPr>
                <w:p w14:paraId="48AF228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≤AC24</w:t>
                  </w:r>
                </w:p>
              </w:tc>
            </w:tr>
            <w:tr w14:paraId="7EFD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3B86B188">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4</w:t>
                  </w:r>
                </w:p>
              </w:tc>
              <w:tc>
                <w:tcPr>
                  <w:tcW w:w="1331" w:type="dxa"/>
                  <w:shd w:val="clear" w:color="auto" w:fill="auto"/>
                  <w:vAlign w:val="top"/>
                </w:tcPr>
                <w:p w14:paraId="4E0A68A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考位面积</w:t>
                  </w:r>
                </w:p>
              </w:tc>
              <w:tc>
                <w:tcPr>
                  <w:tcW w:w="412" w:type="dxa"/>
                  <w:shd w:val="clear" w:color="auto" w:fill="auto"/>
                  <w:vAlign w:val="top"/>
                </w:tcPr>
                <w:p w14:paraId="2966F5F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4510" w:type="dxa"/>
                  <w:shd w:val="clear" w:color="auto" w:fill="auto"/>
                  <w:vAlign w:val="top"/>
                </w:tcPr>
                <w:p w14:paraId="02D30C6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w:t>
                  </w:r>
                </w:p>
              </w:tc>
            </w:tr>
            <w:tr w14:paraId="28E2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4BA8BD4B">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5</w:t>
                  </w:r>
                </w:p>
              </w:tc>
              <w:tc>
                <w:tcPr>
                  <w:tcW w:w="1331" w:type="dxa"/>
                  <w:shd w:val="clear" w:color="auto" w:fill="auto"/>
                  <w:vAlign w:val="top"/>
                </w:tcPr>
                <w:p w14:paraId="1D5F129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隐患场景数量</w:t>
                  </w:r>
                </w:p>
              </w:tc>
              <w:tc>
                <w:tcPr>
                  <w:tcW w:w="412" w:type="dxa"/>
                  <w:shd w:val="clear" w:color="auto" w:fill="auto"/>
                  <w:vAlign w:val="top"/>
                </w:tcPr>
                <w:p w14:paraId="72ACFDE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个</w:t>
                  </w:r>
                </w:p>
              </w:tc>
              <w:tc>
                <w:tcPr>
                  <w:tcW w:w="4510" w:type="dxa"/>
                  <w:shd w:val="clear" w:color="auto" w:fill="auto"/>
                  <w:vAlign w:val="top"/>
                </w:tcPr>
                <w:p w14:paraId="44CF315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tc>
            </w:tr>
            <w:tr w14:paraId="59B94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01D843BE">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6</w:t>
                  </w:r>
                </w:p>
              </w:tc>
              <w:tc>
                <w:tcPr>
                  <w:tcW w:w="1331" w:type="dxa"/>
                  <w:shd w:val="clear" w:color="auto" w:fill="auto"/>
                  <w:vAlign w:val="top"/>
                </w:tcPr>
                <w:p w14:paraId="3FDB375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典型隐患点数量</w:t>
                  </w:r>
                </w:p>
              </w:tc>
              <w:tc>
                <w:tcPr>
                  <w:tcW w:w="412" w:type="dxa"/>
                  <w:shd w:val="clear" w:color="auto" w:fill="auto"/>
                  <w:vAlign w:val="top"/>
                </w:tcPr>
                <w:p w14:paraId="481B463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个</w:t>
                  </w:r>
                </w:p>
              </w:tc>
              <w:tc>
                <w:tcPr>
                  <w:tcW w:w="4510" w:type="dxa"/>
                  <w:shd w:val="clear" w:color="auto" w:fill="auto"/>
                  <w:vAlign w:val="top"/>
                </w:tcPr>
                <w:p w14:paraId="22ED859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w:t>
                  </w:r>
                </w:p>
              </w:tc>
            </w:tr>
            <w:tr w14:paraId="60AB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2C2CB1FC">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7</w:t>
                  </w:r>
                </w:p>
              </w:tc>
              <w:tc>
                <w:tcPr>
                  <w:tcW w:w="1331" w:type="dxa"/>
                  <w:shd w:val="clear" w:color="auto" w:fill="auto"/>
                  <w:vAlign w:val="top"/>
                </w:tcPr>
                <w:p w14:paraId="5A37153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安全结构</w:t>
                  </w:r>
                </w:p>
              </w:tc>
              <w:tc>
                <w:tcPr>
                  <w:tcW w:w="412" w:type="dxa"/>
                  <w:shd w:val="clear" w:color="auto" w:fill="auto"/>
                  <w:vAlign w:val="top"/>
                </w:tcPr>
                <w:p w14:paraId="03335BA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4510" w:type="dxa"/>
                  <w:shd w:val="clear" w:color="auto" w:fill="auto"/>
                  <w:vAlign w:val="top"/>
                </w:tcPr>
                <w:p w14:paraId="1D555BC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漏电保护、短路保护、可靠接地</w:t>
                  </w:r>
                </w:p>
              </w:tc>
            </w:tr>
            <w:tr w14:paraId="5AF67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6D8C3384">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8</w:t>
                  </w:r>
                </w:p>
              </w:tc>
              <w:tc>
                <w:tcPr>
                  <w:tcW w:w="1331" w:type="dxa"/>
                  <w:shd w:val="clear" w:color="auto" w:fill="auto"/>
                  <w:vAlign w:val="top"/>
                </w:tcPr>
                <w:p w14:paraId="380C677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考核方式</w:t>
                  </w:r>
                </w:p>
              </w:tc>
              <w:tc>
                <w:tcPr>
                  <w:tcW w:w="412" w:type="dxa"/>
                  <w:shd w:val="clear" w:color="auto" w:fill="auto"/>
                  <w:vAlign w:val="top"/>
                </w:tcPr>
                <w:p w14:paraId="72842FA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4510" w:type="dxa"/>
                  <w:shd w:val="clear" w:color="auto" w:fill="auto"/>
                  <w:vAlign w:val="top"/>
                </w:tcPr>
                <w:p w14:paraId="7084E3D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实物排查、手动/自动评分</w:t>
                  </w:r>
                </w:p>
              </w:tc>
            </w:tr>
          </w:tbl>
          <w:p w14:paraId="6149C0AA">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 组件配置清单</w:t>
            </w:r>
          </w:p>
          <w:p w14:paraId="32EF3E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表格</w:t>
            </w:r>
          </w:p>
          <w:tbl>
            <w:tblPr>
              <w:tblStyle w:val="28"/>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2"/>
              <w:gridCol w:w="2551"/>
              <w:gridCol w:w="442"/>
              <w:gridCol w:w="472"/>
            </w:tblGrid>
            <w:tr w14:paraId="15C5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blCellSpacing w:w="15" w:type="dxa"/>
              </w:trPr>
              <w:tc>
                <w:tcPr>
                  <w:tcW w:w="0" w:type="auto"/>
                  <w:shd w:val="clear" w:color="auto" w:fill="auto"/>
                  <w:vAlign w:val="center"/>
                </w:tcPr>
                <w:p w14:paraId="77439E0C">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序号</w:t>
                  </w:r>
                </w:p>
              </w:tc>
              <w:tc>
                <w:tcPr>
                  <w:tcW w:w="2521" w:type="dxa"/>
                  <w:shd w:val="clear" w:color="auto" w:fill="auto"/>
                  <w:vAlign w:val="center"/>
                </w:tcPr>
                <w:p w14:paraId="0835502B">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名称</w:t>
                  </w:r>
                </w:p>
              </w:tc>
              <w:tc>
                <w:tcPr>
                  <w:tcW w:w="0" w:type="auto"/>
                  <w:shd w:val="clear" w:color="auto" w:fill="auto"/>
                  <w:vAlign w:val="center"/>
                </w:tcPr>
                <w:p w14:paraId="4BA5BBBA">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单位</w:t>
                  </w:r>
                </w:p>
              </w:tc>
              <w:tc>
                <w:tcPr>
                  <w:tcW w:w="0" w:type="auto"/>
                  <w:shd w:val="clear" w:color="auto" w:fill="auto"/>
                  <w:vAlign w:val="center"/>
                </w:tcPr>
                <w:p w14:paraId="4CFB7F22">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数量</w:t>
                  </w:r>
                </w:p>
              </w:tc>
            </w:tr>
            <w:tr w14:paraId="17E92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1863C96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521" w:type="dxa"/>
                  <w:shd w:val="clear" w:color="auto" w:fill="auto"/>
                  <w:vAlign w:val="top"/>
                </w:tcPr>
                <w:p w14:paraId="6484CEE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照明开关箱（带隐患）</w:t>
                  </w:r>
                </w:p>
              </w:tc>
              <w:tc>
                <w:tcPr>
                  <w:tcW w:w="412" w:type="dxa"/>
                  <w:shd w:val="clear" w:color="auto" w:fill="auto"/>
                  <w:vAlign w:val="top"/>
                </w:tcPr>
                <w:p w14:paraId="45D36D1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套</w:t>
                  </w:r>
                </w:p>
              </w:tc>
              <w:tc>
                <w:tcPr>
                  <w:tcW w:w="427" w:type="dxa"/>
                  <w:shd w:val="clear" w:color="auto" w:fill="auto"/>
                  <w:vAlign w:val="top"/>
                </w:tcPr>
                <w:p w14:paraId="0214C1C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7049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30739B1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521" w:type="dxa"/>
                  <w:shd w:val="clear" w:color="auto" w:fill="auto"/>
                  <w:vAlign w:val="top"/>
                </w:tcPr>
                <w:p w14:paraId="4334102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三相鼠笼式异步电机（AC24V）</w:t>
                  </w:r>
                </w:p>
              </w:tc>
              <w:tc>
                <w:tcPr>
                  <w:tcW w:w="412" w:type="dxa"/>
                  <w:shd w:val="clear" w:color="auto" w:fill="auto"/>
                  <w:vAlign w:val="top"/>
                </w:tcPr>
                <w:p w14:paraId="0E25A1E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427" w:type="dxa"/>
                  <w:shd w:val="clear" w:color="auto" w:fill="auto"/>
                  <w:vAlign w:val="top"/>
                </w:tcPr>
                <w:p w14:paraId="48797B9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3B5C6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0AFEAAF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521" w:type="dxa"/>
                  <w:shd w:val="clear" w:color="auto" w:fill="auto"/>
                  <w:vAlign w:val="top"/>
                </w:tcPr>
                <w:p w14:paraId="193F826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照明灯具（AC12-85V）</w:t>
                  </w:r>
                </w:p>
              </w:tc>
              <w:tc>
                <w:tcPr>
                  <w:tcW w:w="412" w:type="dxa"/>
                  <w:shd w:val="clear" w:color="auto" w:fill="auto"/>
                  <w:vAlign w:val="top"/>
                </w:tcPr>
                <w:p w14:paraId="118B55B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个</w:t>
                  </w:r>
                </w:p>
              </w:tc>
              <w:tc>
                <w:tcPr>
                  <w:tcW w:w="427" w:type="dxa"/>
                  <w:shd w:val="clear" w:color="auto" w:fill="auto"/>
                  <w:vAlign w:val="top"/>
                </w:tcPr>
                <w:p w14:paraId="172BA4C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568C8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11E8F33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2521" w:type="dxa"/>
                  <w:shd w:val="clear" w:color="auto" w:fill="auto"/>
                  <w:vAlign w:val="top"/>
                </w:tcPr>
                <w:p w14:paraId="476D618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防静电工作台</w:t>
                  </w:r>
                </w:p>
              </w:tc>
              <w:tc>
                <w:tcPr>
                  <w:tcW w:w="412" w:type="dxa"/>
                  <w:shd w:val="clear" w:color="auto" w:fill="auto"/>
                  <w:vAlign w:val="top"/>
                </w:tcPr>
                <w:p w14:paraId="791AF8E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427" w:type="dxa"/>
                  <w:shd w:val="clear" w:color="auto" w:fill="auto"/>
                  <w:vAlign w:val="top"/>
                </w:tcPr>
                <w:p w14:paraId="0FCE724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14:paraId="1A40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653F12C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521" w:type="dxa"/>
                  <w:shd w:val="clear" w:color="auto" w:fill="auto"/>
                  <w:vAlign w:val="top"/>
                </w:tcPr>
                <w:p w14:paraId="70DCD2D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橡套电缆（各规格）</w:t>
                  </w:r>
                </w:p>
              </w:tc>
              <w:tc>
                <w:tcPr>
                  <w:tcW w:w="412" w:type="dxa"/>
                  <w:shd w:val="clear" w:color="auto" w:fill="auto"/>
                  <w:vAlign w:val="top"/>
                </w:tcPr>
                <w:p w14:paraId="0AF5CF3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米</w:t>
                  </w:r>
                </w:p>
              </w:tc>
              <w:tc>
                <w:tcPr>
                  <w:tcW w:w="427" w:type="dxa"/>
                  <w:shd w:val="clear" w:color="auto" w:fill="auto"/>
                  <w:vAlign w:val="top"/>
                </w:tcPr>
                <w:p w14:paraId="56DC567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w:t>
                  </w:r>
                </w:p>
              </w:tc>
            </w:tr>
            <w:tr w14:paraId="47A2A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5A28464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2521" w:type="dxa"/>
                  <w:shd w:val="clear" w:color="auto" w:fill="auto"/>
                  <w:vAlign w:val="top"/>
                </w:tcPr>
                <w:p w14:paraId="6351800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模特假人（带底座）</w:t>
                  </w:r>
                </w:p>
              </w:tc>
              <w:tc>
                <w:tcPr>
                  <w:tcW w:w="412" w:type="dxa"/>
                  <w:shd w:val="clear" w:color="auto" w:fill="auto"/>
                  <w:vAlign w:val="top"/>
                </w:tcPr>
                <w:p w14:paraId="017A055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个</w:t>
                  </w:r>
                </w:p>
              </w:tc>
              <w:tc>
                <w:tcPr>
                  <w:tcW w:w="427" w:type="dxa"/>
                  <w:shd w:val="clear" w:color="auto" w:fill="auto"/>
                  <w:vAlign w:val="top"/>
                </w:tcPr>
                <w:p w14:paraId="2B27BED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r>
            <w:tr w14:paraId="4C40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6CAAAAD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2521" w:type="dxa"/>
                  <w:shd w:val="clear" w:color="auto" w:fill="auto"/>
                  <w:vAlign w:val="top"/>
                </w:tcPr>
                <w:p w14:paraId="597871D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登杆防护用品套装</w:t>
                  </w:r>
                </w:p>
              </w:tc>
              <w:tc>
                <w:tcPr>
                  <w:tcW w:w="412" w:type="dxa"/>
                  <w:shd w:val="clear" w:color="auto" w:fill="auto"/>
                  <w:vAlign w:val="top"/>
                </w:tcPr>
                <w:p w14:paraId="695150B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套</w:t>
                  </w:r>
                </w:p>
              </w:tc>
              <w:tc>
                <w:tcPr>
                  <w:tcW w:w="427" w:type="dxa"/>
                  <w:shd w:val="clear" w:color="auto" w:fill="auto"/>
                  <w:vAlign w:val="top"/>
                </w:tcPr>
                <w:p w14:paraId="65CD1CB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14:paraId="0F0A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12FB26A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8</w:t>
                  </w:r>
                </w:p>
              </w:tc>
              <w:tc>
                <w:tcPr>
                  <w:tcW w:w="2521" w:type="dxa"/>
                  <w:shd w:val="clear" w:color="auto" w:fill="auto"/>
                  <w:vAlign w:val="top"/>
                </w:tcPr>
                <w:p w14:paraId="02E3A38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镀锌钢管及辅材</w:t>
                  </w:r>
                </w:p>
              </w:tc>
              <w:tc>
                <w:tcPr>
                  <w:tcW w:w="412" w:type="dxa"/>
                  <w:shd w:val="clear" w:color="auto" w:fill="auto"/>
                  <w:vAlign w:val="top"/>
                </w:tcPr>
                <w:p w14:paraId="7ACDD10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套</w:t>
                  </w:r>
                </w:p>
              </w:tc>
              <w:tc>
                <w:tcPr>
                  <w:tcW w:w="427" w:type="dxa"/>
                  <w:shd w:val="clear" w:color="auto" w:fill="auto"/>
                  <w:vAlign w:val="top"/>
                </w:tcPr>
                <w:p w14:paraId="7629085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1</w:t>
                  </w:r>
                </w:p>
              </w:tc>
            </w:tr>
            <w:tr w14:paraId="0CF3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3BAD0AB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9</w:t>
                  </w:r>
                </w:p>
              </w:tc>
              <w:tc>
                <w:tcPr>
                  <w:tcW w:w="2521" w:type="dxa"/>
                  <w:shd w:val="clear" w:color="auto" w:fill="auto"/>
                  <w:vAlign w:val="top"/>
                </w:tcPr>
                <w:p w14:paraId="26B6188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镀锌铁板</w:t>
                  </w:r>
                </w:p>
              </w:tc>
              <w:tc>
                <w:tcPr>
                  <w:tcW w:w="412" w:type="dxa"/>
                  <w:shd w:val="clear" w:color="auto" w:fill="auto"/>
                  <w:vAlign w:val="top"/>
                </w:tcPr>
                <w:p w14:paraId="238115A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块</w:t>
                  </w:r>
                </w:p>
              </w:tc>
              <w:tc>
                <w:tcPr>
                  <w:tcW w:w="427" w:type="dxa"/>
                  <w:shd w:val="clear" w:color="auto" w:fill="auto"/>
                  <w:vAlign w:val="top"/>
                </w:tcPr>
                <w:p w14:paraId="45E80CC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1</w:t>
                  </w:r>
                </w:p>
              </w:tc>
            </w:tr>
            <w:tr w14:paraId="3D3BB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5E25427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10</w:t>
                  </w:r>
                </w:p>
              </w:tc>
              <w:tc>
                <w:tcPr>
                  <w:tcW w:w="2521" w:type="dxa"/>
                  <w:shd w:val="clear" w:color="auto" w:fill="auto"/>
                  <w:vAlign w:val="top"/>
                </w:tcPr>
                <w:p w14:paraId="2741347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移动电动工具（带隐患）</w:t>
                  </w:r>
                </w:p>
              </w:tc>
              <w:tc>
                <w:tcPr>
                  <w:tcW w:w="412" w:type="dxa"/>
                  <w:shd w:val="clear" w:color="auto" w:fill="auto"/>
                  <w:vAlign w:val="top"/>
                </w:tcPr>
                <w:p w14:paraId="07E7B40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台</w:t>
                  </w:r>
                </w:p>
              </w:tc>
              <w:tc>
                <w:tcPr>
                  <w:tcW w:w="427" w:type="dxa"/>
                  <w:shd w:val="clear" w:color="auto" w:fill="auto"/>
                  <w:vAlign w:val="top"/>
                </w:tcPr>
                <w:p w14:paraId="30E17C3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1</w:t>
                  </w:r>
                </w:p>
              </w:tc>
            </w:tr>
            <w:tr w14:paraId="3172B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66DD8F3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11</w:t>
                  </w:r>
                </w:p>
              </w:tc>
              <w:tc>
                <w:tcPr>
                  <w:tcW w:w="2521" w:type="dxa"/>
                  <w:shd w:val="clear" w:color="auto" w:fill="auto"/>
                  <w:vAlign w:val="top"/>
                </w:tcPr>
                <w:p w14:paraId="5A2CF74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断路器、空开盒、插线板</w:t>
                  </w:r>
                </w:p>
              </w:tc>
              <w:tc>
                <w:tcPr>
                  <w:tcW w:w="412" w:type="dxa"/>
                  <w:shd w:val="clear" w:color="auto" w:fill="auto"/>
                  <w:vAlign w:val="top"/>
                </w:tcPr>
                <w:p w14:paraId="63F2AF5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套</w:t>
                  </w:r>
                </w:p>
              </w:tc>
              <w:tc>
                <w:tcPr>
                  <w:tcW w:w="427" w:type="dxa"/>
                  <w:shd w:val="clear" w:color="auto" w:fill="auto"/>
                  <w:vAlign w:val="top"/>
                </w:tcPr>
                <w:p w14:paraId="718DAC1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1</w:t>
                  </w:r>
                </w:p>
              </w:tc>
            </w:tr>
            <w:tr w14:paraId="451A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4683A23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12</w:t>
                  </w:r>
                </w:p>
              </w:tc>
              <w:tc>
                <w:tcPr>
                  <w:tcW w:w="2521" w:type="dxa"/>
                  <w:shd w:val="clear" w:color="auto" w:fill="auto"/>
                  <w:vAlign w:val="top"/>
                </w:tcPr>
                <w:p w14:paraId="2F8038A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安全警示标识</w:t>
                  </w:r>
                </w:p>
              </w:tc>
              <w:tc>
                <w:tcPr>
                  <w:tcW w:w="412" w:type="dxa"/>
                  <w:shd w:val="clear" w:color="auto" w:fill="auto"/>
                  <w:vAlign w:val="top"/>
                </w:tcPr>
                <w:p w14:paraId="33174C3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套</w:t>
                  </w:r>
                </w:p>
              </w:tc>
              <w:tc>
                <w:tcPr>
                  <w:tcW w:w="427" w:type="dxa"/>
                  <w:shd w:val="clear" w:color="auto" w:fill="auto"/>
                  <w:vAlign w:val="top"/>
                </w:tcPr>
                <w:p w14:paraId="46D3524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1</w:t>
                  </w:r>
                </w:p>
              </w:tc>
            </w:tr>
          </w:tbl>
          <w:p w14:paraId="5741772E">
            <w:pPr>
              <w:pStyle w:val="4"/>
              <w:keepNext w:val="0"/>
              <w:keepLines w:val="0"/>
              <w:pageBreakBefore w:val="0"/>
              <w:widowControl w:val="0"/>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 试验与验收</w:t>
            </w:r>
          </w:p>
          <w:p w14:paraId="20D87A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1）出厂试验：保护逻辑、故障触发、显示、报警、安全全部合格2）现场验收：定值整定、故障排查、动作模拟正常3）不合格：供方免费更换、调试至合格</w:t>
            </w:r>
          </w:p>
          <w:p w14:paraId="356963DE">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 技术服务与质保</w:t>
            </w:r>
          </w:p>
          <w:p w14:paraId="3B555C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1）现场安装、调试、培训、考核指导2）质保期≥12 个月3）24 小时响应，72 小时解决方案</w:t>
            </w:r>
          </w:p>
          <w:p w14:paraId="3598AD10">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 包装与运输</w:t>
            </w:r>
          </w:p>
          <w:p w14:paraId="7F4633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color w:val="auto"/>
                <w:kern w:val="0"/>
                <w:sz w:val="24"/>
                <w:szCs w:val="24"/>
                <w:lang w:val="en-US" w:eastAsia="zh-CN" w:bidi="ar"/>
              </w:rPr>
              <w:t>防潮、防撞、分类包装，平稳运输，严禁碰撞、淋雨、倒置。</w:t>
            </w:r>
          </w:p>
        </w:tc>
      </w:tr>
      <w:tr w14:paraId="00CA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4" w:type="dxa"/>
            <w:vAlign w:val="center"/>
          </w:tcPr>
          <w:p w14:paraId="36D3C3A6">
            <w:pPr>
              <w:keepNext/>
              <w:keepLines w:val="0"/>
              <w:widowControl/>
              <w:numPr>
                <w:ilvl w:val="0"/>
                <w:numId w:val="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0"/>
                <w:vertAlign w:val="baseline"/>
                <w:lang w:val="en-US" w:eastAsia="zh-CN" w:bidi="ar"/>
              </w:rPr>
            </w:pPr>
          </w:p>
        </w:tc>
        <w:tc>
          <w:tcPr>
            <w:tcW w:w="0" w:type="auto"/>
            <w:vAlign w:val="center"/>
          </w:tcPr>
          <w:p w14:paraId="4B34DD8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b/>
                <w:bCs/>
                <w:color w:val="auto"/>
                <w:sz w:val="24"/>
                <w:szCs w:val="24"/>
                <w:highlight w:val="none"/>
                <w:u w:val="none"/>
              </w:rPr>
              <w:t>※</w:t>
            </w:r>
            <w:r>
              <w:rPr>
                <w:rFonts w:hint="eastAsia" w:ascii="仿宋" w:hAnsi="仿宋" w:eastAsia="仿宋" w:cs="仿宋"/>
                <w:i w:val="0"/>
                <w:iCs w:val="0"/>
                <w:color w:val="auto"/>
                <w:kern w:val="0"/>
                <w:sz w:val="24"/>
                <w:szCs w:val="24"/>
                <w:u w:val="none"/>
                <w:lang w:val="en-US" w:eastAsia="zh-CN" w:bidi="ar"/>
              </w:rPr>
              <w:t>低压电工作业安全操作技术实操设备（K3）</w:t>
            </w:r>
          </w:p>
        </w:tc>
        <w:tc>
          <w:tcPr>
            <w:tcW w:w="854" w:type="dxa"/>
            <w:vAlign w:val="center"/>
          </w:tcPr>
          <w:p w14:paraId="6F83C09F">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54" w:type="dxa"/>
            <w:vAlign w:val="center"/>
          </w:tcPr>
          <w:p w14:paraId="7708183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86" w:type="dxa"/>
            <w:vAlign w:val="center"/>
          </w:tcPr>
          <w:p w14:paraId="501A7926">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bookmarkStart w:id="706" w:name="_Toc8093"/>
            <w:bookmarkStart w:id="707" w:name="_Toc25275"/>
            <w:r>
              <w:rPr>
                <w:rFonts w:hint="eastAsia" w:ascii="仿宋" w:hAnsi="仿宋" w:eastAsia="仿宋" w:cs="仿宋"/>
                <w:color w:val="auto"/>
                <w:sz w:val="24"/>
                <w:szCs w:val="24"/>
              </w:rPr>
              <w:t>（一）通用部分</w:t>
            </w:r>
            <w:bookmarkEnd w:id="706"/>
            <w:bookmarkEnd w:id="707"/>
          </w:p>
          <w:p w14:paraId="250426B8">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 范围</w:t>
            </w:r>
          </w:p>
          <w:p w14:paraId="5C87C96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本文件规定了</w:t>
            </w:r>
            <w:r>
              <w:rPr>
                <w:rFonts w:hint="eastAsia" w:ascii="仿宋" w:hAnsi="仿宋" w:eastAsia="仿宋" w:cs="仿宋"/>
                <w:b/>
                <w:bCs/>
                <w:color w:val="auto"/>
                <w:sz w:val="24"/>
                <w:szCs w:val="24"/>
              </w:rPr>
              <w:t>低压电工K31电气设备安装</w:t>
            </w:r>
            <w:r>
              <w:rPr>
                <w:rFonts w:hint="eastAsia" w:ascii="仿宋" w:hAnsi="仿宋" w:eastAsia="仿宋" w:cs="仿宋"/>
                <w:b/>
                <w:bCs/>
                <w:color w:val="auto"/>
                <w:sz w:val="24"/>
                <w:szCs w:val="24"/>
                <w:lang w:val="en-US" w:eastAsia="zh-CN"/>
              </w:rPr>
              <w:t>实操设备</w:t>
            </w:r>
            <w:r>
              <w:rPr>
                <w:rFonts w:hint="eastAsia" w:ascii="仿宋" w:hAnsi="仿宋" w:eastAsia="仿宋" w:cs="仿宋"/>
                <w:color w:val="auto"/>
                <w:sz w:val="24"/>
                <w:szCs w:val="24"/>
              </w:rPr>
              <w:t>的技术要求、场地条件、安全设计、功能参数、结构配置、元器件清单、试验验收、技术服务及包装运输。本文件适用于低压电工作业安全技术实际操作考试、实训与技能鉴定，满足指定5项接线考核项目，适用于招标、生产、安装、验收、培训及考核全流程。</w:t>
            </w:r>
          </w:p>
          <w:p w14:paraId="5A599DB6">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 规范性引用文件</w:t>
            </w:r>
          </w:p>
          <w:p w14:paraId="12E70F8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 55024 《建筑电气与智能化通用规范》</w:t>
            </w:r>
          </w:p>
          <w:p w14:paraId="54F05B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GB/T 14048 《低压开关设备和控制设备》</w:t>
            </w:r>
          </w:p>
          <w:p w14:paraId="6D228D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GB/T 17622 《带电作业用绝缘手套》</w:t>
            </w:r>
          </w:p>
          <w:p w14:paraId="21495DC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 21148 《足部防护 安全鞋》</w:t>
            </w:r>
          </w:p>
          <w:p w14:paraId="4CBC6F3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 2811 《头部防护 安全帽》</w:t>
            </w:r>
          </w:p>
          <w:p w14:paraId="7FD726D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DL/T 853 《带电作业用绝缘垫》</w:t>
            </w:r>
          </w:p>
          <w:p w14:paraId="5265CF5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低压电工作业安全技术实际操作考试标准</w:t>
            </w:r>
          </w:p>
          <w:p w14:paraId="2532CCBB">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 术语和定义</w:t>
            </w:r>
          </w:p>
          <w:p w14:paraId="1CFDEDD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right="0" w:rightChars="0"/>
              <w:jc w:val="left"/>
              <w:textAlignment w:val="auto"/>
              <w:rPr>
                <w:rStyle w:val="31"/>
                <w:rFonts w:hint="eastAsia" w:ascii="仿宋" w:hAnsi="仿宋" w:eastAsia="仿宋" w:cs="仿宋"/>
                <w:b w:val="0"/>
                <w:bCs w:val="0"/>
                <w:color w:val="auto"/>
                <w:sz w:val="24"/>
                <w:szCs w:val="24"/>
              </w:rPr>
            </w:pPr>
            <w:r>
              <w:rPr>
                <w:rStyle w:val="31"/>
                <w:rFonts w:hint="eastAsia" w:ascii="仿宋" w:hAnsi="仿宋" w:eastAsia="仿宋" w:cs="仿宋"/>
                <w:b/>
                <w:bCs/>
                <w:color w:val="auto"/>
                <w:sz w:val="24"/>
                <w:szCs w:val="24"/>
              </w:rPr>
              <w:t>低压电工K31电气设备安装</w:t>
            </w:r>
            <w:r>
              <w:rPr>
                <w:rStyle w:val="31"/>
                <w:rFonts w:hint="eastAsia" w:ascii="仿宋" w:hAnsi="仿宋" w:eastAsia="仿宋" w:cs="仿宋"/>
                <w:b/>
                <w:bCs/>
                <w:color w:val="auto"/>
                <w:sz w:val="24"/>
                <w:szCs w:val="24"/>
                <w:lang w:val="en-US" w:eastAsia="zh-CN"/>
              </w:rPr>
              <w:t>实操设备</w:t>
            </w:r>
            <w:r>
              <w:rPr>
                <w:rStyle w:val="31"/>
                <w:rFonts w:hint="eastAsia" w:ascii="仿宋" w:hAnsi="仿宋" w:eastAsia="仿宋" w:cs="仿宋"/>
                <w:b/>
                <w:bCs/>
                <w:color w:val="auto"/>
                <w:sz w:val="24"/>
                <w:szCs w:val="24"/>
              </w:rPr>
              <w:t>：</w:t>
            </w:r>
            <w:r>
              <w:rPr>
                <w:rStyle w:val="31"/>
                <w:rFonts w:hint="eastAsia" w:ascii="仿宋" w:hAnsi="仿宋" w:eastAsia="仿宋" w:cs="仿宋"/>
                <w:b w:val="0"/>
                <w:bCs w:val="0"/>
                <w:color w:val="auto"/>
                <w:sz w:val="24"/>
                <w:szCs w:val="24"/>
              </w:rPr>
              <w:t>以三相24V安全低电压为电源，采用双面4工位模块化网孔板设计，用于电能表、电机、配电箱、互感器接线训练与考试的可拆装实训装置。</w:t>
            </w:r>
          </w:p>
          <w:p w14:paraId="7C96AE4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360" w:leftChars="0" w:right="0" w:rightChars="0"/>
              <w:jc w:val="left"/>
              <w:textAlignment w:val="auto"/>
              <w:rPr>
                <w:rStyle w:val="31"/>
                <w:rFonts w:hint="eastAsia" w:ascii="仿宋" w:hAnsi="仿宋" w:eastAsia="仿宋" w:cs="仿宋"/>
                <w:b w:val="0"/>
                <w:bCs w:val="0"/>
                <w:color w:val="auto"/>
                <w:sz w:val="24"/>
                <w:szCs w:val="24"/>
              </w:rPr>
            </w:pPr>
            <w:r>
              <w:rPr>
                <w:rStyle w:val="31"/>
                <w:rFonts w:hint="eastAsia" w:ascii="仿宋" w:hAnsi="仿宋" w:eastAsia="仿宋" w:cs="仿宋"/>
                <w:b/>
                <w:bCs/>
                <w:color w:val="auto"/>
                <w:sz w:val="24"/>
                <w:szCs w:val="24"/>
              </w:rPr>
              <w:t>安全电压：</w:t>
            </w:r>
            <w:r>
              <w:rPr>
                <w:rStyle w:val="31"/>
                <w:rFonts w:hint="eastAsia" w:ascii="仿宋" w:hAnsi="仿宋" w:eastAsia="仿宋" w:cs="仿宋"/>
                <w:b w:val="0"/>
                <w:bCs w:val="0"/>
                <w:color w:val="auto"/>
                <w:sz w:val="24"/>
                <w:szCs w:val="24"/>
              </w:rPr>
              <w:t>AC 24V及以下，确保人身安全。</w:t>
            </w:r>
          </w:p>
          <w:p w14:paraId="6A61211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360" w:leftChars="0" w:right="0" w:rightChars="0"/>
              <w:jc w:val="left"/>
              <w:textAlignment w:val="auto"/>
              <w:rPr>
                <w:rStyle w:val="31"/>
                <w:rFonts w:hint="eastAsia" w:ascii="仿宋" w:hAnsi="仿宋" w:eastAsia="仿宋" w:cs="仿宋"/>
                <w:b w:val="0"/>
                <w:bCs w:val="0"/>
                <w:color w:val="auto"/>
                <w:sz w:val="24"/>
                <w:szCs w:val="24"/>
              </w:rPr>
            </w:pPr>
            <w:r>
              <w:rPr>
                <w:rStyle w:val="31"/>
                <w:rFonts w:hint="eastAsia" w:ascii="仿宋" w:hAnsi="仿宋" w:eastAsia="仿宋" w:cs="仿宋"/>
                <w:b/>
                <w:bCs/>
                <w:color w:val="auto"/>
                <w:sz w:val="24"/>
                <w:szCs w:val="24"/>
              </w:rPr>
              <w:t>模块化网孔板：</w:t>
            </w:r>
            <w:r>
              <w:rPr>
                <w:rStyle w:val="31"/>
                <w:rFonts w:hint="eastAsia" w:ascii="仿宋" w:hAnsi="仿宋" w:eastAsia="仿宋" w:cs="仿宋"/>
                <w:b w:val="0"/>
                <w:bCs w:val="0"/>
                <w:color w:val="auto"/>
                <w:sz w:val="24"/>
                <w:szCs w:val="24"/>
              </w:rPr>
              <w:t>标准挂装板，可拆卸、可随机排布、支持水平/竖直两种接线模式。</w:t>
            </w:r>
          </w:p>
          <w:p w14:paraId="19CD91C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360" w:leftChars="0" w:right="0" w:rightChars="0"/>
              <w:jc w:val="left"/>
              <w:textAlignment w:val="auto"/>
              <w:rPr>
                <w:rStyle w:val="31"/>
                <w:rFonts w:hint="eastAsia" w:ascii="仿宋" w:hAnsi="仿宋" w:eastAsia="仿宋" w:cs="仿宋"/>
                <w:b w:val="0"/>
                <w:bCs w:val="0"/>
                <w:color w:val="auto"/>
                <w:sz w:val="24"/>
                <w:szCs w:val="24"/>
              </w:rPr>
            </w:pPr>
            <w:r>
              <w:rPr>
                <w:rStyle w:val="31"/>
                <w:rFonts w:hint="eastAsia" w:ascii="仿宋" w:hAnsi="仿宋" w:eastAsia="仿宋" w:cs="仿宋"/>
                <w:b/>
                <w:bCs/>
                <w:color w:val="auto"/>
                <w:sz w:val="24"/>
                <w:szCs w:val="24"/>
              </w:rPr>
              <w:t>智能电机检测：</w:t>
            </w:r>
            <w:r>
              <w:rPr>
                <w:rStyle w:val="31"/>
                <w:rFonts w:hint="eastAsia" w:ascii="仿宋" w:hAnsi="仿宋" w:eastAsia="仿宋" w:cs="仿宋"/>
                <w:b w:val="0"/>
                <w:bCs w:val="0"/>
                <w:color w:val="auto"/>
                <w:sz w:val="24"/>
                <w:szCs w:val="24"/>
              </w:rPr>
              <w:t>自动识别电动机正转、反转、缺相状态，通过三色指示灯显示并触发缺相报警的功能。</w:t>
            </w:r>
          </w:p>
          <w:p w14:paraId="40427BE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360" w:leftChars="0" w:right="0" w:rightChars="0"/>
              <w:jc w:val="left"/>
              <w:textAlignment w:val="auto"/>
              <w:rPr>
                <w:rStyle w:val="31"/>
                <w:rFonts w:hint="eastAsia" w:ascii="仿宋" w:hAnsi="仿宋" w:eastAsia="仿宋" w:cs="仿宋"/>
                <w:b w:val="0"/>
                <w:bCs w:val="0"/>
                <w:color w:val="auto"/>
                <w:sz w:val="24"/>
                <w:szCs w:val="24"/>
              </w:rPr>
            </w:pPr>
            <w:r>
              <w:rPr>
                <w:rStyle w:val="31"/>
                <w:rFonts w:hint="eastAsia" w:ascii="仿宋" w:hAnsi="仿宋" w:eastAsia="仿宋" w:cs="仿宋"/>
                <w:b/>
                <w:bCs/>
                <w:color w:val="auto"/>
                <w:sz w:val="24"/>
                <w:szCs w:val="24"/>
              </w:rPr>
              <w:t>考核项目：</w:t>
            </w:r>
            <w:r>
              <w:rPr>
                <w:rStyle w:val="31"/>
                <w:rFonts w:hint="eastAsia" w:ascii="仿宋" w:hAnsi="仿宋" w:eastAsia="仿宋" w:cs="仿宋"/>
                <w:b w:val="0"/>
                <w:bCs w:val="0"/>
                <w:color w:val="auto"/>
                <w:sz w:val="24"/>
                <w:szCs w:val="24"/>
              </w:rPr>
              <w:t>文件指定的5项低压电工作业实操考试内容。</w:t>
            </w:r>
          </w:p>
          <w:p w14:paraId="4491ED7F">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 总则</w:t>
            </w:r>
          </w:p>
          <w:p w14:paraId="6B9513C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4.1 本文件为最低技术要求，未明确项按国家现行规范与考试标准执行。</w:t>
            </w:r>
          </w:p>
          <w:p w14:paraId="28CEDB2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 系统采用三相24V安全电压供电，所有外露可接触电压AC≤24V。</w:t>
            </w:r>
          </w:p>
          <w:p w14:paraId="01A4D79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4.3 供配电线路设置与安装符合GB 55024要求，所有电子元器件均为标准工业级真实配件。</w:t>
            </w:r>
          </w:p>
          <w:p w14:paraId="2A57227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4.4 设备可靠、耐用、易维护、可反复拆装接线，支持多人同时实训考核。</w:t>
            </w:r>
          </w:p>
          <w:p w14:paraId="7113C68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4.5 供方对质量、安全、功能、安装、调试、质保负全责</w:t>
            </w:r>
            <w:r>
              <w:rPr>
                <w:rFonts w:hint="eastAsia" w:ascii="仿宋" w:hAnsi="仿宋" w:eastAsia="仿宋" w:cs="仿宋"/>
                <w:color w:val="auto"/>
                <w:sz w:val="24"/>
                <w:szCs w:val="24"/>
                <w:lang w:eastAsia="zh-CN"/>
              </w:rPr>
              <w:t>。</w:t>
            </w:r>
          </w:p>
          <w:p w14:paraId="27F7671D">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bookmarkStart w:id="708" w:name="_Toc4300"/>
            <w:bookmarkStart w:id="709" w:name="_Toc24136"/>
            <w:r>
              <w:rPr>
                <w:rFonts w:hint="eastAsia" w:ascii="仿宋" w:hAnsi="仿宋" w:eastAsia="仿宋" w:cs="仿宋"/>
                <w:color w:val="auto"/>
                <w:sz w:val="24"/>
                <w:szCs w:val="24"/>
              </w:rPr>
              <w:t>（二）专项技术要求</w:t>
            </w:r>
            <w:bookmarkEnd w:id="708"/>
            <w:bookmarkEnd w:id="709"/>
          </w:p>
          <w:p w14:paraId="5E6CB5BC">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 电气及物理参数</w:t>
            </w:r>
          </w:p>
          <w:p w14:paraId="45F317C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1）输入电源：三相五线制AC380V±10%，50Hz</w:t>
            </w:r>
          </w:p>
          <w:p w14:paraId="1F7EB37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2）输出电压：三相五线制AC24V±10%，50Hz；预留AC220V辅助输出</w:t>
            </w:r>
          </w:p>
          <w:p w14:paraId="648F6E2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3）安全保护：安全电压、漏电保护、过流保护、短路速断保护、急停断电保护</w:t>
            </w:r>
          </w:p>
          <w:p w14:paraId="2946F8A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4）设备功耗：&lt;100W</w:t>
            </w:r>
          </w:p>
          <w:p w14:paraId="38CD6A3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5）外形尺寸（长×宽×高）：1.3m×0.8m×1.8m（±0.02m）</w:t>
            </w:r>
          </w:p>
          <w:p w14:paraId="48CE827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6）设备重量：&lt;220kg</w:t>
            </w:r>
          </w:p>
          <w:p w14:paraId="7E35E91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7）工位数量：4个独立工位（前后各2个），支持2人同时考试、4人同步练习</w:t>
            </w:r>
          </w:p>
          <w:p w14:paraId="5E282C1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8）使用环境：温度-5℃～+40℃，湿度≤85%无凝露，海拔≤2000m</w:t>
            </w:r>
          </w:p>
          <w:p w14:paraId="4518D05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9）作业区域：满铺符合DL/T 853标准的绝缘垫</w:t>
            </w:r>
          </w:p>
          <w:p w14:paraId="165A86A2">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 安全保护系统</w:t>
            </w:r>
          </w:p>
          <w:p w14:paraId="643CF16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1）采用三相干式隔离变压器（500VA）实现电源与负载电气隔离，输出AC24V安全电压</w:t>
            </w:r>
          </w:p>
          <w:p w14:paraId="1E78636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2）每面操作台独立配置漏电保护断路器、熔断器，实现分工位独立保护</w:t>
            </w:r>
          </w:p>
          <w:p w14:paraId="7E6D6C4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3）总回路配置急停按钮开关，一键切断所有电源</w:t>
            </w:r>
          </w:p>
          <w:p w14:paraId="6AEC87F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4）具备电动机缺相智能报警功能，检测到缺相时自动触发声光提示</w:t>
            </w:r>
          </w:p>
          <w:p w14:paraId="355E32A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5）所有可触及金属部分可靠接地，安全标识齐全</w:t>
            </w:r>
          </w:p>
          <w:p w14:paraId="3877B01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6）所有接线端子采用绝缘防护设计，无裸露带电部分</w:t>
            </w:r>
          </w:p>
          <w:p w14:paraId="1E1E5E4C">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 系统组成</w:t>
            </w:r>
          </w:p>
          <w:p w14:paraId="6519B54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1）双面实操台主体单元：优质冷轧钢板一体成型柜体、绿色工作台面、抽屉、封闭式置物柜</w:t>
            </w:r>
          </w:p>
          <w:p w14:paraId="32C0315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2）模块化网孔板单元：4块可拆卸网孔板，支持水平/竖直两种接线模式</w:t>
            </w:r>
          </w:p>
          <w:p w14:paraId="4F798AC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3）智能电机检测单元：2台AC24V三相异步电动机、三色状态指示灯、缺相报警模块</w:t>
            </w:r>
          </w:p>
          <w:p w14:paraId="11A73A3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4）电气安全接口单元：双面独立接线输出接口、香蕉插座+接线端子排两用接口、多种电源插座</w:t>
            </w:r>
          </w:p>
          <w:p w14:paraId="541400A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5）嵌入式测量单元：网孔板内置3个交流电流表</w:t>
            </w:r>
          </w:p>
          <w:p w14:paraId="27B2FF5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6）全套电工器材单元：标准工业级电子元器件、电工工具、导线辅材</w:t>
            </w:r>
          </w:p>
          <w:p w14:paraId="56D0E88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7）移动与收纳单元：2个定向脚轮+2个万向带刹车脚轮、分类收纳空间</w:t>
            </w:r>
          </w:p>
          <w:p w14:paraId="372A4255">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 核心功能要求</w:t>
            </w:r>
          </w:p>
          <w:p w14:paraId="7AE89644">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4.1 主体结构与移动功能</w:t>
            </w:r>
          </w:p>
          <w:p w14:paraId="5B585C7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设备主体选用优质冷轧钢板一体成型，表面经喷塑工艺处理，防腐蚀、抗磨损、坚固耐用。整套设备含1套实操台及4块网孔板，设计4个独立工位（前后各2个），可满足2人同时考试、4人同步练习的使用需求；台脚配备2个定向脚轮与2个万向带刹车脚轮，兼顾移动便捷性与放置稳定性，设备整体占地面积小，节省场地空间。</w:t>
            </w:r>
          </w:p>
          <w:p w14:paraId="74D913C1">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 收纳与工作台面功能</w:t>
            </w:r>
          </w:p>
          <w:p w14:paraId="4EC48D6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采用绿色防滑工作台面，搭配抽屉与封闭式置物柜，可分类存放线缆辅材、电工仪表、工具等实操用品，实现器材收纳规整，方便取用与管理。</w:t>
            </w:r>
          </w:p>
          <w:p w14:paraId="38334ED3">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4.3 模块化网孔板功能</w:t>
            </w:r>
          </w:p>
          <w:p w14:paraId="76CEE37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采用模块化设计，4块网孔板可自由拆卸并装入实操台框架，支持水平放置于台面接线或竖直悬挂接线两种模式，操作灵活便捷，适配不同实操场景需求。</w:t>
            </w:r>
          </w:p>
          <w:p w14:paraId="490397C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网孔板顺序可随机组合排布，能有效确保相邻工位实操内容不重复，实现多人同时开展考试及培训工作，最大化提升设备利用率。</w:t>
            </w:r>
          </w:p>
          <w:p w14:paraId="03B425A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网孔板上采用单独钣金嵌入式设计，内置3个交流电流表，完美融入网孔板结构，既保证了设备外观的一体性与美观度，又能精准反馈实操过程中的电流数据，便于学员观察与记录。</w:t>
            </w:r>
          </w:p>
          <w:p w14:paraId="361F1D62">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4.4 电动机与智能检测功能</w:t>
            </w:r>
          </w:p>
          <w:p w14:paraId="3BDA12D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每套设备前后台面各配备1台24V交流（AC24V）三相异步电动机，共2台。电机接线接口直观清晰，支持三角形接法与星形接法两种标准接线方式，可实时观察电机转动状态，助力学员掌握不同接线模式的实操技巧。</w:t>
            </w:r>
          </w:p>
          <w:p w14:paraId="481C303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设备具备电动机智能检测功能，可精准识别电动机正转、反转及缺相状态，并通过红、绿、黄三种不同颜色指示灯分别对应显示；当检测到电动机缺相时，将自动触发智能报警，及时提醒操作人员排查故障，进一步提升实操安全性与设备智能化水平。</w:t>
            </w:r>
          </w:p>
          <w:p w14:paraId="1D3BDBDC">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4.5 电气接口与电源配置</w:t>
            </w:r>
          </w:p>
          <w:p w14:paraId="33172F1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每面操作台独立配备漏电保护断路器、熔断器、三相指示灯及多种电源插座接口，多重安全防护设计，保障实操过程安全可控。实操台双面均配置接线输出接口，集成香蕉插座与接线端子排两用功能，可提供三相AC24V和AC220V电源输出，适配多种接线场景，满足不同电工器材的连接需求。</w:t>
            </w:r>
          </w:p>
          <w:p w14:paraId="7124899C">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4.6 真实元器件与场景还原</w:t>
            </w:r>
          </w:p>
          <w:p w14:paraId="27D8A5A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所有电子元器件均采用标准规格，均为交流真实配件，品类丰富全面，涵盖三相异步电动机、漏电保护器、降压变压器、动力压扣开关、熔断器、断路器、热继电器、开关插座、电能表、互感器等。主电路、控制回路通过导线引至接线端子，1:1还原真实电工作业场景，适配多种电路考核需求。</w:t>
            </w:r>
          </w:p>
          <w:p w14:paraId="43AFBBE7">
            <w:pPr>
              <w:pStyle w:val="5"/>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4.7 考核项目覆盖功能</w:t>
            </w:r>
          </w:p>
          <w:p w14:paraId="4F40AD3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满足低压电工作业安全技术实际操作下列5项培训及考试需求：</w:t>
            </w:r>
          </w:p>
          <w:p w14:paraId="35219F44">
            <w:pPr>
              <w:keepNext w:val="0"/>
              <w:keepLines w:val="0"/>
              <w:pageBreakBefore w:val="0"/>
              <w:widowControl/>
              <w:numPr>
                <w:ilvl w:val="0"/>
                <w:numId w:val="12"/>
              </w:numPr>
              <w:suppressLineNumbers w:val="0"/>
              <w:pBdr>
                <w:left w:val="none" w:color="auto" w:sz="0" w:space="0"/>
              </w:pBdr>
              <w:kinsoku/>
              <w:wordWrap/>
              <w:overflowPunct/>
              <w:topLinePunct w:val="0"/>
              <w:autoSpaceDE/>
              <w:autoSpaceDN/>
              <w:bidi w:val="0"/>
              <w:adjustRightInd/>
              <w:snapToGrid/>
              <w:spacing w:before="0" w:beforeAutospacing="0" w:after="0" w:afterAutospacing="0" w:line="29" w:lineRule="atLeast"/>
              <w:ind w:left="720" w:hanging="294"/>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低压配电箱安装接线</w:t>
            </w:r>
          </w:p>
          <w:p w14:paraId="4901E414">
            <w:pPr>
              <w:keepNext w:val="0"/>
              <w:keepLines w:val="0"/>
              <w:pageBreakBefore w:val="0"/>
              <w:widowControl/>
              <w:numPr>
                <w:ilvl w:val="0"/>
                <w:numId w:val="12"/>
              </w:numPr>
              <w:suppressLineNumbers w:val="0"/>
              <w:pBdr>
                <w:left w:val="none" w:color="auto" w:sz="0" w:space="0"/>
              </w:pBdr>
              <w:kinsoku/>
              <w:wordWrap/>
              <w:overflowPunct/>
              <w:topLinePunct w:val="0"/>
              <w:autoSpaceDE/>
              <w:autoSpaceDN/>
              <w:bidi w:val="0"/>
              <w:adjustRightInd/>
              <w:snapToGrid/>
              <w:spacing w:before="0" w:beforeAutospacing="0" w:after="0" w:afterAutospacing="0" w:line="29" w:lineRule="atLeast"/>
              <w:ind w:left="720" w:hanging="294"/>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单相电能表带照明设备的接线</w:t>
            </w:r>
          </w:p>
          <w:p w14:paraId="426EE354">
            <w:pPr>
              <w:keepNext w:val="0"/>
              <w:keepLines w:val="0"/>
              <w:pageBreakBefore w:val="0"/>
              <w:widowControl/>
              <w:numPr>
                <w:ilvl w:val="0"/>
                <w:numId w:val="12"/>
              </w:numPr>
              <w:suppressLineNumbers w:val="0"/>
              <w:pBdr>
                <w:left w:val="none" w:color="auto" w:sz="0" w:space="0"/>
              </w:pBdr>
              <w:kinsoku/>
              <w:wordWrap/>
              <w:overflowPunct/>
              <w:topLinePunct w:val="0"/>
              <w:autoSpaceDE/>
              <w:autoSpaceDN/>
              <w:bidi w:val="0"/>
              <w:adjustRightInd/>
              <w:snapToGrid/>
              <w:spacing w:before="0" w:beforeAutospacing="0" w:after="0" w:afterAutospacing="0" w:line="29" w:lineRule="atLeast"/>
              <w:ind w:left="720" w:hanging="294"/>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三相异步电动机单向连续运转电路接线（带点动控制）</w:t>
            </w:r>
          </w:p>
          <w:p w14:paraId="55970BD3">
            <w:pPr>
              <w:keepNext w:val="0"/>
              <w:keepLines w:val="0"/>
              <w:pageBreakBefore w:val="0"/>
              <w:widowControl/>
              <w:numPr>
                <w:ilvl w:val="0"/>
                <w:numId w:val="12"/>
              </w:numPr>
              <w:suppressLineNumbers w:val="0"/>
              <w:pBdr>
                <w:left w:val="none" w:color="auto" w:sz="0" w:space="0"/>
              </w:pBdr>
              <w:kinsoku/>
              <w:wordWrap/>
              <w:overflowPunct/>
              <w:topLinePunct w:val="0"/>
              <w:autoSpaceDE/>
              <w:autoSpaceDN/>
              <w:bidi w:val="0"/>
              <w:adjustRightInd/>
              <w:snapToGrid/>
              <w:spacing w:before="0" w:beforeAutospacing="0" w:after="0" w:afterAutospacing="0" w:line="29" w:lineRule="atLeast"/>
              <w:ind w:left="720" w:hanging="294"/>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带熔断器（断路器）、仪表、电流互感器的三相异步电动机电路的接线</w:t>
            </w:r>
          </w:p>
          <w:p w14:paraId="384451EC">
            <w:pPr>
              <w:keepNext w:val="0"/>
              <w:keepLines w:val="0"/>
              <w:pageBreakBefore w:val="0"/>
              <w:widowControl/>
              <w:numPr>
                <w:ilvl w:val="0"/>
                <w:numId w:val="12"/>
              </w:numPr>
              <w:suppressLineNumbers w:val="0"/>
              <w:pBdr>
                <w:left w:val="none" w:color="auto" w:sz="0" w:space="0"/>
              </w:pBdr>
              <w:kinsoku/>
              <w:wordWrap/>
              <w:overflowPunct/>
              <w:topLinePunct w:val="0"/>
              <w:autoSpaceDE/>
              <w:autoSpaceDN/>
              <w:bidi w:val="0"/>
              <w:adjustRightInd/>
              <w:snapToGrid/>
              <w:spacing w:before="0" w:beforeAutospacing="0" w:after="0" w:afterAutospacing="0" w:line="29" w:lineRule="atLeast"/>
              <w:ind w:left="720" w:hanging="294"/>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三相异步电动机正反转运行电路的接线</w:t>
            </w:r>
          </w:p>
          <w:p w14:paraId="0E5A849D">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 结构与配置要求</w:t>
            </w:r>
          </w:p>
          <w:p w14:paraId="1E56C21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1）柜体：优质冷轧钢板一体成型，表面喷塑，耐磨防腐，无毛刺、无变形</w:t>
            </w:r>
          </w:p>
          <w:p w14:paraId="457418D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2）工作台面：绿色防滑材质，耐油污、耐刮擦</w:t>
            </w:r>
          </w:p>
          <w:p w14:paraId="1887633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3）网孔板：标准工业级网孔板，孔径均匀，承重≥5kg/㎡</w:t>
            </w:r>
          </w:p>
          <w:p w14:paraId="5A9444F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4）脚轮：2个定向轮+2个万向带刹车轮，承重≥300kg</w:t>
            </w:r>
          </w:p>
          <w:p w14:paraId="2786F07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5）接线端子：安全型端子，标识清晰，接线牢固</w:t>
            </w:r>
          </w:p>
          <w:p w14:paraId="6F4C2ED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6）所有元器件标识清晰，安装牢固，便于拆装与更换</w:t>
            </w:r>
          </w:p>
          <w:p w14:paraId="7AEF79B4">
            <w:pPr>
              <w:pStyle w:val="3"/>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bookmarkStart w:id="710" w:name="_Toc1217"/>
            <w:bookmarkStart w:id="711" w:name="_Toc14279"/>
            <w:r>
              <w:rPr>
                <w:rFonts w:hint="eastAsia" w:ascii="仿宋" w:hAnsi="仿宋" w:eastAsia="仿宋" w:cs="仿宋"/>
                <w:color w:val="auto"/>
                <w:sz w:val="24"/>
                <w:szCs w:val="24"/>
              </w:rPr>
              <w:t>（三）专用部分</w:t>
            </w:r>
            <w:bookmarkEnd w:id="710"/>
            <w:bookmarkEnd w:id="711"/>
          </w:p>
          <w:p w14:paraId="7513F955">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 标准技术参数表</w:t>
            </w:r>
          </w:p>
          <w:tbl>
            <w:tblPr>
              <w:tblStyle w:val="28"/>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84"/>
              <w:gridCol w:w="1165"/>
              <w:gridCol w:w="361"/>
              <w:gridCol w:w="3160"/>
            </w:tblGrid>
            <w:tr w14:paraId="43F9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2DE3B718">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序号</w:t>
                  </w:r>
                </w:p>
              </w:tc>
              <w:tc>
                <w:tcPr>
                  <w:tcW w:w="1614" w:type="dxa"/>
                  <w:shd w:val="clear" w:color="auto" w:fill="auto"/>
                  <w:vAlign w:val="center"/>
                </w:tcPr>
                <w:p w14:paraId="29E9EE75">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项目</w:t>
                  </w:r>
                </w:p>
              </w:tc>
              <w:tc>
                <w:tcPr>
                  <w:tcW w:w="0" w:type="auto"/>
                  <w:shd w:val="clear" w:color="auto" w:fill="auto"/>
                  <w:vAlign w:val="center"/>
                </w:tcPr>
                <w:p w14:paraId="09AB61AD">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单位</w:t>
                  </w:r>
                </w:p>
              </w:tc>
              <w:tc>
                <w:tcPr>
                  <w:tcW w:w="0" w:type="auto"/>
                  <w:shd w:val="clear" w:color="auto" w:fill="auto"/>
                  <w:vAlign w:val="center"/>
                </w:tcPr>
                <w:p w14:paraId="0C63A268">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要求</w:t>
                  </w:r>
                </w:p>
              </w:tc>
            </w:tr>
            <w:tr w14:paraId="1332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658DCE85">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w:t>
                  </w:r>
                </w:p>
              </w:tc>
              <w:tc>
                <w:tcPr>
                  <w:tcW w:w="1614" w:type="dxa"/>
                  <w:shd w:val="clear" w:color="auto" w:fill="auto"/>
                  <w:vAlign w:val="top"/>
                </w:tcPr>
                <w:p w14:paraId="78D0641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设备名称</w:t>
                  </w:r>
                </w:p>
              </w:tc>
              <w:tc>
                <w:tcPr>
                  <w:tcW w:w="412" w:type="dxa"/>
                  <w:shd w:val="clear" w:color="auto" w:fill="auto"/>
                  <w:vAlign w:val="top"/>
                </w:tcPr>
                <w:p w14:paraId="0E4AE4E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4510" w:type="dxa"/>
                  <w:shd w:val="clear" w:color="auto" w:fill="auto"/>
                  <w:vAlign w:val="top"/>
                </w:tcPr>
                <w:p w14:paraId="5205CE8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低压电工K31电气设备安装</w:t>
                  </w:r>
                  <w:r>
                    <w:rPr>
                      <w:rFonts w:hint="eastAsia" w:ascii="仿宋" w:hAnsi="仿宋" w:eastAsia="仿宋" w:cs="仿宋"/>
                      <w:color w:val="auto"/>
                      <w:sz w:val="24"/>
                      <w:szCs w:val="24"/>
                      <w:lang w:val="en-US" w:eastAsia="zh-CN"/>
                    </w:rPr>
                    <w:t>实操设备</w:t>
                  </w:r>
                </w:p>
              </w:tc>
            </w:tr>
            <w:tr w14:paraId="2278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76A316AF">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2</w:t>
                  </w:r>
                </w:p>
              </w:tc>
              <w:tc>
                <w:tcPr>
                  <w:tcW w:w="1614" w:type="dxa"/>
                  <w:shd w:val="clear" w:color="auto" w:fill="auto"/>
                  <w:vAlign w:val="top"/>
                </w:tcPr>
                <w:p w14:paraId="5BF9413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输入电源</w:t>
                  </w:r>
                </w:p>
              </w:tc>
              <w:tc>
                <w:tcPr>
                  <w:tcW w:w="412" w:type="dxa"/>
                  <w:shd w:val="clear" w:color="auto" w:fill="auto"/>
                  <w:vAlign w:val="top"/>
                </w:tcPr>
                <w:p w14:paraId="64434A7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4510" w:type="dxa"/>
                  <w:shd w:val="clear" w:color="auto" w:fill="auto"/>
                  <w:vAlign w:val="top"/>
                </w:tcPr>
                <w:p w14:paraId="563F24D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三相五线制AC380V±10%，50Hz</w:t>
                  </w:r>
                </w:p>
              </w:tc>
            </w:tr>
            <w:tr w14:paraId="5722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0F080DA5">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3</w:t>
                  </w:r>
                </w:p>
              </w:tc>
              <w:tc>
                <w:tcPr>
                  <w:tcW w:w="1614" w:type="dxa"/>
                  <w:shd w:val="clear" w:color="auto" w:fill="auto"/>
                  <w:vAlign w:val="top"/>
                </w:tcPr>
                <w:p w14:paraId="1D787A9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输出电压</w:t>
                  </w:r>
                </w:p>
              </w:tc>
              <w:tc>
                <w:tcPr>
                  <w:tcW w:w="412" w:type="dxa"/>
                  <w:shd w:val="clear" w:color="auto" w:fill="auto"/>
                  <w:vAlign w:val="top"/>
                </w:tcPr>
                <w:p w14:paraId="6EA92AB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V</w:t>
                  </w:r>
                </w:p>
              </w:tc>
              <w:tc>
                <w:tcPr>
                  <w:tcW w:w="4510" w:type="dxa"/>
                  <w:shd w:val="clear" w:color="auto" w:fill="auto"/>
                  <w:vAlign w:val="top"/>
                </w:tcPr>
                <w:p w14:paraId="237C71D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三相AC24V±10%，预留AC220V</w:t>
                  </w:r>
                </w:p>
              </w:tc>
            </w:tr>
            <w:tr w14:paraId="308E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744A3E63">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4</w:t>
                  </w:r>
                </w:p>
              </w:tc>
              <w:tc>
                <w:tcPr>
                  <w:tcW w:w="1614" w:type="dxa"/>
                  <w:shd w:val="clear" w:color="auto" w:fill="auto"/>
                  <w:vAlign w:val="top"/>
                </w:tcPr>
                <w:p w14:paraId="3C9AF4B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外形尺寸</w:t>
                  </w:r>
                </w:p>
              </w:tc>
              <w:tc>
                <w:tcPr>
                  <w:tcW w:w="412" w:type="dxa"/>
                  <w:shd w:val="clear" w:color="auto" w:fill="auto"/>
                  <w:vAlign w:val="top"/>
                </w:tcPr>
                <w:p w14:paraId="268689D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m</w:t>
                  </w:r>
                </w:p>
              </w:tc>
              <w:tc>
                <w:tcPr>
                  <w:tcW w:w="4510" w:type="dxa"/>
                  <w:shd w:val="clear" w:color="auto" w:fill="auto"/>
                  <w:vAlign w:val="top"/>
                </w:tcPr>
                <w:p w14:paraId="72F18F2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1.3×0.8×1.8（±0.02）</w:t>
                  </w:r>
                </w:p>
              </w:tc>
            </w:tr>
            <w:tr w14:paraId="0F897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5E81410B">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5</w:t>
                  </w:r>
                </w:p>
              </w:tc>
              <w:tc>
                <w:tcPr>
                  <w:tcW w:w="1614" w:type="dxa"/>
                  <w:shd w:val="clear" w:color="auto" w:fill="auto"/>
                  <w:vAlign w:val="top"/>
                </w:tcPr>
                <w:p w14:paraId="758B856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设备重量</w:t>
                  </w:r>
                </w:p>
              </w:tc>
              <w:tc>
                <w:tcPr>
                  <w:tcW w:w="412" w:type="dxa"/>
                  <w:shd w:val="clear" w:color="auto" w:fill="auto"/>
                  <w:vAlign w:val="top"/>
                </w:tcPr>
                <w:p w14:paraId="6CC5D6F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kg</w:t>
                  </w:r>
                </w:p>
              </w:tc>
              <w:tc>
                <w:tcPr>
                  <w:tcW w:w="4510" w:type="dxa"/>
                  <w:shd w:val="clear" w:color="auto" w:fill="auto"/>
                  <w:vAlign w:val="top"/>
                </w:tcPr>
                <w:p w14:paraId="349D0C2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&lt;220</w:t>
                  </w:r>
                </w:p>
              </w:tc>
            </w:tr>
            <w:tr w14:paraId="3FD95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11FBC8D0">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6</w:t>
                  </w:r>
                </w:p>
              </w:tc>
              <w:tc>
                <w:tcPr>
                  <w:tcW w:w="1614" w:type="dxa"/>
                  <w:shd w:val="clear" w:color="auto" w:fill="auto"/>
                  <w:vAlign w:val="top"/>
                </w:tcPr>
                <w:p w14:paraId="4A6F10D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工位数量</w:t>
                  </w:r>
                </w:p>
              </w:tc>
              <w:tc>
                <w:tcPr>
                  <w:tcW w:w="412" w:type="dxa"/>
                  <w:shd w:val="clear" w:color="auto" w:fill="auto"/>
                  <w:vAlign w:val="top"/>
                </w:tcPr>
                <w:p w14:paraId="7459EC4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个</w:t>
                  </w:r>
                </w:p>
              </w:tc>
              <w:tc>
                <w:tcPr>
                  <w:tcW w:w="4510" w:type="dxa"/>
                  <w:shd w:val="clear" w:color="auto" w:fill="auto"/>
                  <w:vAlign w:val="top"/>
                </w:tcPr>
                <w:p w14:paraId="2D0C09E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4（前后各2）</w:t>
                  </w:r>
                </w:p>
              </w:tc>
            </w:tr>
            <w:tr w14:paraId="0902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026433C3">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7</w:t>
                  </w:r>
                </w:p>
              </w:tc>
              <w:tc>
                <w:tcPr>
                  <w:tcW w:w="1614" w:type="dxa"/>
                  <w:shd w:val="clear" w:color="auto" w:fill="auto"/>
                  <w:vAlign w:val="top"/>
                </w:tcPr>
                <w:p w14:paraId="73A8306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网孔板数量</w:t>
                  </w:r>
                </w:p>
              </w:tc>
              <w:tc>
                <w:tcPr>
                  <w:tcW w:w="412" w:type="dxa"/>
                  <w:shd w:val="clear" w:color="auto" w:fill="auto"/>
                  <w:vAlign w:val="top"/>
                </w:tcPr>
                <w:p w14:paraId="331CDAC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块</w:t>
                  </w:r>
                </w:p>
              </w:tc>
              <w:tc>
                <w:tcPr>
                  <w:tcW w:w="4510" w:type="dxa"/>
                  <w:shd w:val="clear" w:color="auto" w:fill="auto"/>
                  <w:vAlign w:val="top"/>
                </w:tcPr>
                <w:p w14:paraId="0343AAB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p>
              </w:tc>
            </w:tr>
            <w:tr w14:paraId="017D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0D71FF0B">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8</w:t>
                  </w:r>
                </w:p>
              </w:tc>
              <w:tc>
                <w:tcPr>
                  <w:tcW w:w="1614" w:type="dxa"/>
                  <w:shd w:val="clear" w:color="auto" w:fill="auto"/>
                  <w:vAlign w:val="top"/>
                </w:tcPr>
                <w:p w14:paraId="03989E1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AC24V电动机数量</w:t>
                  </w:r>
                </w:p>
              </w:tc>
              <w:tc>
                <w:tcPr>
                  <w:tcW w:w="412" w:type="dxa"/>
                  <w:shd w:val="clear" w:color="auto" w:fill="auto"/>
                  <w:vAlign w:val="top"/>
                </w:tcPr>
                <w:p w14:paraId="5E1C197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台</w:t>
                  </w:r>
                </w:p>
              </w:tc>
              <w:tc>
                <w:tcPr>
                  <w:tcW w:w="4510" w:type="dxa"/>
                  <w:shd w:val="clear" w:color="auto" w:fill="auto"/>
                  <w:vAlign w:val="top"/>
                </w:tcPr>
                <w:p w14:paraId="6B7D1EC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r>
            <w:tr w14:paraId="22AF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5B7C3407">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9</w:t>
                  </w:r>
                </w:p>
              </w:tc>
              <w:tc>
                <w:tcPr>
                  <w:tcW w:w="1614" w:type="dxa"/>
                  <w:shd w:val="clear" w:color="auto" w:fill="auto"/>
                  <w:vAlign w:val="top"/>
                </w:tcPr>
                <w:p w14:paraId="784B854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嵌入式电流表数量</w:t>
                  </w:r>
                </w:p>
              </w:tc>
              <w:tc>
                <w:tcPr>
                  <w:tcW w:w="412" w:type="dxa"/>
                  <w:shd w:val="clear" w:color="auto" w:fill="auto"/>
                  <w:vAlign w:val="top"/>
                </w:tcPr>
                <w:p w14:paraId="5B99CC2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个</w:t>
                  </w:r>
                </w:p>
              </w:tc>
              <w:tc>
                <w:tcPr>
                  <w:tcW w:w="4510" w:type="dxa"/>
                  <w:shd w:val="clear" w:color="auto" w:fill="auto"/>
                  <w:vAlign w:val="top"/>
                </w:tcPr>
                <w:p w14:paraId="062D5B2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3</w:t>
                  </w:r>
                </w:p>
              </w:tc>
            </w:tr>
            <w:tr w14:paraId="0D57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182D8C94">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10</w:t>
                  </w:r>
                </w:p>
              </w:tc>
              <w:tc>
                <w:tcPr>
                  <w:tcW w:w="1614" w:type="dxa"/>
                  <w:shd w:val="clear" w:color="auto" w:fill="auto"/>
                  <w:vAlign w:val="top"/>
                </w:tcPr>
                <w:p w14:paraId="70171FC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电机接法</w:t>
                  </w:r>
                </w:p>
              </w:tc>
              <w:tc>
                <w:tcPr>
                  <w:tcW w:w="412" w:type="dxa"/>
                  <w:shd w:val="clear" w:color="auto" w:fill="auto"/>
                  <w:vAlign w:val="top"/>
                </w:tcPr>
                <w:p w14:paraId="73E7070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w:t>
                  </w:r>
                </w:p>
              </w:tc>
              <w:tc>
                <w:tcPr>
                  <w:tcW w:w="4510" w:type="dxa"/>
                  <w:shd w:val="clear" w:color="auto" w:fill="auto"/>
                  <w:vAlign w:val="top"/>
                </w:tcPr>
                <w:p w14:paraId="5434C2D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星形Y、三角形△</w:t>
                  </w:r>
                </w:p>
              </w:tc>
            </w:tr>
            <w:tr w14:paraId="5D43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0D5FDC4A">
                  <w:pPr>
                    <w:keepNext w:val="0"/>
                    <w:keepLines w:val="0"/>
                    <w:widowControl/>
                    <w:suppressLineNumbers w:val="0"/>
                    <w:spacing w:before="0" w:beforeAutospacing="0" w:after="0" w:afterAutospacing="0" w:line="288" w:lineRule="atLeast"/>
                    <w:ind w:left="0" w:right="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11</w:t>
                  </w:r>
                </w:p>
              </w:tc>
              <w:tc>
                <w:tcPr>
                  <w:tcW w:w="1614" w:type="dxa"/>
                  <w:shd w:val="clear" w:color="auto" w:fill="auto"/>
                  <w:vAlign w:val="top"/>
                </w:tcPr>
                <w:p w14:paraId="4BF69FA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智能检测功能</w:t>
                  </w:r>
                </w:p>
              </w:tc>
              <w:tc>
                <w:tcPr>
                  <w:tcW w:w="412" w:type="dxa"/>
                  <w:shd w:val="clear" w:color="auto" w:fill="auto"/>
                  <w:vAlign w:val="top"/>
                </w:tcPr>
                <w:p w14:paraId="675E7FE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w:t>
                  </w:r>
                </w:p>
              </w:tc>
              <w:tc>
                <w:tcPr>
                  <w:tcW w:w="4510" w:type="dxa"/>
                  <w:shd w:val="clear" w:color="auto" w:fill="auto"/>
                  <w:vAlign w:val="top"/>
                </w:tcPr>
                <w:p w14:paraId="79406C0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正转/反转/缺相识别+缺相报警</w:t>
                  </w:r>
                </w:p>
              </w:tc>
            </w:tr>
            <w:tr w14:paraId="165C6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54FAD9F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12</w:t>
                  </w:r>
                </w:p>
              </w:tc>
              <w:tc>
                <w:tcPr>
                  <w:tcW w:w="1614" w:type="dxa"/>
                  <w:shd w:val="clear" w:color="auto" w:fill="auto"/>
                  <w:vAlign w:val="top"/>
                </w:tcPr>
                <w:p w14:paraId="0ADE4DB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指示灯</w:t>
                  </w:r>
                </w:p>
              </w:tc>
              <w:tc>
                <w:tcPr>
                  <w:tcW w:w="412" w:type="dxa"/>
                  <w:shd w:val="clear" w:color="auto" w:fill="auto"/>
                  <w:vAlign w:val="top"/>
                </w:tcPr>
                <w:p w14:paraId="4792B54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4510" w:type="dxa"/>
                  <w:shd w:val="clear" w:color="auto" w:fill="auto"/>
                  <w:vAlign w:val="top"/>
                </w:tcPr>
                <w:p w14:paraId="2588975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红、绿、黄三色状态指示</w:t>
                  </w:r>
                </w:p>
              </w:tc>
            </w:tr>
            <w:tr w14:paraId="582DE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6C042CC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13</w:t>
                  </w:r>
                </w:p>
              </w:tc>
              <w:tc>
                <w:tcPr>
                  <w:tcW w:w="1614" w:type="dxa"/>
                  <w:shd w:val="clear" w:color="auto" w:fill="auto"/>
                  <w:vAlign w:val="top"/>
                </w:tcPr>
                <w:p w14:paraId="5C9E531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接口类型</w:t>
                  </w:r>
                </w:p>
              </w:tc>
              <w:tc>
                <w:tcPr>
                  <w:tcW w:w="412" w:type="dxa"/>
                  <w:shd w:val="clear" w:color="auto" w:fill="auto"/>
                  <w:vAlign w:val="top"/>
                </w:tcPr>
                <w:p w14:paraId="297A4D3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4510" w:type="dxa"/>
                  <w:shd w:val="clear" w:color="auto" w:fill="auto"/>
                  <w:vAlign w:val="top"/>
                </w:tcPr>
                <w:p w14:paraId="6E9401F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香蕉插座+接线端子排两用</w:t>
                  </w:r>
                </w:p>
              </w:tc>
            </w:tr>
            <w:tr w14:paraId="5E090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317E99A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14</w:t>
                  </w:r>
                </w:p>
              </w:tc>
              <w:tc>
                <w:tcPr>
                  <w:tcW w:w="1614" w:type="dxa"/>
                  <w:shd w:val="clear" w:color="auto" w:fill="auto"/>
                  <w:vAlign w:val="top"/>
                </w:tcPr>
                <w:p w14:paraId="2CBC1ED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隔离变压器容量</w:t>
                  </w:r>
                </w:p>
              </w:tc>
              <w:tc>
                <w:tcPr>
                  <w:tcW w:w="412" w:type="dxa"/>
                  <w:shd w:val="clear" w:color="auto" w:fill="auto"/>
                  <w:vAlign w:val="top"/>
                </w:tcPr>
                <w:p w14:paraId="2F15A80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VA</w:t>
                  </w:r>
                </w:p>
              </w:tc>
              <w:tc>
                <w:tcPr>
                  <w:tcW w:w="4510" w:type="dxa"/>
                  <w:shd w:val="clear" w:color="auto" w:fill="auto"/>
                  <w:vAlign w:val="top"/>
                </w:tcPr>
                <w:p w14:paraId="2B1A656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500</w:t>
                  </w:r>
                </w:p>
              </w:tc>
            </w:tr>
            <w:tr w14:paraId="78DF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6576375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15</w:t>
                  </w:r>
                </w:p>
              </w:tc>
              <w:tc>
                <w:tcPr>
                  <w:tcW w:w="1614" w:type="dxa"/>
                  <w:shd w:val="clear" w:color="auto" w:fill="auto"/>
                  <w:vAlign w:val="top"/>
                </w:tcPr>
                <w:p w14:paraId="6633C72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考核项目数量</w:t>
                  </w:r>
                </w:p>
              </w:tc>
              <w:tc>
                <w:tcPr>
                  <w:tcW w:w="412" w:type="dxa"/>
                  <w:shd w:val="clear" w:color="auto" w:fill="auto"/>
                  <w:vAlign w:val="top"/>
                </w:tcPr>
                <w:p w14:paraId="7C4B0F8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w:t>
                  </w:r>
                </w:p>
              </w:tc>
              <w:tc>
                <w:tcPr>
                  <w:tcW w:w="4510" w:type="dxa"/>
                  <w:shd w:val="clear" w:color="auto" w:fill="auto"/>
                  <w:vAlign w:val="top"/>
                </w:tcPr>
                <w:p w14:paraId="3C2597D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14:paraId="3D0C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427" w:type="dxa"/>
                  <w:shd w:val="clear" w:color="auto" w:fill="auto"/>
                  <w:vAlign w:val="top"/>
                </w:tcPr>
                <w:p w14:paraId="06AF156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16</w:t>
                  </w:r>
                </w:p>
              </w:tc>
              <w:tc>
                <w:tcPr>
                  <w:tcW w:w="1614" w:type="dxa"/>
                  <w:shd w:val="clear" w:color="auto" w:fill="auto"/>
                  <w:vAlign w:val="top"/>
                </w:tcPr>
                <w:p w14:paraId="6900AEA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执行标准</w:t>
                  </w:r>
                </w:p>
              </w:tc>
              <w:tc>
                <w:tcPr>
                  <w:tcW w:w="412" w:type="dxa"/>
                  <w:shd w:val="clear" w:color="auto" w:fill="auto"/>
                  <w:vAlign w:val="top"/>
                </w:tcPr>
                <w:p w14:paraId="10D2BFF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4510" w:type="dxa"/>
                  <w:shd w:val="clear" w:color="auto" w:fill="auto"/>
                  <w:vAlign w:val="top"/>
                </w:tcPr>
                <w:p w14:paraId="3083292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 w:lineRule="atLeast"/>
                    <w:ind w:left="0" w:leftChars="0"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 55024、DL/T 853</w:t>
                  </w:r>
                </w:p>
              </w:tc>
            </w:tr>
          </w:tbl>
          <w:p w14:paraId="4A6FDAA5">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9"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 使用环境</w:t>
            </w:r>
          </w:p>
          <w:p w14:paraId="7E6E9D55">
            <w:pPr>
              <w:keepNext w:val="0"/>
              <w:keepLines w:val="0"/>
              <w:pageBreakBefore w:val="0"/>
              <w:widowControl/>
              <w:numPr>
                <w:ilvl w:val="0"/>
                <w:numId w:val="13"/>
              </w:numPr>
              <w:suppressLineNumbers w:val="0"/>
              <w:pBdr>
                <w:left w:val="none" w:color="auto" w:sz="0" w:space="0"/>
              </w:pBdr>
              <w:kinsoku/>
              <w:wordWrap/>
              <w:overflowPunct/>
              <w:topLinePunct w:val="0"/>
              <w:autoSpaceDE/>
              <w:autoSpaceDN/>
              <w:bidi w:val="0"/>
              <w:adjustRightInd/>
              <w:snapToGrid/>
              <w:spacing w:before="0" w:beforeAutospacing="0" w:after="0" w:afterAutospacing="0" w:line="29" w:lineRule="atLeast"/>
              <w:ind w:left="720" w:hanging="294"/>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环境温度：0～40℃</w:t>
            </w:r>
          </w:p>
          <w:p w14:paraId="75B7E488">
            <w:pPr>
              <w:keepNext w:val="0"/>
              <w:keepLines w:val="0"/>
              <w:pageBreakBefore w:val="0"/>
              <w:widowControl/>
              <w:numPr>
                <w:ilvl w:val="0"/>
                <w:numId w:val="13"/>
              </w:numPr>
              <w:suppressLineNumbers w:val="0"/>
              <w:pBdr>
                <w:left w:val="none" w:color="auto" w:sz="0" w:space="0"/>
              </w:pBdr>
              <w:kinsoku/>
              <w:wordWrap/>
              <w:overflowPunct/>
              <w:topLinePunct w:val="0"/>
              <w:autoSpaceDE/>
              <w:autoSpaceDN/>
              <w:bidi w:val="0"/>
              <w:adjustRightInd/>
              <w:snapToGrid/>
              <w:spacing w:before="0" w:beforeAutospacing="0" w:after="0" w:afterAutospacing="0" w:line="29" w:lineRule="atLeast"/>
              <w:ind w:left="720" w:hanging="294"/>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相对湿度：≤85%无凝露</w:t>
            </w:r>
          </w:p>
          <w:p w14:paraId="29A5614E">
            <w:pPr>
              <w:keepNext w:val="0"/>
              <w:keepLines w:val="0"/>
              <w:pageBreakBefore w:val="0"/>
              <w:widowControl/>
              <w:numPr>
                <w:ilvl w:val="0"/>
                <w:numId w:val="13"/>
              </w:numPr>
              <w:suppressLineNumbers w:val="0"/>
              <w:pBdr>
                <w:left w:val="none" w:color="auto" w:sz="0" w:space="0"/>
              </w:pBdr>
              <w:kinsoku/>
              <w:wordWrap/>
              <w:overflowPunct/>
              <w:topLinePunct w:val="0"/>
              <w:autoSpaceDE/>
              <w:autoSpaceDN/>
              <w:bidi w:val="0"/>
              <w:adjustRightInd/>
              <w:snapToGrid/>
              <w:spacing w:before="0" w:beforeAutospacing="0" w:after="0" w:afterAutospacing="0" w:line="29" w:lineRule="atLeast"/>
              <w:ind w:left="720" w:hanging="294"/>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供电：AC220V±10% 50Hz</w:t>
            </w:r>
          </w:p>
          <w:p w14:paraId="7480767B">
            <w:pPr>
              <w:keepNext w:val="0"/>
              <w:keepLines w:val="0"/>
              <w:pageBreakBefore w:val="0"/>
              <w:widowControl/>
              <w:numPr>
                <w:ilvl w:val="0"/>
                <w:numId w:val="13"/>
              </w:numPr>
              <w:suppressLineNumbers w:val="0"/>
              <w:pBdr>
                <w:left w:val="none" w:color="auto" w:sz="0" w:space="0"/>
              </w:pBdr>
              <w:kinsoku/>
              <w:wordWrap/>
              <w:overflowPunct/>
              <w:topLinePunct w:val="0"/>
              <w:autoSpaceDE/>
              <w:autoSpaceDN/>
              <w:bidi w:val="0"/>
              <w:adjustRightInd/>
              <w:snapToGrid/>
              <w:spacing w:before="0" w:beforeAutospacing="0" w:after="0" w:afterAutospacing="0" w:line="29" w:lineRule="atLeast"/>
              <w:ind w:left="720" w:hanging="294"/>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场所：室内实训/考场</w:t>
            </w:r>
          </w:p>
          <w:p w14:paraId="15325E5A">
            <w:pPr>
              <w:pStyle w:val="4"/>
              <w:keepNext w:val="0"/>
              <w:keepLines w:val="0"/>
              <w:pageBreakBefore w:val="0"/>
              <w:widowControl w:val="0"/>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 试验与验收</w:t>
            </w:r>
          </w:p>
          <w:p w14:paraId="58CE0EC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1）出厂试验：保护逻辑、故障触发、显示、报警、安全全部合格2）现场验收：定值整定、故障排查、动作模拟正常3）不合格：供方免费更换、调试至合格</w:t>
            </w:r>
          </w:p>
          <w:p w14:paraId="472490B5">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 技术服务与质保</w:t>
            </w:r>
          </w:p>
          <w:p w14:paraId="51D4F6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1）现场安装、调试、培训、考核指导2）质保期≥12 个月3）24 小时响应，72 小时解决方案</w:t>
            </w:r>
          </w:p>
          <w:p w14:paraId="0261F3E1">
            <w:pPr>
              <w:pStyle w:val="4"/>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88" w:lineRule="atLeast"/>
              <w:ind w:lef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 包装与运输</w:t>
            </w:r>
          </w:p>
          <w:p w14:paraId="7523A8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color w:val="auto"/>
                <w:kern w:val="0"/>
                <w:sz w:val="24"/>
                <w:szCs w:val="24"/>
                <w:lang w:val="en-US" w:eastAsia="zh-CN" w:bidi="ar"/>
              </w:rPr>
              <w:t>防潮、防撞、分类包装，平稳运输，严禁碰撞、淋雨、倒置。</w:t>
            </w:r>
          </w:p>
        </w:tc>
      </w:tr>
      <w:tr w14:paraId="543B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4" w:type="dxa"/>
            <w:vAlign w:val="center"/>
          </w:tcPr>
          <w:p w14:paraId="1D41088E">
            <w:pPr>
              <w:keepNext/>
              <w:keepLines w:val="0"/>
              <w:widowControl/>
              <w:numPr>
                <w:ilvl w:val="0"/>
                <w:numId w:val="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0"/>
                <w:vertAlign w:val="baseline"/>
                <w:lang w:val="en-US" w:eastAsia="zh-CN" w:bidi="ar"/>
              </w:rPr>
            </w:pPr>
          </w:p>
        </w:tc>
        <w:tc>
          <w:tcPr>
            <w:tcW w:w="0" w:type="auto"/>
            <w:vAlign w:val="center"/>
          </w:tcPr>
          <w:p w14:paraId="23FE101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触电事故现场应急处置</w:t>
            </w:r>
          </w:p>
        </w:tc>
        <w:tc>
          <w:tcPr>
            <w:tcW w:w="854" w:type="dxa"/>
            <w:vAlign w:val="center"/>
          </w:tcPr>
          <w:p w14:paraId="57555E92">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54" w:type="dxa"/>
            <w:vAlign w:val="center"/>
          </w:tcPr>
          <w:p w14:paraId="472043E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86" w:type="dxa"/>
            <w:vAlign w:val="center"/>
          </w:tcPr>
          <w:p w14:paraId="5F577661">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设备是由低压触电事故应急处理模块、高压触电事故应急处理模块构成。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1、低压触电应急模块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由心肺复苏模拟操作系统（模拟假人）1套、空开盒1个、漏电保护器1个、低压电线2根、木棒1根、铁棒1根、应急照明灯1盏、绝缘夹钳1个、高压拉闸杆1根等用具构成。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2、高压触电应急模块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由心肺复苏模拟操作系统（模拟假人）1套、架空电缆1根、应急照明灯1盏、验电棒1根、电话机1台、绝缘夹钳1个、高压拉闸杆1根等用具构成。</w:t>
            </w:r>
          </w:p>
        </w:tc>
      </w:tr>
      <w:tr w14:paraId="30A7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4" w:type="dxa"/>
            <w:vAlign w:val="center"/>
          </w:tcPr>
          <w:p w14:paraId="61A1A100">
            <w:pPr>
              <w:keepNext/>
              <w:keepLines w:val="0"/>
              <w:widowControl/>
              <w:numPr>
                <w:ilvl w:val="0"/>
                <w:numId w:val="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0"/>
                <w:vertAlign w:val="baseline"/>
                <w:lang w:val="en-US" w:eastAsia="zh-CN" w:bidi="ar"/>
              </w:rPr>
            </w:pPr>
          </w:p>
        </w:tc>
        <w:tc>
          <w:tcPr>
            <w:tcW w:w="0" w:type="auto"/>
            <w:vAlign w:val="center"/>
          </w:tcPr>
          <w:p w14:paraId="0C84F6E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创伤包扎模拟人</w:t>
            </w:r>
          </w:p>
        </w:tc>
        <w:tc>
          <w:tcPr>
            <w:tcW w:w="854" w:type="dxa"/>
            <w:vAlign w:val="center"/>
          </w:tcPr>
          <w:p w14:paraId="5557D2D4">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54" w:type="dxa"/>
            <w:vAlign w:val="center"/>
          </w:tcPr>
          <w:p w14:paraId="78519DD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86" w:type="dxa"/>
            <w:vAlign w:val="center"/>
          </w:tcPr>
          <w:p w14:paraId="0FF28639">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创伤包扎实操培训建设严格按照《特种作业安全技术实际操作培训标准及培训点设备配备标准（试行）》中创伤包扎实操培训要求，培训知识点符合国家培训大纲中创伤包扎环节标准培训要求。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创伤包扎是外伤现场应急处理的重要措施之一。及时正确的包扎，可以达到压迫止血、减少感染、保护伤口、减少疼痛等目的。主要是针对纱布、绷带固定位置和包扎方式、打结方式的培训。创伤包扎综合考培系统主要培训内容包括：</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1.纱布、绷带固定方法正确；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2.包扎时压迫位置正确；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3.8字形包扎方法正确；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4.固定包扎方法正确。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满足《特种作业安全技术实际操作培训标准（试行）》培训标准要求，实现特种作业大纲创伤包扎科目实操要点培训。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检查受伤部位、对受伤部位进行包扎、包扎方法等。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1.能够实现检查受伤部位：满足对受伤部位的检查要求。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2.能够实现使用绷带进行实际8字型包扎。</w:t>
            </w:r>
          </w:p>
        </w:tc>
      </w:tr>
      <w:tr w14:paraId="3D44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4" w:type="dxa"/>
            <w:vAlign w:val="center"/>
          </w:tcPr>
          <w:p w14:paraId="21C4900C">
            <w:pPr>
              <w:keepNext/>
              <w:keepLines w:val="0"/>
              <w:widowControl/>
              <w:numPr>
                <w:ilvl w:val="0"/>
                <w:numId w:val="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0"/>
                <w:vertAlign w:val="baseline"/>
                <w:lang w:val="en-US" w:eastAsia="zh-CN" w:bidi="ar"/>
              </w:rPr>
            </w:pPr>
          </w:p>
        </w:tc>
        <w:tc>
          <w:tcPr>
            <w:tcW w:w="0" w:type="auto"/>
            <w:vAlign w:val="center"/>
          </w:tcPr>
          <w:p w14:paraId="464B4F2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心肺复苏模拟人</w:t>
            </w:r>
          </w:p>
        </w:tc>
        <w:tc>
          <w:tcPr>
            <w:tcW w:w="854" w:type="dxa"/>
            <w:vAlign w:val="center"/>
          </w:tcPr>
          <w:p w14:paraId="535E3131">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54" w:type="dxa"/>
            <w:vAlign w:val="center"/>
          </w:tcPr>
          <w:p w14:paraId="7D8EC11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86" w:type="dxa"/>
            <w:vAlign w:val="center"/>
          </w:tcPr>
          <w:p w14:paraId="090DF81E">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人徒手心肺复苏实操考试建设严格遵循《特种作业安全技术实际操作考试标准及考试点设备配备标准（试行）》中关于单人徒手心肺复苏实操考试的要求。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1.设备规格与参数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2.1设备规格</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1、设备尺寸：</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心肺复苏模拟人：≥1700mm×550mm×250mm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2、设备重量：≤25kg</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2.2 使用环境</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1、温度：-10℃～+40℃；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2、相对湿度：≤90%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3、海拔：≤4000m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4、考场工位面积占地空间：≤4㎡</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3、硬件参数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1、心肺复苏模拟人考核终端一体机采用卧式底座设计，考生在蹲下进行心肺复苏操作时，显示器屏的角度与人眼视觉处在最佳位置，方便考生操作。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2、模拟假人采用PVC制作，其硬度适中，关节处可适度调节，符合真人人体特征。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4、产品特点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1、占地面积小，减少设备安装空间，也便于考场灵活布局。</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2、心肺复苏模拟人与数据控制器相连，能定位按压位置、力度、频率，以播报是否按压正确，给考生急救提供实操调整。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3、设置软性垫子，人性化的配置，操作舒适。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4、模拟假人的人体器官、关节整体按真人1：1模拟。</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5、在规定的时间内完成5个循环：每个循环30次有效胸外按压和5次有效吹气。模拟假人被救活后，会有逼真的心跳声。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6、控制器具有成绩打印功能，成绩小票显示按压、吹气正确和错误次数以及是否急救成功等信息。</w:t>
            </w:r>
          </w:p>
        </w:tc>
      </w:tr>
      <w:tr w14:paraId="1B1E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4" w:type="dxa"/>
            <w:vAlign w:val="center"/>
          </w:tcPr>
          <w:p w14:paraId="50ED614E">
            <w:pPr>
              <w:keepNext/>
              <w:keepLines w:val="0"/>
              <w:widowControl/>
              <w:numPr>
                <w:ilvl w:val="0"/>
                <w:numId w:val="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0"/>
                <w:vertAlign w:val="baseline"/>
                <w:lang w:val="en-US" w:eastAsia="zh-CN" w:bidi="ar"/>
              </w:rPr>
            </w:pPr>
          </w:p>
        </w:tc>
        <w:tc>
          <w:tcPr>
            <w:tcW w:w="0" w:type="auto"/>
            <w:vAlign w:val="center"/>
          </w:tcPr>
          <w:p w14:paraId="2792133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灭火器的选择和使用实操考核设备</w:t>
            </w:r>
          </w:p>
        </w:tc>
        <w:tc>
          <w:tcPr>
            <w:tcW w:w="854" w:type="dxa"/>
            <w:vAlign w:val="center"/>
          </w:tcPr>
          <w:p w14:paraId="103FE108">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54" w:type="dxa"/>
            <w:vAlign w:val="center"/>
          </w:tcPr>
          <w:p w14:paraId="428FAE1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86" w:type="dxa"/>
            <w:vAlign w:val="center"/>
          </w:tcPr>
          <w:p w14:paraId="6B80AF6E">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1、设备考试过程中随机抓拍考生3张照片附在成绩单后面，有效防止舞弊行为；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2、具备刷身份证读取考生身份信息功能；具有进行手动输入姓名、身份证号获取考生身份信息功能，手动输入时，自动弹出软键盘功能，输入时自动检测身份证长度；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3、软件具有考试模式（系统对每一个科目下的子科目随机抽取，进行考试）和培训练习模式（可对每一个科目下的所有子科目自行选择，预览所有答题进行练习）功能；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4、根据国家实操考核大纲及地方要求设置补考次数限制功能，设置补考次，默认为2次，可根据考场需求自行设置补考次数，考生可以在规定考试次数内进行补考操作，否则不能再进行补考操作；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5、具有考生成绩本地查询功能及题库自动更新功能，考生成绩保存至本地，可进行查询操作；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6、系统至少需要提供十四个起火场景动画，考生根据不同起火的类型选择灭火器，选择错误不能灭火、系统自动判定0分并终止考试，选择正确可拿起灭火器对准屏幕的火源进行灭火操作，系统自动判分。</w:t>
            </w:r>
          </w:p>
        </w:tc>
      </w:tr>
      <w:tr w14:paraId="724B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4" w:type="dxa"/>
            <w:vAlign w:val="center"/>
          </w:tcPr>
          <w:p w14:paraId="21DD9B4A">
            <w:pPr>
              <w:keepNext/>
              <w:keepLines w:val="0"/>
              <w:widowControl/>
              <w:numPr>
                <w:ilvl w:val="0"/>
                <w:numId w:val="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0"/>
                <w:vertAlign w:val="baseline"/>
                <w:lang w:val="en-US" w:eastAsia="zh-CN" w:bidi="ar"/>
              </w:rPr>
            </w:pPr>
          </w:p>
        </w:tc>
        <w:tc>
          <w:tcPr>
            <w:tcW w:w="0" w:type="auto"/>
            <w:vAlign w:val="center"/>
          </w:tcPr>
          <w:p w14:paraId="6C22B34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拾音扩音系统</w:t>
            </w:r>
          </w:p>
        </w:tc>
        <w:tc>
          <w:tcPr>
            <w:tcW w:w="854" w:type="dxa"/>
            <w:vAlign w:val="center"/>
          </w:tcPr>
          <w:p w14:paraId="20E25691">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54" w:type="dxa"/>
            <w:vAlign w:val="center"/>
          </w:tcPr>
          <w:p w14:paraId="2A61451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86" w:type="dxa"/>
            <w:vAlign w:val="center"/>
          </w:tcPr>
          <w:p w14:paraId="24FD3A3C">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1、8寸卡包音响：单8寸箱贴皮箱，低音100磁35芯+2个3寸高音，流线型的冲印灰色钢网。低音采用进口的复合松压纸盆，120磁双磁路设计。采用了发烧级耦合电容，致使中高频表现得也非常突出。频率范围;60HZ-18KHZ  单元配置;LF:8"×1HF:3"×2  阻抗;8Ω 灵敏度;90DB  额定功率;80W  最大功率;160W  最大声压;112DB   重量;7.5KG  外形尺寸;460L×238D×268H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2、合并式功放：1.双混响卡拉OK电路.真实的空间环绕混响.唱歌效果一流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2.高档VFD荧光显示屏.华丽惊艳的蓝色显示.独显气派</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3.双变色大按键.配合2.5U新型高档面板.特别适合高档场所</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4.USB/SD.蓝牙.FM收音功能.能播放MP3/WMA高品质的音乐.采用高保真的音频专用线路.还原HIFI级的听觉效果.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5.采用SMT贴片技术.性能更稳定</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6.专业级的功放保护系统.有全方位的温度保护（包括变压器和散热器）.短路保护.和风扇的温控变速等        8Ω 平均功率  200W×2           4Ω 平均功率  350W×2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頻率模式  20Hz-20KHz.（+0.5.-0.5db)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输入灵敏度：25mv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瞬態回應 ：20V/μs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信噪比  ＞93dB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總諧波失真 ：&lt;0.05% 430mmX290mmX120mm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3、一拖二无线话筒：1.UHF频段传输信号，频率范围:500-980MHz；</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2.双通道接收信号,每通道有100个通道可选，每个通道以250KHz步进；每通道用25MHz*2=50MHz；</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3.采用稳定的PLL数位锁相环合成技术和智能数字线路，整机性能稳定性显著提高；</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4.各通道配备独有的ID号，增强抗干扰功能，支持多台叠机使用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5.背面设有2个独立平衡输出和1个混合非平衡输出，适合连接各种外置设备；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6.超静音轻触开关，轻按0.5S开启进入工作状态；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7.话筒耗电量为80mA，使用1.5V电池（2粒）供电，可连续使用6小时(配高端电池时)；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8.主机和发射器均具备LCD屏显示工作状态等内容</w:t>
            </w:r>
          </w:p>
        </w:tc>
      </w:tr>
      <w:tr w14:paraId="3C16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4" w:type="dxa"/>
            <w:vAlign w:val="center"/>
          </w:tcPr>
          <w:p w14:paraId="7731B6A7">
            <w:pPr>
              <w:keepNext/>
              <w:keepLines w:val="0"/>
              <w:widowControl/>
              <w:numPr>
                <w:ilvl w:val="0"/>
                <w:numId w:val="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0"/>
                <w:vertAlign w:val="baseline"/>
                <w:lang w:val="en-US" w:eastAsia="zh-CN" w:bidi="ar"/>
              </w:rPr>
            </w:pPr>
          </w:p>
        </w:tc>
        <w:tc>
          <w:tcPr>
            <w:tcW w:w="0" w:type="auto"/>
            <w:vAlign w:val="center"/>
          </w:tcPr>
          <w:p w14:paraId="1B13359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便携式音响（配话筒）</w:t>
            </w:r>
          </w:p>
        </w:tc>
        <w:tc>
          <w:tcPr>
            <w:tcW w:w="854" w:type="dxa"/>
            <w:vAlign w:val="center"/>
          </w:tcPr>
          <w:p w14:paraId="60C33110">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54" w:type="dxa"/>
            <w:vAlign w:val="center"/>
          </w:tcPr>
          <w:p w14:paraId="610B222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86" w:type="dxa"/>
            <w:vAlign w:val="center"/>
          </w:tcPr>
          <w:p w14:paraId="00C09317">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 10寸梯形木质箱体，顶部带2个麦左风底座。底部金属万向轮                                                                 2. 额定功率：100W,输出功率400W                                                                       3. 内置12V4.5A蓄电池，可外接12V                                                                                  4. 扬声器： 低音10"+4"中音+汝磁高音</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5. 带USB、TF插卡功能，带蓝牙, 语音提示，录音，收音，循环播放、TWS功能，消原音，带话筒优先功能， 大遥控调节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   3.5 AUX输入                                                                                                7.   RCA信号输入和输出                                                                                                 8、 支持二路有线麦克风输入，                                     9、 支持一路乐器输入                                                                                                                                                                                                                                                                                                                  10、配两只U段充电调频话筒                                                                                      11、裸机尺寸：323*322*582mm,  棕色包装， 一台一件， 单件体积： 0.103. 毛重： 15KG</w:t>
            </w:r>
          </w:p>
        </w:tc>
      </w:tr>
      <w:tr w14:paraId="5A27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4" w:type="dxa"/>
            <w:vAlign w:val="center"/>
          </w:tcPr>
          <w:p w14:paraId="04C9C2E8">
            <w:pPr>
              <w:keepNext/>
              <w:keepLines w:val="0"/>
              <w:widowControl/>
              <w:numPr>
                <w:ilvl w:val="0"/>
                <w:numId w:val="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0"/>
                <w:vertAlign w:val="baseline"/>
                <w:lang w:val="en-US" w:eastAsia="zh-CN" w:bidi="ar"/>
              </w:rPr>
            </w:pPr>
          </w:p>
        </w:tc>
        <w:tc>
          <w:tcPr>
            <w:tcW w:w="1440" w:type="dxa"/>
            <w:vAlign w:val="center"/>
          </w:tcPr>
          <w:p w14:paraId="5F2E1FA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文化建设</w:t>
            </w:r>
          </w:p>
        </w:tc>
        <w:tc>
          <w:tcPr>
            <w:tcW w:w="854" w:type="dxa"/>
            <w:vAlign w:val="center"/>
          </w:tcPr>
          <w:p w14:paraId="6EF5DDAC">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54" w:type="dxa"/>
            <w:vAlign w:val="center"/>
          </w:tcPr>
          <w:p w14:paraId="4C0C596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0"/>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86" w:type="dxa"/>
            <w:vAlign w:val="center"/>
          </w:tcPr>
          <w:p w14:paraId="75E26660">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1.实训工位吊牌（实训中心各区域名称等）</w:t>
            </w:r>
          </w:p>
          <w:p w14:paraId="3181E0D1">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2.横版常规造型料文化墙（实训基地简介，建设目标，建设规划，优秀教师、学生团队风采墙等）</w:t>
            </w:r>
          </w:p>
          <w:p w14:paraId="1252A755">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3.竖版常规尺寸海报（规章制度/功能展板/知识墙/发展历程等文本/学校 logo、 校训等/优秀教师、学生团队风采墙等）</w:t>
            </w:r>
          </w:p>
          <w:p w14:paraId="0430C45F">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注：文化墙尺寸按实际墙面尺寸定制</w:t>
            </w:r>
          </w:p>
        </w:tc>
      </w:tr>
    </w:tbl>
    <w:p w14:paraId="710215C2">
      <w:pPr>
        <w:pStyle w:val="4"/>
        <w:bidi w:val="0"/>
        <w:rPr>
          <w:rFonts w:hint="eastAsia"/>
          <w:color w:val="auto"/>
          <w:lang w:val="en-US" w:eastAsia="zh-CN"/>
        </w:rPr>
      </w:pPr>
      <w:r>
        <w:rPr>
          <w:rFonts w:hint="eastAsia"/>
          <w:color w:val="auto"/>
          <w:lang w:val="en-US" w:eastAsia="zh-CN"/>
        </w:rPr>
        <w:t>2.</w:t>
      </w:r>
      <w:r>
        <w:rPr>
          <w:rFonts w:hint="eastAsia" w:ascii="仿宋" w:hAnsi="仿宋" w:eastAsia="仿宋" w:cs="仿宋"/>
          <w:b/>
          <w:bCs/>
          <w:color w:val="auto"/>
          <w:sz w:val="24"/>
          <w:szCs w:val="24"/>
          <w:highlight w:val="none"/>
          <w:u w:val="none"/>
        </w:rPr>
        <w:t>新能源电工电子实训室</w:t>
      </w:r>
    </w:p>
    <w:tbl>
      <w:tblPr>
        <w:tblStyle w:val="2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418"/>
        <w:gridCol w:w="886"/>
        <w:gridCol w:w="886"/>
        <w:gridCol w:w="5212"/>
      </w:tblGrid>
      <w:tr w14:paraId="5B07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86" w:type="dxa"/>
            <w:vAlign w:val="center"/>
          </w:tcPr>
          <w:p w14:paraId="421E0A44">
            <w:pPr>
              <w:pStyle w:val="2"/>
              <w:keepNext/>
              <w:snapToGrid w:val="0"/>
              <w:ind w:left="0" w:leftChars="0" w:right="0" w:rightChars="0" w:firstLine="0" w:firstLineChars="0"/>
              <w:rPr>
                <w:rFonts w:hint="eastAsia" w:ascii="仿宋" w:hAnsi="仿宋" w:eastAsia="仿宋" w:cs="仿宋"/>
                <w:b/>
                <w:bCs/>
                <w:color w:val="auto"/>
                <w:kern w:val="0"/>
                <w:sz w:val="24"/>
                <w:szCs w:val="24"/>
                <w:vertAlign w:val="baseline"/>
                <w:lang w:val="en-US" w:eastAsia="zh-CN" w:bidi="ar"/>
              </w:rPr>
            </w:pPr>
            <w:bookmarkStart w:id="712" w:name="_Toc5425"/>
            <w:bookmarkStart w:id="713" w:name="_Toc24613"/>
            <w:r>
              <w:rPr>
                <w:rFonts w:hint="eastAsia" w:ascii="仿宋" w:hAnsi="仿宋" w:eastAsia="仿宋" w:cs="仿宋"/>
                <w:b/>
                <w:bCs/>
                <w:color w:val="auto"/>
                <w:kern w:val="0"/>
                <w:sz w:val="24"/>
                <w:szCs w:val="24"/>
                <w:vertAlign w:val="baseline"/>
                <w:lang w:val="en-US" w:eastAsia="zh-CN" w:bidi="ar"/>
              </w:rPr>
              <w:t>序号</w:t>
            </w:r>
            <w:bookmarkEnd w:id="712"/>
            <w:bookmarkEnd w:id="713"/>
          </w:p>
        </w:tc>
        <w:tc>
          <w:tcPr>
            <w:tcW w:w="0" w:type="auto"/>
            <w:vAlign w:val="center"/>
          </w:tcPr>
          <w:p w14:paraId="50D3BBF1">
            <w:pPr>
              <w:keepNext/>
              <w:keepLines w:val="0"/>
              <w:widowControl/>
              <w:numPr>
                <w:ilvl w:val="0"/>
                <w:numId w:val="0"/>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产品名称</w:t>
            </w:r>
          </w:p>
        </w:tc>
        <w:tc>
          <w:tcPr>
            <w:tcW w:w="886" w:type="dxa"/>
            <w:vAlign w:val="center"/>
          </w:tcPr>
          <w:p w14:paraId="28AB8506">
            <w:pPr>
              <w:keepNext/>
              <w:keepLines w:val="0"/>
              <w:widowControl/>
              <w:numPr>
                <w:ilvl w:val="0"/>
                <w:numId w:val="0"/>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数量</w:t>
            </w:r>
          </w:p>
        </w:tc>
        <w:tc>
          <w:tcPr>
            <w:tcW w:w="886" w:type="dxa"/>
            <w:vAlign w:val="center"/>
          </w:tcPr>
          <w:p w14:paraId="2F592135">
            <w:pPr>
              <w:keepNext/>
              <w:keepLines w:val="0"/>
              <w:widowControl/>
              <w:numPr>
                <w:ilvl w:val="0"/>
                <w:numId w:val="0"/>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单位</w:t>
            </w:r>
          </w:p>
        </w:tc>
        <w:tc>
          <w:tcPr>
            <w:tcW w:w="5212" w:type="dxa"/>
            <w:vAlign w:val="center"/>
          </w:tcPr>
          <w:p w14:paraId="75184C16">
            <w:pPr>
              <w:keepNext/>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技术参数</w:t>
            </w:r>
          </w:p>
        </w:tc>
      </w:tr>
      <w:tr w14:paraId="19D6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14:paraId="1A1A2DF2">
            <w:pPr>
              <w:keepNext/>
              <w:keepLines w:val="0"/>
              <w:widowControl/>
              <w:numPr>
                <w:ilvl w:val="0"/>
                <w:numId w:val="14"/>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4464CC7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电工电子综合操作实训台</w:t>
            </w:r>
          </w:p>
        </w:tc>
        <w:tc>
          <w:tcPr>
            <w:tcW w:w="886" w:type="dxa"/>
            <w:vAlign w:val="center"/>
          </w:tcPr>
          <w:p w14:paraId="3ABB72F2">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86" w:type="dxa"/>
            <w:vAlign w:val="center"/>
          </w:tcPr>
          <w:p w14:paraId="052E21E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12" w:type="dxa"/>
            <w:vAlign w:val="center"/>
          </w:tcPr>
          <w:p w14:paraId="17FB9102">
            <w:pPr>
              <w:keepNext/>
              <w:keepLines w:val="0"/>
              <w:widowControl/>
              <w:numPr>
                <w:ilvl w:val="0"/>
                <w:numId w:val="15"/>
              </w:numPr>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产品要求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电工电子综合实训台具备产业电子元器件焊接工作平台、平台配置各种类型电子电路元器件板，元器件板采用小块拼装形式，根据不同电路需求，匹配不同类型元器件板进行电路搭建。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二、产品功能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1、配置产业端电工电子焊接平台，配置稳压电源、焊台、示波器、波形信号发生器、万用表等仪器仪表，用于电路板元器件检修、焊接、更换等。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2、加装LED工作灯，便于实际焊接操作。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3、元器件板采用优质电路板，背面固定有磁铁，元件板可以吸附在实训板上，方便学生实训和教师教学。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4、可调稳压交流电源：输入电压AC220V，输出电压AC0-30V，输出电流≥5A。</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5、数显可调直流稳压电源：输出电压DC0-30V,输出电流0-5A。</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6、示波器：通道数≥3，模拟带宽100MHZ，实时采样率2GSa/s，最大储存深度56Mpts/CH，参数测量36种波形参数自动测量，波形录制最大帧数120000帧。</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波形信号发生器：正弦波频率范围0-20MHz，方波频率范围0-15MHz，三角波频率范围0-10MHz，脉冲波频率范围0-10MHz，波形种类包含正弦波、方波、矩形波、脉冲波、三角波、半波、全波、辛克脉冲波、高斯白噪声波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8、小型万用表：交流电压档：0-20V，毫伏档：0mV-2V，直流电压档：0-20V，直流电流档：0-2A，电阻档：0-2M，交流电流档0-2A。</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9、电学基础板包含：固定电阻，可调电阻，电容，电感，三极管，二极管，LED，555，继电器等，学生或使用者可通过所掌握的理论知识，按照实验目的，自己动手组成各种电路，快速掌握电子基础知识。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10、配置多种类模块化实训电路板，包含：</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1）保险丝实训板：安装有可更换保险丝≥15个，尺寸：≥150mm×100mm；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2）变压器实训板：安装有匝数比为2：1：1的变压器，尺寸：≥150mm×100mm；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3）电感实训板：安装有电感感值为10uH到100mH之间的≥3种电感，每种不少于4颗，尺寸：≥150mm×100mm；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4）电机实训板：安装有≥4颗直流电机，尺寸：≥150mm×100mm；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5）电容实训板：安装有10nF到470uF之间的7种电容，每种不少于3颗，尺寸：≥150mm×100mm；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6）电位器实训板：安装有≥3种不同量程精度的电位器，尺寸：≥150mm×100mm；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7）电阻实训板：安装有≥4种阻值的电阻，并且有高精度低温飘电阻，尺寸：≥150mm×100mm；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8）二极管实训板：安装有≥3种不同特性的二极管，尺寸：≥150mm×100mm；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9）功率半导体实训板：安装有≥6种不同功能参数的半导体管，尺寸：≥150mm×100mm；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10）光耦实训板：安装有≥12颗光耦合器，尺寸：≥150mm×100mm；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11）继电器实训板：安装有≥6颗继电器，尺寸：≥150mm×100mm；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12）开关实训板：安装有≥2种不同控制方式的开关，每种不少于4颗，尺寸：≥150mm×100mm；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13）芯片实训板：安装有电源芯片及计时芯片，尺寸：≥150mm×100mm；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14）LED实训板：安装有≥2种颜色的LED，每种不少于10颗，尺寸：≥150mm×100mm；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11、可进行多种类型电路搭建，包含但不限于：</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1）LED简易控制：从电源正起始，连接到自锁开关K1的一端，然后从自锁开关K1的另一端接入到LED的正端，LED的负端接电源负。</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LED延时控制：从电源正起始，连接到保险丝一端，保险丝另一端并电容C1的正端、NE555芯片的8号，4号脚，然后芯片的6号脚并电容C1的负端、电位器RT1的活动端、芯片的2号脚，然后再将芯片的3号脚连接电阻R2一端，电阻R2另一端接入LED正端，LED负端接电源负，芯片5号脚接电容C2一端，电容C2另一端接电源负，电位器RT1固定端一端接电源负，芯片1号脚接电源负。</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继电器控制：从电源正起始，连接到保险丝一端，保险丝另一端并继电器线圈端一端、继电器COM口，然后继电器线圈另一端接开关一端，开关另一端接电源负，然后继电器的NC端接电阻R1一端，电阻R1另一端接绿色LED正端，LED负端接电源负，继电器NO端接电阻R2一端，电阻R2另一端接红色LED正端，LED负端接电源负。</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PWM波可调电路：从电源正起始，连接到保险丝一端，保险丝另一端并NE555芯片的4号、8号脚，芯片1号脚接电源负，芯片2号脚并芯片6号脚、二极管D1正端、电容C1一端、二极管D2负端，电容C1另一端接电源负，芯片3号脚接电阻R1的一端，电阻R1的另一端接电位器活动端，电位器固定端一端接二极管D1负端，电位器固定端另一端并二极管D2正端、电阻R2一端，电阻R2另一端接芯片7号脚，芯片5号脚接电容C2一端，电容C2另一端接电源负。</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正弦波模拟电路：从电源正起始，连接到保险丝一端，保险丝另一端并电阻R1一端，电感L1一端，电阻R1的另一端并电容C1的一端、电阻R2的一端、三极管Q1的B端，电容C1的另一端并电容C2的一端、电感L2的一端，电阻R2的另一端接电源负，L2的另一端并电容C3的一端、三极管Q1的C端，三极管Q1的E端并电阻R3的一端、电容C2的另一端、电容C4的一端、电容C5的一端，电容C3得到另一端并C5的另一端、电感L2的另一端，电阻R3的另一端接电源负，电容C4的另一端接电源负。</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12、配置实训指导视频：</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1）IGBT驱动电路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2）LC滤波电路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3）LDO5.5V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4）LDO稳压电路3.3V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5）LED简易控制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6）LED延时控制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7）MOS驱动电路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8）PWM可调电路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9）RC 滤波电路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10）半波整流电路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11）串并联电路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12）电机正反转电路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13）多级驱动电路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14）恒定变压电路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15）继电器驱动电路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16）简易稳压电路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17）逆变电路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18）全波整流电路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19）正弦波模拟电路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三、实训任务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1）串并联实训电路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2）LED简易控制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3）LED延时控制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4）继电器驱动电路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5）电机正反转电路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6）RC滤波电路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7）LC滤波电路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8）LDO稳压电路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9）555PWM可调电路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10）正弦波模拟电路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11）简易稳压保护电路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12）恒定变压电路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13）MOS驱动电路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14）IGBT驱动电路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15）多级驱动电路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16）半波电路整流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17）全波整流电路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18）逆变电路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四、配置电子焊接工具清单（使用EV棉开槽摆放于抽屉内）</w:t>
            </w:r>
          </w:p>
          <w:p w14:paraId="5ED4E307">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电烙铁 1 台</w:t>
            </w:r>
          </w:p>
          <w:p w14:paraId="07AAD63F">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放大镜带灯烙铁支架 1 套</w:t>
            </w:r>
          </w:p>
          <w:p w14:paraId="6CCE1E1E">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焊锡丝 1 卷</w:t>
            </w:r>
          </w:p>
          <w:p w14:paraId="05E81F43">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松香 1 盒</w:t>
            </w:r>
          </w:p>
          <w:p w14:paraId="6AB9DD8E">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飞线 1 卷</w:t>
            </w:r>
          </w:p>
          <w:p w14:paraId="6DCA7EC7">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镊子 1 把</w:t>
            </w:r>
          </w:p>
          <w:p w14:paraId="2A8FEB62">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吸锡器 1 把</w:t>
            </w:r>
          </w:p>
          <w:p w14:paraId="280DD098">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万用表 1 个</w:t>
            </w:r>
          </w:p>
          <w:p w14:paraId="05E727FF">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美工刀 1 把</w:t>
            </w:r>
          </w:p>
          <w:p w14:paraId="6992F14E">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水口钳 1 把</w:t>
            </w:r>
          </w:p>
          <w:p w14:paraId="5D9B270B">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尖嘴钳 1 把</w:t>
            </w:r>
          </w:p>
          <w:p w14:paraId="67FF1E30">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电笔 1 把</w:t>
            </w:r>
          </w:p>
          <w:p w14:paraId="09C83D92">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5x100十字螺丝刀 1 把</w:t>
            </w:r>
          </w:p>
          <w:p w14:paraId="4AEAAECC">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5x100一字螺丝刀 1 把</w:t>
            </w:r>
          </w:p>
          <w:p w14:paraId="4883D151">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3x75十字螺丝刀 1 把</w:t>
            </w:r>
          </w:p>
          <w:p w14:paraId="2F2F10DB">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3x75一字螺丝刀 1 把</w:t>
            </w:r>
          </w:p>
          <w:p w14:paraId="6CD4AF68">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洞洞板 10 块</w:t>
            </w:r>
          </w:p>
          <w:p w14:paraId="1EC5B907">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可调电阻器包 1 包</w:t>
            </w:r>
          </w:p>
          <w:p w14:paraId="4DA8107A">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元器件包 1 盒</w:t>
            </w:r>
          </w:p>
          <w:p w14:paraId="2B2990ED">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10种IRF场效应管 1 盒</w:t>
            </w:r>
          </w:p>
          <w:p w14:paraId="6EDC7AC3">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NE555直插DIP-8 10 颗</w:t>
            </w:r>
          </w:p>
          <w:p w14:paraId="1469B100">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直插光耦 10 颗</w:t>
            </w:r>
          </w:p>
          <w:p w14:paraId="07D3E4EE">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直插轻触开关 10 颗</w:t>
            </w:r>
          </w:p>
          <w:p w14:paraId="6041E758">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自锁按键开关 10 颗</w:t>
            </w:r>
          </w:p>
          <w:p w14:paraId="07F269A4">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1mH电感 5 颗</w:t>
            </w:r>
          </w:p>
          <w:p w14:paraId="1A8986F3">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10uH电感 5 颗</w:t>
            </w:r>
          </w:p>
          <w:p w14:paraId="40B4AB9E">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100mH电感 5 颗</w:t>
            </w:r>
          </w:p>
          <w:p w14:paraId="23758850">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30cm黑色香蕉插头导线 10 根</w:t>
            </w:r>
          </w:p>
          <w:p w14:paraId="189CF703">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30cm红色香蕉插头导线 10 根</w:t>
            </w:r>
          </w:p>
          <w:p w14:paraId="54D56F4A">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50cm黑色香蕉插头导线 10 根</w:t>
            </w:r>
          </w:p>
          <w:p w14:paraId="138EB3CF">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50cm红色香蕉插头导线 10 根</w:t>
            </w:r>
          </w:p>
          <w:p w14:paraId="47A111FF">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交流电源导线 3 根</w:t>
            </w:r>
          </w:p>
          <w:p w14:paraId="66DCA551">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信号发生器导线 2 根</w:t>
            </w:r>
          </w:p>
          <w:p w14:paraId="3DA0E423">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直流电源导线 2 根</w:t>
            </w:r>
          </w:p>
          <w:p w14:paraId="404480DA">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五、配套“电工电子交互软件”课程资源</w:t>
            </w:r>
          </w:p>
          <w:p w14:paraId="4777D0D3">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1.产品要求</w:t>
            </w:r>
          </w:p>
          <w:p w14:paraId="606E3065">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该软件课程内容以实物为原型，采用工业建模方式1:1比例还原真实的汽车电工电子元器件。软件内采用目前汽车上都广泛采用的电工电子元器件，后续还可以根据教学需求进行扩展二次开发添加更多不同的内容。</w:t>
            </w:r>
          </w:p>
          <w:p w14:paraId="11BBD95B">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2.技术要求</w:t>
            </w:r>
          </w:p>
          <w:p w14:paraId="32C9C987">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2.1开发工具：Unity 3D。</w:t>
            </w:r>
          </w:p>
          <w:p w14:paraId="2173A82F">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2.2运行环境：Windows平台。</w:t>
            </w:r>
          </w:p>
          <w:p w14:paraId="5E70F09C">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2.3通过鼠标或触控在场景中进行流畅交互操作。可对电工电子元器件的结构进行360度任意旋转、放大、缩小，基于多边形网格公式，可自动适配模型的最佳视点。</w:t>
            </w:r>
          </w:p>
          <w:p w14:paraId="38FA626A">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2.4采用资源异步加载功能，可实现硬件优化和内容的迭代扩展。</w:t>
            </w:r>
          </w:p>
          <w:p w14:paraId="77F8F7AE">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2.5所有三维模型是参照物理尺寸建模，采用PBR（基于物理的渲染）流程还原全局真实照明，更直观展现电工电子元器件结构与工作原理。</w:t>
            </w:r>
          </w:p>
          <w:p w14:paraId="1AD6481A">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2.6背景音乐：左上角图标可以设置背景音乐打开或关闭，可以调节音量输出高低。</w:t>
            </w:r>
          </w:p>
          <w:p w14:paraId="2BF4AE6D">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2.7电工电子元器件模型是用几何相似或物理类比方法建立的，它可以描述系统的内部特性，也可以描述实训所必需的环境条件。</w:t>
            </w:r>
          </w:p>
          <w:p w14:paraId="3BB27D42">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2.8软件主页需布局有“色环电阻、二极管、三极管、电容、电感线圈、电路板识别”等对应图标学习入口，点击图标即进入相关知识点的学习。内容运行界面分为不少于三个区域展示，区域一是电工电子元器件的线框图，展示元器件内部结构。区域二中会有部件高亮图标闪烁提示，每一个部件都有相对应的名称显示信息。点击对应的标注名称可以跳转至单独部件，可对其360度旋转、平移、放大、缩小等操作。需设置不少于六种不同视角，方便对部件全方位结构认知。点击返回图标，即可返回模拟操作主界面。区域三是信息注释栏，主要介绍色环电阻、二极管、三极管、电容、电感线圈等原理知识，便于学生更好的学习掌握要点。信息注释栏两侧的箭头，点击高亮箭头可跳转到当前模块的上一个内容知识点或下一个内容，方便学生进行回顾学习或熟练的学生便捷学习。（需在投标响应文件中提供相关证明材料）</w:t>
            </w:r>
          </w:p>
          <w:p w14:paraId="6FA2F85F">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2.9实训训练过程中，若对上一步内容实训操作未达到最佳练习效果，可继续选择“上一步”针对性的加强练习，提高学习效率。</w:t>
            </w:r>
          </w:p>
          <w:p w14:paraId="31B2819C">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2.10当前实训模块完成后，可退出当前模块返回主页选择其他模块学习或者再次选择当前模块巩固训练。通过交互训练，学员们充分了解自己所学的知识，应用领域，应用前景等，将理论与实践相结合，增强了对专业技术的认识。</w:t>
            </w:r>
          </w:p>
        </w:tc>
      </w:tr>
      <w:tr w14:paraId="0F47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14:paraId="6C9C2C4C">
            <w:pPr>
              <w:keepNext/>
              <w:keepLines w:val="0"/>
              <w:widowControl/>
              <w:numPr>
                <w:ilvl w:val="0"/>
                <w:numId w:val="14"/>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1D33935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电工电子实训箱</w:t>
            </w:r>
          </w:p>
        </w:tc>
        <w:tc>
          <w:tcPr>
            <w:tcW w:w="886" w:type="dxa"/>
            <w:vAlign w:val="center"/>
          </w:tcPr>
          <w:p w14:paraId="3A3D43EA">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40</w:t>
            </w:r>
          </w:p>
        </w:tc>
        <w:tc>
          <w:tcPr>
            <w:tcW w:w="886" w:type="dxa"/>
            <w:vAlign w:val="center"/>
          </w:tcPr>
          <w:p w14:paraId="1429216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12" w:type="dxa"/>
            <w:vAlign w:val="center"/>
          </w:tcPr>
          <w:p w14:paraId="0850A101">
            <w:pPr>
              <w:keepNext/>
              <w:keepLines w:val="0"/>
              <w:widowControl/>
              <w:suppressLineNumbers w:val="0"/>
              <w:snapToGrid w:val="0"/>
              <w:ind w:left="0" w:leftChars="0" w:right="0" w:rightChars="0" w:firstLine="0" w:firstLineChars="0"/>
              <w:jc w:val="left"/>
              <w:textAlignment w:val="bottom"/>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一、概述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采用“模块化”结构设计，通过对实际应用电路的训练，可达到对电工电子原理的电路分析及一般单片机控制与编程的能力。</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二、电气性能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额定工作电压：AC220V；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输出电压：可调直流+12V 2A；</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使用温度：0℃～60℃；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使用湿度：0～90﹪。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三、基本结构:</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 航空外箱尺寸：约≥55X38X22CM；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 共≥9个电路模块，磁吸固定。</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3.屏幕：尺寸≥17.3寸，刷新率：60Hz</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4.终端：内存：DDR5+12G，硬盘≥256G，CPU：13代Intel</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四、功能要求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1、产品包含电工电子实训箱及配套实训板等重要产品组成。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2、电工电子实训箱体采用航空用高标准专用铝合骨架，ABS 材质面板制造。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3、配套定制电学基础板、车载电力电子实训板等重要模块组成。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4、电工电子实训板上的元器件模块采用模块化设计，学生或使用者可通过所掌握的理论知识，按照实验目的，自己动手组成各种电路，快速掌握电子基础知识。可完成常规电路元器件的结构认知，包含且不仅限于：电阻、电容、电感等重要元器件，组成完成后可进行系统搭配调试练习。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5、配置多种模块化类型实训板</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1)数码管驱动实训板：安装有74LS48N驱动芯片2个，尺寸：≥120mm×80mm；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2)555/LM7805CT芯片集成实训板：安装有NE555芯片≥2个以及LM7805W稳压芯片，尺寸：≥120mm×80mm；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3)十进制计数器实训板：安装有4017计数器芯片≥2个，尺寸：≥120mm×80mm；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4)保险丝实训板：安装有可更换保险丝≥6个，尺寸：≥120mm×80mm；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5)电阻集成实训板：安装有≥4种阻值大于等于100KΩ电阻，尺寸：≥120mm×80mm；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6)电阻集成实训板：安装有≥9种阻值小于50KΩ电阻，尺寸：≥120mm×80mm；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7)单刀双掷开关实训板：安装有单刀双掷开关≥6个，尺寸：≥120mm×80mm；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8)电池/光敏电阻实训板：安装有可更换18650锂电池≥1个以及光敏电阻≥2个，尺寸：≥120mm×80mm；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9)电感实训板：安装有电感感值为10uH到100mH之间的≥3种电感，尺寸：≥120mm×80mm；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10)电容实训板：安装有1nF到470uF之间的8种电容，尺寸：≥120mm×80mm；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11)二极管实训板：安装有≥2种不同特性的二极管各5个，尺寸：≥120mm×80mm；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12)发光二极管实训板：安装有≥3种颜色的发光二极管，每种≥8个，尺寸：≥120mm×80mm；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13)电机/光学传感器实训板：安装有直流电机≥2颗以及光传感器≥2颗，尺寸：≥120mm×80mm；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14)可变电阻器实训板：安装有≥6种不同阻值区间的滑动电阻器以及热敏电阻≥3颗，尺寸：≥120mm×80mm；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15)三极管实训板：安装有≥4种不同型号的三极管，尺寸：≥120mm×80mm；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16)声音模块实训板：安装有蜂鸣器≥3颗以及声音传感器≥2颗，尺寸：≥120mm×80mm；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17)共阴数码管实训板：安装有共阴数码管≥2颗，尺寸：≥120mm×80mm；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18)雨水感应实训板：配置有雨水接触电路，尺寸：≥120mm×80mm；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19)DPDT实训板：安装有双刀双掷开关≥6个，尺寸：≥120mm×80mm；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20)5针继电器实训板：安装有5针继电器≥4颗，尺寸：≥120mm×80mm；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21)MOS管实训板：安装有≥2种不同类型的MOS管≥3颗，尺寸：≥120mm×80mm；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22)SPST实训板：安装有轻触开关≥2颗以及单刀自锁开关≥6颗，尺寸：≥120mm×80mm；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单片机实训板：安装有ESP32单片机最小系统≥1套，烧录接口为：type-C接口，尺寸：≥120mm×80mm；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6、可实现多种电路搭建，包含但不限于：</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1)双控开关电路：从电源正起始，连接保险丝 F1一端，然后从保险丝F1另一端接入自锁开关S1一端，自锁开关S1的另一端连接单刀双掷开关S2公共端，单刀双掷开关S2的开关端分别连接单刀双掷开关S3的开关端，然后 单刀双掷开关S3的公共端连接电阻R1一端，电阻R1另一端连接发光二极管LED1阳极端，发光二极管LED1阴极端接电源负极；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2)正弦波模拟电路：从电源正起始，连接保险丝F1一端，保险丝F1另一端并电阻R1一端、电感L1一端，电阻R1另一端并电容C1一端、电阻R2一端、三极管Q1的B端，电容C1的另一端并电容C2的一端、电感 L2的一端，电阻R2的另一端连接电源负，电感L1的另一端并电容C3的一端、三极管Q1的C端，三极管Q1的E端并电阻R3的一端、电容C4的一端、电容C2的另一端，电容C5的一端，电容C3的另一端并电容C5的另一端、电感L2的另一端，电阻R3的另一端接电源负，电容C4的另一端接电源负；</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数码管数字显示电路：从电源正起始，连接保险丝F1的一端，保险丝F1的另一端接自锁开关S1的一端，自锁开关S1的另一端并自锁开关S2的一端、自锁开关S3的一端、自锁开关S4的一端、自锁开关S5的一端、数码管驱动芯片U1的LT端、BI端、BI/RBO端、VCC端，自锁开关S2的另一端连接数码管驱动芯片U1的A端，自锁开关S3的另一端连接数码管驱动芯片U1的B端，自锁开关S4的另一端连接数码管驱动芯片U1的C端，自锁开关S5的另一端连接数码管驱动芯片U1的D端，数码管LED1的A端连接数码管驱动芯片U1的a端，数码管LED1的B端连接数码管驱动芯片U1的b端，数码管LED1的C端连接数码管驱动芯片U1的c端，数码管LED1的D端连接数码管驱动芯片U1的d端，数码管LED1的E端连接数码管驱动芯片U1的e端，数码管LED1的F端连接数码管驱动芯片U1的f端，数码管LED1的G端连接数码管驱动芯片U1的g端，数码管的阴极端接电源负，数码管驱动芯片U1的GND端接电源负。</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五、实训任务/电路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（1）电子电路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1.并联电路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2.串联电路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3.多种用电器连接电路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4.RC滤波电路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5.LC滤波电路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6.三极管放大电路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7.升压电路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8.降压电路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9.声控灯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10.应急灯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11.流水灯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12.正弦波模拟电路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13.数码管数字显示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14.热敏电阻感应电路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15.双控开关</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16.继电器控制LED灯电路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17.继电器控制直流电机正反转电路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18.Mos管H桥驱动电路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19.直流电机开关控制电路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20.自动感应大灯电路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21.雨水感应报警器电路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22.汽车大灯亮度调节电路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23.汽车远近光灯控制电路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24.汽车喇叭控制开关电路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25.汽车左右转向灯电路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26.汽车危险警报灯电路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27.汽车空调风扇调速电路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28.防盗报警电路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29.车窗升降控制电路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30.红外尾门开关电路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31.流水灯电路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32.数码管控制电路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33.开关信号采集电路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34.阳光采集自动大灯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35.雨水采集电路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36.温度检测电路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37.模拟双闪开关电路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38.光栅计数电路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（2）提供单片机板配合电路实现的示例源码，可完成单片机基础入门，并可根据自己的电路修改源码实现新功能，示例代码如下：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1.单片机串口数据上传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2.单片机数字输出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3.单片机流水灯控制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4.单片机数码管控制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5.单片机PWM波输出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6.单片机模拟量输出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7.单片机数字输入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8.单片机模拟输出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9.单片机亮度采集自动输出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10.开关信号输入滤波</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11.光栅滤波计数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12.模拟双闪开关</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13.温度检测输出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14.雨水采集滤波</w:t>
            </w:r>
          </w:p>
        </w:tc>
      </w:tr>
      <w:tr w14:paraId="0A07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14:paraId="2932E4D8">
            <w:pPr>
              <w:keepNext/>
              <w:keepLines w:val="0"/>
              <w:widowControl/>
              <w:numPr>
                <w:ilvl w:val="0"/>
                <w:numId w:val="14"/>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7BB39C6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bCs/>
                <w:color w:val="auto"/>
                <w:sz w:val="24"/>
                <w:szCs w:val="24"/>
                <w:highlight w:val="none"/>
                <w:u w:val="none"/>
              </w:rPr>
              <w:t>※</w:t>
            </w:r>
            <w:r>
              <w:rPr>
                <w:rFonts w:hint="eastAsia" w:ascii="仿宋" w:hAnsi="仿宋" w:eastAsia="仿宋" w:cs="仿宋"/>
                <w:i w:val="0"/>
                <w:iCs w:val="0"/>
                <w:color w:val="auto"/>
                <w:kern w:val="0"/>
                <w:sz w:val="24"/>
                <w:szCs w:val="24"/>
                <w:u w:val="none"/>
                <w:lang w:val="en-US" w:eastAsia="zh-CN" w:bidi="ar"/>
              </w:rPr>
              <w:t>高压安全控制与防护实训平台</w:t>
            </w:r>
          </w:p>
        </w:tc>
        <w:tc>
          <w:tcPr>
            <w:tcW w:w="886" w:type="dxa"/>
            <w:vAlign w:val="center"/>
          </w:tcPr>
          <w:p w14:paraId="780AB4F2">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86" w:type="dxa"/>
            <w:vAlign w:val="center"/>
          </w:tcPr>
          <w:p w14:paraId="0489F3D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12" w:type="dxa"/>
            <w:vAlign w:val="center"/>
          </w:tcPr>
          <w:p w14:paraId="1D9194C0">
            <w:pPr>
              <w:keepNext/>
              <w:keepLines w:val="0"/>
              <w:widowControl/>
              <w:numPr>
                <w:ilvl w:val="0"/>
                <w:numId w:val="16"/>
              </w:numPr>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产品要求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高压安全控制与防护实训平台可满足高压安全系统课程教学任务，以新能源汽车高压安全控制原理为基础设计，可完成高压系统结构认知、高压安全警告标识识别、高压互锁控制原理、标准电池流程操作等教学实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二、功能要求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1、实训平台配置模拟动力电池、手动维修开关、配电箱、电机控制器、空调压缩机、空调PTC等模块，采用小功率电机，模拟实现纯电动汽车放电逻辑过程。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2、采用车用高压线束，连接各高压模块。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3、高压互锁：为了避免在车辆检修时对高压元器件的误操作或者出现事故时高压元器件受损而对人员造成电伤害，平台高压插头设计有高压互锁装置，当高压插头松动或未插时，系统将不能进行高压上电。</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4、实训台可以动态模拟整车高压安全防护系统的运行状态与工作过程。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5、系统高压上电成功，可选择档位，系统对外放电，电机可正转或反转。</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6、平台装有万向脚轮，脚轮带锁止机构；</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7、可通过实训台完成车辆高压互锁回路在新能源整车中作用的教学与实训。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8、实训台模拟电池包加装高压维修开关，学生可通过高压维修开关了解其内部组成结构及在新能源汽车电池包中的作用。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9、配备触电模拟器，可通过触电模拟器体验触电让学生对触电有更加感性的认知，从而增强安全用电和个人防护的意识。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10、触电模拟器的触电强度可进行调节，调节档位具有弱、中、强三种档位，模拟体验触电感觉，认知电流对人体的伤害。</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11、平台配置高压能量动态原理展示软件，模拟车辆碰撞断高压控制过程，当用手敲击台面时，平台检测到碰撞震动时，控制内部高压断开，同时软件界面高压能量动态软件提示报警信息。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12、平台负载区域安装盖板，盖板采用亚克力丝印围边，保障负载区域实训安全。</w:t>
            </w:r>
          </w:p>
          <w:p w14:paraId="27CAED10">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配置模拟触电体验系统，软件内明确电流对人体的作用特征，主要包含直流电，电流（mA），显示电流0.6-3（作用人体特征：没感觉）、5-7（有痒和热的感觉）、8-10（热的感觉增强）、20-35（热的感觉更强，手部轻微痉挛）、50-80（手部痉挛，呼吸困难）、90-100（呼吸麻痹）。（投标文件需提供截图证明材料）</w:t>
            </w:r>
          </w:p>
          <w:p w14:paraId="5AA5ED06">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14、通过双手触摸触电体验区，软件可显示电流/电压数值，以及强度，强度可从1-10档之间进行变化。</w:t>
            </w:r>
          </w:p>
          <w:p w14:paraId="6B26361E">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为方便实训，产品部件需采用平铺摆放设计，按区域分别布置（不少于四个区域）；为保证安全，电机及高压接插件需区域独立，平台下方配备不少于三个抽屉和两个侧边柜，方便存放工具及高压插件，检测面板电路图采用丝印彩色印刷。</w:t>
            </w:r>
          </w:p>
          <w:p w14:paraId="60004087">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16、配置实训指导视频：</w:t>
            </w:r>
          </w:p>
          <w:p w14:paraId="137C43C9">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1）使用流程</w:t>
            </w:r>
          </w:p>
          <w:p w14:paraId="424FF394">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2）高压安全防护</w:t>
            </w:r>
          </w:p>
          <w:p w14:paraId="38EDD37C">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3）高压插头拔插与性能检测</w:t>
            </w:r>
          </w:p>
          <w:p w14:paraId="27574766">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4）互锁故障</w:t>
            </w:r>
          </w:p>
          <w:p w14:paraId="1283141C">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5）模拟触电体验</w:t>
            </w:r>
          </w:p>
          <w:p w14:paraId="1D3EC6A5">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6）碰撞信息</w:t>
            </w:r>
          </w:p>
          <w:p w14:paraId="496CCC17">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为保障高压安全控制与防护实训平台功能安全，需通过第三方性能测试，检测内容包含但不限于绝缘电阻、耐压测试、高压互锁系统、触电模拟器功能、静电放电抗扰度等，检测结果为合格。（投标文件需提供具有CMA或CNAS认可的检测报告扫描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三、实训任务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1、高压部件警示标识识别</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2、高压接插件拔插训练</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3、高压互锁原理信号检测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4、高压电系统上下电原理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5、高压系统运行策略分析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四、技术参数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1、供电电压：AC220V；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2、模拟动力电池电压：≥DC72V；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3、模拟触电器模拟电压：0-98V，模拟频率50HZ，模拟电流0.5.2mA。</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4、维修开关：车规级</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5、外观尺寸（长宽高）：≥1500*750*1735mm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五、配套“高压安全认知交互软件”课程资源</w:t>
            </w:r>
          </w:p>
          <w:p w14:paraId="322E4CC6">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1.产品要求</w:t>
            </w:r>
          </w:p>
          <w:p w14:paraId="57A6BC9B">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该软件课程内容以实物为原型，采用工业建模方式1:1比例还原真实的新能源汽车高压安全防护装备和安全检测工具。通过三维技术和虚拟仿真技术相结合实现在仿真环境中对目前新能源汽车维修过程中经常使用的安全防护用品包含几种不同类型，由安全防护帽、护目镜、绝缘服、绝缘手套和绝缘靴，再到安全检测工具绝缘测试仪的使用。软件内采用新能源汽车高压维修过程中常用的防护装备和检测工具，后续还可以根据教学需求进行扩展二次开发添加更多内容，每一种不同的安全防护用品都包含从外观到内部结构组成，都有详细的解析，方便学生进行专项练习。</w:t>
            </w:r>
          </w:p>
          <w:p w14:paraId="15537483">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2.技术要求</w:t>
            </w:r>
          </w:p>
          <w:p w14:paraId="6B431A11">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2.1开发工具：Unity 3D。</w:t>
            </w:r>
          </w:p>
          <w:p w14:paraId="1AF12A29">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2.2运行环境：Windows平台。</w:t>
            </w:r>
          </w:p>
          <w:p w14:paraId="01A18EF9">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2.3通过鼠标或触控在场景中进行流畅交互操作。可对高压安全防护用品和检测工具的结构进行360度任意旋转、放大、缩小，基于多边形网格公式，可自动适配模型的最佳视点。</w:t>
            </w:r>
          </w:p>
          <w:p w14:paraId="3A9393DA">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2.4采用资源异步加载功能，可实现硬件优化和内容的迭代扩展。</w:t>
            </w:r>
          </w:p>
          <w:p w14:paraId="53752466">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2.5所有三维模型是参照物理尺寸建模，采用PBR（基于物理的渲染）流程还原全局真实照明。</w:t>
            </w:r>
          </w:p>
          <w:p w14:paraId="77D910EA">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2.6背景音乐：左上角图标可以设置背景音乐打开或关闭，可以调节音量输出高低。</w:t>
            </w:r>
          </w:p>
          <w:p w14:paraId="25369090">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2.7高压安全与防护模型是用几何相似或物理类比方法建立的，它可以描述系统的内部特性，也可以描述实训所必需的环境条件。通过实体交互手段可完整的模拟出高压安全与防护的的工作过程。</w:t>
            </w:r>
          </w:p>
          <w:p w14:paraId="01144CA2">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2.8软件主页需包含但不限于“安全防护装备、安全检测工具”等对应图标学习入口，点击任意图标即进入相关知识点的学习。内容运行界面分为不少于三个区域展示，区域一采用模拟假人的方式整体展现防护用的穿戴介绍，展示在实际维修操作过程中如何正确穿戴安全防护用品，当点击任意一个安全防护用品时，相应的图标即可点亮闪烁提示，同时对应区域二中随即显示该部件，并可对其360度旋转、平移、放大、缩小等操作。（投标文件需提供截图证明材料）</w:t>
            </w:r>
          </w:p>
          <w:p w14:paraId="16688D9F">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2.9需设置不少于六种不同视角，方便对部件全方位结构认知。需具有技术参数图标，点击技术参数图标，可以了解部件的各项参数如（绝缘手套）：泄露电流、持续时间、质量等级和生产日期等。再次点击返回图标，即可返回模拟操作主界面。区域三是信息注释栏，主要介绍当前部件的主要信息。（投标文件需提供截图证明材料）</w:t>
            </w:r>
          </w:p>
          <w:p w14:paraId="69EFCAA9">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2.10信息注释栏两侧的箭头，点击高亮箭头可跳转到当前模块的上一个内容知识点或下一个内容，方便学生进行回顾学习或熟练的学生便捷学习。</w:t>
            </w:r>
          </w:p>
          <w:p w14:paraId="18659664">
            <w:pPr>
              <w:keepNext/>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2.11实训训练过程中，若对上一步内容实训操作未达到最佳练习效果，可继续选择“上一步”针对性的加强练习，提高学习效率。</w:t>
            </w:r>
          </w:p>
          <w:p w14:paraId="46A1AD08">
            <w:pPr>
              <w:keepNext/>
              <w:keepLines w:val="0"/>
              <w:widowControl/>
              <w:numPr>
                <w:ilvl w:val="0"/>
                <w:numId w:val="0"/>
              </w:numPr>
              <w:suppressLineNumbers w:val="0"/>
              <w:snapToGrid w:val="0"/>
              <w:ind w:leftChars="0" w:right="0" w:rightChars="0"/>
              <w:jc w:val="left"/>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2.12当前实训模块完成后，可退出当前模块返回主页选择其他模块学习或者再次选择当前模块巩固训练。通过交互训练，学员们充分了解自己所学的知识，应用领域，应用前景等，将理论与实践相结合，增强了对专业技术的认识。</w:t>
            </w:r>
          </w:p>
        </w:tc>
      </w:tr>
      <w:tr w14:paraId="5A29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14:paraId="4FA343CA">
            <w:pPr>
              <w:keepNext/>
              <w:keepLines w:val="0"/>
              <w:widowControl/>
              <w:numPr>
                <w:ilvl w:val="0"/>
                <w:numId w:val="14"/>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18B0124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霍尔电流传感器实训台</w:t>
            </w:r>
          </w:p>
        </w:tc>
        <w:tc>
          <w:tcPr>
            <w:tcW w:w="886" w:type="dxa"/>
            <w:vAlign w:val="center"/>
          </w:tcPr>
          <w:p w14:paraId="782EF555">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86" w:type="dxa"/>
            <w:vAlign w:val="center"/>
          </w:tcPr>
          <w:p w14:paraId="33B4844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12" w:type="dxa"/>
            <w:vAlign w:val="center"/>
          </w:tcPr>
          <w:p w14:paraId="166AD62F">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一、产品概述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选用主流新能源用霍尔电流传感器，提供传感器两件，一件解剖，一件用于通电测量，让学员掌握霍尔电流传感器内部结构和工作原理。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二、产品功能：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1、采用主流新能源汽车配套的霍尔电流传感器。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2、霍尔电流传感器安装在台面上，台面采用绝缘木板，同时配套连接相应控制电路，并且安装对应检测端子以及控制开关，检测端子可实时检测电路电信号；</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3、台架立式安装铝塑板，铝塑板上丝印霍尔电流传感器结构原理彩图。</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4、底部装有四个支撑脚，可有效避免在实训挪动中对箱体底部的损坏，同时可起到了减震的作用，提高内部电路元器件的安全性；</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5、台架底部装有四个带刹车可移动万向脚轮，方便移动可锁止。</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三、实训功能：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1、学习新能源汽车霍尔电流传感器构造和工作原理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2、学习新能源汽车霍尔电流传感器在电路中电流采集作用</w:t>
            </w:r>
          </w:p>
        </w:tc>
      </w:tr>
      <w:tr w14:paraId="19E0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14:paraId="79BDF535">
            <w:pPr>
              <w:keepNext/>
              <w:keepLines w:val="0"/>
              <w:widowControl/>
              <w:numPr>
                <w:ilvl w:val="0"/>
                <w:numId w:val="14"/>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067613F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绝缘钩</w:t>
            </w:r>
          </w:p>
        </w:tc>
        <w:tc>
          <w:tcPr>
            <w:tcW w:w="886" w:type="dxa"/>
            <w:vAlign w:val="center"/>
          </w:tcPr>
          <w:p w14:paraId="27FABE38">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8</w:t>
            </w:r>
          </w:p>
        </w:tc>
        <w:tc>
          <w:tcPr>
            <w:tcW w:w="886" w:type="dxa"/>
            <w:vAlign w:val="center"/>
          </w:tcPr>
          <w:p w14:paraId="698D82D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12" w:type="dxa"/>
            <w:vAlign w:val="center"/>
          </w:tcPr>
          <w:p w14:paraId="66213C39">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绝缘救援钩长度</w:t>
            </w:r>
            <w:r>
              <w:rPr>
                <w:rFonts w:hint="eastAsia" w:ascii="pingfang sc" w:hAnsi="pingfang sc" w:eastAsia="pingfang sc" w:cs="pingfang sc"/>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2m，在紧急情况下将触电者脱离危险导电体。</w:t>
            </w:r>
          </w:p>
        </w:tc>
      </w:tr>
      <w:tr w14:paraId="279E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14:paraId="23329502">
            <w:pPr>
              <w:keepNext/>
              <w:keepLines w:val="0"/>
              <w:widowControl/>
              <w:numPr>
                <w:ilvl w:val="0"/>
                <w:numId w:val="14"/>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25D9E6ED">
            <w:pPr>
              <w:keepNext/>
              <w:keepLines w:val="0"/>
              <w:widowControl/>
              <w:suppressLineNumbers w:val="0"/>
              <w:snapToGrid w:val="0"/>
              <w:ind w:left="0" w:leftChars="0" w:right="0" w:rightChars="0" w:firstLine="0" w:firstLineChars="0"/>
              <w:jc w:val="center"/>
              <w:textAlignment w:val="center"/>
              <w:rPr>
                <w:rFonts w:hint="default"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新能源专业万用表</w:t>
            </w:r>
          </w:p>
        </w:tc>
        <w:tc>
          <w:tcPr>
            <w:tcW w:w="886" w:type="dxa"/>
            <w:vAlign w:val="center"/>
          </w:tcPr>
          <w:p w14:paraId="60DA53B4">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40</w:t>
            </w:r>
          </w:p>
        </w:tc>
        <w:tc>
          <w:tcPr>
            <w:tcW w:w="886" w:type="dxa"/>
            <w:vAlign w:val="center"/>
          </w:tcPr>
          <w:p w14:paraId="5BE73B0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12" w:type="dxa"/>
            <w:vAlign w:val="center"/>
          </w:tcPr>
          <w:p w14:paraId="252736EE">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1.直流电压:0.0001mV~1000V交流电压:0.001V~750V直流电流:0.01uA~20A交流电流:0.01uA~20A</w:t>
            </w:r>
          </w:p>
          <w:p w14:paraId="17FDB542">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2.电阻测量:0.10~60MQ</w:t>
            </w:r>
          </w:p>
          <w:p w14:paraId="0EDE6723">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3.频率测量:0.001Hz~9.999MHz</w:t>
            </w:r>
          </w:p>
          <w:p w14:paraId="191674EC">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4.电容测量:0.001nF~100mF</w:t>
            </w:r>
          </w:p>
          <w:p w14:paraId="59B1DF9F">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5.机器尺寸:≥183mmX88mmX56mm</w:t>
            </w:r>
          </w:p>
          <w:p w14:paraId="4C49AAD3">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6.机器重量:≥345g</w:t>
            </w:r>
          </w:p>
        </w:tc>
      </w:tr>
      <w:tr w14:paraId="3256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14:paraId="42445F5C">
            <w:pPr>
              <w:keepNext/>
              <w:keepLines w:val="0"/>
              <w:widowControl/>
              <w:numPr>
                <w:ilvl w:val="0"/>
                <w:numId w:val="14"/>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7A5F7FC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示波器</w:t>
            </w:r>
          </w:p>
        </w:tc>
        <w:tc>
          <w:tcPr>
            <w:tcW w:w="886" w:type="dxa"/>
            <w:vAlign w:val="center"/>
          </w:tcPr>
          <w:p w14:paraId="6CACBED0">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8</w:t>
            </w:r>
          </w:p>
        </w:tc>
        <w:tc>
          <w:tcPr>
            <w:tcW w:w="886" w:type="dxa"/>
            <w:vAlign w:val="center"/>
          </w:tcPr>
          <w:p w14:paraId="72C7651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12" w:type="dxa"/>
            <w:vAlign w:val="center"/>
          </w:tcPr>
          <w:p w14:paraId="1B050354">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1、双输入数字示波器。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2、实时采样率：≥500MS/s，带宽：≥100MHz</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3、存储深度：每通道≥7.5kpts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4、垂直灵敏度：5mV/div-50V/div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5、触发类型：脉宽、视频、边沿、交替</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6、精细的视窗扩展功能，精确分析波形细节与概貌。</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7、屏幕拷贝功能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8、U盘升级功能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9、≥4400mAh锂电池供电，工作时间不低于3个小时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10、工业级≥5.7英寸TFT LCD，≥64K色</w:t>
            </w:r>
          </w:p>
        </w:tc>
      </w:tr>
      <w:tr w14:paraId="03CF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14:paraId="56B5B3B3">
            <w:pPr>
              <w:keepNext/>
              <w:keepLines w:val="0"/>
              <w:widowControl/>
              <w:numPr>
                <w:ilvl w:val="0"/>
                <w:numId w:val="14"/>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3A45513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手持式绝缘电阻测试仪</w:t>
            </w:r>
          </w:p>
        </w:tc>
        <w:tc>
          <w:tcPr>
            <w:tcW w:w="886" w:type="dxa"/>
            <w:vAlign w:val="center"/>
          </w:tcPr>
          <w:p w14:paraId="7B26F41F">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40</w:t>
            </w:r>
          </w:p>
        </w:tc>
        <w:tc>
          <w:tcPr>
            <w:tcW w:w="886" w:type="dxa"/>
            <w:vAlign w:val="center"/>
          </w:tcPr>
          <w:p w14:paraId="3BE0A2F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12" w:type="dxa"/>
            <w:vAlign w:val="center"/>
          </w:tcPr>
          <w:p w14:paraId="368F38A2">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一、产品功能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w:t>
            </w:r>
            <w:r>
              <w:rPr>
                <w:rFonts w:hint="eastAsia" w:ascii="pingfang sc" w:hAnsi="pingfang sc" w:eastAsia="pingfang sc" w:cs="pingfang sc"/>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200GΩ绝缘电阻测试（1KV输出）。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2、自动计算极化指数。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3、测试时测试灯会点亮。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4、可用表笔进行测试。</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5、具有模拟条显示功能。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6、测量交/直流电压：0.1V至600V。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二、技术参数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输出电压：50V、100V、250V、500V、1000V；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短路电流：&lt;2A；</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通用电阻：0.01-1000KΩ；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直流电压：0-600v；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交流电压：0-600V；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特殊功能含：自动量程、高压报警、自动关机、数字保持、数据储存、LCD背光、低电压显示等；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电源：1.5V；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LCD尺寸：</w:t>
            </w:r>
            <w:r>
              <w:rPr>
                <w:rFonts w:hint="eastAsia" w:ascii="pingfang sc" w:hAnsi="pingfang sc" w:eastAsia="pingfang sc" w:cs="pingfang sc"/>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78*59mm；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机身尺寸：</w:t>
            </w:r>
            <w:r>
              <w:rPr>
                <w:rFonts w:hint="eastAsia" w:ascii="pingfang sc" w:hAnsi="pingfang sc" w:eastAsia="pingfang sc" w:cs="pingfang sc"/>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220*75*40mm</w:t>
            </w:r>
          </w:p>
        </w:tc>
      </w:tr>
      <w:tr w14:paraId="57AD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14:paraId="1B17F5B9">
            <w:pPr>
              <w:keepNext/>
              <w:keepLines w:val="0"/>
              <w:widowControl/>
              <w:numPr>
                <w:ilvl w:val="0"/>
                <w:numId w:val="14"/>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076A45E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绝缘工作台</w:t>
            </w:r>
          </w:p>
        </w:tc>
        <w:tc>
          <w:tcPr>
            <w:tcW w:w="886" w:type="dxa"/>
            <w:vAlign w:val="center"/>
          </w:tcPr>
          <w:p w14:paraId="553BB8E5">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20</w:t>
            </w:r>
          </w:p>
        </w:tc>
        <w:tc>
          <w:tcPr>
            <w:tcW w:w="886" w:type="dxa"/>
            <w:vAlign w:val="center"/>
          </w:tcPr>
          <w:p w14:paraId="18D1450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12" w:type="dxa"/>
            <w:vAlign w:val="center"/>
          </w:tcPr>
          <w:p w14:paraId="320CA7F2">
            <w:pPr>
              <w:keepNext/>
              <w:keepLines w:val="0"/>
              <w:widowControl/>
              <w:numPr>
                <w:ilvl w:val="0"/>
                <w:numId w:val="17"/>
              </w:numPr>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产品要求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1、绝缘工作台是为了让学员在新能源技术学习过程中，减少静电的产生，提高操作安全性，方便学员工作；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2、工作台整体强度高，结实牢靠，桌腿采用高强度钢板制作，承载性更强；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3、桌面采用定制型防静电工作台面，耐冲击性、吸震、平整，有效保障在拆装过程中的安全操作；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4、工作台底部安装有万向脚轮，方便移动。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二、产品规格参数要求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工作台尺寸（长*宽*高）≥1500*800*750（mm）；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骨架采用≥50*50mm优质方通；</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桌面采用≥20mm优质高密度板；</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第二层配≥15mm装饰板。</w:t>
            </w:r>
          </w:p>
        </w:tc>
      </w:tr>
      <w:tr w14:paraId="329E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14:paraId="7E2F095B">
            <w:pPr>
              <w:keepNext/>
              <w:keepLines w:val="0"/>
              <w:widowControl/>
              <w:numPr>
                <w:ilvl w:val="0"/>
                <w:numId w:val="14"/>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21E1FF0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文化建设</w:t>
            </w:r>
          </w:p>
        </w:tc>
        <w:tc>
          <w:tcPr>
            <w:tcW w:w="886" w:type="dxa"/>
            <w:vAlign w:val="center"/>
          </w:tcPr>
          <w:p w14:paraId="322D3751">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86" w:type="dxa"/>
            <w:vAlign w:val="center"/>
          </w:tcPr>
          <w:p w14:paraId="612E24E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12" w:type="dxa"/>
            <w:vAlign w:val="center"/>
          </w:tcPr>
          <w:p w14:paraId="1B7950DD">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1.实训工位吊牌（实训中心各区域名称等）</w:t>
            </w:r>
          </w:p>
          <w:p w14:paraId="309111B7">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2.横版常规造型料文化墙（实训基地简介，建设目标，建设规划，优秀教师、学生团队风采墙等）</w:t>
            </w:r>
          </w:p>
          <w:p w14:paraId="1D27D018">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3.竖版常规尺寸海报（规章制度/功能展板/知识墙/发展历程等文本/学校 logo、 校训等/优秀教师、学生团队风采墙等）</w:t>
            </w:r>
          </w:p>
          <w:p w14:paraId="377CA1D2">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注：文化墙尺寸按实际墙面尺寸定制</w:t>
            </w:r>
          </w:p>
        </w:tc>
      </w:tr>
      <w:tr w14:paraId="5B46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14:paraId="5EDCF269">
            <w:pPr>
              <w:keepNext/>
              <w:keepLines w:val="0"/>
              <w:widowControl/>
              <w:numPr>
                <w:ilvl w:val="0"/>
                <w:numId w:val="14"/>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5B3215F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人员防护套装</w:t>
            </w:r>
          </w:p>
        </w:tc>
        <w:tc>
          <w:tcPr>
            <w:tcW w:w="886" w:type="dxa"/>
            <w:vAlign w:val="center"/>
          </w:tcPr>
          <w:p w14:paraId="4A2A9F3A">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40</w:t>
            </w:r>
          </w:p>
        </w:tc>
        <w:tc>
          <w:tcPr>
            <w:tcW w:w="886" w:type="dxa"/>
            <w:vAlign w:val="center"/>
          </w:tcPr>
          <w:p w14:paraId="60E22FC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12" w:type="dxa"/>
            <w:vAlign w:val="center"/>
          </w:tcPr>
          <w:p w14:paraId="6A8823D6">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人员防护套装包括绝缘手套、耐磨手套、绝缘鞋、护目镜、安全帽等各1套。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1、绝缘手套：天然橡胶制成，耐压等级</w:t>
            </w:r>
            <w:r>
              <w:rPr>
                <w:rFonts w:hint="eastAsia" w:ascii="pingfang sc" w:hAnsi="pingfang sc" w:eastAsia="pingfang sc" w:cs="pingfang sc"/>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1KV。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2、耐磨手套：符合人体工程学设计；可降低潜在的危险，如：刀割等；可清洗。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3、绝缘鞋：防砸电绝缘；双密度聚氨酯（PU）一次成型鞋底，大底致密耐磨，中底柔软舒适配合防滑设计穿着舒适安全。柔软型全封闭鞋舌，有效防止飞溅液体进入。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4、护目镜：防冲击物，如打磨，研磨等。防化学物，如电镀，喷漆等。防光辐射，如红外线、紫外线等。防热辐射，如电火花，热辐射等。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5、安全帽：绝缘，防撞减震，防喷溅，抗撕裂， 安全帽采用 ABS 硬质材质，无毒、无味、无任何刺激。</w:t>
            </w:r>
          </w:p>
        </w:tc>
      </w:tr>
      <w:tr w14:paraId="1BAC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14:paraId="48329628">
            <w:pPr>
              <w:keepNext/>
              <w:keepLines w:val="0"/>
              <w:widowControl/>
              <w:numPr>
                <w:ilvl w:val="0"/>
                <w:numId w:val="14"/>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28C4C40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工位安全防护套装</w:t>
            </w:r>
          </w:p>
        </w:tc>
        <w:tc>
          <w:tcPr>
            <w:tcW w:w="886" w:type="dxa"/>
            <w:vAlign w:val="center"/>
          </w:tcPr>
          <w:p w14:paraId="77B301C3">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10</w:t>
            </w:r>
          </w:p>
        </w:tc>
        <w:tc>
          <w:tcPr>
            <w:tcW w:w="886" w:type="dxa"/>
            <w:vAlign w:val="center"/>
          </w:tcPr>
          <w:p w14:paraId="16000D0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12" w:type="dxa"/>
            <w:vAlign w:val="center"/>
          </w:tcPr>
          <w:p w14:paraId="5FF3B1A9">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工位安全保护套装包括警示牌、隔离带套装、绝缘防护垫等各1套。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1、警示牌：绝缘材质制作，表面喷涂"危险，请勿靠近”字样与带电符号。</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2、隔离带套装：可再次利用，对操作空间进行隔离；最长</w:t>
            </w:r>
            <w:r>
              <w:rPr>
                <w:rFonts w:hint="eastAsia" w:ascii="pingfang sc" w:hAnsi="pingfang sc" w:eastAsia="pingfang sc" w:cs="pingfang sc"/>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5m；可伸缩，每套</w:t>
            </w:r>
            <w:r>
              <w:rPr>
                <w:rFonts w:hint="eastAsia" w:ascii="pingfang sc" w:hAnsi="pingfang sc" w:eastAsia="pingfang sc" w:cs="pingfang sc"/>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6根围成一个工位。</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3、绝缘防护垫：最高耐压</w:t>
            </w:r>
            <w:r>
              <w:rPr>
                <w:rFonts w:hint="eastAsia" w:ascii="pingfang sc" w:hAnsi="pingfang sc" w:eastAsia="pingfang sc" w:cs="pingfang sc"/>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10KV，尺寸：</w:t>
            </w:r>
            <w:r>
              <w:rPr>
                <w:rFonts w:hint="eastAsia" w:ascii="pingfang sc" w:hAnsi="pingfang sc" w:eastAsia="pingfang sc" w:cs="pingfang sc"/>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5m x 1m x 5mm  （长x宽x厚度)</w:t>
            </w:r>
          </w:p>
        </w:tc>
      </w:tr>
      <w:tr w14:paraId="13BC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14:paraId="1772A1A6">
            <w:pPr>
              <w:keepNext/>
              <w:keepLines w:val="0"/>
              <w:widowControl/>
              <w:numPr>
                <w:ilvl w:val="0"/>
                <w:numId w:val="14"/>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0BF28AD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拾音扩音系统</w:t>
            </w:r>
          </w:p>
        </w:tc>
        <w:tc>
          <w:tcPr>
            <w:tcW w:w="886" w:type="dxa"/>
            <w:vAlign w:val="center"/>
          </w:tcPr>
          <w:p w14:paraId="29C0D8BB">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86" w:type="dxa"/>
            <w:vAlign w:val="center"/>
          </w:tcPr>
          <w:p w14:paraId="3D00363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12" w:type="dxa"/>
            <w:vAlign w:val="center"/>
          </w:tcPr>
          <w:p w14:paraId="5E06BCFF">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 xml:space="preserve">1、8寸卡包音响：单8寸箱贴皮箱，低音100磁35芯+2个3寸高音，流线形的冲印灰色钢网。低音采用进口的复合松压纸盆，120磁双磁路设计。采用了发烧级耦合电容，致使中高频表现得也非常突出。频率范围;60HZ-18KHZ  单元配置;LF:8"×1HF:3"×2  阻抗;8Ω 灵敏度;90DB  额定功率;80W  最大功率;160W  最大声压;112DB   重量;7.5KG  外形尺寸;460L×238D×268H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2、合并式功放：1.双混响卡拉OK电路.真实的空间环绕混响.唱歌效果一流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2.高档VFD荧光显示屏.华丽惊艳的蓝色显示.独显气派</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3.双变色大按键.配合2.5U新型高档面板.特别适合高档场所</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4.USB/SD.蓝牙.FM收音功能.能播放MP3/WMA高品质的音乐.和采用高保真的音频专用线路.还原HIFI级的听觉效果.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5.采用SMT贴片技术.性能更稳定</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6.专业级的功放保护系统.有全方位的温度保护（包括变压器和散热器）.短路保护.和风扇的温控变速等 8Ω 平均功率  200W×2  4Ω 平均功率  350W×2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頻率模式  20Hz-20KHz.（+0.5.-0.5db)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输入灵敏度：25mv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瞬態回應 ：20V/μs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信噪比  ＞93dB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總諧波失真 ：&lt;0.05% 430mmX290mmX120mm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3、一拖二无线话筒：1.UHF频段传输信号，频率范围:500-980MHz；</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2.双通道接收信号,每通道有100个通道可选，每个通道以250KHz步进；每通道用25MHz*2=50MHz；</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3.采用稳定的PLL数位锁相环合成技术和智能数字线路，整机性能稳定性显著提高；</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4.各通道配备独有的ID号，增强抗干扰功能，支持多台叠机使用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5.背面设有2个独立平衡输出和1个混合非平衡输出，适合连接各种外置设备；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6.超静音轻触开关，轻按0.5S开启进入工作状态；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7.话筒耗电量为80mA，使用1.5V电池（2粒）供电，可连续使用6小时(配高端电池时)；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8.主机和发射器均具备LCD屏显示工作状态等内容</w:t>
            </w:r>
          </w:p>
        </w:tc>
      </w:tr>
      <w:tr w14:paraId="635F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6" w:type="dxa"/>
            <w:vAlign w:val="center"/>
          </w:tcPr>
          <w:p w14:paraId="36FEDE69">
            <w:pPr>
              <w:keepNext/>
              <w:keepLines w:val="0"/>
              <w:widowControl/>
              <w:numPr>
                <w:ilvl w:val="0"/>
                <w:numId w:val="14"/>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1418" w:type="dxa"/>
            <w:vAlign w:val="center"/>
          </w:tcPr>
          <w:p w14:paraId="3C132F6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实训操作台</w:t>
            </w:r>
          </w:p>
        </w:tc>
        <w:tc>
          <w:tcPr>
            <w:tcW w:w="886" w:type="dxa"/>
            <w:vAlign w:val="center"/>
          </w:tcPr>
          <w:p w14:paraId="7A10B892">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25</w:t>
            </w:r>
          </w:p>
        </w:tc>
        <w:tc>
          <w:tcPr>
            <w:tcW w:w="886" w:type="dxa"/>
            <w:vAlign w:val="center"/>
          </w:tcPr>
          <w:p w14:paraId="28D4B8B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212" w:type="dxa"/>
            <w:vAlign w:val="center"/>
          </w:tcPr>
          <w:p w14:paraId="2917A451">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1、尺寸：直径2米、单边长1米、可坐6人；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2、桌面板材：采用E0级环保高密度纤维板/刨花板，甲醛释放量远低于国家限值，安全无异味，长期使用不易变形、不易开裂，结构稳定性强。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3、饰面：表面为耐磨防火板（三聚氰胺浸渍纸饰面），纹理细腻，防刮耐磨、耐污易清洁，日常笔痕、污渍仅需湿布擦拭即可，同时具备耐高温、防酸碱腐蚀的特性，适配教室高频使用场景。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 封边：采用PVC优质封边条，全自动封边工艺处理，边缘光滑无毛刺，防水防潮，避免板材受潮变形，延长使用寿命。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5、细节设计：桌面预留穿线孔，适配教学设备线路收纳，保持桌面整洁；拼接处采用隐藏式连接件，多桌组合可无缝对接，适配分组教学、灵活布局的使用需求。</w:t>
            </w:r>
          </w:p>
        </w:tc>
      </w:tr>
    </w:tbl>
    <w:p w14:paraId="6F0354AF">
      <w:pPr>
        <w:keepNext w:val="0"/>
        <w:keepLines w:val="0"/>
        <w:widowControl/>
        <w:numPr>
          <w:ilvl w:val="0"/>
          <w:numId w:val="0"/>
        </w:numPr>
        <w:suppressLineNumbers w:val="0"/>
        <w:jc w:val="both"/>
        <w:rPr>
          <w:rFonts w:hint="eastAsia" w:ascii="仿宋" w:hAnsi="仿宋" w:eastAsia="仿宋" w:cs="仿宋"/>
          <w:b/>
          <w:bCs/>
          <w:color w:val="auto"/>
          <w:kern w:val="0"/>
          <w:sz w:val="44"/>
          <w:szCs w:val="44"/>
          <w:lang w:val="en-US" w:eastAsia="zh-CN" w:bidi="ar"/>
        </w:rPr>
      </w:pPr>
    </w:p>
    <w:p w14:paraId="30368EA2">
      <w:pPr>
        <w:pStyle w:val="4"/>
        <w:bidi w:val="0"/>
        <w:rPr>
          <w:rFonts w:hint="eastAsia"/>
          <w:color w:val="auto"/>
          <w:lang w:val="en-US" w:eastAsia="zh-CN"/>
        </w:rPr>
      </w:pPr>
      <w:r>
        <w:rPr>
          <w:rFonts w:hint="eastAsia"/>
          <w:color w:val="auto"/>
          <w:lang w:val="en-US" w:eastAsia="zh-CN"/>
        </w:rPr>
        <w:t>3.</w:t>
      </w:r>
      <w:r>
        <w:rPr>
          <w:rFonts w:hint="eastAsia" w:ascii="仿宋" w:hAnsi="仿宋" w:eastAsia="仿宋" w:cs="仿宋"/>
          <w:b/>
          <w:bCs/>
          <w:color w:val="auto"/>
          <w:sz w:val="24"/>
          <w:szCs w:val="24"/>
          <w:highlight w:val="none"/>
          <w:u w:val="none"/>
        </w:rPr>
        <w:t>动力电池及充电系统实训室</w:t>
      </w:r>
    </w:p>
    <w:tbl>
      <w:tblPr>
        <w:tblStyle w:val="2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537"/>
        <w:gridCol w:w="862"/>
        <w:gridCol w:w="862"/>
        <w:gridCol w:w="5165"/>
      </w:tblGrid>
      <w:tr w14:paraId="5D35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89" w:type="dxa"/>
            <w:vAlign w:val="center"/>
          </w:tcPr>
          <w:p w14:paraId="392EAEAB">
            <w:pPr>
              <w:pStyle w:val="2"/>
              <w:snapToGrid w:val="0"/>
              <w:ind w:left="0" w:leftChars="0" w:right="0" w:rightChars="0" w:firstLine="0" w:firstLineChars="0"/>
              <w:rPr>
                <w:rFonts w:hint="eastAsia" w:ascii="仿宋" w:hAnsi="仿宋" w:eastAsia="仿宋" w:cs="仿宋"/>
                <w:b/>
                <w:bCs/>
                <w:color w:val="auto"/>
                <w:kern w:val="0"/>
                <w:sz w:val="24"/>
                <w:szCs w:val="24"/>
                <w:vertAlign w:val="baseline"/>
                <w:lang w:val="en-US" w:eastAsia="zh-CN" w:bidi="ar"/>
              </w:rPr>
            </w:pPr>
            <w:bookmarkStart w:id="714" w:name="_Toc21250"/>
            <w:bookmarkStart w:id="715" w:name="_Toc24"/>
            <w:r>
              <w:rPr>
                <w:rFonts w:hint="eastAsia" w:ascii="仿宋" w:hAnsi="仿宋" w:eastAsia="仿宋" w:cs="仿宋"/>
                <w:b/>
                <w:bCs/>
                <w:color w:val="auto"/>
                <w:kern w:val="0"/>
                <w:sz w:val="24"/>
                <w:szCs w:val="24"/>
                <w:vertAlign w:val="baseline"/>
                <w:lang w:val="en-US" w:eastAsia="zh-CN" w:bidi="ar"/>
              </w:rPr>
              <w:t>序号</w:t>
            </w:r>
            <w:bookmarkEnd w:id="714"/>
            <w:bookmarkEnd w:id="715"/>
          </w:p>
        </w:tc>
        <w:tc>
          <w:tcPr>
            <w:tcW w:w="0" w:type="auto"/>
            <w:vAlign w:val="center"/>
          </w:tcPr>
          <w:p w14:paraId="6D78AF8F">
            <w:pPr>
              <w:keepNext w:val="0"/>
              <w:keepLines w:val="0"/>
              <w:widowControl/>
              <w:numPr>
                <w:ilvl w:val="0"/>
                <w:numId w:val="0"/>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产品名称</w:t>
            </w:r>
          </w:p>
        </w:tc>
        <w:tc>
          <w:tcPr>
            <w:tcW w:w="889" w:type="dxa"/>
            <w:vAlign w:val="center"/>
          </w:tcPr>
          <w:p w14:paraId="79C49DCF">
            <w:pPr>
              <w:keepNext w:val="0"/>
              <w:keepLines w:val="0"/>
              <w:widowControl/>
              <w:numPr>
                <w:ilvl w:val="0"/>
                <w:numId w:val="0"/>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数量</w:t>
            </w:r>
          </w:p>
        </w:tc>
        <w:tc>
          <w:tcPr>
            <w:tcW w:w="889" w:type="dxa"/>
            <w:vAlign w:val="center"/>
          </w:tcPr>
          <w:p w14:paraId="06513F8E">
            <w:pPr>
              <w:keepNext w:val="0"/>
              <w:keepLines w:val="0"/>
              <w:widowControl/>
              <w:numPr>
                <w:ilvl w:val="0"/>
                <w:numId w:val="0"/>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单位</w:t>
            </w:r>
          </w:p>
        </w:tc>
        <w:tc>
          <w:tcPr>
            <w:tcW w:w="5167" w:type="dxa"/>
            <w:vAlign w:val="center"/>
          </w:tcPr>
          <w:p w14:paraId="70EF1FEE">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技术参数</w:t>
            </w:r>
          </w:p>
        </w:tc>
      </w:tr>
      <w:tr w14:paraId="080A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vAlign w:val="center"/>
          </w:tcPr>
          <w:p w14:paraId="38CB427A">
            <w:pPr>
              <w:keepNext w:val="0"/>
              <w:keepLines w:val="0"/>
              <w:widowControl/>
              <w:numPr>
                <w:ilvl w:val="0"/>
                <w:numId w:val="1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197F4B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BMS管理系统综合检测实训平台</w:t>
            </w:r>
          </w:p>
        </w:tc>
        <w:tc>
          <w:tcPr>
            <w:tcW w:w="889" w:type="dxa"/>
            <w:vAlign w:val="center"/>
          </w:tcPr>
          <w:p w14:paraId="7771448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89" w:type="dxa"/>
            <w:vAlign w:val="center"/>
          </w:tcPr>
          <w:p w14:paraId="0E3A7B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67" w:type="dxa"/>
            <w:vAlign w:val="center"/>
          </w:tcPr>
          <w:p w14:paraId="0B7A6CC9">
            <w:pPr>
              <w:keepNext w:val="0"/>
              <w:keepLines w:val="0"/>
              <w:widowControl/>
              <w:numPr>
                <w:ilvl w:val="0"/>
                <w:numId w:val="19"/>
              </w:numPr>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产品要求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1、实训平台配置高安全性能磷酸铁锂电池，热稳定性能好，确保实训安全。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2、平台可正常运转，电池模组可对外进行放电，支持国标交流充电。</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二、产品功能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1、平台配置≥28节单体磷酸铁锂动力电池，电池成组连接采用PCB板，配套车用电池管理系统，可实现主动放电功能。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2、配置预充接触器、主接触器、预充电阻、电容等部件，可完成主预充电路工作原理分析及检测。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3、配套车载充电机，车载充电机通过CAN与电池管理器进行通信，支持国标充电枪充电，可完成展现充电控制电路。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4、电池管理系统配置主控模块，可将电池单体电压、温度、SOC等数据通过上位记软件真实展现。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5、平台设计有检测面板，检测项目包含但不限于BMS霍尔传感器电源VCC、BMS绝缘电压检测、BMS预充电压检测、BMS电池模组1温度1-、负载高压互锁输出、BMS整车CANL1、上位机CAN盒整车CANH1等实时信号。</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6、配备设故系统，可设置接触器控制、充电控制、BMS模块的故障信息，模拟实车在故障下BMS的控制策略变化等。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7、实训台配备放电负载，通过放电电阻模拟实车放电过程，BMS对放电过程进行动态监测。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8、设备配置电源开关，控制台架上电、下电，配置空气开关，增强安全保护，设备台架安装急停按钮，紧急情况按下按钮，设备断电，实现多重安全保护；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9、电池模组采用PCB板连接，保证采样数据准确。</w:t>
            </w:r>
          </w:p>
          <w:p w14:paraId="2D22759C">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10、平台可分一、二、三级进行电压电池电压过高或过低故障设置，当故障设置完成后，上位机软件可进行相应故障级别报警。</w:t>
            </w:r>
          </w:p>
          <w:p w14:paraId="4E1DF876">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为保障BMS管理系统综合检测实训平台功能安全，需通过第三方性能测试，检测内容包含但不限于绝缘电阻、耐压测试、电池组配置、BMS电压采样精度、充放电控制功能、静电放电抗扰度等，检测结果为合格。（投标文件需提供具有CMA或CNAS认可的检测报告扫描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三、实训任务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1、熟悉新能源整车充放电线路连接关系与控制原理；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2、掌握新能源动力电池管理系统主要零部件功能及原理。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3、掌握新能源动力电池管理系统各种状态下逻辑控制关系，掌握电流，电压，电池压差，电池温度等参数变化规律；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4、掌握BMS动力电池组电压采样、温度采样，控制充电和放电过程；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5、熟悉BMS均衡原理及控制充电过程；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6、明确新能源高压系统操作安全注意事项，学会高压维修开关插拔方法；</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7、熟悉新能源动力电池包（BMS）故障现象，并根据逻辑控制关系，学会查找故障原因。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四、技术参数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1、电池：磷酸铁锂电池，≥28节；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2、电池电压：单体标称≥DC3.2V，总电压：≥DC89.6V；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3、上位机系统屏幕：≥43寸；</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4、支持国标交流充电。</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五、配置电池包管理系统软件</w:t>
            </w:r>
          </w:p>
          <w:p w14:paraId="1E926BB8">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▲1、系统框架包含但不限于首页、数据采集、参数配置、资源库、故障设置。（投标文件需要提供截图证明材料）</w:t>
            </w:r>
          </w:p>
          <w:p w14:paraId="1EC74891">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▲2、图形化显示当前总压、当前充放电电流，通过指针式及数字式直观显示数据。（投标文件需要提供截图证明材料）</w:t>
            </w:r>
          </w:p>
          <w:p w14:paraId="58BA1A46">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▲3、系统功能参数包含但不限于绝缘电压、预充电压、绝缘电阻、CC电阻、CP占空比、剩余容量等，SOC采用进度条形式显示，当电池电量低时，进度条格相对减少。（投标文件需要提供截图证明材料）</w:t>
            </w:r>
          </w:p>
          <w:p w14:paraId="0312316D">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4、软件系统实时采集电池相关信息，包含但不限于平均电压、压差、最高电压、最低电压、CC2、充放电、平均温度、最高温度、最低温度等。</w:t>
            </w:r>
          </w:p>
          <w:p w14:paraId="0CE1B451">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5、平台通过上位机软件进行放电操作，控制负载1、负载2、负载3等不同开关，分级控制放电电流大小。</w:t>
            </w:r>
          </w:p>
          <w:p w14:paraId="7C3EBE52">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6、数据采集模式可实时采集单体电池电压，采集数量≥28节。</w:t>
            </w:r>
          </w:p>
          <w:p w14:paraId="0E3B609B">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▲7、参数配置界面包含生成图表、进入调试模式、退出调试模式等功能。（投标文件需要提供截图证明材料）</w:t>
            </w:r>
          </w:p>
          <w:p w14:paraId="67D90DCC">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当实训平台系统故障时，软件界面可进行报警信息显示，报警信息包含单体电压过高、单体电压过低、放电温度过高、放电温度过低、充电电流过大、放电电流过大、SOC过低、绝缘过低、总压过高、总压过低、压差过大、温差过大等。报警信息分为一级故障、二级故障、三级故障，当出现故障时，对应级别下会显示警告灯电亮。（投标文件需要提供截图证明材料）</w:t>
            </w:r>
          </w:p>
          <w:p w14:paraId="495B3675">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9、系统可进行继电器自检，含总正继电器、预充继电器等，通过独立控制继电器，完成继电器工作检测。</w:t>
            </w:r>
          </w:p>
          <w:p w14:paraId="3C30B70B">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软件进入调试模式，可设置三级告警，单体电压过高；二级告警，单体电压过高；一级告警，单体电压过高；三级告警，单体电压过低；二级告警，单体电压过低；一级告警，单体电压过低；三级告警，温度过高；二级告警，温度过高；一级告警，温度过高；三级告警，温度过低；二级告警，温度过低；一级告警，温度过低；三级告警，充电过流；二级告警，充电过流；一级告警，充电过流；三级告警，放电过流；二级告警，放电过流；一级告警，放电过流；三级告警，SOC过低；二级告警，SOC过低；一级告警，SOC过低；三级告警，绝缘过低；二级告警，绝缘过低；一级告警，绝缘过低；三级告警，总电压过高；二级告警，总电压过高；一级告警，总电压过高；三级告警，总电压过低；二级告警，总电压过低；一级告警，总电压过低；三级告警，压差过大；二级告警，压差过大；一级告警，压差过大；三级告警，温差过大；二级告警，温差过大；一级告警，温差过大；</w:t>
            </w:r>
          </w:p>
          <w:p w14:paraId="33D87087">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11、系统可生成图表，展示不同系统数据下曲线变化，含：电池组当前充放电电流、电池组当前SOC、电池单体平均电压值、电池单体最高电压最高值、电池组最高温度、绝缘电阻等相关曲线。</w:t>
            </w:r>
          </w:p>
          <w:p w14:paraId="2AB3CED8">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系统配置虚拟设故系统，可进行电池电压故障设置，包含但不限于：单体三级电压过高、单体二级电压过高、单体一级电压过高、单体一级电压过低、单体二级电压过低、单体三级电压过低等。（投标文件需要提供截图证明材料）</w:t>
            </w:r>
          </w:p>
          <w:p w14:paraId="7BF89C03">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▲13、为保障电池包管理系统软件的知识产权及合法权益，投标文件内需提供设备制造商的软件著作权登记证书复印件并加盖公章。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六、配置电池仿真教学资源</w:t>
            </w:r>
          </w:p>
          <w:p w14:paraId="17A3C3F5">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1、软件要求所包含模型为虚拟现实环境下建模而成，软件要求运用技术手段降低渲染的消耗，在高显示精度的情况下保证至少50帧的高帧率，减轻使用者的眩晕感，可以使用的技术如SinglePass等。</w:t>
            </w:r>
          </w:p>
          <w:p w14:paraId="078E74BF">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2、软件要求在兼顾性能的同时，对画面优化，在处理画面时运用先进技术进行抗锯齿，可以采用的技术诸如Multi-Sampling Anti-Aliasing、Time Anti-Aliasing等。</w:t>
            </w:r>
          </w:p>
          <w:p w14:paraId="5E5FE926">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3、软件以纯电动车型为原型进行等比例建模，内容应符合维修手册的操作流程，虚拟教学内容应如实反映实际工作流程和操作。</w:t>
            </w:r>
          </w:p>
          <w:p w14:paraId="7BD69E8D">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4、内容主要包含电池包的结构认知、电池模组的结构认知、电池配电盒的结构认知共≥3个课程模块。 </w:t>
            </w:r>
          </w:p>
          <w:p w14:paraId="3854C357">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电池包的结构认知：模型可进行显示/隐藏/虚化三状切换，模型可进行放大、缩小、旋转、拖拽。模型包含：电池包上盖、保护泡棉、电池包底座、高低压接口垫片、高低压接口座、电池模组、铜排、配电盒、配电盒支架、电池通信转换器、信号采集器、信号传输线、冷却管道。</w:t>
            </w:r>
          </w:p>
          <w:p w14:paraId="6A475CAD">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电池模组的结构认知：模型可进行显示/隐藏/虚化三状切换，模型可进行放大、缩小、旋转、拖拽。模型包含：电芯（单节电池）、FPC连接线、电极串联母排、电池模组保护盖、模组低压通讯安装保护座、母排保护胶套、母排连接螺栓、电池模组外壳。（投标文件需要提供截图证明材料）</w:t>
            </w:r>
          </w:p>
          <w:p w14:paraId="08A02D68">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电池配电盒的结构认知：模型可进行显示/隐藏/虚化三状切换，模型可进行放大、缩小、旋转、拖拽。模型包含：配电盒上盖、霍尔电流传感器、预充电阻、预充接触器、正极接收器、负极接收器、高压熔断器、信号连接线、铜排、配电箱底壳。</w:t>
            </w:r>
          </w:p>
          <w:p w14:paraId="56DD6158">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8、电池包的分解                             </w:t>
            </w:r>
          </w:p>
          <w:p w14:paraId="31115BF3">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（1）验电：分2个子步骤完成，1/2步，佩戴绝缘手套，点击桌面绝缘手套，绝缘手套可戴在画面假人中，提示穿戴完成； 2/2步，使用万用表测量电池高压接口正负极电压，点击画面右侧工具栏万用表图片，屏幕中出现万用表，选择直流电压档，拖动万用表正负极表笔，红黑表笔分别放在高压连接器正负极上，读数显示0V，提示测量完成。 </w:t>
            </w:r>
          </w:p>
          <w:p w14:paraId="1D658822">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2）拆卸电池包上盖：分5个子步完成，1/5步，使用电钻破除电池包上盖铆钉；2/5步，使用8mm绝缘套筒加棘轮扳手拆卸高低压接口垫片固定螺栓；3/5步，收起高低压接口垫片；4/5步，收起电池包上盖；5/5步，收起隔热棉。       </w:t>
            </w:r>
          </w:p>
          <w:p w14:paraId="79ED7CC0">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3）拆卸配电盒：分7步完成，1/7步，拆卸配电箱通信线束接口；2/7步，收起配电盒连接铜排绝缘保护盖；3/7步，使用10mm绝缘套筒加棘轮扳手拆卸配电盒连接铜排固定螺栓，拆卸时螺栓高亮显示；4/7步，使用10mm绝缘套筒加棘轮扳手拆卸配电盒固定螺栓；5/7步，收起配电盒；6/7步，使用10mm绝缘套筒加棘轮扳手拆卸配电盒安装支架固定螺栓；7/7步，收起配电盒安装支架。    </w:t>
            </w:r>
          </w:p>
          <w:p w14:paraId="1AC1CEC8">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拆卸高低压接口安装座：分5步完成，1/5步，拆卸电池通信转换器接口；2/5步，使用H5绝缘内六角批头加棘轮扳手拆卸电池通信转化器固定螺栓；3/5步，收起电池通信转换器；4/5步，使用10mm绝缘套筒加棘轮扳手拆卸高低压接口安装座固定螺栓；5/5步，收起高低压接口安装座。（投标文件需要提供截图证明材料）</w:t>
            </w:r>
          </w:p>
          <w:p w14:paraId="6E15E58F">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拆卸信号采集器：分5步完成，1/5步，拆卸信号采集器通信线束接口；2/5步，画中画窗口提示：拆卸其它采集器端信号采集线束接口；3/5步，收起信号采集器；4/5步，使用8mm绝缘套筒加棘轮扳手拆卸采集器支架固定螺栓；5/5步，收起采集器支架。</w:t>
            </w:r>
          </w:p>
          <w:p w14:paraId="7032FA04">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拆卸各电池模组：分13步完成，1/13步，拆卸1号电池模组信号采集线束接口；2/13步，画中画窗口提示：拆卸其他电池模组信号采集线束接口，点击完成按钮；3/13步，收起信号采集线束；4/13步，收起电池模组铜排绝缘保护盖；5/13步，使用10mm绝缘套筒加棘轮扳手拆卸1号电池模组铜排固定螺栓；6/13步，画中画窗口提示：使用10mm绝缘套筒加棘轮扳手拆卸其它电池模组铜排固定螺栓，点击完成按钮；7/13步，收起电池模组连接铜排；8/13步，使用10mm绝缘套筒加棘轮扳手拆卸4颗1#电池模组的固定螺栓；9/13步，画中画提示：使用10mm绝缘套筒加棘轮扳手拆卸其它电池模组的固定螺栓，点击完成按钮；10/13步，收起电池模组；11/13步，使用万用表测量单体模组电压，模组电压显示29.2V，测量完成；12/13步，收起模组保护盖；13/13步，使用万用表，测量单体电芯电压，电压显示3.65V，测量完成。</w:t>
            </w:r>
          </w:p>
          <w:p w14:paraId="1F4AB0B0">
            <w:pPr>
              <w:keepNext w:val="0"/>
              <w:keepLines w:val="0"/>
              <w:widowControl/>
              <w:numPr>
                <w:ilvl w:val="0"/>
                <w:numId w:val="0"/>
              </w:numPr>
              <w:suppressLineNumbers w:val="0"/>
              <w:snapToGrid w:val="0"/>
              <w:ind w:leftChars="0" w:right="0" w:rightChars="0"/>
              <w:jc w:val="left"/>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拆卸冷却管道：分5步完成，1/5步，使用管束钳拆卸进出水口的水管卡箍；2/5步，使用8mm绝缘套筒加棘轮扳手拆卸冷却液管的固定螺栓；3/5步，收起冷却液管道；4/5步，画中画窗口提示：拆卸并收起另一端冷却液管道，点击完成按钮；5/5步，收起电池包底座。</w:t>
            </w:r>
          </w:p>
        </w:tc>
      </w:tr>
      <w:tr w14:paraId="0696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vAlign w:val="center"/>
          </w:tcPr>
          <w:p w14:paraId="3B05A7B2">
            <w:pPr>
              <w:keepNext w:val="0"/>
              <w:keepLines w:val="0"/>
              <w:widowControl/>
              <w:numPr>
                <w:ilvl w:val="0"/>
                <w:numId w:val="1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52C344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动力电池模组检测实训平台（实车模组）</w:t>
            </w:r>
          </w:p>
        </w:tc>
        <w:tc>
          <w:tcPr>
            <w:tcW w:w="889" w:type="dxa"/>
            <w:vAlign w:val="center"/>
          </w:tcPr>
          <w:p w14:paraId="1E294E1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89" w:type="dxa"/>
            <w:vAlign w:val="center"/>
          </w:tcPr>
          <w:p w14:paraId="291DBB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67" w:type="dxa"/>
            <w:vAlign w:val="center"/>
          </w:tcPr>
          <w:p w14:paraId="09025FC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一、产品要求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1、实训平台采用量产新能源纯电动汽车实车电池模组为基础设计，可实现电池对外放电功能，满足新能源汽车电池系统课程教学实训任务。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2、配置电池管理系统、配电盒，可实现电池管理系统、充放电系统等实训任务。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二、产品功能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1、采用实车电池模组，将正负极柱改装成螺柱连接，方便学生进行单体电池拆装训练。</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2、当电池压差过大时，可通过外接均衡设备进行充电或放电均衡，完成电池均衡实训操作。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3、配置高压配电盒，内含预充接触器、预充电阻、主接触器等，可完成预充上电、主电路上电等实训教学任务。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4、实训台配有车载充电机和国标交流充电座，充电机通过CAN协议与BMS通信，实现充电功能。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5、配置高清多媒体一体机，安装电池上位记软件，可显示电池单体电压、动力电池组总电压、温度、SOC等相关系统参数。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6、实训平台安装有负载装置，可实现电池对外放电功能，负载采用强制风冷散热。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7、实训平台配置检测面板，面板丝印彩色电池原理图，图上配置检测端口，可实时测量相关电信号。</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8、为确保实训安全，实车模组中间安装有车规级维修开关，方便实训检修。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检测面板丝印内容包含但不限于：点火开关定义、电池管理系统、霍尔传感器、维修开关、充电继电器、预充继电器、总正继电器、总负继电器、车载充电机、放电继电器1（3档）、放电继电器2（3档）、放电继电器3（1档）、交流充电座等。</w:t>
            </w:r>
          </w:p>
          <w:p w14:paraId="5DADCE9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10、配置多个检测端口包含但不限于：VCC5、GND、ISEN、互锁信号、K2+、K3+、K1+、K4+、CAN2H、CANL等检测端口。</w:t>
            </w:r>
          </w:p>
          <w:p w14:paraId="67C45A5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11、配置实训指导视频</w:t>
            </w:r>
          </w:p>
          <w:p w14:paraId="034A9FA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1）充放电使用流程</w:t>
            </w:r>
          </w:p>
          <w:p w14:paraId="7078EEA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2）实车模组CC故障</w:t>
            </w:r>
          </w:p>
          <w:p w14:paraId="503F25A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3）实车模组CP故障</w:t>
            </w:r>
          </w:p>
          <w:p w14:paraId="4B5174B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4）实车模组ON档故障</w:t>
            </w:r>
          </w:p>
          <w:p w14:paraId="7AED93B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5）实车模组车载充电机通讯故障</w:t>
            </w:r>
          </w:p>
          <w:p w14:paraId="04F22E0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6）实车模组上位机通讯故障</w:t>
            </w:r>
          </w:p>
          <w:p w14:paraId="2AD9740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7）实车模组预充继电器线路故障</w:t>
            </w:r>
          </w:p>
          <w:p w14:paraId="41F4624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为保障动力电池模组检测实训平台（实车模组）功能安全，需通过第三方性能测试，检测内容包含但不限于绝缘电阻、耐压测试、单体电池一致性、预充与上下电逻辑、高压安全防护、静电放电抗扰度等，检测结果为合格。（投标文件需提供具有CMA或CNAS认可的检测报告扫描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三、配置上位机系统软件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1、系统框架包含但不限于首页、数据采集、参数配置、资源库、故障设置。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2、图形化显示当前总压、当前充放电电流，通过指针式及数字式直观显示数据。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3、系统功能参数包含但不限于绝缘电压、预充电压、绝缘电阻、CC电阻、CP占空比、剩余容量等，SOC采用进度条形式显示，当电池电量低时，进度条格相对减少。</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4、软件系统实时采集电池相关信息，包含但不限于平均电压、压差、最高电压、最低电压、平均温度、最高温度、最低温度等。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5、平台通过上位机软件进行放电操作，控制负载1、负载2、负载3、负载倒计时等不同开关，分级控制放电电流大小。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6、数据采集模式可实时采集单体电池电压，采集数量≥16节。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7、参数配置界面包含生成图表、进入调试模式、退出调试模式等功能。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当实训平台系统故障时，软件界面可进行报警信息显示，报警信息包含单体电压过高、单体电压过低、温度过高、温度过低、充电电流过大、放电电流过大、SOC过低、绝缘过低、总压过高、总压过低、压差过大、温差过大、互锁故障等。报警信息分为一级故障、二级故障、三级故障，当出现故障时，对应级别下会显示警告灯点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9、系统可进行继电器状态自检，含总正继电器、预充继电器、总负继电器、充电继电器等，通过独立控制继电器，完成继电器工作检测。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软件进入调试模式，可设置修改系统数值，包含但不限于电池组最大容量、电池组总容量、电池组剩余容量、电流设定、电流校准、单体电压过高三级、单体电压过高二级、单体电压过高一级、单体电压过低三级、单体电压过低二级、单体电压过低一级、温度过高三级、温度过高二级、温度过高一级、温度过低三级、温度过低二级、温度过低一级、充电电流过大三级、充电电流过大二级、充电电流过大一级、放电电流过大三级、放电电流过大二级、放电电流过大一级、SOC过低三级、SOC过低二级、SOC过低一级、绝缘过低三级、绝缘过低二级、绝缘过低一级、总压过高三级、总压过高二级、总压过高一级、总压过低三级、总压过低二级、总压过低一级、压差过大三级、压差过大二级、压差过大一级、温差过大三级、温差过大二级、温差过大一级、回充电流过大三级、回充电流过大二级、回充电流过大一级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系统可生成曲线，展示不同系统数据下曲线变化，包含：电池组当前充放电电流、电池组当前SOC、电池单体平均电压值、电池单体最高电压最高值、电池组最高温度、绝缘电阻等相关曲线。（投标文件需要提供截图证明材料）</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12、配置故障设置系统，通过上位机软件，可进行系统故障设置，故障点包含但不限于整车CAN1-L、整车CAN-1H、NO电、ACC电、12V-、12+常电等故障点。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四、技术参数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1、电池类型：磷酸铁锂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2、模组电压：10-60V之间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3、电池容量：≥50Ah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五、实训任务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1、单体电池拆装训练</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2、单体电池性能检测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3、电池模组绝缘性能检测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4、预充电路控制分析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5、充电控制电路分析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6、电池均衡操作等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六、配套“高压电池交互软件”课程资源</w:t>
            </w:r>
          </w:p>
          <w:p w14:paraId="125E912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1.产品要求</w:t>
            </w:r>
          </w:p>
          <w:p w14:paraId="746FB25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软件课程内容以实物为原型，采用工业建模方式1:1比例还原真实的新能源汽车高压电池零部件。通过三维技术和虚拟仿真技术相结合实现在仿真环境中对目前新能源汽车高压电池都有哪几种不同类型，由单体电池到电池模组再到整车上动力电池的应用。软件内采用都是新能源汽车常见的高压电池“18650电池、21700电池、磷酸铁锂电池、三元锂电池、镍氢电池、铅酸电池、燃料电池”等七种不同类型，后续还可以根据教学需求进行扩展二次开发更多内容，每一种不同的电池内容都包含从电池外观到内部结构组成，都有详细的解析。</w:t>
            </w:r>
          </w:p>
          <w:p w14:paraId="7C29684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2.技术要求</w:t>
            </w:r>
          </w:p>
          <w:p w14:paraId="3A372BD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2.1开发工具：Unity 3D。</w:t>
            </w:r>
          </w:p>
          <w:p w14:paraId="13F5AD6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2.2运行环境：Windows平台。</w:t>
            </w:r>
          </w:p>
          <w:p w14:paraId="3E9456E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2.3通过鼠标或触控在场景中进行流畅交互操作。可对高压电池的结构进行360度任意旋转、放大、缩小，基于多边形网格公式，可自动适配模型的最佳视点。</w:t>
            </w:r>
          </w:p>
          <w:p w14:paraId="785527E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2.4采用资源异步加载功能，可实现硬件优化和内容的迭代扩展。</w:t>
            </w:r>
          </w:p>
          <w:p w14:paraId="4752549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2.5所有三维模型是参照物理尺寸建模，采用PBR（基于物理的渲染）流程还原全局真实照明。</w:t>
            </w:r>
          </w:p>
          <w:p w14:paraId="50EFE8A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2.6背景音乐：左上角图标可以设置背景音乐打开或关闭，可以调节音量输出高低。</w:t>
            </w:r>
          </w:p>
          <w:p w14:paraId="17AC965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2.7软件主页需布局有“18650电池、21700电池、磷酸铁锂电池、三元锂电池、镍氢电池、铅酸电池、燃料电池”等对应图标学习入口，点击任意图标即进入相关知识点的学习。内容运行界面分为不少于三个区域展示，区域一是介绍单体电池内部结构，展示汽车上动力电池组内部各个电池模组之间的连接关系，当点击任意一个序号模组时，相应的模组图标即可点亮闪烁提示，同时对应区域二中动力电池组点击高亮图标可单独显示该零部件，并可对其360度旋转、平移、放大、缩小等操作。（需在投标响应文件中提供相关证明）</w:t>
            </w:r>
          </w:p>
          <w:p w14:paraId="70F45CF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2.8需设置不少于六种不同视角，方便对部件全方位结构认知。具有技术参数图标，点击技术参数图标，可以了解电池的各项参数如：动力电池组安装位置、散热类型、总电压、容量、续航、电池重量等。区域三是信息注释栏，主要介绍当前动力电池的的主要信息。电池分类及不同单电池结构展示功能：展示多种单电池内部结构和文字介绍电池的功能（包含但不限于18650电池、21700电池、磷酸铁锂电池、三元锂电池、铅酸电池及燃料电池）。</w:t>
            </w:r>
          </w:p>
          <w:p w14:paraId="4576C3C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2.9电池的充放电化学工作原理：三维环境下通过动画展示多种单电池充放电化学变化工作原理和文字介绍或化学变化公式的功能（包含但不限于18650电池、21700电池、磷酸铁锂电池、三元锂电池、铅酸电池及燃料电池的结构）。</w:t>
            </w:r>
          </w:p>
          <w:p w14:paraId="4E6031E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2.10动力电池结构展示：在三维虚拟仿真环境下建立虚拟实车动力电池组模型，虚拟动力电池可以任意放大、缩小和360度旋转。</w:t>
            </w:r>
          </w:p>
          <w:p w14:paraId="7C3ED63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2.11动力电池零部件展示：在三维虚拟仿真环境下展示主继电器、维修塞、高压电缆、电池管理模块等，可以任意放大、缩小和360度旋转。</w:t>
            </w:r>
          </w:p>
          <w:p w14:paraId="59BBB30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2.12信息注释栏两侧的箭头，点击高亮箭头可跳转到当前模块的上一个内容知识点或下一个内容，方便学生进行回顾学习或熟练的学生便捷学习。</w:t>
            </w:r>
          </w:p>
          <w:p w14:paraId="3ED00EC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2.13实训训练过程中，若对上一步内容实训操作未达到最佳练习效果，可继续选择“上一步”针对性的加强练习，提高学习效率。当前实训模块完成后，可退出当前模块返回主页选择其他模块学习或者再次选择当前模块巩固训练。</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七、配置云在线资源平台</w:t>
            </w:r>
          </w:p>
          <w:p w14:paraId="38468A5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（1）产品概述</w:t>
            </w:r>
          </w:p>
          <w:p w14:paraId="1B5A65D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新能源汽车技术云平台，以“一站式技术服务+全场景资源聚合”为核心，构建覆盖维修、学习、考核的全链路数字化解决方案，实现产业技术与职业教育技术高效协同。平台整合多元核心功能模块，全方位满足维修、教育场景化需求。在技术运维层面，能提供精准高效的维修手册查询服务，汇聚主流新能源汽车品牌车型的维修规范、电路图谱、部件拆解等核心资料，支持关键词检索、车型筛选等快速定位功能，大幅缩短维修排查时间，提升运维精准度；同时搭建故障案例交流社区，可分享真实故障诊断、维修实操案例，形成互助共赢的技术交流生态，助力解决各类疑难运维问题。</w:t>
            </w:r>
          </w:p>
          <w:p w14:paraId="45B421E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（2）产品要求</w:t>
            </w:r>
          </w:p>
          <w:p w14:paraId="3D9D839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平台满足移动端联网情况下进行账号登录、维修资料查询、课程、直播、案例解答等多种功能，支持Windows桌面端、网页端等多端口。</w:t>
            </w:r>
          </w:p>
          <w:p w14:paraId="4F462B2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（3）产品功能</w:t>
            </w:r>
          </w:p>
          <w:p w14:paraId="259143D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1、可通过首页快速进入最新课程内容，最新录播内容，历史播放内容等。</w:t>
            </w:r>
          </w:p>
          <w:p w14:paraId="30B57B9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2、课程涵盖行业资源与教育资源。</w:t>
            </w:r>
          </w:p>
          <w:p w14:paraId="3150893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2.1行业资源</w:t>
            </w:r>
          </w:p>
          <w:p w14:paraId="7BAA32A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①行业资源类型可按多种分类及排序，分类包含但不限于全部、电池、电机、整车等，排序包含但不限于最新、最热等。</w:t>
            </w:r>
          </w:p>
          <w:p w14:paraId="1647059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②单个课程进入涵盖视频资料框架、课件资料框架等，可进行分享与收藏，收藏完成后，可在收藏界面进行快速查看，分享可生成分享连接。</w:t>
            </w:r>
          </w:p>
          <w:p w14:paraId="0096EAF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③视频资料进入可稳定高清播放，显示课程目录，在课程目录下可直接播放相关课程，观看过程中可添加笔记，提交笔记后，通过笔记列表，可查看笔记详情。</w:t>
            </w:r>
          </w:p>
          <w:p w14:paraId="7DD0657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④课件资料可查看文本资料，文本资料可放大、缩小，同时可进行对文本资料进行关键字搜索。</w:t>
            </w:r>
          </w:p>
          <w:p w14:paraId="06984B9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●2.2教育资源</w:t>
            </w:r>
          </w:p>
          <w:p w14:paraId="2F6AD4D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①教育资源类型可按多种分类及排序，分类包含但不限于全部、电池、电机、整车等；。单个课程进入涵盖视频资料框架、课件资料框架等，可进行分享与收藏，收藏完成后，可在收藏界面进行快速查看；视频资料进入可稳定高清播放，显示课程目录，在课程目录下可直接播放相关课程，观看过程中可添加笔记，提交笔记后，通过笔记列表，可查看笔记详情；课件资料可查看文本资料，文本资料可放大、缩小。</w:t>
            </w:r>
          </w:p>
          <w:p w14:paraId="143A385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（现场演示）</w:t>
            </w:r>
          </w:p>
          <w:p w14:paraId="6E496E1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3、在线直播</w:t>
            </w:r>
          </w:p>
          <w:p w14:paraId="43F8004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3.1可查看直播预告，预告内容涵盖直播日期及时间等。</w:t>
            </w:r>
          </w:p>
          <w:p w14:paraId="4CB39C0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3.2当直播显示正在直播时，可实时在线查看直播内容，并通过参与评论与直播者进行互动。</w:t>
            </w:r>
          </w:p>
          <w:p w14:paraId="20D629A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3.3当直播完成后，可查看回放，查阅历史直播内容。</w:t>
            </w:r>
          </w:p>
          <w:p w14:paraId="5415DA3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3.4直播回放观看完成后，可通过收藏功能，添加至收藏列表。</w:t>
            </w:r>
          </w:p>
          <w:p w14:paraId="7658E30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4、维修资料</w:t>
            </w:r>
          </w:p>
          <w:p w14:paraId="7A5254A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4.1维修资料内置多种市场主流新能源汽车维修资料，在线查询手册内容，内含多级目录、关键词搜索、PDF/文档在线阅读等功能。</w:t>
            </w:r>
          </w:p>
          <w:p w14:paraId="4E1505C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4.2内容分为维修资料库、我的资料、热门资料、最近浏览等列类别。</w:t>
            </w:r>
          </w:p>
          <w:p w14:paraId="41AA174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4.3资料库按照大写字母进行分类，涵盖多品牌车型技术资料，可实时查看技术文档，多级目录显示，文档资料可放大、缩小、关键字检索等。</w:t>
            </w:r>
          </w:p>
          <w:p w14:paraId="2B174A1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●5、案例解答</w:t>
            </w:r>
          </w:p>
          <w:p w14:paraId="5DE9772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案例解答分为多个功能区，涵盖故障案例、全部问答、新提问、有悬赏、已解决、搜索、关注车辆品牌等；可手动编写案例，编写内容包含但不限于标题、品牌、车型年款、故障现象、故障码、检测步骤、故障点、总结、发布等内容，支持图片上传功能；可手动编写进行提问题，编写内容包含但不限于标题、品牌、车型年款、故障现象、故障码、已有检测步骤等内容，支持图片上传功能；案例展示，可在故障案例框进行展示，展示案例框架涵盖标题、品牌、车型年款、故障现象、故障码、检测步骤、故障点、总结、全部评论等。</w:t>
            </w:r>
          </w:p>
          <w:p w14:paraId="3593B7E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（现场演示）</w:t>
            </w:r>
          </w:p>
          <w:p w14:paraId="53C276F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6、案例涵盖多款车型经典故障案例，包含但不限于：</w:t>
            </w:r>
          </w:p>
          <w:p w14:paraId="2864A52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①偶发动力系统故障；</w:t>
            </w:r>
          </w:p>
          <w:p w14:paraId="652C273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②无法上OK电故障；</w:t>
            </w:r>
          </w:p>
          <w:p w14:paraId="360B808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③行驶中熄火故障；</w:t>
            </w:r>
          </w:p>
          <w:p w14:paraId="399673B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④行驶偶发仪表报“EV功能受限”且亮多个故障灯故障；</w:t>
            </w:r>
          </w:p>
          <w:p w14:paraId="24864ED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⑤仪表限功率灯亮故障；</w:t>
            </w:r>
          </w:p>
          <w:p w14:paraId="23DC85B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⑥仪表报低压供电系统故障；</w:t>
            </w:r>
          </w:p>
          <w:p w14:paraId="7DEE6B6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⑦无法使用直流充电故障；</w:t>
            </w:r>
          </w:p>
          <w:p w14:paraId="05462F0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⑧仪表提示电压供电系统故障；</w:t>
            </w:r>
          </w:p>
          <w:p w14:paraId="5581A9C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⑨EV受限故障；</w:t>
            </w:r>
          </w:p>
          <w:p w14:paraId="79DA389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⑩充电系统故障。</w:t>
            </w:r>
          </w:p>
          <w:p w14:paraId="157AE39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5.6可设置关注车辆品牌，关注车辆品牌后展示相关问答内容。</w:t>
            </w:r>
          </w:p>
          <w:p w14:paraId="6329595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●7、后台管理端</w:t>
            </w:r>
          </w:p>
          <w:p w14:paraId="5F0B7C8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后台管理涵盖历史播放、我的收藏、我的笔记、我的消息、帐号设置等内容，可展示平台内与个人相关内容；历史播放可按多种分类排序，含全部、视频、录播等类别，具备清空历史，批量管理等；收藏内可储存相关内容，涵盖资料、课程、直播、案例解答、试题等。（现场演示）</w:t>
            </w:r>
          </w:p>
          <w:p w14:paraId="1D9F82B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8、课程资源内容</w:t>
            </w:r>
          </w:p>
          <w:p w14:paraId="0038760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8.1课程大纲</w:t>
            </w:r>
          </w:p>
          <w:p w14:paraId="04BE18B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项目一 动力电池结构认识与使用</w:t>
            </w:r>
          </w:p>
          <w:p w14:paraId="643CED3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任务 1 镍氢电池结构认识与应用</w:t>
            </w:r>
          </w:p>
          <w:p w14:paraId="449D9A1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任务 2 锂电池结构认识与应用</w:t>
            </w:r>
          </w:p>
          <w:p w14:paraId="77CB7B3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任务 3 燃料电池结构认识与应用</w:t>
            </w:r>
          </w:p>
          <w:p w14:paraId="7E69F61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任务 4 超级电容器结构认识与应用</w:t>
            </w:r>
          </w:p>
          <w:p w14:paraId="4A67171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项目二 动力电池能量管理</w:t>
            </w:r>
          </w:p>
          <w:p w14:paraId="726144F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任务 1 纯电动汽车动力电池能量管理</w:t>
            </w:r>
          </w:p>
          <w:p w14:paraId="345067A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任务 2 混合动力汽车动力电池能量管理</w:t>
            </w:r>
          </w:p>
          <w:p w14:paraId="5D3C991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项目三 电动汽车充电设备运用</w:t>
            </w:r>
          </w:p>
          <w:p w14:paraId="490AE6B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任务 1 电动汽车直流充电机运用</w:t>
            </w:r>
          </w:p>
          <w:p w14:paraId="0A47FD4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任务 2 电动汽车交流充电桩运用</w:t>
            </w:r>
          </w:p>
          <w:p w14:paraId="7B37133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8.2技术要求</w:t>
            </w:r>
          </w:p>
          <w:p w14:paraId="058D9F3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需包含教材、教学课件、工作页、测试题、动画/视频等，资源储存在云端，通过平台可直接观看；</w:t>
            </w:r>
          </w:p>
          <w:p w14:paraId="6E6D0A8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8.3教材</w:t>
            </w:r>
          </w:p>
          <w:p w14:paraId="428F497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以新能源汽车锂电池为基础导向，内容包含力电池结构认识与使用、工作原理及性能特点等为内容，主要包括每个任务的任务目标、任务导入、任务实施、知识拓展等内容。</w:t>
            </w:r>
          </w:p>
          <w:p w14:paraId="1363CD3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8.4教学课件</w:t>
            </w:r>
          </w:p>
          <w:p w14:paraId="3EC595E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需包括对应学习任务的知识目标、技能目标、素养目标等教学内容等，教学课件知识内容正确，逻辑清晰、排版美观、图文并茂。</w:t>
            </w:r>
          </w:p>
          <w:p w14:paraId="7861B31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8.5工作页：工作页以学习任务和实际岗位需求为基础进行设计，包含实训步骤内容、操作流程等。</w:t>
            </w:r>
          </w:p>
          <w:p w14:paraId="0F05554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8.6测试题</w:t>
            </w:r>
          </w:p>
          <w:p w14:paraId="1A9CE91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测试题需包括多种类型，如单选题、多选题、判断题等。</w:t>
            </w:r>
          </w:p>
          <w:p w14:paraId="7B0251B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8.7动画</w:t>
            </w:r>
          </w:p>
          <w:p w14:paraId="681B4BC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动画以2D/3D数字化资源为基本框架，内容丰富、展现流畅清晰，具有较强的可视性。</w:t>
            </w:r>
          </w:p>
          <w:p w14:paraId="72AA10F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镍氢电池的结构；</w:t>
            </w:r>
          </w:p>
          <w:p w14:paraId="09D4C8C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锂离子电池的构成组成；</w:t>
            </w:r>
          </w:p>
          <w:p w14:paraId="580AD8E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镍氢电池的工作原理；</w:t>
            </w:r>
          </w:p>
          <w:p w14:paraId="147994F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磷酸锂电池的工作原理；</w:t>
            </w:r>
          </w:p>
          <w:p w14:paraId="36B5AAB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电池管理系统结构</w:t>
            </w:r>
          </w:p>
          <w:p w14:paraId="19E3EBB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8.8视频</w:t>
            </w:r>
          </w:p>
          <w:p w14:paraId="3178BD5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视频类资源展现典型案例、规范操作演示、真人讲解等。采用常见视频存储格式，优先选用 mp4 /flv格式。涵盖：</w:t>
            </w:r>
          </w:p>
          <w:p w14:paraId="6773746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8.8.1高压控制逻辑与典型故障案例分析（内容至少包含：车型介绍、电动汽车结构组成、高压上下电流程与高压部件更换、交直流充电控制逻辑、典型故障案例分析），格式mp4 ，时长：≥1h。</w:t>
            </w:r>
          </w:p>
          <w:p w14:paraId="2B450CD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8.8.2常见故障诊断与检修（内容至少包含：水泵故障、交流慢充故障），格式mp4 ，时长：≥1h。</w:t>
            </w:r>
          </w:p>
          <w:p w14:paraId="403B80D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8.8.3新能源汽车无法通讯故障诊断与排除（内容至少包含：新能源汽车无法通讯故障现象、新能源汽车无法通讯故障分析、新能源汽车无法通讯故障检修），格式mp4 ，时长：≥1h。</w:t>
            </w:r>
          </w:p>
          <w:p w14:paraId="0B31638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8.8.4新能源汽车高压组成及工作原理（内容至少包含：车型概况、动力电池、动力传动系统、其他高压部件），格式mp4 ，时长：≥1h。</w:t>
            </w:r>
          </w:p>
          <w:p w14:paraId="74CBDA7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8.8.5BMS数据流分析，格式mp4 ，时长：≥1h。</w:t>
            </w:r>
          </w:p>
          <w:p w14:paraId="27DCD93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8.8.6纯电动汽车组成及工作原理（内容至少包含：车型介绍、低压电气系统、动力系统、高压电气系统），格式mp4 ，时长：≥1h。</w:t>
            </w:r>
          </w:p>
          <w:p w14:paraId="59C2917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8.8.7电动汽车高压系统简介，格式mp4 ，时长：≥1h。</w:t>
            </w:r>
          </w:p>
          <w:p w14:paraId="3DEA13C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8.8.8电动汽车高压系统诊断，格式mp4 ，时长：≥1h。</w:t>
            </w:r>
          </w:p>
          <w:p w14:paraId="3B1CC58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8.8.9比亚迪新能源课程（内容至少包含：电机数据流、电机零位标定、热管理系统组成、热管理系统传感器、热管理系统执行器、PTC加热器、空调压缩机），格式mp4 ，时长：≥1h。</w:t>
            </w:r>
          </w:p>
          <w:p w14:paraId="3AE8165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8.8.10高压电器系统（内容至少包含：高压电器认知、充配电总成、电机驱动系统、电机旋变传感器），格式mp4 ，时长：≥1h。</w:t>
            </w:r>
          </w:p>
          <w:p w14:paraId="4381207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8.8.11整车低压电器（内容至少包含：低压电器认知、低压电器电路原理分析、双路电控制、电动真空泵、整车网络系统、智能钥匙系统），格式mp4 ，时长：≥1h。</w:t>
            </w:r>
          </w:p>
          <w:p w14:paraId="536EC5C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8.8.12DC-DC的工作原理及检修（内容至少包含：DC-DC的作用、DC-DC的结构、DC-DC的工作原理、典型纯电动汽车DC-DC、DC-DC变换器检修），格式mp4 ，时长：≥1h。</w:t>
            </w:r>
          </w:p>
          <w:p w14:paraId="37B9F55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8.8.13低压供电不正常故障与检修（内容至少包含：12V电源系统故障诊断、登车与启动系统故障诊断、智能充电系统故障诊断、转向轴锁系统故障诊断、车身控制系统故障诊断），格式mp4 ，时长：≥1h。</w:t>
            </w:r>
          </w:p>
          <w:p w14:paraId="00BB8E6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8.8.14电动汽车的热管理系统，格式mp4 ，时长：≥1h。</w:t>
            </w:r>
          </w:p>
          <w:p w14:paraId="1815A9C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8.8.15检修安全防护及不能充电故障处理（内容至少包含：车辆检修安全防护、车辆不能充电故障处理），格式mp4 ，时长：≥1h。</w:t>
            </w:r>
          </w:p>
          <w:p w14:paraId="2B02D6C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8.8.16新能源汽车高压上电原理与分析（内容至少包含：整车上下电过程、低压上电及唤醒原理、高压上电原理、整车上下电流程图），格式mp4 ，时长：≥1h。</w:t>
            </w:r>
          </w:p>
          <w:p w14:paraId="5CB2C0F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8.8.17动力电池的检修（内容至少包含：动力电池包外部连接、动力电池包内部结构、动力电池包工作原理、动力电池包实操检测），格式mp4 ，时长：≥1h。</w:t>
            </w:r>
          </w:p>
          <w:p w14:paraId="636BE6AC">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8.8.18新能源汽车高压互锁故障诊断（内容至少包含：高压互锁的定义、高压互锁的组成与工作原理、高压互锁的故障诊断与排除），格式mp4 ，时长：≥1h。</w:t>
            </w:r>
          </w:p>
        </w:tc>
      </w:tr>
      <w:tr w14:paraId="362E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vAlign w:val="center"/>
          </w:tcPr>
          <w:p w14:paraId="5F156590">
            <w:pPr>
              <w:keepNext w:val="0"/>
              <w:keepLines w:val="0"/>
              <w:widowControl/>
              <w:numPr>
                <w:ilvl w:val="0"/>
                <w:numId w:val="1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672B76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锂电池智能均衡仪</w:t>
            </w:r>
          </w:p>
        </w:tc>
        <w:tc>
          <w:tcPr>
            <w:tcW w:w="889" w:type="dxa"/>
            <w:vAlign w:val="center"/>
          </w:tcPr>
          <w:p w14:paraId="3507132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889" w:type="dxa"/>
            <w:vAlign w:val="center"/>
          </w:tcPr>
          <w:p w14:paraId="2B39C6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67" w:type="dxa"/>
            <w:vAlign w:val="center"/>
          </w:tcPr>
          <w:p w14:paraId="017FEDB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一、产品概述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动力电池均衡仪能对实车动力电池进行均衡操作，可实时采集单体信息，完成动力电池主动均衡，满足单体电池电压过低、压差过大等实训任务。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二、产品功能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1、能够精准采集电池组每串电池电压；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2、内部集成充电器管理单元（充电器外接），独特的软件算法支持，优化均衡效果。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3、支持充电均衡、放电均衡两种模式可选。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4、隔离高精度电压采集模块。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5、采用双滚轴高速散热风扇，风量大、寿命长、噪音小。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6、配置上位机控制软件，支持磷酸铁锂及三元锂电池类型均衡操作。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7、上位机软件支持三元、铁锂电池，支持放电、充电选择，可设置过充电压、过放电压、充电电流、目标压差、均衡电压、均衡电流，显示状态、时间等。</w:t>
            </w:r>
          </w:p>
          <w:p w14:paraId="437ADBD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8、支持≥24串单体电池均衡，通过三个硬件接口进行线束连接，涵盖均衡采集线输入1-8、均衡采集线输入9-16、均衡采集线输入17-24。</w:t>
            </w:r>
          </w:p>
          <w:p w14:paraId="0CD1CE1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9、面板操作简单，配置有数字1-9按键，启动开关，设置按键，确定、取消按键等，方便操作。</w:t>
            </w:r>
          </w:p>
          <w:p w14:paraId="7609119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10、配置实训指导视频：</w:t>
            </w:r>
          </w:p>
          <w:p w14:paraId="32AA844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1）锂电池智能均衡仪使用流程</w:t>
            </w:r>
          </w:p>
          <w:p w14:paraId="464D448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2）锂电池智能均衡仪功能介绍</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三、技术参数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1、支持2-24串锂电池均衡；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2、均衡电流可调；</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3、具备32位ARM CPU为设备提供高速稳定的计算处理能力。</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4、采用</w:t>
            </w:r>
            <w:r>
              <w:rPr>
                <w:rStyle w:val="71"/>
                <w:rFonts w:hint="eastAsia" w:ascii="仿宋" w:hAnsi="仿宋" w:eastAsia="仿宋" w:cs="仿宋"/>
                <w:color w:val="auto"/>
                <w:sz w:val="24"/>
                <w:szCs w:val="24"/>
                <w:lang w:val="en-US" w:eastAsia="zh-CN" w:bidi="ar"/>
              </w:rPr>
              <w:t>≥</w:t>
            </w:r>
            <w:r>
              <w:rPr>
                <w:rFonts w:hint="eastAsia" w:ascii="仿宋" w:hAnsi="仿宋" w:eastAsia="仿宋" w:cs="仿宋"/>
                <w:i w:val="0"/>
                <w:iCs w:val="0"/>
                <w:color w:val="auto"/>
                <w:kern w:val="0"/>
                <w:sz w:val="24"/>
                <w:szCs w:val="24"/>
                <w:u w:val="none"/>
                <w:lang w:val="en-US" w:eastAsia="zh-CN" w:bidi="ar"/>
              </w:rPr>
              <w:t>5寸彩色液晶显示屏，数据显示一目了然。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四、实训任务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1、单体电池压差处理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2、电池均衡实训操作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3、主动均衡工作原理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4、电池充放电参数设置</w:t>
            </w:r>
          </w:p>
        </w:tc>
      </w:tr>
      <w:tr w14:paraId="0CC6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vAlign w:val="center"/>
          </w:tcPr>
          <w:p w14:paraId="010E8CFF">
            <w:pPr>
              <w:keepNext w:val="0"/>
              <w:keepLines w:val="0"/>
              <w:widowControl/>
              <w:numPr>
                <w:ilvl w:val="0"/>
                <w:numId w:val="1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4CB8C3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交直流充电设备装配与测试实训平台</w:t>
            </w:r>
          </w:p>
        </w:tc>
        <w:tc>
          <w:tcPr>
            <w:tcW w:w="889" w:type="dxa"/>
            <w:vAlign w:val="center"/>
          </w:tcPr>
          <w:p w14:paraId="607E9BA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89" w:type="dxa"/>
            <w:vAlign w:val="center"/>
          </w:tcPr>
          <w:p w14:paraId="1CFBD4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67" w:type="dxa"/>
            <w:vAlign w:val="center"/>
          </w:tcPr>
          <w:p w14:paraId="5F41506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一、产品要求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实训平台配置国标交流充电、直流充电模块，可对外进行充电操作，满足日常教学对交流/直流充电桩结构原理认知、工作原理教学、系统故障检修等教学训练需求。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二、产品功能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1、实训平台配置工作台，包含交流</w:t>
            </w:r>
            <w:r>
              <w:rPr>
                <w:rStyle w:val="71"/>
                <w:rFonts w:hint="eastAsia" w:ascii="仿宋" w:hAnsi="仿宋" w:eastAsia="仿宋" w:cs="仿宋"/>
                <w:color w:val="auto"/>
                <w:sz w:val="24"/>
                <w:szCs w:val="24"/>
                <w:lang w:val="en-US" w:eastAsia="zh-CN" w:bidi="ar"/>
              </w:rPr>
              <w:t>≥</w:t>
            </w:r>
            <w:r>
              <w:rPr>
                <w:rFonts w:hint="eastAsia" w:ascii="仿宋" w:hAnsi="仿宋" w:eastAsia="仿宋" w:cs="仿宋"/>
                <w:i w:val="0"/>
                <w:iCs w:val="0"/>
                <w:color w:val="auto"/>
                <w:kern w:val="0"/>
                <w:sz w:val="24"/>
                <w:szCs w:val="24"/>
                <w:u w:val="none"/>
                <w:lang w:val="en-US" w:eastAsia="zh-CN" w:bidi="ar"/>
              </w:rPr>
              <w:t>7KW接触器部分、充电刷卡模块、控制模块等水平排列，直观展示交流充电设备内部结构；</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2、实训平台配置直流充电控制模块、刷卡模块、接触器部分等水平排列，直观展示直流充电设备内部结构；</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3、面板上喷绘有高清充电原理示意图，直观展现各组成部件连接及控制关系；</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4、配置检测端子，可进行相关电压信号、电阻信号、波形信号的测量；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5、实训平台可分别对交流充电、直流充电线路进行一般常见故障设置；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6、设备配置空气开关，增强安全保护，安装急停按钮，紧急情况按下急停开关切断电源，设备断电，实现多重安全保护；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7、实物均采用透明防护罩进行安全防护，并张贴有高压危险警告标识，确保教学实训安全；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8、实训平台通过充电桩显示屏，可以对充电电压、充电电流等进行实时显示；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9、配置PC端智能无线故障设置系统，可通过上位机软件进行相关故障设置。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10、平台配置电气原理图，设置有检测端口，检测端口包含：DC+、DC-、A+、A-、温度传感器T1、CC1、继电器模块KM1、VL-IN等实时信号。</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11、交直流充电部件采用分区控制，中间隔离，相互独立。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12、平台配置检测面板，左右分区设计，丝印彩色电气原理图，直观展示控制电路。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13、配置交流充电模拟负载，检测充电桩功能，配置CC、CP工作指示灯，配置显示屏，可显示电压、电流数值。</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14、配置相关教学实训指导视频</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1）交流充电CP故障 MP4</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2）交流充电电路工作原理 MP4</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3）交流充电使用流程 MP4</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4）交流读卡器通讯故障 MP4</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5）交流继电器POWER故障 MP4</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6）交流显示屏通讯故障 MP4</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7）交流智能电表通讯故障 MP4</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8）交流主控板12+ MP4</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9）直流CC故障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10）直流S+故障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11）直流充电电路工作原理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12）直流充电使用流程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13）直流读卡器通讯故障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14）直流辅助电源故障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15）直流显示屏电源故障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三、实训任务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1、交、直流充电桩内部结构认知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2、交流充电桩CC、CP信号测量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3、直流充电桩CAN、CC1、S-、S+、A-、A+、PE等信号的测量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4、交、直流充电桩内部构造及元器件连接状态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5、交、直流充电控制故障诊断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6、交、直流充电过温的故障诊断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7、交、直流应急控制通信不良的故障诊断与分析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8、交直流充电系统数据变化分析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9、充电桩部件装调</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10、充电等电位线检测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11、接触器控制电路检测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12、充电桩绝缘检测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13、充电桩输入电路安装</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14、充电桩功能验证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15、充电桩系统参数设置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四、技术参数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1、工作电压：AC220V 50HZ</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2、直流功率：≥3.2KW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3、交流功率：≥7KW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4、外观尺寸（长宽高）：≥1770*820*1700mm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五、配置实训指导书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实训一 交流充电桩智能电表通讯故障诊断与排除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实训二 交流充电桩继电器 POWER 故障诊断与排除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实训三 交流充电桩继电器电源故障诊断与排除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实训四 交流充电桩充电 CP 故障诊断与排除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实训五 交流充电桩主控板电源故障诊断与排除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实训六 交流充电桩显示屏通讯故障诊断与排除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实训七 交流充电桩刷卡电源故障诊断与排除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实训八 交流充电桩刷卡通讯故障诊断与排除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实训九 交流充电桩充电桩使用流程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实训十 直流充电桩刷卡器电源故障诊断与排除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实训十一 直流充电桩读卡器通讯故障诊断与排除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实训十二 直流充电桩显示器电源故障诊断与排除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实训十三 直流充电桩显示器通讯故障诊断与排除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实训十四 直流充电桩辅助电源故障诊断与排除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实训十五 直流充电桩模块通讯故障诊断与排除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实训十六 直流充电桩充电枪通讯故障诊断与排除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实训十七 直流充电桩 CC1 线束故障诊断与排除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实训十八 直流充电桩充电桩使用流程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实训指导书包含任务描述、实训目标、实训准备、任务实施、实训工单等内容。</w:t>
            </w:r>
          </w:p>
        </w:tc>
      </w:tr>
      <w:tr w14:paraId="7ACA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vAlign w:val="center"/>
          </w:tcPr>
          <w:p w14:paraId="0F425490">
            <w:pPr>
              <w:keepNext w:val="0"/>
              <w:keepLines w:val="0"/>
              <w:widowControl/>
              <w:numPr>
                <w:ilvl w:val="0"/>
                <w:numId w:val="1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26FE51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bCs/>
                <w:color w:val="auto"/>
                <w:sz w:val="24"/>
                <w:szCs w:val="24"/>
                <w:highlight w:val="none"/>
                <w:u w:val="none"/>
              </w:rPr>
              <w:t>※</w:t>
            </w:r>
            <w:r>
              <w:rPr>
                <w:rFonts w:hint="eastAsia" w:ascii="仿宋" w:hAnsi="仿宋" w:eastAsia="仿宋" w:cs="仿宋"/>
                <w:i w:val="0"/>
                <w:iCs w:val="0"/>
                <w:color w:val="auto"/>
                <w:kern w:val="0"/>
                <w:sz w:val="24"/>
                <w:szCs w:val="24"/>
                <w:u w:val="none"/>
                <w:lang w:val="en-US" w:eastAsia="zh-CN" w:bidi="ar"/>
              </w:rPr>
              <w:t>OBC/DC-DC综合测试台</w:t>
            </w:r>
          </w:p>
        </w:tc>
        <w:tc>
          <w:tcPr>
            <w:tcW w:w="889" w:type="dxa"/>
            <w:vAlign w:val="center"/>
          </w:tcPr>
          <w:p w14:paraId="39A4EF5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89" w:type="dxa"/>
            <w:vAlign w:val="center"/>
          </w:tcPr>
          <w:p w14:paraId="14F550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67" w:type="dxa"/>
            <w:vAlign w:val="center"/>
          </w:tcPr>
          <w:p w14:paraId="524FA123">
            <w:pPr>
              <w:keepNext w:val="0"/>
              <w:keepLines w:val="0"/>
              <w:widowControl/>
              <w:numPr>
                <w:ilvl w:val="0"/>
                <w:numId w:val="20"/>
              </w:numPr>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产品功能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1、提供模拟输入高压电源，最大输入功率7KW；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2、配置控制软件，通过指令发送检测测试数据工作参数；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3、兼容市面上CAN方式的车载充或DC-DC型号通信方式，持续升级；</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4、在正常的测试流程上，增加同步线程监控测试台及产品故障信息，及时反馈测试产品的故障现象。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5、通过数据升级方式，增加新收集的车载充或DC-DC产品测试数据。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6、实车车载充电机及DC/DC部件，含OBC及DC/DC部件1套。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7、要求OBC及DC/DC为量产车型配件。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8、OBC及DC/DC部件无碰撞，功能正常，与OBC/DC-DC二合一综合性能检测台配套使用，通过软件加载，可驱动OBC/DC-DC工作。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9、为确保实训平台稳定性能，平台主体框架采用全钣金结构形式，钣金材料厚度≥1.5mm，底部配置≥2个抽屉及≥1个侧边柜，方便学生实训储物。</w:t>
            </w:r>
          </w:p>
          <w:p w14:paraId="6131DDC6">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为保障OBC/DC-DC综合测试台功能安全，需通过第三方性能测试，检测内容包含但不限于绝缘电阻、DC输出性能、CAN通信功能、控制软件功能、高压安全防护、静电放电抗扰度等，检测结果为合格。（投标文件需提供具有CMA或CNAS认可的检测报告扫描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二、配套OBC/DC测试软件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1、测试软件安装在</w:t>
            </w:r>
            <w:r>
              <w:rPr>
                <w:rStyle w:val="71"/>
                <w:rFonts w:hint="eastAsia" w:ascii="仿宋" w:hAnsi="仿宋" w:eastAsia="仿宋" w:cs="仿宋"/>
                <w:color w:val="auto"/>
                <w:sz w:val="24"/>
                <w:szCs w:val="24"/>
                <w:lang w:val="en-US" w:eastAsia="zh-CN" w:bidi="ar"/>
              </w:rPr>
              <w:t>≥</w:t>
            </w:r>
            <w:r>
              <w:rPr>
                <w:rFonts w:hint="eastAsia" w:ascii="仿宋" w:hAnsi="仿宋" w:eastAsia="仿宋" w:cs="仿宋"/>
                <w:i w:val="0"/>
                <w:iCs w:val="0"/>
                <w:color w:val="auto"/>
                <w:kern w:val="0"/>
                <w:sz w:val="24"/>
                <w:szCs w:val="24"/>
                <w:u w:val="none"/>
                <w:lang w:val="en-US" w:eastAsia="zh-CN" w:bidi="ar"/>
              </w:rPr>
              <w:t>32英寸一体机内，通过CAN转USB端口进行连接，传送相关信号数据。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2、系统具备车载充电及直流转换器两个功能测试窗口。</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▲3、系统可按车型、厂家等不同模式进入测试界面。（投标文件内置系统截图证明材料）</w:t>
            </w:r>
          </w:p>
          <w:p w14:paraId="77232D56">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▲4、测试信息检索包含但不限于：品牌、型号、产品编号、生产者、高压电压等。（投标文件内置系统截图证明材料）</w:t>
            </w:r>
          </w:p>
          <w:p w14:paraId="756E9944">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▲5、测试品牌涵盖市场主流多车型，包含但不限于：北汽、北汽昌河、本田、比亚迪、东风、丰田等多个车型。（投标文件内置系统截图证明材料）</w:t>
            </w:r>
          </w:p>
          <w:p w14:paraId="1BA9E902">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测试界面涵盖测试参数，实时动态显示系统参数值，包含但不限于：交流电压、交流电流、高压电压、高压电流、低压电压、低压电流、CP电压、运行时间等。（投标文件内置系统截图证明材料，图片不少于两张，体现不同参数值变化）</w:t>
            </w:r>
          </w:p>
          <w:p w14:paraId="5D6AF9D1">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7、测试信号显示系统状态，当测试开始是显示通信正常及启动成功，测试完成后主界面显示合格。</w:t>
            </w:r>
          </w:p>
          <w:p w14:paraId="5F516E02">
            <w:pPr>
              <w:keepNext w:val="0"/>
              <w:keepLines w:val="0"/>
              <w:widowControl/>
              <w:numPr>
                <w:ilvl w:val="0"/>
                <w:numId w:val="0"/>
              </w:numPr>
              <w:suppressLineNumbers w:val="0"/>
              <w:snapToGrid w:val="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8、为确保测试高压安全，测试完成后，系统各项参数进行泄放，电压及电流开始下降到安全电压。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二、实训任务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1、了解OBC/DC-DC的测试流程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2、OBC/DC-DC的拆装检修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3、OBC/DC-DC工作性能测试</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4、OBC/DC-DC输出性能检测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三、产品规格</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1、供电电源：AC220V；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2、最大输入功率7KW；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3、DC输出电压：13.8V；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4、支持CAN通讯方式；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5、配置放电负载及散热风扇；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6、外观尺寸：</w:t>
            </w:r>
            <w:r>
              <w:rPr>
                <w:rFonts w:hint="eastAsia" w:ascii="pingfang sc" w:hAnsi="pingfang sc" w:eastAsia="pingfang sc" w:cs="pingfang sc"/>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1630X750X1550mm</w:t>
            </w:r>
          </w:p>
        </w:tc>
      </w:tr>
      <w:tr w14:paraId="0D66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vAlign w:val="center"/>
          </w:tcPr>
          <w:p w14:paraId="6B360C19">
            <w:pPr>
              <w:keepNext w:val="0"/>
              <w:keepLines w:val="0"/>
              <w:widowControl/>
              <w:numPr>
                <w:ilvl w:val="0"/>
                <w:numId w:val="1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07DD6E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落地式充电桩（交流）</w:t>
            </w:r>
          </w:p>
        </w:tc>
        <w:tc>
          <w:tcPr>
            <w:tcW w:w="889" w:type="dxa"/>
            <w:vAlign w:val="center"/>
          </w:tcPr>
          <w:p w14:paraId="02C9A6F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889" w:type="dxa"/>
            <w:vAlign w:val="center"/>
          </w:tcPr>
          <w:p w14:paraId="250B77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67" w:type="dxa"/>
            <w:vAlign w:val="center"/>
          </w:tcPr>
          <w:p w14:paraId="68E3840F">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一、产品要求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充电模式：自动充满,按时间,按电量,按金额等充电操作方式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防护等级：IP54</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工作温度：-20℃~+55℃</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存储温度：-40℃~+60℃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海拔高度：≤2000M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相对湿度：5%~95%，无凝结</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充电枪寿命：≥10000次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平均故障时间间隔：MTBF≥8796h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支付系统：有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二、技术规格参数要求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输入电压：AC 220V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额定电流：32A</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功率：≥7KW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显示屏：7寸触摸屏</w:t>
            </w:r>
          </w:p>
        </w:tc>
      </w:tr>
      <w:tr w14:paraId="330A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vAlign w:val="center"/>
          </w:tcPr>
          <w:p w14:paraId="3C936A4B">
            <w:pPr>
              <w:keepNext w:val="0"/>
              <w:keepLines w:val="0"/>
              <w:widowControl/>
              <w:numPr>
                <w:ilvl w:val="0"/>
                <w:numId w:val="1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2E7936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动力电池被动均衡实训箱</w:t>
            </w:r>
          </w:p>
        </w:tc>
        <w:tc>
          <w:tcPr>
            <w:tcW w:w="889" w:type="dxa"/>
            <w:vAlign w:val="center"/>
          </w:tcPr>
          <w:p w14:paraId="602460C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889" w:type="dxa"/>
            <w:vAlign w:val="center"/>
          </w:tcPr>
          <w:p w14:paraId="0E61D5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67" w:type="dxa"/>
            <w:vAlign w:val="center"/>
          </w:tcPr>
          <w:p w14:paraId="73BECA95">
            <w:pPr>
              <w:keepNext w:val="0"/>
              <w:keepLines w:val="0"/>
              <w:widowControl/>
              <w:suppressLineNumbers w:val="0"/>
              <w:snapToGrid w:val="0"/>
              <w:ind w:left="0" w:leftChars="0" w:right="0" w:rightChars="0" w:firstLine="0" w:firstLineChars="0"/>
              <w:jc w:val="left"/>
              <w:textAlignment w:val="top"/>
              <w:rPr>
                <w:rFonts w:hint="default"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一、产品要求</w:t>
            </w:r>
          </w:p>
          <w:p w14:paraId="0B3C5CEA">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被动均衡仪可完成单体电池被动均衡操作，理解电池放电特性，通过充放电仪进行电压、电流调节，了解电池充放电原理。</w:t>
            </w:r>
          </w:p>
          <w:p w14:paraId="2FDA7E66">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二、产品功能</w:t>
            </w:r>
          </w:p>
          <w:p w14:paraId="29EE153B">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1、配置磷酸铁锂电池及三元锂电池各一节，用于测试使用。</w:t>
            </w:r>
          </w:p>
          <w:p w14:paraId="784760BB">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2、可完成单体电池放电测试，可设定放电终止电压和放电电流，并计算出放电时间和放电容量。</w:t>
            </w:r>
          </w:p>
          <w:p w14:paraId="556AC0BB">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3、可完成单体电池充电测试，可手动设置充电终止电压和充电电流。</w:t>
            </w:r>
          </w:p>
          <w:p w14:paraId="4736D0C2">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4、工作模式包含循环模式/单充模式/单放模式。</w:t>
            </w:r>
          </w:p>
          <w:p w14:paraId="445969F0">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5、具备反接保护、高温保护等安全功能。</w:t>
            </w:r>
          </w:p>
          <w:p w14:paraId="59EE142C">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6、配置实训指导视频：</w:t>
            </w:r>
          </w:p>
          <w:p w14:paraId="685385DD">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1）磷酸铁锂被动均衡流程</w:t>
            </w:r>
          </w:p>
          <w:p w14:paraId="73F7959A">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2）三元锂被动均衡流程</w:t>
            </w:r>
          </w:p>
          <w:p w14:paraId="61EC5AB7">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三、实训任务</w:t>
            </w:r>
          </w:p>
          <w:p w14:paraId="129CF22E">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1、电池放电测试</w:t>
            </w:r>
          </w:p>
          <w:p w14:paraId="5C51CF0C">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2、电池充电测试</w:t>
            </w:r>
          </w:p>
          <w:p w14:paraId="45B2D070">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3、电池容量检测</w:t>
            </w:r>
          </w:p>
          <w:p w14:paraId="2DAED65B">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四、产品规格</w:t>
            </w:r>
          </w:p>
          <w:p w14:paraId="3BA589FC">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1、电源：AC220V/50Hz。</w:t>
            </w:r>
          </w:p>
          <w:p w14:paraId="63E2A031">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2、电池：容量≥10Ah，单体电池标称电压≥3.2V。</w:t>
            </w:r>
          </w:p>
          <w:p w14:paraId="75489C80">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3、整备质量：≥10Kg</w:t>
            </w:r>
          </w:p>
        </w:tc>
      </w:tr>
      <w:tr w14:paraId="331B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vAlign w:val="center"/>
          </w:tcPr>
          <w:p w14:paraId="0D4072D5">
            <w:pPr>
              <w:keepNext w:val="0"/>
              <w:keepLines w:val="0"/>
              <w:widowControl/>
              <w:numPr>
                <w:ilvl w:val="0"/>
                <w:numId w:val="1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096136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绝缘工具套装</w:t>
            </w:r>
          </w:p>
        </w:tc>
        <w:tc>
          <w:tcPr>
            <w:tcW w:w="889" w:type="dxa"/>
            <w:vAlign w:val="center"/>
          </w:tcPr>
          <w:p w14:paraId="62A23DF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4</w:t>
            </w:r>
          </w:p>
        </w:tc>
        <w:tc>
          <w:tcPr>
            <w:tcW w:w="889" w:type="dxa"/>
            <w:vAlign w:val="center"/>
          </w:tcPr>
          <w:p w14:paraId="02D4F1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67" w:type="dxa"/>
            <w:vAlign w:val="center"/>
          </w:tcPr>
          <w:p w14:paraId="720A2C01">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1、工具车技术参数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小抽屉尺寸：</w:t>
            </w:r>
            <w:r>
              <w:rPr>
                <w:rFonts w:hint="eastAsia" w:ascii="pingfang sc" w:hAnsi="pingfang sc" w:eastAsia="pingfang sc" w:cs="pingfang sc"/>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590*435*72，整体承载：</w:t>
            </w:r>
            <w:r>
              <w:rPr>
                <w:rFonts w:hint="eastAsia" w:ascii="pingfang sc" w:hAnsi="pingfang sc" w:eastAsia="pingfang sc" w:cs="pingfang sc"/>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400KG。</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蛇形中控锁设计，附</w:t>
            </w:r>
            <w:r>
              <w:rPr>
                <w:rFonts w:hint="eastAsia" w:ascii="pingfang sc" w:hAnsi="pingfang sc" w:eastAsia="pingfang sc" w:cs="pingfang sc"/>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10mmEVA防滑垫以及防滑圆管塑胶把手。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重型加宽万向轮附带刹车，单一轮子荷重150KG以上。</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本体钢板厚度足</w:t>
            </w:r>
            <w:r>
              <w:rPr>
                <w:rFonts w:hint="eastAsia" w:ascii="pingfang sc" w:hAnsi="pingfang sc" w:eastAsia="pingfang sc" w:cs="pingfang sc"/>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0.8mm。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重型轨道抽屉可承载物品达</w:t>
            </w:r>
            <w:r>
              <w:rPr>
                <w:rFonts w:hint="eastAsia" w:ascii="pingfang sc" w:hAnsi="pingfang sc" w:eastAsia="pingfang sc" w:cs="pingfang sc"/>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30KG。</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抽屉可100%抽出。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抽屉具有自动吸入功能MIS功能（当一个抽屉打开的时候其他抽屉处于锁止状态）。</w:t>
            </w:r>
            <w:r>
              <w:rPr>
                <w:rStyle w:val="64"/>
                <w:rFonts w:hint="eastAsia" w:ascii="仿宋" w:hAnsi="仿宋" w:eastAsia="仿宋" w:cs="仿宋"/>
                <w:color w:val="auto"/>
                <w:sz w:val="24"/>
                <w:szCs w:val="24"/>
                <w:lang w:val="en-US" w:eastAsia="zh-CN" w:bidi="ar"/>
              </w:rPr>
              <w:br w:type="textWrapping"/>
            </w:r>
            <w:r>
              <w:rPr>
                <w:rStyle w:val="64"/>
                <w:rFonts w:hint="eastAsia" w:ascii="仿宋" w:hAnsi="仿宋" w:eastAsia="仿宋" w:cs="仿宋"/>
                <w:color w:val="auto"/>
                <w:sz w:val="24"/>
                <w:szCs w:val="24"/>
                <w:lang w:val="en-US" w:eastAsia="zh-CN" w:bidi="ar"/>
              </w:rPr>
              <w:t>2</w:t>
            </w:r>
            <w:r>
              <w:rPr>
                <w:rStyle w:val="72"/>
                <w:rFonts w:hint="eastAsia" w:ascii="仿宋" w:hAnsi="仿宋" w:eastAsia="仿宋" w:cs="仿宋"/>
                <w:color w:val="auto"/>
                <w:sz w:val="24"/>
                <w:szCs w:val="24"/>
                <w:lang w:val="en-US" w:eastAsia="zh-CN" w:bidi="ar"/>
              </w:rPr>
              <w:t>、工具技术参数</w:t>
            </w:r>
            <w:r>
              <w:rPr>
                <w:rStyle w:val="64"/>
                <w:rFonts w:hint="eastAsia" w:ascii="仿宋" w:hAnsi="仿宋" w:eastAsia="仿宋" w:cs="仿宋"/>
                <w:color w:val="auto"/>
                <w:sz w:val="24"/>
                <w:szCs w:val="24"/>
                <w:lang w:val="en-US" w:eastAsia="zh-CN" w:bidi="ar"/>
              </w:rPr>
              <w:br w:type="textWrapping"/>
            </w:r>
            <w:r>
              <w:rPr>
                <w:rStyle w:val="64"/>
                <w:rFonts w:hint="eastAsia" w:ascii="仿宋" w:hAnsi="仿宋" w:eastAsia="仿宋" w:cs="仿宋"/>
                <w:color w:val="auto"/>
                <w:sz w:val="24"/>
                <w:szCs w:val="24"/>
                <w:lang w:val="en-US" w:eastAsia="zh-CN" w:bidi="ar"/>
              </w:rPr>
              <w:t>11</w:t>
            </w:r>
            <w:r>
              <w:rPr>
                <w:rStyle w:val="72"/>
                <w:rFonts w:hint="eastAsia" w:ascii="仿宋" w:hAnsi="仿宋" w:eastAsia="仿宋" w:cs="仿宋"/>
                <w:color w:val="auto"/>
                <w:sz w:val="24"/>
                <w:szCs w:val="24"/>
                <w:lang w:val="en-US" w:eastAsia="zh-CN" w:bidi="ar"/>
              </w:rPr>
              <w:t>件</w:t>
            </w:r>
            <w:r>
              <w:rPr>
                <w:rStyle w:val="64"/>
                <w:rFonts w:hint="eastAsia" w:ascii="仿宋" w:hAnsi="仿宋" w:eastAsia="仿宋" w:cs="仿宋"/>
                <w:color w:val="auto"/>
                <w:sz w:val="24"/>
                <w:szCs w:val="24"/>
                <w:lang w:val="en-US" w:eastAsia="zh-CN" w:bidi="ar"/>
              </w:rPr>
              <w:t>12.5mm</w:t>
            </w:r>
            <w:r>
              <w:rPr>
                <w:rStyle w:val="72"/>
                <w:rFonts w:hint="eastAsia" w:ascii="仿宋" w:hAnsi="仿宋" w:eastAsia="仿宋" w:cs="仿宋"/>
                <w:color w:val="auto"/>
                <w:sz w:val="24"/>
                <w:szCs w:val="24"/>
                <w:lang w:val="en-US" w:eastAsia="zh-CN" w:bidi="ar"/>
              </w:rPr>
              <w:t>绝缘套筒：</w:t>
            </w:r>
            <w:r>
              <w:rPr>
                <w:rStyle w:val="64"/>
                <w:rFonts w:hint="eastAsia" w:ascii="仿宋" w:hAnsi="仿宋" w:eastAsia="仿宋" w:cs="仿宋"/>
                <w:color w:val="auto"/>
                <w:sz w:val="24"/>
                <w:szCs w:val="24"/>
                <w:lang w:val="en-US" w:eastAsia="zh-CN" w:bidi="ar"/>
              </w:rPr>
              <w:t>10~24MM</w:t>
            </w:r>
            <w:r>
              <w:rPr>
                <w:rStyle w:val="64"/>
                <w:rFonts w:hint="eastAsia" w:ascii="仿宋" w:hAnsi="仿宋" w:eastAsia="仿宋" w:cs="仿宋"/>
                <w:color w:val="auto"/>
                <w:sz w:val="24"/>
                <w:szCs w:val="24"/>
                <w:lang w:val="en-US" w:eastAsia="zh-CN" w:bidi="ar"/>
              </w:rPr>
              <w:br w:type="textWrapping"/>
            </w:r>
            <w:r>
              <w:rPr>
                <w:rStyle w:val="64"/>
                <w:rFonts w:hint="eastAsia" w:ascii="仿宋" w:hAnsi="仿宋" w:eastAsia="仿宋" w:cs="仿宋"/>
                <w:color w:val="auto"/>
                <w:sz w:val="24"/>
                <w:szCs w:val="24"/>
                <w:lang w:val="en-US" w:eastAsia="zh-CN" w:bidi="ar"/>
              </w:rPr>
              <w:t>2</w:t>
            </w:r>
            <w:r>
              <w:rPr>
                <w:rStyle w:val="72"/>
                <w:rFonts w:hint="eastAsia" w:ascii="仿宋" w:hAnsi="仿宋" w:eastAsia="仿宋" w:cs="仿宋"/>
                <w:color w:val="auto"/>
                <w:sz w:val="24"/>
                <w:szCs w:val="24"/>
                <w:lang w:val="en-US" w:eastAsia="zh-CN" w:bidi="ar"/>
              </w:rPr>
              <w:t>件</w:t>
            </w:r>
            <w:r>
              <w:rPr>
                <w:rStyle w:val="64"/>
                <w:rFonts w:hint="eastAsia" w:ascii="仿宋" w:hAnsi="仿宋" w:eastAsia="仿宋" w:cs="仿宋"/>
                <w:color w:val="auto"/>
                <w:sz w:val="24"/>
                <w:szCs w:val="24"/>
                <w:lang w:val="en-US" w:eastAsia="zh-CN" w:bidi="ar"/>
              </w:rPr>
              <w:t>12.5mm</w:t>
            </w:r>
            <w:r>
              <w:rPr>
                <w:rStyle w:val="72"/>
                <w:rFonts w:hint="eastAsia" w:ascii="仿宋" w:hAnsi="仿宋" w:eastAsia="仿宋" w:cs="仿宋"/>
                <w:color w:val="auto"/>
                <w:sz w:val="24"/>
                <w:szCs w:val="24"/>
                <w:lang w:val="en-US" w:eastAsia="zh-CN" w:bidi="ar"/>
              </w:rPr>
              <w:t>绝缘接杆：</w:t>
            </w:r>
            <w:r>
              <w:rPr>
                <w:rStyle w:val="64"/>
                <w:rFonts w:hint="eastAsia" w:ascii="仿宋" w:hAnsi="仿宋" w:eastAsia="仿宋" w:cs="仿宋"/>
                <w:color w:val="auto"/>
                <w:sz w:val="24"/>
                <w:szCs w:val="24"/>
                <w:lang w:val="en-US" w:eastAsia="zh-CN" w:bidi="ar"/>
              </w:rPr>
              <w:t>125mm</w:t>
            </w:r>
            <w:r>
              <w:rPr>
                <w:rStyle w:val="72"/>
                <w:rFonts w:hint="eastAsia" w:ascii="仿宋" w:hAnsi="仿宋" w:eastAsia="仿宋" w:cs="仿宋"/>
                <w:color w:val="auto"/>
                <w:sz w:val="24"/>
                <w:szCs w:val="24"/>
                <w:lang w:val="en-US" w:eastAsia="zh-CN" w:bidi="ar"/>
              </w:rPr>
              <w:t>、</w:t>
            </w:r>
            <w:r>
              <w:rPr>
                <w:rStyle w:val="64"/>
                <w:rFonts w:hint="eastAsia" w:ascii="仿宋" w:hAnsi="仿宋" w:eastAsia="仿宋" w:cs="仿宋"/>
                <w:color w:val="auto"/>
                <w:sz w:val="24"/>
                <w:szCs w:val="24"/>
                <w:lang w:val="en-US" w:eastAsia="zh-CN" w:bidi="ar"/>
              </w:rPr>
              <w:t>250mm</w:t>
            </w:r>
            <w:r>
              <w:rPr>
                <w:rStyle w:val="64"/>
                <w:rFonts w:hint="eastAsia" w:ascii="仿宋" w:hAnsi="仿宋" w:eastAsia="仿宋" w:cs="仿宋"/>
                <w:color w:val="auto"/>
                <w:sz w:val="24"/>
                <w:szCs w:val="24"/>
                <w:lang w:val="en-US" w:eastAsia="zh-CN" w:bidi="ar"/>
              </w:rPr>
              <w:br w:type="textWrapping"/>
            </w:r>
            <w:r>
              <w:rPr>
                <w:rStyle w:val="64"/>
                <w:rFonts w:hint="eastAsia" w:ascii="仿宋" w:hAnsi="仿宋" w:eastAsia="仿宋" w:cs="仿宋"/>
                <w:color w:val="auto"/>
                <w:sz w:val="24"/>
                <w:szCs w:val="24"/>
                <w:lang w:val="en-US" w:eastAsia="zh-CN" w:bidi="ar"/>
              </w:rPr>
              <w:t>7</w:t>
            </w:r>
            <w:r>
              <w:rPr>
                <w:rStyle w:val="72"/>
                <w:rFonts w:hint="eastAsia" w:ascii="仿宋" w:hAnsi="仿宋" w:eastAsia="仿宋" w:cs="仿宋"/>
                <w:color w:val="auto"/>
                <w:sz w:val="24"/>
                <w:szCs w:val="24"/>
                <w:lang w:val="en-US" w:eastAsia="zh-CN" w:bidi="ar"/>
              </w:rPr>
              <w:t>件</w:t>
            </w:r>
            <w:r>
              <w:rPr>
                <w:rStyle w:val="64"/>
                <w:rFonts w:hint="eastAsia" w:ascii="仿宋" w:hAnsi="仿宋" w:eastAsia="仿宋" w:cs="仿宋"/>
                <w:color w:val="auto"/>
                <w:sz w:val="24"/>
                <w:szCs w:val="24"/>
                <w:lang w:val="en-US" w:eastAsia="zh-CN" w:bidi="ar"/>
              </w:rPr>
              <w:t>10mm</w:t>
            </w:r>
            <w:r>
              <w:rPr>
                <w:rStyle w:val="72"/>
                <w:rFonts w:hint="eastAsia" w:ascii="仿宋" w:hAnsi="仿宋" w:eastAsia="仿宋" w:cs="仿宋"/>
                <w:color w:val="auto"/>
                <w:sz w:val="24"/>
                <w:szCs w:val="24"/>
                <w:lang w:val="en-US" w:eastAsia="zh-CN" w:bidi="ar"/>
              </w:rPr>
              <w:t>绝缘套筒：</w:t>
            </w:r>
            <w:r>
              <w:rPr>
                <w:rStyle w:val="64"/>
                <w:rFonts w:hint="eastAsia" w:ascii="仿宋" w:hAnsi="仿宋" w:eastAsia="仿宋" w:cs="仿宋"/>
                <w:color w:val="auto"/>
                <w:sz w:val="24"/>
                <w:szCs w:val="24"/>
                <w:lang w:val="en-US" w:eastAsia="zh-CN" w:bidi="ar"/>
              </w:rPr>
              <w:t>10~18MM</w:t>
            </w:r>
            <w:r>
              <w:rPr>
                <w:rStyle w:val="64"/>
                <w:rFonts w:hint="eastAsia" w:ascii="仿宋" w:hAnsi="仿宋" w:eastAsia="仿宋" w:cs="仿宋"/>
                <w:color w:val="auto"/>
                <w:sz w:val="24"/>
                <w:szCs w:val="24"/>
                <w:lang w:val="en-US" w:eastAsia="zh-CN" w:bidi="ar"/>
              </w:rPr>
              <w:br w:type="textWrapping"/>
            </w:r>
            <w:r>
              <w:rPr>
                <w:rStyle w:val="64"/>
                <w:rFonts w:hint="eastAsia" w:ascii="仿宋" w:hAnsi="仿宋" w:eastAsia="仿宋" w:cs="仿宋"/>
                <w:color w:val="auto"/>
                <w:sz w:val="24"/>
                <w:szCs w:val="24"/>
                <w:lang w:val="en-US" w:eastAsia="zh-CN" w:bidi="ar"/>
              </w:rPr>
              <w:t>2</w:t>
            </w:r>
            <w:r>
              <w:rPr>
                <w:rStyle w:val="72"/>
                <w:rFonts w:hint="eastAsia" w:ascii="仿宋" w:hAnsi="仿宋" w:eastAsia="仿宋" w:cs="仿宋"/>
                <w:color w:val="auto"/>
                <w:sz w:val="24"/>
                <w:szCs w:val="24"/>
                <w:lang w:val="en-US" w:eastAsia="zh-CN" w:bidi="ar"/>
              </w:rPr>
              <w:t>件</w:t>
            </w:r>
            <w:r>
              <w:rPr>
                <w:rStyle w:val="64"/>
                <w:rFonts w:hint="eastAsia" w:ascii="仿宋" w:hAnsi="仿宋" w:eastAsia="仿宋" w:cs="仿宋"/>
                <w:color w:val="auto"/>
                <w:sz w:val="24"/>
                <w:szCs w:val="24"/>
                <w:lang w:val="en-US" w:eastAsia="zh-CN" w:bidi="ar"/>
              </w:rPr>
              <w:t>10mm</w:t>
            </w:r>
            <w:r>
              <w:rPr>
                <w:rStyle w:val="72"/>
                <w:rFonts w:hint="eastAsia" w:ascii="仿宋" w:hAnsi="仿宋" w:eastAsia="仿宋" w:cs="仿宋"/>
                <w:color w:val="auto"/>
                <w:sz w:val="24"/>
                <w:szCs w:val="24"/>
                <w:lang w:val="en-US" w:eastAsia="zh-CN" w:bidi="ar"/>
              </w:rPr>
              <w:t>绝缘接杆：</w:t>
            </w:r>
            <w:r>
              <w:rPr>
                <w:rStyle w:val="64"/>
                <w:rFonts w:hint="eastAsia" w:ascii="仿宋" w:hAnsi="仿宋" w:eastAsia="仿宋" w:cs="仿宋"/>
                <w:color w:val="auto"/>
                <w:sz w:val="24"/>
                <w:szCs w:val="24"/>
                <w:lang w:val="en-US" w:eastAsia="zh-CN" w:bidi="ar"/>
              </w:rPr>
              <w:t>250mm</w:t>
            </w:r>
            <w:r>
              <w:rPr>
                <w:rStyle w:val="72"/>
                <w:rFonts w:hint="eastAsia" w:ascii="仿宋" w:hAnsi="仿宋" w:eastAsia="仿宋" w:cs="仿宋"/>
                <w:color w:val="auto"/>
                <w:sz w:val="24"/>
                <w:szCs w:val="24"/>
                <w:lang w:val="en-US" w:eastAsia="zh-CN" w:bidi="ar"/>
              </w:rPr>
              <w:t>、</w:t>
            </w:r>
            <w:r>
              <w:rPr>
                <w:rStyle w:val="64"/>
                <w:rFonts w:hint="eastAsia" w:ascii="仿宋" w:hAnsi="仿宋" w:eastAsia="仿宋" w:cs="仿宋"/>
                <w:color w:val="auto"/>
                <w:sz w:val="24"/>
                <w:szCs w:val="24"/>
                <w:lang w:val="en-US" w:eastAsia="zh-CN" w:bidi="ar"/>
              </w:rPr>
              <w:t>150mm</w:t>
            </w:r>
            <w:r>
              <w:rPr>
                <w:rStyle w:val="64"/>
                <w:rFonts w:hint="eastAsia" w:ascii="仿宋" w:hAnsi="仿宋" w:eastAsia="仿宋" w:cs="仿宋"/>
                <w:color w:val="auto"/>
                <w:sz w:val="24"/>
                <w:szCs w:val="24"/>
                <w:lang w:val="en-US" w:eastAsia="zh-CN" w:bidi="ar"/>
              </w:rPr>
              <w:br w:type="textWrapping"/>
            </w:r>
            <w:r>
              <w:rPr>
                <w:rStyle w:val="64"/>
                <w:rFonts w:hint="eastAsia" w:ascii="仿宋" w:hAnsi="仿宋" w:eastAsia="仿宋" w:cs="仿宋"/>
                <w:color w:val="auto"/>
                <w:sz w:val="24"/>
                <w:szCs w:val="24"/>
                <w:lang w:val="en-US" w:eastAsia="zh-CN" w:bidi="ar"/>
              </w:rPr>
              <w:t>2</w:t>
            </w:r>
            <w:r>
              <w:rPr>
                <w:rStyle w:val="72"/>
                <w:rFonts w:hint="eastAsia" w:ascii="仿宋" w:hAnsi="仿宋" w:eastAsia="仿宋" w:cs="仿宋"/>
                <w:color w:val="auto"/>
                <w:sz w:val="24"/>
                <w:szCs w:val="24"/>
                <w:lang w:val="en-US" w:eastAsia="zh-CN" w:bidi="ar"/>
              </w:rPr>
              <w:t>件绝缘快速脱落棘轮扳手：</w:t>
            </w:r>
            <w:r>
              <w:rPr>
                <w:rStyle w:val="64"/>
                <w:rFonts w:hint="eastAsia" w:ascii="仿宋" w:hAnsi="仿宋" w:eastAsia="仿宋" w:cs="仿宋"/>
                <w:color w:val="auto"/>
                <w:sz w:val="24"/>
                <w:szCs w:val="24"/>
                <w:lang w:val="en-US" w:eastAsia="zh-CN" w:bidi="ar"/>
              </w:rPr>
              <w:t>10mm</w:t>
            </w:r>
            <w:r>
              <w:rPr>
                <w:rStyle w:val="72"/>
                <w:rFonts w:hint="eastAsia" w:ascii="仿宋" w:hAnsi="仿宋" w:eastAsia="仿宋" w:cs="仿宋"/>
                <w:color w:val="auto"/>
                <w:sz w:val="24"/>
                <w:szCs w:val="24"/>
                <w:lang w:val="en-US" w:eastAsia="zh-CN" w:bidi="ar"/>
              </w:rPr>
              <w:t>、</w:t>
            </w:r>
            <w:r>
              <w:rPr>
                <w:rStyle w:val="64"/>
                <w:rFonts w:hint="eastAsia" w:ascii="仿宋" w:hAnsi="仿宋" w:eastAsia="仿宋" w:cs="仿宋"/>
                <w:color w:val="auto"/>
                <w:sz w:val="24"/>
                <w:szCs w:val="24"/>
                <w:lang w:val="en-US" w:eastAsia="zh-CN" w:bidi="ar"/>
              </w:rPr>
              <w:t xml:space="preserve">12.5mm                                                       </w:t>
            </w:r>
            <w:r>
              <w:rPr>
                <w:rStyle w:val="64"/>
                <w:rFonts w:hint="eastAsia" w:ascii="仿宋" w:hAnsi="仿宋" w:eastAsia="仿宋" w:cs="仿宋"/>
                <w:color w:val="auto"/>
                <w:sz w:val="24"/>
                <w:szCs w:val="24"/>
                <w:lang w:val="en-US" w:eastAsia="zh-CN" w:bidi="ar"/>
              </w:rPr>
              <w:br w:type="textWrapping"/>
            </w:r>
            <w:r>
              <w:rPr>
                <w:rStyle w:val="64"/>
                <w:rFonts w:hint="eastAsia" w:ascii="仿宋" w:hAnsi="仿宋" w:eastAsia="仿宋" w:cs="仿宋"/>
                <w:color w:val="auto"/>
                <w:sz w:val="24"/>
                <w:szCs w:val="24"/>
                <w:lang w:val="en-US" w:eastAsia="zh-CN" w:bidi="ar"/>
              </w:rPr>
              <w:t>5</w:t>
            </w:r>
            <w:r>
              <w:rPr>
                <w:rStyle w:val="72"/>
                <w:rFonts w:hint="eastAsia" w:ascii="仿宋" w:hAnsi="仿宋" w:eastAsia="仿宋" w:cs="仿宋"/>
                <w:color w:val="auto"/>
                <w:sz w:val="24"/>
                <w:szCs w:val="24"/>
                <w:lang w:val="en-US" w:eastAsia="zh-CN" w:bidi="ar"/>
              </w:rPr>
              <w:t>件绝缘六角</w:t>
            </w:r>
            <w:r>
              <w:rPr>
                <w:rStyle w:val="64"/>
                <w:rFonts w:hint="eastAsia" w:ascii="仿宋" w:hAnsi="仿宋" w:eastAsia="仿宋" w:cs="仿宋"/>
                <w:color w:val="auto"/>
                <w:sz w:val="24"/>
                <w:szCs w:val="24"/>
                <w:lang w:val="en-US" w:eastAsia="zh-CN" w:bidi="ar"/>
              </w:rPr>
              <w:t>T</w:t>
            </w:r>
            <w:r>
              <w:rPr>
                <w:rStyle w:val="72"/>
                <w:rFonts w:hint="eastAsia" w:ascii="仿宋" w:hAnsi="仿宋" w:eastAsia="仿宋" w:cs="仿宋"/>
                <w:color w:val="auto"/>
                <w:sz w:val="24"/>
                <w:szCs w:val="24"/>
                <w:lang w:val="en-US" w:eastAsia="zh-CN" w:bidi="ar"/>
              </w:rPr>
              <w:t>型扳手：</w:t>
            </w:r>
            <w:r>
              <w:rPr>
                <w:rStyle w:val="64"/>
                <w:rFonts w:hint="eastAsia" w:ascii="仿宋" w:hAnsi="仿宋" w:eastAsia="仿宋" w:cs="仿宋"/>
                <w:color w:val="auto"/>
                <w:sz w:val="24"/>
                <w:szCs w:val="24"/>
                <w:lang w:val="en-US" w:eastAsia="zh-CN" w:bidi="ar"/>
              </w:rPr>
              <w:t>4~10MM</w:t>
            </w:r>
            <w:r>
              <w:rPr>
                <w:rStyle w:val="64"/>
                <w:rFonts w:hint="eastAsia" w:ascii="仿宋" w:hAnsi="仿宋" w:eastAsia="仿宋" w:cs="仿宋"/>
                <w:color w:val="auto"/>
                <w:sz w:val="24"/>
                <w:szCs w:val="24"/>
                <w:lang w:val="en-US" w:eastAsia="zh-CN" w:bidi="ar"/>
              </w:rPr>
              <w:br w:type="textWrapping"/>
            </w:r>
            <w:r>
              <w:rPr>
                <w:rStyle w:val="64"/>
                <w:rFonts w:hint="eastAsia" w:ascii="仿宋" w:hAnsi="仿宋" w:eastAsia="仿宋" w:cs="仿宋"/>
                <w:color w:val="auto"/>
                <w:sz w:val="24"/>
                <w:szCs w:val="24"/>
                <w:lang w:val="en-US" w:eastAsia="zh-CN" w:bidi="ar"/>
              </w:rPr>
              <w:t>6</w:t>
            </w:r>
            <w:r>
              <w:rPr>
                <w:rStyle w:val="72"/>
                <w:rFonts w:hint="eastAsia" w:ascii="仿宋" w:hAnsi="仿宋" w:eastAsia="仿宋" w:cs="仿宋"/>
                <w:color w:val="auto"/>
                <w:sz w:val="24"/>
                <w:szCs w:val="24"/>
                <w:lang w:val="en-US" w:eastAsia="zh-CN" w:bidi="ar"/>
              </w:rPr>
              <w:t>件绝缘螺丝批：十字、一字</w:t>
            </w:r>
            <w:r>
              <w:rPr>
                <w:rStyle w:val="64"/>
                <w:rFonts w:hint="eastAsia" w:ascii="仿宋" w:hAnsi="仿宋" w:eastAsia="仿宋" w:cs="仿宋"/>
                <w:color w:val="auto"/>
                <w:sz w:val="24"/>
                <w:szCs w:val="24"/>
                <w:lang w:val="en-US" w:eastAsia="zh-CN" w:bidi="ar"/>
              </w:rPr>
              <w:br w:type="textWrapping"/>
            </w:r>
            <w:r>
              <w:rPr>
                <w:rStyle w:val="64"/>
                <w:rFonts w:hint="eastAsia" w:ascii="仿宋" w:hAnsi="仿宋" w:eastAsia="仿宋" w:cs="仿宋"/>
                <w:color w:val="auto"/>
                <w:sz w:val="24"/>
                <w:szCs w:val="24"/>
                <w:lang w:val="en-US" w:eastAsia="zh-CN" w:bidi="ar"/>
              </w:rPr>
              <w:t>4</w:t>
            </w:r>
            <w:r>
              <w:rPr>
                <w:rStyle w:val="72"/>
                <w:rFonts w:hint="eastAsia" w:ascii="仿宋" w:hAnsi="仿宋" w:eastAsia="仿宋" w:cs="仿宋"/>
                <w:color w:val="auto"/>
                <w:sz w:val="24"/>
                <w:szCs w:val="24"/>
                <w:lang w:val="en-US" w:eastAsia="zh-CN" w:bidi="ar"/>
              </w:rPr>
              <w:t>件绝缘钳子：尖嘴钳、斜嘴钳、钢丝钳、剥线钳</w:t>
            </w:r>
            <w:r>
              <w:rPr>
                <w:rStyle w:val="64"/>
                <w:rFonts w:hint="eastAsia" w:ascii="仿宋" w:hAnsi="仿宋" w:eastAsia="仿宋" w:cs="仿宋"/>
                <w:color w:val="auto"/>
                <w:sz w:val="24"/>
                <w:szCs w:val="24"/>
                <w:lang w:val="en-US" w:eastAsia="zh-CN" w:bidi="ar"/>
              </w:rPr>
              <w:br w:type="textWrapping"/>
            </w:r>
            <w:r>
              <w:rPr>
                <w:rStyle w:val="64"/>
                <w:rFonts w:hint="eastAsia" w:ascii="仿宋" w:hAnsi="仿宋" w:eastAsia="仿宋" w:cs="仿宋"/>
                <w:color w:val="auto"/>
                <w:sz w:val="24"/>
                <w:szCs w:val="24"/>
                <w:lang w:val="en-US" w:eastAsia="zh-CN" w:bidi="ar"/>
              </w:rPr>
              <w:t>1</w:t>
            </w:r>
            <w:r>
              <w:rPr>
                <w:rStyle w:val="72"/>
                <w:rFonts w:hint="eastAsia" w:ascii="仿宋" w:hAnsi="仿宋" w:eastAsia="仿宋" w:cs="仿宋"/>
                <w:color w:val="auto"/>
                <w:sz w:val="24"/>
                <w:szCs w:val="24"/>
                <w:lang w:val="en-US" w:eastAsia="zh-CN" w:bidi="ar"/>
              </w:rPr>
              <w:t>件绝缘剪刀</w:t>
            </w:r>
            <w:r>
              <w:rPr>
                <w:rStyle w:val="64"/>
                <w:rFonts w:hint="eastAsia" w:ascii="仿宋" w:hAnsi="仿宋" w:eastAsia="仿宋" w:cs="仿宋"/>
                <w:color w:val="auto"/>
                <w:sz w:val="24"/>
                <w:szCs w:val="24"/>
                <w:lang w:val="en-US" w:eastAsia="zh-CN" w:bidi="ar"/>
              </w:rPr>
              <w:t xml:space="preserve">                                                                                                            </w:t>
            </w:r>
            <w:r>
              <w:rPr>
                <w:rStyle w:val="64"/>
                <w:rFonts w:hint="eastAsia" w:ascii="仿宋" w:hAnsi="仿宋" w:eastAsia="仿宋" w:cs="仿宋"/>
                <w:color w:val="auto"/>
                <w:sz w:val="24"/>
                <w:szCs w:val="24"/>
                <w:lang w:val="en-US" w:eastAsia="zh-CN" w:bidi="ar"/>
              </w:rPr>
              <w:br w:type="textWrapping"/>
            </w:r>
            <w:r>
              <w:rPr>
                <w:rStyle w:val="64"/>
                <w:rFonts w:hint="eastAsia" w:ascii="仿宋" w:hAnsi="仿宋" w:eastAsia="仿宋" w:cs="仿宋"/>
                <w:color w:val="auto"/>
                <w:sz w:val="24"/>
                <w:szCs w:val="24"/>
                <w:lang w:val="en-US" w:eastAsia="zh-CN" w:bidi="ar"/>
              </w:rPr>
              <w:t>13</w:t>
            </w:r>
            <w:r>
              <w:rPr>
                <w:rStyle w:val="72"/>
                <w:rFonts w:hint="eastAsia" w:ascii="仿宋" w:hAnsi="仿宋" w:eastAsia="仿宋" w:cs="仿宋"/>
                <w:color w:val="auto"/>
                <w:sz w:val="24"/>
                <w:szCs w:val="24"/>
                <w:lang w:val="en-US" w:eastAsia="zh-CN" w:bidi="ar"/>
              </w:rPr>
              <w:t>件绝缘梅花扳手：</w:t>
            </w:r>
            <w:r>
              <w:rPr>
                <w:rStyle w:val="64"/>
                <w:rFonts w:hint="eastAsia" w:ascii="仿宋" w:hAnsi="仿宋" w:eastAsia="仿宋" w:cs="仿宋"/>
                <w:color w:val="auto"/>
                <w:sz w:val="24"/>
                <w:szCs w:val="24"/>
                <w:lang w:val="en-US" w:eastAsia="zh-CN" w:bidi="ar"/>
              </w:rPr>
              <w:t>8</w:t>
            </w:r>
            <w:r>
              <w:rPr>
                <w:rStyle w:val="72"/>
                <w:rFonts w:hint="eastAsia" w:ascii="仿宋" w:hAnsi="仿宋" w:eastAsia="仿宋" w:cs="仿宋"/>
                <w:color w:val="auto"/>
                <w:sz w:val="24"/>
                <w:szCs w:val="24"/>
                <w:lang w:val="en-US" w:eastAsia="zh-CN" w:bidi="ar"/>
              </w:rPr>
              <w:t>～</w:t>
            </w:r>
            <w:r>
              <w:rPr>
                <w:rStyle w:val="64"/>
                <w:rFonts w:hint="eastAsia" w:ascii="仿宋" w:hAnsi="仿宋" w:eastAsia="仿宋" w:cs="仿宋"/>
                <w:color w:val="auto"/>
                <w:sz w:val="24"/>
                <w:szCs w:val="24"/>
                <w:lang w:val="en-US" w:eastAsia="zh-CN" w:bidi="ar"/>
              </w:rPr>
              <w:t xml:space="preserve">24mm                                                              </w:t>
            </w:r>
            <w:r>
              <w:rPr>
                <w:rStyle w:val="64"/>
                <w:rFonts w:hint="eastAsia" w:ascii="仿宋" w:hAnsi="仿宋" w:eastAsia="仿宋" w:cs="仿宋"/>
                <w:color w:val="auto"/>
                <w:sz w:val="24"/>
                <w:szCs w:val="24"/>
                <w:lang w:val="en-US" w:eastAsia="zh-CN" w:bidi="ar"/>
              </w:rPr>
              <w:br w:type="textWrapping"/>
            </w:r>
            <w:r>
              <w:rPr>
                <w:rStyle w:val="64"/>
                <w:rFonts w:hint="eastAsia" w:ascii="仿宋" w:hAnsi="仿宋" w:eastAsia="仿宋" w:cs="仿宋"/>
                <w:color w:val="auto"/>
                <w:sz w:val="24"/>
                <w:szCs w:val="24"/>
                <w:lang w:val="en-US" w:eastAsia="zh-CN" w:bidi="ar"/>
              </w:rPr>
              <w:t>13</w:t>
            </w:r>
            <w:r>
              <w:rPr>
                <w:rStyle w:val="72"/>
                <w:rFonts w:hint="eastAsia" w:ascii="仿宋" w:hAnsi="仿宋" w:eastAsia="仿宋" w:cs="仿宋"/>
                <w:color w:val="auto"/>
                <w:sz w:val="24"/>
                <w:szCs w:val="24"/>
                <w:lang w:val="en-US" w:eastAsia="zh-CN" w:bidi="ar"/>
              </w:rPr>
              <w:t>件绝缘开口扳手：</w:t>
            </w:r>
            <w:r>
              <w:rPr>
                <w:rStyle w:val="64"/>
                <w:rFonts w:hint="eastAsia" w:ascii="仿宋" w:hAnsi="仿宋" w:eastAsia="仿宋" w:cs="仿宋"/>
                <w:color w:val="auto"/>
                <w:sz w:val="24"/>
                <w:szCs w:val="24"/>
                <w:lang w:val="en-US" w:eastAsia="zh-CN" w:bidi="ar"/>
              </w:rPr>
              <w:t>8</w:t>
            </w:r>
            <w:r>
              <w:rPr>
                <w:rStyle w:val="72"/>
                <w:rFonts w:hint="eastAsia" w:ascii="仿宋" w:hAnsi="仿宋" w:eastAsia="仿宋" w:cs="仿宋"/>
                <w:color w:val="auto"/>
                <w:sz w:val="24"/>
                <w:szCs w:val="24"/>
                <w:lang w:val="en-US" w:eastAsia="zh-CN" w:bidi="ar"/>
              </w:rPr>
              <w:t>～</w:t>
            </w:r>
            <w:r>
              <w:rPr>
                <w:rStyle w:val="64"/>
                <w:rFonts w:hint="eastAsia" w:ascii="仿宋" w:hAnsi="仿宋" w:eastAsia="仿宋" w:cs="仿宋"/>
                <w:color w:val="auto"/>
                <w:sz w:val="24"/>
                <w:szCs w:val="24"/>
                <w:lang w:val="en-US" w:eastAsia="zh-CN" w:bidi="ar"/>
              </w:rPr>
              <w:t xml:space="preserve">24mm                                                                     </w:t>
            </w:r>
            <w:r>
              <w:rPr>
                <w:rStyle w:val="64"/>
                <w:rFonts w:hint="eastAsia" w:ascii="仿宋" w:hAnsi="仿宋" w:eastAsia="仿宋" w:cs="仿宋"/>
                <w:color w:val="auto"/>
                <w:sz w:val="24"/>
                <w:szCs w:val="24"/>
                <w:lang w:val="en-US" w:eastAsia="zh-CN" w:bidi="ar"/>
              </w:rPr>
              <w:br w:type="textWrapping"/>
            </w:r>
            <w:r>
              <w:rPr>
                <w:rStyle w:val="64"/>
                <w:rFonts w:hint="eastAsia" w:ascii="仿宋" w:hAnsi="仿宋" w:eastAsia="仿宋" w:cs="仿宋"/>
                <w:color w:val="auto"/>
                <w:sz w:val="24"/>
                <w:szCs w:val="24"/>
                <w:lang w:val="en-US" w:eastAsia="zh-CN" w:bidi="ar"/>
              </w:rPr>
              <w:t>3</w:t>
            </w:r>
            <w:r>
              <w:rPr>
                <w:rStyle w:val="72"/>
                <w:rFonts w:hint="eastAsia" w:ascii="仿宋" w:hAnsi="仿宋" w:eastAsia="仿宋" w:cs="仿宋"/>
                <w:color w:val="auto"/>
                <w:sz w:val="24"/>
                <w:szCs w:val="24"/>
                <w:lang w:val="en-US" w:eastAsia="zh-CN" w:bidi="ar"/>
              </w:rPr>
              <w:t>件绝缘鞋、绝缘手套、绝缘垫</w:t>
            </w:r>
          </w:p>
        </w:tc>
      </w:tr>
      <w:tr w14:paraId="4D3D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vAlign w:val="center"/>
          </w:tcPr>
          <w:p w14:paraId="283179AB">
            <w:pPr>
              <w:keepNext w:val="0"/>
              <w:keepLines w:val="0"/>
              <w:widowControl/>
              <w:numPr>
                <w:ilvl w:val="0"/>
                <w:numId w:val="1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505C19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数字钳形表</w:t>
            </w:r>
          </w:p>
        </w:tc>
        <w:tc>
          <w:tcPr>
            <w:tcW w:w="889" w:type="dxa"/>
            <w:vAlign w:val="center"/>
          </w:tcPr>
          <w:p w14:paraId="4330B50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4</w:t>
            </w:r>
          </w:p>
        </w:tc>
        <w:tc>
          <w:tcPr>
            <w:tcW w:w="889" w:type="dxa"/>
            <w:vAlign w:val="center"/>
          </w:tcPr>
          <w:p w14:paraId="04CB7F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67" w:type="dxa"/>
            <w:vAlign w:val="center"/>
          </w:tcPr>
          <w:p w14:paraId="0DCF2E6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技术参数：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交流电流（A)：600A/2500A，±(1.5%+5)</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直流电流（A)：600A/2500A，±(1.5%+5)</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交流电压（V)：6V/60V/600V/1000V，± (1.2%+5)</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直流电压（V)：6V/60V/600V/1000V，±(0.5%+2)</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电阻(Ω)  ：600Ω/6KΩ/60KΩ/600KΩ/6MΩ/60MΩ，±(1%+2)</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电容(F)：60nF/600nF/6uF/60uF/600uF/6000uF/60mF，±(3.0%+5)</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频率(Hz)：60Hz/600Hz/6kHz/60kHz/600kHz/6MHz/60MHz，±(0.1%+3)</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最大显示：≥6000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自动量程：配置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开口尺寸：≥63mm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真有效值：交流电压/ 交流电流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电源：9V电池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LCD 尺寸：≥43mm×30mm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机身尺寸：≥298mm× 100mm × 48mm</w:t>
            </w:r>
          </w:p>
        </w:tc>
      </w:tr>
      <w:tr w14:paraId="5BA2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vAlign w:val="center"/>
          </w:tcPr>
          <w:p w14:paraId="5430D9E9">
            <w:pPr>
              <w:keepNext w:val="0"/>
              <w:keepLines w:val="0"/>
              <w:widowControl/>
              <w:numPr>
                <w:ilvl w:val="0"/>
                <w:numId w:val="1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093361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绝缘电阻测试仪</w:t>
            </w:r>
          </w:p>
        </w:tc>
        <w:tc>
          <w:tcPr>
            <w:tcW w:w="889" w:type="dxa"/>
            <w:vAlign w:val="center"/>
          </w:tcPr>
          <w:p w14:paraId="4AC69F2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4</w:t>
            </w:r>
          </w:p>
        </w:tc>
        <w:tc>
          <w:tcPr>
            <w:tcW w:w="889" w:type="dxa"/>
            <w:vAlign w:val="center"/>
          </w:tcPr>
          <w:p w14:paraId="4318A9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67" w:type="dxa"/>
            <w:vAlign w:val="center"/>
          </w:tcPr>
          <w:p w14:paraId="54E9320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技术参数：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范围：≥600.0 V 分辨率：0.1 V  50 Hz 至 400 Hz ± (2 % + 3)</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输入阻抗：3 MΩ （标称值）, &lt; 100 pF</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共模抑制比：（1 kΩ 不平衡):&gt; 60 dB，在直流、50 或 60 Hz时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过载保护：≥600 V 有效值或直流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量程/分辨率：20.00 Ω/0.01 Ω、200.0 Ω/0.1 Ω、2000 Ω/1 Ω、20.00 kΩ/0.01 kΩ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精确度：± (1.5 % + 3)</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过载保护：2 V 有效值或直流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开路测试电压：&gt; 4.0 V, &lt; 8 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短路电流：&gt; 200.0 mA</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0.01 MΩ 至 10 GΩ的绝缘测试</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绝缘测试电压: 50 V、100 V、250 V、500 V 和 1000 V，适用于多种应用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通过/失败（比较）功能，使重复性测试简单、方便</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保存/调用功能，有≥19个存储单元，节约时间和人力</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远程测试探头，使重复性测试或难以触及的被测点的测试更加方便</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带电电路检测功能，如果检测到大于30 V的电压，则禁止进行测试</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交/直流电压: 0.1 V 至 600 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≥200 mA 通断性测量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电阻:0.01 Ω 至 20.00 KΩ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自动关闭功能，节约电池电量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CAT IV 600 V 测量安全等级，提高了对人员的保护能力</w:t>
            </w:r>
          </w:p>
        </w:tc>
      </w:tr>
      <w:tr w14:paraId="20E9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vAlign w:val="center"/>
          </w:tcPr>
          <w:p w14:paraId="09318B3F">
            <w:pPr>
              <w:keepNext w:val="0"/>
              <w:keepLines w:val="0"/>
              <w:widowControl/>
              <w:numPr>
                <w:ilvl w:val="0"/>
                <w:numId w:val="1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43CA3E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电池内阻测试仪</w:t>
            </w:r>
          </w:p>
        </w:tc>
        <w:tc>
          <w:tcPr>
            <w:tcW w:w="889" w:type="dxa"/>
            <w:vAlign w:val="center"/>
          </w:tcPr>
          <w:p w14:paraId="0D84BDC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4</w:t>
            </w:r>
          </w:p>
        </w:tc>
        <w:tc>
          <w:tcPr>
            <w:tcW w:w="889" w:type="dxa"/>
            <w:vAlign w:val="center"/>
          </w:tcPr>
          <w:p w14:paraId="2E802C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67" w:type="dxa"/>
            <w:vAlign w:val="center"/>
          </w:tcPr>
          <w:p w14:paraId="696BE50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显示器：≥3.5英寸彩色液晶显示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显示位数：≥6位</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测试参数：交流电阻R，直流电压V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基本精度：电阻：0.5%，电压：0.05%</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测量范围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电池内阻R:1uΩ－33Ω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电池电压V:0.1mV －60V</w:t>
            </w:r>
          </w:p>
        </w:tc>
      </w:tr>
      <w:tr w14:paraId="3066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vAlign w:val="center"/>
          </w:tcPr>
          <w:p w14:paraId="29F16C63">
            <w:pPr>
              <w:keepNext w:val="0"/>
              <w:keepLines w:val="0"/>
              <w:widowControl/>
              <w:numPr>
                <w:ilvl w:val="0"/>
                <w:numId w:val="1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25F2DA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万用接线盒</w:t>
            </w:r>
          </w:p>
        </w:tc>
        <w:tc>
          <w:tcPr>
            <w:tcW w:w="889" w:type="dxa"/>
            <w:vAlign w:val="center"/>
          </w:tcPr>
          <w:p w14:paraId="43D5D4C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4</w:t>
            </w:r>
          </w:p>
        </w:tc>
        <w:tc>
          <w:tcPr>
            <w:tcW w:w="889" w:type="dxa"/>
            <w:vAlign w:val="center"/>
          </w:tcPr>
          <w:p w14:paraId="164B12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67" w:type="dxa"/>
            <w:vAlign w:val="center"/>
          </w:tcPr>
          <w:p w14:paraId="45BFE4A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1、包含各种规格的“T”型线，能满足整车系统的所有保险丝、继电器、元器件插接测量之用，要有足够的通流能力和可重复插接使用能力。</w:t>
            </w:r>
          </w:p>
          <w:p w14:paraId="15E83F6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2、产品配置表：</w:t>
            </w:r>
          </w:p>
          <w:p w14:paraId="6759B77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2.0香蕉头母座对2.8插簧(黑色)</w:t>
            </w:r>
          </w:p>
          <w:p w14:paraId="6D544EF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2.0香蕉头母座对2.8插片(黑色)</w:t>
            </w:r>
          </w:p>
          <w:p w14:paraId="15FEA97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2.0香蕉头母座对2.8插簧(红色)</w:t>
            </w:r>
          </w:p>
          <w:p w14:paraId="2341847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2.0香蕉头母座对2.8插片(红色)</w:t>
            </w:r>
          </w:p>
          <w:p w14:paraId="40229E0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2.0香蕉头母座对4.8插簧(黑色)</w:t>
            </w:r>
          </w:p>
          <w:p w14:paraId="62D4479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2.0香蕉头母座对4.8插片(黑色)</w:t>
            </w:r>
          </w:p>
          <w:p w14:paraId="3561D1D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2.0香蕉头母座对4.8插簧(红色)</w:t>
            </w:r>
          </w:p>
          <w:p w14:paraId="57D44EA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2.0香蕉头母座对4.8插片(红色)</w:t>
            </w:r>
          </w:p>
          <w:p w14:paraId="233DBB9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2.0香蕉头母座对6.2插簧(黑色)</w:t>
            </w:r>
          </w:p>
          <w:p w14:paraId="516DD13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2.0香蕉头母座对6.2插片(黑色)</w:t>
            </w:r>
          </w:p>
          <w:p w14:paraId="54270F7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2.0杏焦头母:座对6.2插篢(红色</w:t>
            </w:r>
          </w:p>
          <w:p w14:paraId="5C9F55E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2.0香蕉头母座对6.2插片(红色)</w:t>
            </w:r>
          </w:p>
          <w:p w14:paraId="4D45A1F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2.0香蕉头母座对6.2插簧插片(黑色)</w:t>
            </w:r>
          </w:p>
          <w:p w14:paraId="42F26E6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2.0香蕉头母座对6.2插簧插片(红色)</w:t>
            </w:r>
          </w:p>
          <w:p w14:paraId="40F7196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2.0香蕉头母座对2.8插簧/W1.6*T0.8插针(黑色)</w:t>
            </w:r>
          </w:p>
          <w:p w14:paraId="521674F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2.0香蕉头母座对2.8插簧/W1.6*T0.8插针(红色)</w:t>
            </w:r>
          </w:p>
          <w:p w14:paraId="701C866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2.0香蕉头母头铜管对20.7插针(黑色)</w:t>
            </w:r>
          </w:p>
          <w:p w14:paraId="44EF29B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2.0香蕉头母头铜管对00.7插针(红色)</w:t>
            </w:r>
          </w:p>
          <w:p w14:paraId="0FBC452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2.0公母一体香蕉头延长线;L=2M(黑色)</w:t>
            </w:r>
          </w:p>
          <w:p w14:paraId="219CA84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2.0公母一体香蕉头延长线;L=2M(红色)</w:t>
            </w:r>
          </w:p>
          <w:p w14:paraId="375007D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黑色护套夹子延长线;L=2M(黑色)</w:t>
            </w:r>
          </w:p>
          <w:p w14:paraId="00314F3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红色护套夹子延长线;L=2M(红色)</w:t>
            </w:r>
          </w:p>
          <w:p w14:paraId="7A90154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端子对全包式鳄鱼夹;L=220mm(红色)</w:t>
            </w:r>
          </w:p>
          <w:p w14:paraId="1194000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端子对全包式鳄鱼夹;L=220mm(黑色)</w:t>
            </w:r>
          </w:p>
          <w:p w14:paraId="709D9FB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热缩套管端子对全包式鳄鱼夹;L=220mm(红色)</w:t>
            </w:r>
          </w:p>
          <w:p w14:paraId="1540886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热缩套管端子对全包式鳄鱼夹;L=220mm(黑色)</w:t>
            </w:r>
          </w:p>
          <w:p w14:paraId="27D7C66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红色∅1.0测试探针</w:t>
            </w:r>
          </w:p>
          <w:p w14:paraId="598B3F3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黑色∅1.0测试探针</w:t>
            </w:r>
          </w:p>
        </w:tc>
      </w:tr>
      <w:tr w14:paraId="55CC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vAlign w:val="center"/>
          </w:tcPr>
          <w:p w14:paraId="6980A43A">
            <w:pPr>
              <w:keepNext w:val="0"/>
              <w:keepLines w:val="0"/>
              <w:widowControl/>
              <w:numPr>
                <w:ilvl w:val="0"/>
                <w:numId w:val="1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2C5B90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文化建设</w:t>
            </w:r>
          </w:p>
        </w:tc>
        <w:tc>
          <w:tcPr>
            <w:tcW w:w="889" w:type="dxa"/>
            <w:vAlign w:val="center"/>
          </w:tcPr>
          <w:p w14:paraId="556B0A6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89" w:type="dxa"/>
            <w:vAlign w:val="center"/>
          </w:tcPr>
          <w:p w14:paraId="779CE3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67" w:type="dxa"/>
            <w:shd w:val="clear" w:color="auto" w:fill="auto"/>
            <w:vAlign w:val="center"/>
          </w:tcPr>
          <w:p w14:paraId="65F6DA4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1.实训工位吊牌（实训中心各区域名称等）</w:t>
            </w:r>
          </w:p>
          <w:p w14:paraId="738FFC4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2.横版常规造型料文化墙（实训基地简介，建设目标，建设规划，优秀教师、学生团队风采墙等）</w:t>
            </w:r>
          </w:p>
          <w:p w14:paraId="31AB64D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3.竖版常规尺寸海报（规章制度/功能展板/知识墙/发展历程等文本/学校 logo、 校训等/优秀教师、学生团队风采墙等）</w:t>
            </w:r>
          </w:p>
          <w:p w14:paraId="355E56A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注：文化墙尺寸按实际墙面尺寸定制</w:t>
            </w:r>
          </w:p>
        </w:tc>
      </w:tr>
      <w:tr w14:paraId="0C40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vAlign w:val="center"/>
          </w:tcPr>
          <w:p w14:paraId="3C46AC0D">
            <w:pPr>
              <w:keepNext w:val="0"/>
              <w:keepLines w:val="0"/>
              <w:widowControl/>
              <w:numPr>
                <w:ilvl w:val="0"/>
                <w:numId w:val="1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40695D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人员防护套装</w:t>
            </w:r>
          </w:p>
        </w:tc>
        <w:tc>
          <w:tcPr>
            <w:tcW w:w="889" w:type="dxa"/>
            <w:vAlign w:val="center"/>
          </w:tcPr>
          <w:p w14:paraId="4658553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10</w:t>
            </w:r>
          </w:p>
        </w:tc>
        <w:tc>
          <w:tcPr>
            <w:tcW w:w="889" w:type="dxa"/>
            <w:vAlign w:val="center"/>
          </w:tcPr>
          <w:p w14:paraId="41F798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67" w:type="dxa"/>
            <w:vAlign w:val="center"/>
          </w:tcPr>
          <w:p w14:paraId="2E6BCF6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人员防护套装包括绝缘手套、耐磨手套、绝缘鞋、护目镜、安全帽等各1套。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1、绝缘手套：天然橡胶制成，耐压等级≥1KV。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2、耐磨手套：符合人体工程学设计；可降低潜在的危险，如：刀割等；可清洗。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3、绝缘鞋：防砸电绝缘；双密度聚氨酯（PU）一次成型鞋底，大底致密耐磨，中底柔软舒适配合防滑设计穿着舒适安全。柔软型全封闭鞋舌，有效防止飞溅液体进入。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4、护目镜：防冲击物，如打磨，研磨等。防化学物，如电镀，喷漆等。防光辐射，如红外线、紫外线等。防热辐射，如电火花，热辐射等。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5、安全帽：绝缘，防撞减震，防喷溅，抗撕裂， 安全帽采用 ABS 硬质材质，无毒、无味、无任何刺激。</w:t>
            </w:r>
          </w:p>
        </w:tc>
      </w:tr>
      <w:tr w14:paraId="1BCA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vAlign w:val="center"/>
          </w:tcPr>
          <w:p w14:paraId="1681920D">
            <w:pPr>
              <w:keepNext w:val="0"/>
              <w:keepLines w:val="0"/>
              <w:widowControl/>
              <w:numPr>
                <w:ilvl w:val="0"/>
                <w:numId w:val="1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33FB0F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工位安全防护套装</w:t>
            </w:r>
          </w:p>
        </w:tc>
        <w:tc>
          <w:tcPr>
            <w:tcW w:w="889" w:type="dxa"/>
            <w:vAlign w:val="center"/>
          </w:tcPr>
          <w:p w14:paraId="4F5E8AB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5</w:t>
            </w:r>
          </w:p>
        </w:tc>
        <w:tc>
          <w:tcPr>
            <w:tcW w:w="889" w:type="dxa"/>
            <w:vAlign w:val="center"/>
          </w:tcPr>
          <w:p w14:paraId="0B7331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67" w:type="dxa"/>
            <w:vAlign w:val="center"/>
          </w:tcPr>
          <w:p w14:paraId="03E1DC3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工位安全保护套装包括警示牌、隔离带套装、绝缘防护垫等各1套。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1、警示牌：绝缘材质制作，表面喷涂"危险，请勿靠近”字样与带电符号。</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2、隔离带套装：可再次利用，对操作空间进行隔离；最长≥5m；可伸缩，每套≥6根围成一个工位。</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3、绝缘防护垫：最高耐压≥10KV，尺寸：≥5m x 1m x 5mm  （长x宽x厚度)</w:t>
            </w:r>
          </w:p>
        </w:tc>
      </w:tr>
      <w:tr w14:paraId="5E36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vAlign w:val="center"/>
          </w:tcPr>
          <w:p w14:paraId="10896555">
            <w:pPr>
              <w:keepNext w:val="0"/>
              <w:keepLines w:val="0"/>
              <w:widowControl/>
              <w:numPr>
                <w:ilvl w:val="0"/>
                <w:numId w:val="18"/>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2D6499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拾音扩音系统</w:t>
            </w:r>
          </w:p>
        </w:tc>
        <w:tc>
          <w:tcPr>
            <w:tcW w:w="889" w:type="dxa"/>
            <w:vAlign w:val="center"/>
          </w:tcPr>
          <w:p w14:paraId="298E25A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89" w:type="dxa"/>
            <w:vAlign w:val="center"/>
          </w:tcPr>
          <w:p w14:paraId="64CD17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67" w:type="dxa"/>
            <w:vAlign w:val="center"/>
          </w:tcPr>
          <w:p w14:paraId="74168E7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 xml:space="preserve">1、8寸卡包音响：单8寸箱贴皮箱，低音100磁35芯+2个3寸高音，流线形的冲印灰色钢网。低音采用进口的复合松压纸盆，120磁双磁路设计。采用了发烧级耦合电容，致使中高频表现得也非常突出。频率范围;60HZ-18KHZ  单元配置;LF:8"×1HF:3"×2  阻抗;8Ω 灵敏度;90DB  额定功率;80W  最大功率;160W  最大声压;112DB   重量;7.5KG  外形尺寸;460L×238D×268H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2、合并式功放：1.双混响卡拉OK电路.真实的空间环绕混响.唱歌效果一流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2.高档VFD荧光显示屏.华丽惊艳的蓝色显示.独显气派</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3.双变色大按键.配合2.5U新型高档面板.特别适合高档场所</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4.USB/SD.蓝牙.FM收音功能.能播放MP3/WMA高品质的音乐.和采用高保真的音频专用线路.还原HIFI级的听觉效果.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5.采用SMT贴片技术.性能更稳定</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6.专业级的功放保护系统.有全方位的温度保护（包括变压器和散热器）.短路保护.和风扇的温控变速等        8Ω 平均功率  200W×2           4Ω 平均功率  350W×2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頻率模式  20Hz-20KHz.（+0.5.-0.5db)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输入灵敏度：25mv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瞬態回應 ：20V/μs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信噪比  ＞93dB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總諧波失真 ：&lt;0.05% 430mmX290mmX120mm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3、一拖二无线话筒：1.UHF频段传输信号，频率范围:500-980MHz；</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2.双通道接收信号,每通道有100个通道可选，每个通道以250KHz步进；每通道用25MHz*2=50MHz；</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3.采用稳定的PLL数位锁相环合成技术和智能数字线路，整机性能稳定性显著提高；</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4.各通道配备独有的ID号，增强抗干扰功能，支持多台叠机使用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5.背面设有2个独立平衡输出和1个混合非平衡输出，适合连接各种外置设备；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6.超静音轻触开关，轻按0.5S开启进入工作状态；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7.话筒耗电量为80mA，使用1.5V电池（2粒）供电，可连续使用6小时(配高端电池时)；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8.主机和发射器均具备LCD屏显示工作状态等内容</w:t>
            </w:r>
          </w:p>
        </w:tc>
      </w:tr>
    </w:tbl>
    <w:p w14:paraId="2C00F517">
      <w:pPr>
        <w:pStyle w:val="4"/>
        <w:bidi w:val="0"/>
        <w:rPr>
          <w:rFonts w:hint="eastAsia" w:eastAsia="仿宋"/>
          <w:color w:val="auto"/>
          <w:lang w:val="en-US" w:eastAsia="zh-CN"/>
        </w:rPr>
      </w:pPr>
      <w:r>
        <w:rPr>
          <w:rFonts w:hint="eastAsia"/>
          <w:color w:val="auto"/>
          <w:lang w:val="en-US" w:eastAsia="zh-CN"/>
        </w:rPr>
        <w:t>4.</w:t>
      </w:r>
      <w:r>
        <w:rPr>
          <w:rFonts w:hint="eastAsia" w:ascii="仿宋" w:hAnsi="仿宋" w:eastAsia="仿宋" w:cs="仿宋"/>
          <w:b/>
          <w:bCs/>
          <w:color w:val="auto"/>
          <w:sz w:val="24"/>
          <w:szCs w:val="24"/>
          <w:highlight w:val="none"/>
          <w:u w:val="none"/>
        </w:rPr>
        <w:t>新能源汽车电器与辅助电子实训室</w:t>
      </w:r>
    </w:p>
    <w:tbl>
      <w:tblPr>
        <w:tblStyle w:val="2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451"/>
        <w:gridCol w:w="885"/>
        <w:gridCol w:w="885"/>
        <w:gridCol w:w="5182"/>
      </w:tblGrid>
      <w:tr w14:paraId="532C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85" w:type="dxa"/>
            <w:vAlign w:val="center"/>
          </w:tcPr>
          <w:p w14:paraId="475F8ECD">
            <w:pPr>
              <w:pStyle w:val="2"/>
              <w:snapToGrid w:val="0"/>
              <w:ind w:left="0" w:leftChars="0" w:right="0" w:rightChars="0" w:firstLine="0" w:firstLineChars="0"/>
              <w:rPr>
                <w:rFonts w:hint="eastAsia" w:ascii="仿宋" w:hAnsi="仿宋" w:eastAsia="仿宋" w:cs="仿宋"/>
                <w:b/>
                <w:bCs/>
                <w:color w:val="auto"/>
                <w:kern w:val="0"/>
                <w:sz w:val="24"/>
                <w:szCs w:val="24"/>
                <w:vertAlign w:val="baseline"/>
                <w:lang w:val="en-US" w:eastAsia="zh-CN" w:bidi="ar"/>
              </w:rPr>
            </w:pPr>
            <w:bookmarkStart w:id="716" w:name="_Toc22277"/>
            <w:bookmarkStart w:id="717" w:name="_Toc1888"/>
            <w:r>
              <w:rPr>
                <w:rFonts w:hint="eastAsia" w:ascii="仿宋" w:hAnsi="仿宋" w:eastAsia="仿宋" w:cs="仿宋"/>
                <w:b/>
                <w:bCs/>
                <w:color w:val="auto"/>
                <w:kern w:val="0"/>
                <w:sz w:val="24"/>
                <w:szCs w:val="24"/>
                <w:vertAlign w:val="baseline"/>
                <w:lang w:val="en-US" w:eastAsia="zh-CN" w:bidi="ar"/>
              </w:rPr>
              <w:t>序号</w:t>
            </w:r>
            <w:bookmarkEnd w:id="716"/>
            <w:bookmarkEnd w:id="717"/>
          </w:p>
        </w:tc>
        <w:tc>
          <w:tcPr>
            <w:tcW w:w="0" w:type="auto"/>
            <w:vAlign w:val="center"/>
          </w:tcPr>
          <w:p w14:paraId="1940727D">
            <w:pPr>
              <w:keepNext w:val="0"/>
              <w:keepLines w:val="0"/>
              <w:widowControl/>
              <w:numPr>
                <w:ilvl w:val="0"/>
                <w:numId w:val="0"/>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产品名称</w:t>
            </w:r>
          </w:p>
        </w:tc>
        <w:tc>
          <w:tcPr>
            <w:tcW w:w="885" w:type="dxa"/>
            <w:vAlign w:val="center"/>
          </w:tcPr>
          <w:p w14:paraId="35205435">
            <w:pPr>
              <w:keepNext w:val="0"/>
              <w:keepLines w:val="0"/>
              <w:widowControl/>
              <w:numPr>
                <w:ilvl w:val="0"/>
                <w:numId w:val="0"/>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数量</w:t>
            </w:r>
          </w:p>
        </w:tc>
        <w:tc>
          <w:tcPr>
            <w:tcW w:w="885" w:type="dxa"/>
            <w:vAlign w:val="center"/>
          </w:tcPr>
          <w:p w14:paraId="305556BE">
            <w:pPr>
              <w:keepNext w:val="0"/>
              <w:keepLines w:val="0"/>
              <w:widowControl/>
              <w:numPr>
                <w:ilvl w:val="0"/>
                <w:numId w:val="0"/>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单位</w:t>
            </w:r>
          </w:p>
        </w:tc>
        <w:tc>
          <w:tcPr>
            <w:tcW w:w="5182" w:type="dxa"/>
            <w:vAlign w:val="center"/>
          </w:tcPr>
          <w:p w14:paraId="7D1D90E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技术参数</w:t>
            </w:r>
          </w:p>
        </w:tc>
      </w:tr>
      <w:tr w14:paraId="5A6E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dxa"/>
            <w:vAlign w:val="center"/>
          </w:tcPr>
          <w:p w14:paraId="0F099FD5">
            <w:pPr>
              <w:keepNext w:val="0"/>
              <w:keepLines w:val="0"/>
              <w:widowControl/>
              <w:numPr>
                <w:ilvl w:val="0"/>
                <w:numId w:val="21"/>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291583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新能源汽车全车照明系统实训平台</w:t>
            </w:r>
          </w:p>
        </w:tc>
        <w:tc>
          <w:tcPr>
            <w:tcW w:w="885" w:type="dxa"/>
            <w:vAlign w:val="center"/>
          </w:tcPr>
          <w:p w14:paraId="1231EB6E">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2</w:t>
            </w:r>
          </w:p>
        </w:tc>
        <w:tc>
          <w:tcPr>
            <w:tcW w:w="885" w:type="dxa"/>
            <w:vAlign w:val="center"/>
          </w:tcPr>
          <w:p w14:paraId="4213DB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82" w:type="dxa"/>
            <w:vAlign w:val="center"/>
          </w:tcPr>
          <w:p w14:paraId="722A6F0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一、产品要求：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以新能源汽车车内车外灯光为基础设计，可完成新能源汽车灯光系统的结构认知、检测诊断与维修等教学训练。实训平台可通过故障设置器进行相关电路故障模拟，故障模拟后可在检测面板对应的检测端子进行信号的测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二、功能要求：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1、为方便实训，平台部件立式上下分层摆放，学生可直接通过检测仪器进行部件信号测量；平台下方配备不少于三个抽屉和两个侧边柜，方便存放工具及部件。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2、配套前照灯总成，前照灯包含近光灯、远光灯、转向灯等功能。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3、转向灯可通过操作转向灯开关手柄进行左右侧转向灯操作，能实现变道和转向灯控制。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4、危险警告灯可通过应急灯开关进行开启，开启后应急灯开关指示灯、前照灯转向信号灯、后尾灯转向信号灯点亮。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5、车内照明灯，可进行车内顶棚阅读灯的控制。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6、灯光系统实训平台配套智能故障设置模块，可进行灯光系统线路故障设置，可设置灯光系统相关故障等。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7、灯光系统实训平台与舒适系统实训平台配套互联使用。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8、配置检测面板，可实时检测灯光系统相关电信号，包含电压信号、电阻信号、波形信号等。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9、检测面板安装左前组合灯、左后组合灯、右后组合灯、右前组合灯，并在大灯安装接口处丝印针脚号，直观展示控制电路。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10、平台以作为车身控制器为核心控制部件，采用丝印彩色印刷或激光刻印电路图，车身系统部件通过电路图与车身控制器模块连接。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11、平台核心部件采用实车部件安装，通过线束进行连接，完整实现系统控制功能。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12、检测面板绘制部件连接电路图包含但不限于：前舱保险盒、组合开关、前室内灯、BCM、右前大灯、右后大灯、左后大灯、左前大灯、制动灯开关、紧急告警开关、大灯调节开关等。</w:t>
            </w:r>
          </w:p>
          <w:p w14:paraId="578FBDD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三、实训任务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三、实训任务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1.新能源车身电气系统认知；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2.车外照明灯检测、诊断与维修；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3.车内照明灯检测、诊断与维修；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4.低压控制系统检测、诊断与维修；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5.保险丝继电器检测、诊断与维修。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四、技术参数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1.工作电压：DC12V；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2.通讯方式：CAN通讯；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3.结构形式：钣金结构；</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4.外观尺寸（长宽高）：≥1670X750X1800mm</w:t>
            </w:r>
          </w:p>
        </w:tc>
      </w:tr>
      <w:tr w14:paraId="0A6D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dxa"/>
            <w:vAlign w:val="center"/>
          </w:tcPr>
          <w:p w14:paraId="77F1EC10">
            <w:pPr>
              <w:keepNext w:val="0"/>
              <w:keepLines w:val="0"/>
              <w:widowControl/>
              <w:numPr>
                <w:ilvl w:val="0"/>
                <w:numId w:val="21"/>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17E5B7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新能源汽车舒适系统实训平台</w:t>
            </w:r>
          </w:p>
        </w:tc>
        <w:tc>
          <w:tcPr>
            <w:tcW w:w="885" w:type="dxa"/>
            <w:vAlign w:val="center"/>
          </w:tcPr>
          <w:p w14:paraId="6D0B42F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885" w:type="dxa"/>
            <w:vAlign w:val="center"/>
          </w:tcPr>
          <w:p w14:paraId="388339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82" w:type="dxa"/>
            <w:vAlign w:val="center"/>
          </w:tcPr>
          <w:p w14:paraId="7FDECBD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一、产品要求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以新能源汽车舒适系统为基础设计，舒适系统实训平台和灯光系统实训平台配套使用，可完成新能源汽车中央门锁系统、车窗升降控制系统、电动后视镜、一键启动的结构认知、检测诊断与维修等教学训练。实训平台可通过故障设置器进行相关电路故障模拟，故障模拟后可在检测面板对应的检测端子进行信号的测量。该实训平台可满足检测、诊断与维修车身舒适系统；检测、诊断与维修锁定与防盗系统；</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二、产品功能要求：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1.完整的中央门锁系统，可通过智能钥匙进行中央门锁的解锁和闭锁控制，也可通过驾驶侧升降器主开关进行门锁解锁控制。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2.配套左前车门车窗升降电机、右前车门车窗升降电机，左后车门车窗升降电机、右后车门车窗升降电机通过车窗升降器开关可对各车窗进行升降控制和儿童锁控制功能。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3.配套左右侧电动后视镜总成，可通过后视镜调节开关对任意一侧后视镜进行上翻、下翻、外翻、内翻4个方向的调整。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4.具有智能钥匙一键启动功能，智能钥匙在有效识别区域通过按压一键启动开关可打开系统电源，进行相关功能演示测量操作。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5.舒适系统实训平台配套智能故障设置模块，可进行舒适系统线路故障设置，可设置舒适系统相关故障等。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6.配置检测面板，采用丝印彩色印刷或激光刻印电路图，可实时检测舒适系统相关电信号，包含电压信号、电阻信号、波形信号等。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检测面板绘制部件连接电路图包含但不限于：左前车窗开关、左后车窗开关、右前车窗开关、右后车窗开关、左前门锁、右前门锁、换挡操纵机构面板总成、制动灯开关、车内探测天线、车外探测天线、左外后视镜、右外后视镜、喇叭开关等。</w:t>
            </w:r>
          </w:p>
          <w:p w14:paraId="264BBF2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11、配置故障设置软件系统，系统采用USB转485通信与故障设置器进行互联，系统内故障设置按照序号排列，可对具体故障名称等进行设置与排除。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三、实训任务要求：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1.认知保险丝继电器的检测与诊断；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2.车窗升降器无法操作检测与诊断；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3.电动后视镜无法调节检测与诊断；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4.中央门锁工作异常检测与诊断；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5.一键启动功能失效检测与诊断；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6.诊断系统无法通讯检测与诊断。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四、技术参数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1.工作电压：DC12V；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2.通讯方式：CAN通讯；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3.结构形式：钣金结构；</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4.外观尺寸（长宽高）：≥1670X750X1800mm</w:t>
            </w:r>
          </w:p>
        </w:tc>
      </w:tr>
      <w:tr w14:paraId="717C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dxa"/>
            <w:vAlign w:val="center"/>
          </w:tcPr>
          <w:p w14:paraId="642734C7">
            <w:pPr>
              <w:keepNext w:val="0"/>
              <w:keepLines w:val="0"/>
              <w:widowControl/>
              <w:numPr>
                <w:ilvl w:val="0"/>
                <w:numId w:val="21"/>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3BE49F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bCs/>
                <w:color w:val="auto"/>
                <w:sz w:val="24"/>
                <w:szCs w:val="24"/>
                <w:highlight w:val="none"/>
                <w:u w:val="none"/>
              </w:rPr>
              <w:t>※</w:t>
            </w:r>
            <w:r>
              <w:rPr>
                <w:rFonts w:hint="eastAsia" w:ascii="仿宋" w:hAnsi="仿宋" w:eastAsia="仿宋" w:cs="仿宋"/>
                <w:i w:val="0"/>
                <w:iCs w:val="0"/>
                <w:color w:val="auto"/>
                <w:kern w:val="0"/>
                <w:sz w:val="24"/>
                <w:szCs w:val="24"/>
                <w:u w:val="none"/>
                <w:lang w:val="en-US" w:eastAsia="zh-CN" w:bidi="ar"/>
              </w:rPr>
              <w:t>压缩机综合性能检测台</w:t>
            </w:r>
          </w:p>
        </w:tc>
        <w:tc>
          <w:tcPr>
            <w:tcW w:w="885" w:type="dxa"/>
            <w:vAlign w:val="center"/>
          </w:tcPr>
          <w:p w14:paraId="3143E82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885" w:type="dxa"/>
            <w:vAlign w:val="center"/>
          </w:tcPr>
          <w:p w14:paraId="02777D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82" w:type="dxa"/>
            <w:vAlign w:val="center"/>
          </w:tcPr>
          <w:p w14:paraId="6AFE6D7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一、产品要求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测试平台配置实车电动压缩机≥2个，可用于拆装训练，拆装完成后通过性能测试，检测压缩机工作性能、是否泄压等。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二、产品功能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1、平台设置部件拆装区、部件测试区、部件检测区等，按照不能分区类型，完成不能分区功能。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2、压缩机类型选用主流车型CAN通讯控制压缩机进行拆装检测。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3、平台配置不少与两个压缩机，一个用于拆装训练，一个用于做性能测试。</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标配高压气管、CAN通信模块、高精度压力表、储气罐、数据显示屏等核心检测部件，其中高压气管适配压缩机气路连接需求，CAN通信模块可精准解析CAN协议指令及数据，压力表实时监测系统压力变化，数据显示屏清晰呈现测试参数、故障信息等内容，为实训教学提供全面的硬件支撑，让学员直观了解检测设备的使用方法。</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通过协议指令实现压缩机离线驱动运转，无需连接整车，即可模拟压缩机实际工作状态，精准测试压缩机运行性能（如转速等）及系统压力变化，实时采集并显示相关测试数据，让学员直观观察压缩机的工作过程及性能指标，理解其工作原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6、通过CAN协议指令，离线驱动的压缩机运转，测试压缩机运行性能及系统压力；</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增设同步线程监控模块，实时监控被测压缩机的故障信息，可快速识别压缩机运行过程中的异常现象（如压力异常、通讯故障等）；当测试不通过时，数据显示屏会即时显示相关故障信息提示，便于教师讲解故障排查思路，帮助学员掌握故障诊断方法，提升问题解决能力。</w:t>
            </w:r>
          </w:p>
          <w:p w14:paraId="29DD3EF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8、为方便测试，平台配置打压快接口、高压DC+、高压DC-、交流电表、直流电表、低压通信线、储气罐、压力传感器等部件组成。</w:t>
            </w:r>
          </w:p>
          <w:p w14:paraId="305CA2B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9、为确保产品稳定性能，平台采用全钣金结构，内部使用方通进行加固，底部配置≥2个抽屉，一个侧边柜，台面采用不锈钢板高低L型布置，方便部件拆装，背面采用钣金镂空挂板，侧面安装教学终端。</w:t>
            </w:r>
          </w:p>
          <w:p w14:paraId="2D70BDF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10、配置使用指导视频：</w:t>
            </w:r>
          </w:p>
          <w:p w14:paraId="2548DFB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1）使用流程</w:t>
            </w:r>
          </w:p>
          <w:p w14:paraId="0110BF9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2）压缩机拆卸流程</w:t>
            </w:r>
          </w:p>
          <w:p w14:paraId="3AC60D6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3）压缩机安装流程</w:t>
            </w:r>
          </w:p>
          <w:p w14:paraId="1228B53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为保障压缩机综合性能检测台功能安全，需通过第三方性能测试，检测内容包含但不限于管路与线路工艺、绝缘电阻、启动性能、排气/吸气压力、泄漏检测、数据采集功能等，检测结果为合格。（投标文件需提供具有CMA或CNAS认可的检测报告扫描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三、配置压缩机检测系统软件</w:t>
            </w:r>
          </w:p>
          <w:p w14:paraId="19E20D7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1、压缩机检测系统与平台硬件通过USB转CAN通信进行互联，直观展示系统测试数据。</w:t>
            </w:r>
          </w:p>
          <w:p w14:paraId="4D75C10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在电动压缩机测试系统界面内，可进行车型品牌选择，测试车型包含但不限于比亚迪、东风风神、日产、北汽新能源、奇瑞、腾势、广汽传祺等多品牌；可进行车型年款及压缩机型号选择；可通过关键字进行品牌搜索。（投标文件内置截图证明材料）</w:t>
            </w:r>
          </w:p>
          <w:p w14:paraId="6123EBF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在离线测试时，可通过压缩机厂家进行选择，压缩机厂家包含但不限于车宜家、奥特佳、海立、斗源、汉拿、中成、三电、电装、三菱等厂家品牌，同时可进行压缩机型号检索。（投标文件内置截图证明材料）</w:t>
            </w:r>
          </w:p>
          <w:p w14:paraId="4064C37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▲4、系统内显示压缩机信息，包含但不限于压缩机型号、通信方式、通信波特率、高压工作电压、低压工作电压等，并显示高压连接图、低压连接图等。（投标文件内置截图证明材料）</w:t>
            </w:r>
          </w:p>
          <w:p w14:paraId="37C4A9A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5、在进行测试前，系统可进行文字信息提示，提示高压警示、规范接线、通风散热、清洁环境等内容，确保测试前的安全准备工作完整。</w:t>
            </w:r>
          </w:p>
          <w:p w14:paraId="0FAEDDC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▲6、压缩机测试过程中，数据测试显示涵盖电压、电流、压力、测压范围（0-0.8Mpa）、保压时间等，测试完毕后，通过数据信息提示检测结果。（投标文件内置截图证明材料）</w:t>
            </w:r>
          </w:p>
          <w:p w14:paraId="13015B1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▲7、为保障压缩机检测系统软件的知识产权及合法权益，投标文件内需提供设备制造商的软件著作权登记证书复印件并加盖公章。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四、技术参数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1、设备尺寸：≥1500mm*720mm*1600mm（长×宽×高）</w:t>
            </w:r>
          </w:p>
          <w:p w14:paraId="36E1513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2、供电电压：AC 220V±10%，50Hz，功率≤2.5kW；</w:t>
            </w:r>
          </w:p>
          <w:p w14:paraId="5C66A94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3、工作环境：温度0-40℃，湿度≤85%（无冷凝），无粉尘、无腐蚀性气体；</w:t>
            </w:r>
          </w:p>
          <w:p w14:paraId="50BF671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4、压缩机配置数量：≥2台（拆装专用1台、性能测试专用1台），CAN通讯；</w:t>
            </w:r>
          </w:p>
          <w:p w14:paraId="7631829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5、CAN通信模块：≥8路10A常开，通信接口CAN；</w:t>
            </w:r>
          </w:p>
          <w:p w14:paraId="7EA91C8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6、压力传感器：量程0-2.5MPa，精度等级0.3级；</w:t>
            </w:r>
          </w:p>
          <w:p w14:paraId="481E041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7、数据显示屏：≥32英寸（16：9）；LED液晶显示屏；物理分辨率：1920*1080。</w:t>
            </w:r>
          </w:p>
          <w:p w14:paraId="4281D98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8、储气罐：≥5L，耐压≤1.25Mpa，含压力表。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五、实训任务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1、压缩机的测试流程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2、压缩机的拆装检修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3、压缩机保压测试</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4、压缩机控制原理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5、压缩机控制主板检修</w:t>
            </w:r>
          </w:p>
        </w:tc>
      </w:tr>
      <w:tr w14:paraId="4A41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dxa"/>
            <w:vAlign w:val="center"/>
          </w:tcPr>
          <w:p w14:paraId="296B7C07">
            <w:pPr>
              <w:keepNext w:val="0"/>
              <w:keepLines w:val="0"/>
              <w:widowControl/>
              <w:numPr>
                <w:ilvl w:val="0"/>
                <w:numId w:val="21"/>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5AA640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PTC综合测试台</w:t>
            </w:r>
          </w:p>
        </w:tc>
        <w:tc>
          <w:tcPr>
            <w:tcW w:w="885" w:type="dxa"/>
            <w:vAlign w:val="center"/>
          </w:tcPr>
          <w:p w14:paraId="7116187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885" w:type="dxa"/>
            <w:vAlign w:val="center"/>
          </w:tcPr>
          <w:p w14:paraId="6ED170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82" w:type="dxa"/>
            <w:vAlign w:val="center"/>
          </w:tcPr>
          <w:p w14:paraId="5D2EAD6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一、产品功能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1.电源AC220V，最大输入功率7KW；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2.配置控制软件，通过指令发送检测测试数据工作参数；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3.兼容市面上CAN方式的PTC通信方式，持续升级；</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4.在正常的测试流程上，增加同步线程监控测试台及产品故障信息，及时反馈测试产品的故障现象。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5.通过数据升级方式，增加新收集的PTC产品测试数据。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6.配置实车PTC部件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6.1要求PTC部件为量产车型配件。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6.2PTC外观无碰撞，功能正常，与PTC综合性能检测台配套使用，通过软件加载，可驱动PTC工作。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6.3PTC高低压接插件完好。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7、平台配置一套PTC解剖实物展示部件，将PTC部件拆散后，分层摆放，部件配置专用底座进行固定，直观展示部件内部结构。</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二、配置上位机软件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1、系统测试可以按类别选择，包含但不限于车型、厂家。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2、当测试完成后，界面显示合格标志。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▲3、测试过程中，测试参数列表实时显示系统相关测试值，包含但不限于高压电压、低压电压、运行时间、高压电流、低压电流等。（投标文件内置截图证明材料）</w:t>
            </w:r>
          </w:p>
          <w:p w14:paraId="2C1E3E0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4、在系统内显示相关测试信息，包含但不限于通信正常、启动正常等。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三、技术参数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功率：≥3kw；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电源电压：AC220V；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部件工作高压：≥DC300V。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四、实训任务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1、PTC内部结构认知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2、PTC加热方式与工作原理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3、PTC离线测试</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5、PTC冷却循环回路</w:t>
            </w:r>
          </w:p>
        </w:tc>
      </w:tr>
      <w:tr w14:paraId="2032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dxa"/>
            <w:vAlign w:val="center"/>
          </w:tcPr>
          <w:p w14:paraId="70744020">
            <w:pPr>
              <w:keepNext w:val="0"/>
              <w:keepLines w:val="0"/>
              <w:widowControl/>
              <w:numPr>
                <w:ilvl w:val="0"/>
                <w:numId w:val="21"/>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61936D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热泵空调控制系统实训平台</w:t>
            </w:r>
          </w:p>
        </w:tc>
        <w:tc>
          <w:tcPr>
            <w:tcW w:w="885" w:type="dxa"/>
            <w:vAlign w:val="center"/>
          </w:tcPr>
          <w:p w14:paraId="07AA657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885" w:type="dxa"/>
            <w:vAlign w:val="center"/>
          </w:tcPr>
          <w:p w14:paraId="66498D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82" w:type="dxa"/>
            <w:vAlign w:val="center"/>
          </w:tcPr>
          <w:p w14:paraId="1BE0EC8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一、产品要求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要求配置量产车型原车热泵空调系统部件，可运行加热及制冷工作循环，完成电动空调系统的实训教学任务。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二、产品功能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1、实训台配置主流纯电动汽车实车电动压缩机、智能集成阀模块、蒸发箱、内部冷凝器、外部冷凝器、电子膨胀阀、散热风扇、控制面板、空调管路等部件。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2、要求部件为主流汽车量产车型实车部件，功能正常，可运转。</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3、电动空调涡旋压缩机采用涡旋式压缩机技术，转速≥1000转，制冷量可达2.0kw以上，功耗≤1kw。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实训台配置检测面板，检测面板绘制空调控制单元、空调蒸发器温度传感器、负离子发生器、风门电机等彩色空调系统电路原理图，并标注与原理图上线路连接关系对应的管脚号。可真实测量空调系统运行控制信号，如：电压信号，电阻信号、脉冲信号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5、空调系统配置制冷剂，配置空调压力表，可用于空调系统压力测试。</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6、实训台配备急停开关通过急停开关可以切断整个系统电源，确保实训教学安全；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7、实训台可完成制冷系统运行、制热系统运行。</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8、冷却风扇安装金属保护外壳，确保运行安全。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9、平台采用大功率电源进行供电，功率大于3KW。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10、平台采用全钣金结构，底部双色烤漆工艺，内部采用方通焊接工艺，外部覆盖≥1.5mm厚钣金材料，检测面板平铺，确保产品稳定性能，底部安装可移动脚轮。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11、配置≥43英寸一体机，一体机采用双柱支撑，固定在平台后部。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12、配置上位机软件，包含数据流、功能控制面板、资源库三大模块，用于展示系统数据及控制平台工作。</w:t>
            </w:r>
          </w:p>
          <w:p w14:paraId="5085297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▲13、空调控制采用上位机软件进行控制，可控制温度设定、风速、前排面风等功能。（投标文件内置软件截图证明材料）</w:t>
            </w:r>
          </w:p>
          <w:p w14:paraId="2FE051B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14、实训平台核心部件需为量产车型实车部件，采用原厂通信协议进行通讯，部件连接结构形式与实车一致。</w:t>
            </w:r>
          </w:p>
          <w:p w14:paraId="2378889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通过原厂通信协议，通过CAN盒与上位机软件进行连接，可展示数据流功能，数据流包含但不限于压缩机转速、压缩机电压、压缩机电流、PTC电压、PTC电流、水泵状态、散热风扇占空比等。（投标文件内置截图证明材料，体现数据流项目）</w:t>
            </w:r>
          </w:p>
          <w:p w14:paraId="7E66946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▲16、实训平台高低压管路按照实车布局进行连接，可对接实车厂家技术人员，并能提供热泵空调原厂原理图。（投标文件内置原厂原理图截图证明材料）</w:t>
            </w:r>
          </w:p>
          <w:p w14:paraId="642D419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▲17、功能控制面板可控制A/C启动或停止，采用双色识别功能。（投标文件内置软件截图证明材料）</w:t>
            </w:r>
          </w:p>
          <w:p w14:paraId="1A56DA9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▲18、控制面板可调节主驾、副驾温度，通过上下调拨温度数值，实现分区控制。（投标文件内置软件截图证明材料）</w:t>
            </w:r>
          </w:p>
          <w:p w14:paraId="18B4353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19、控制面板配置多个控制功能，包含但不限于前排AUTO、后排AUTO、前排、后排等。</w:t>
            </w:r>
          </w:p>
          <w:p w14:paraId="6998572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20、系统带资源库，内置实训指导视频及相关资料等。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三、实训任务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1、热泵空调系统结构认知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2、热泵空调工作原理认知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3、热泵空调常见电路故障的设置与排除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4、热泵空调制冷剂加注练习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5、热泵空调加热系统的组成认知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6、热泵系统多阀门集成控制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四、技术参数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1、压缩机类型：涡旋式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2、实训台工作电源：AC380V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3、功率：≥3KW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4.一体机尺寸：≥43英寸</w:t>
            </w:r>
          </w:p>
        </w:tc>
      </w:tr>
      <w:tr w14:paraId="5C79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dxa"/>
            <w:vAlign w:val="center"/>
          </w:tcPr>
          <w:p w14:paraId="33CCB9D2">
            <w:pPr>
              <w:keepNext w:val="0"/>
              <w:keepLines w:val="0"/>
              <w:widowControl/>
              <w:numPr>
                <w:ilvl w:val="0"/>
                <w:numId w:val="21"/>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677F99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汽车电控与车载CAN网络故障诊断实验系统</w:t>
            </w:r>
          </w:p>
        </w:tc>
        <w:tc>
          <w:tcPr>
            <w:tcW w:w="885" w:type="dxa"/>
            <w:vAlign w:val="center"/>
          </w:tcPr>
          <w:p w14:paraId="19A96780">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b w:val="0"/>
                <w:bCs w:val="0"/>
                <w:color w:val="auto"/>
                <w:kern w:val="0"/>
                <w:sz w:val="24"/>
                <w:szCs w:val="24"/>
                <w:vertAlign w:val="baseline"/>
                <w:lang w:val="en-US" w:eastAsia="zh-CN" w:bidi="ar"/>
              </w:rPr>
            </w:pPr>
            <w:r>
              <w:rPr>
                <w:rFonts w:hint="eastAsia" w:ascii="仿宋" w:hAnsi="仿宋" w:eastAsia="仿宋" w:cs="仿宋"/>
                <w:b w:val="0"/>
                <w:bCs w:val="0"/>
                <w:color w:val="auto"/>
                <w:kern w:val="0"/>
                <w:sz w:val="24"/>
                <w:szCs w:val="24"/>
                <w:vertAlign w:val="baseline"/>
                <w:lang w:val="en-US" w:eastAsia="zh-CN" w:bidi="ar"/>
              </w:rPr>
              <w:t>20</w:t>
            </w:r>
          </w:p>
        </w:tc>
        <w:tc>
          <w:tcPr>
            <w:tcW w:w="885" w:type="dxa"/>
            <w:vAlign w:val="center"/>
          </w:tcPr>
          <w:p w14:paraId="5A191A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82" w:type="dxa"/>
            <w:vAlign w:val="center"/>
          </w:tcPr>
          <w:p w14:paraId="45A4F2A3">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一、系统简介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该系统是用于汽车CAN总线系统故障诊断和软硬件开发的教学系统。针对汽车CAN总线系统教学，提供CAN总线系统内的多种ECU、输入设备、输出设备软硬件模拟功能，能进行CAN总线正常状态电阻、电压、波形测试与CAN通信数据收发；能进行CAN总线网络的各种断路、短路电路物理层故障设置与排查实训；进行基于CAN总线的ECU不工作的影响故障，以及ECU之间相互影响故障设置与排查实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该教学系统同时提供一个可用户自定义编程的ECU，该ECU可独立于“实验箱”使用，并具备开放的电路原理图、CAN总线C语言应用程序源代码给用户使用，方便于进行CAN总线基础开发方面的教学工作。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用户在选配CAN总线相关高端测量仪器的情况下，可进行如CAN总线过载、CAN总线仲裁、CAN总线物理层通信故障等的测量与可靠性设计等。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二、系统功能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1．系统具备4个CAN总线网络，分别为动力系统CAN、舒适系统CAN、仪表CAN、诊断CAN；4个CAN总线网络通过网关单元进行相互之间连接和通信；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2．动力系统CAN总线网络内有电机控制单元、电池管理单元、整车控制单元、网关单元及相应的输入输出设备，通过高速CAN总线网络进行连接；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3．舒适系统CAN总线网络内有左前车门/灯ECU、右前车门/灯ECU、左后车门/灯ECU、右后车门/灯ECU、舒适系统中央控制ECU、网关单元及相应的输入输出设备，通过低速CAN总线网络进行连接；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4．仪表CAN网络内有全液晶仪表ECU、网关单元，通过高速CAN总线网络进行连接；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5．诊断CAN网络内有系统自带诊断仪（全液晶仪表拓展功能）、网关单元，通过高速CAN总线网络进行连接；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6．能进行动力系统CAN、舒适系统CAN网络内的多种CAN总线断路故障设置和排查；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7．能进行动力系统CAN、舒适系统CAN网络内的多种CAN总线短路故障设置和排查；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8．能进行动力系统CAN、舒适系统CAN网络内的终端电阻不匹配故障设置和排查；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9．能进行ECU彻底不工作故障、电源故障、搭铁故障设置和排查；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10．能进行相互关联的ECU之间，由于一个ECU故障引起另外一个ECU故障的相互影响故障设置和排查；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11．具备1个可以编程的ECU，该ECU对用户开放CAN总线通信相关C语言程序源代码、电路原理图供学习使用，并可独立于“实验箱”使用；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12．具备多个测试点，能进行CAN总线通信的电阻、电压、波形、通信数据测量；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13．动力系统CAN网络具备新能源电动汽车的电池、电机、整车控制器相关控制策略，能完成基于CAN总线通信的相互控制，能进行CAN网络的电机控制、电池控制；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舒适系统CAN网络具备舒适系统车门、车灯相关控制策略，能完成基于CAN总线通信的相互控制关系，进行车门、车灯控制；同时前、后车门/灯ECU之间具备LIN总线通信功能，根据用户购买时的功能需求，能配置为LIN总线通信方式，以完成LIN总线通信理论教学、实际测量、故障排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15．组合仪表单元具备全液晶仪表一个，能显示车速、电机温度、电池剩余电量、电池电压、电池温度、扭矩需求、档位、车灯、车门状态等信息，并能显示故障提示信息等；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16．系统自带诊断仪功能（全液晶仪表拓展功能），能进行教学系统内的ECU的数据流读取、故障码读取、执行器测试功能；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17．具备CAN总线通信数据监测功能（全液晶仪表拓展功能），并能发送CAN总线数据；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18．基础实验/实训内容：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(1)实验1：车载CAN总线测量实验/实训（万用表）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(2)实验2：汽车CAN总线测量实验/实训（示波器）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(3)实验3：汽车电控系统故障诊断仪（系统自带）应用实验/实训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(4)实验4：车载CAN总线网络通信数据测量与诊断入门实验/实训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(5)实验5：车载网络故障排查实训一（高速CAN总线断路故障）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(6)实验6：车载网络故障排查实训二（高速CAN总线短路故障）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(7)实验7：车载网络故障排查实训三（CAN总线ECU无通信故障）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(8)实验8：车载网络故障排查实训四（CAN总线ECU相互影响故障）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(9)实验9：车载网络故障排查实训五（低速CAN总线测量与故障排查）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(10)实验10：车载网络故障排查实训六（网关ECU故障）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19．提高实验/实训内容：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(1)实验11：中控开关禁止升降信号IO口输入实验/实训（软、硬件内容）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(2)实验12：仪表背光状态指示灯IO口输出实验/实训（软、硬件内容）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(3)实验13：左前车窗升降AD信号采集实验/实训（软、硬件内容）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(4)实验14：汽车按键背光指示灯亮度调节实验/实训（软、硬件内容）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(5)实验15：动力电机PWM控制调速实验/实训（软、硬件内容）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(6)实验16：汽车转向灯闪烁定时器实验/实训（软、硬件内容）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(7)实验17：汽车单片机中断应用实验/实训（软、硬件内容）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(8)实验18：汽车单片机SCI查询发送实验/实训（软、硬件内容）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(9)实验19：汽车单片机SCI查询接收实验/实训（软、硬件内容）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(10)实验20：汽车CAN总线通信发送实验/实训（软、硬件内容）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(11)实验21：汽车CAN总线通信接收实验/实训（软、硬件内容）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(12)实验22：汽车CAN总线收发综合实验/实训（软、硬件内容）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(13)实验23：汽车CAN网络数据监听实验（需要选配PFAutoCANTest总线工具）</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(14)实验24：汽车CAN网络数据模拟仿真实验（需要选配PFAutoCANTest总线工具）</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(15)实验25：汽车CAN总线的通信高级测量实验（需要选配逻辑分析仪）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(16)实验26：实车ECU CAN通信信息实测及诊断思维实验</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三、系统配置与技术参数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1．电池管理系统1个：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(1)核心控制芯片：汽车专用MCU</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(2)电池温度模拟输入：1个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(3)电池电量模拟输入：1个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(4)电池电压模拟输入：1个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(5)电池故障模拟输入：1个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(6)通信接口：高速CAN</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2．电机控制系统（MCU）1个：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(1)核心控制芯片：汽车专用MCU</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(2)电机：1个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(3)通信接口：高速CAN</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3．整车控制器（VCU）1个：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(1)核心控制芯片：汽车专用MCU</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(2)加速踏板模拟输入装置：1个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(3)档位开关模拟输入装置：1个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(4)制动开关模拟输入装置：1个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(5)通信接口：高速CAN</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4．组合仪表1个：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(1)类型：全液晶仪表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(2)分辨率：1024*600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(3)尺寸：10.1寸</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(4)接口：高速CAN</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(5)其他功能：触摸屏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5．网关单元1个：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(1)核心控制芯片：汽车专用MCU</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(2)动力CAN总线接口：1路（高速CAN总线）</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(3)舒适CAN总线接口：1路（低速CAN总线）</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(4)仪表CAN总线接口：1路（高速CAN总线）</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(5)诊断CAN总线接口：1路（高速CAN总线）</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6．舒适系统中央控制单元1个：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(1)核心控制芯片：汽车专用MCU</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(2)车灯控制开关：1组</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(3)模拟遥控器输入开关：1组</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(4)通信接口：低速CAN</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7．左前车门/灯单元1个：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(1)核心控制芯片：汽车专用MCU</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(2)门锁中控开关：1个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(3)车窗升降中控开关：1组</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(4)车门未关开关：1个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(5)车窗升降电机：1个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(6)闭锁器电机：1个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(7)左前车灯：1组</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(8)通信接口：低速CAN</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8．左后车门/灯单元1个：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(1)核心控制芯片：汽车专用MCU</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(2)车窗升降开关：1个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(3)车门未关开关：1个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(4)车窗升降电机：1个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(5)闭锁器电机：1个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(6)左后车灯：1组</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(7)CAN总线通信接口：低速CAN</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(8)LIN总线通信接口：1路（可选）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9．右前车门/灯单元1个：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(1)核心控制芯片：汽车专用MCU</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(2)车窗升降开关：1个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(3)车门未关开关：1个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(4)车窗升降电机：1个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(5)闭锁器电机：1个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(6)右前车灯：1组</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(7)通信接口：低速CAN</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10．右后车门/灯单元1个：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(1)核心控制芯片：汽车专用MCU</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(2)车窗升降开关：1个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(3)车门未关开关：1个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(4)车窗升降电机：1个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(5)闭锁器电机：1个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(6)右后车灯：1组</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(7)CAN总线通信接口：低速CAN</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(8)LIN总线通信接口：1路（可选）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11．用户可编程ECU 1套：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(1)核心控制芯片：汽车专用MCU</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(2)开关量输入：8个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(3)开关量输出：8个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(4)模拟量输入：2个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(5)CAN总线通信接口：兼容高速、低速CAN物理层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(6)程序下载接口：具备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(7)程序下载器与计算机接口：USB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(8)供电电源：12V DC</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(9)提供电路原理图：是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(10)提供CAN总线通信基础应用C语言程序源代码：是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12．电源线等配件1套；</w:t>
            </w:r>
          </w:p>
        </w:tc>
      </w:tr>
      <w:tr w14:paraId="7EC1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dxa"/>
            <w:vAlign w:val="center"/>
          </w:tcPr>
          <w:p w14:paraId="6FB54A76">
            <w:pPr>
              <w:keepNext w:val="0"/>
              <w:keepLines w:val="0"/>
              <w:widowControl/>
              <w:numPr>
                <w:ilvl w:val="0"/>
                <w:numId w:val="21"/>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058955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工具和量具套装</w:t>
            </w:r>
          </w:p>
        </w:tc>
        <w:tc>
          <w:tcPr>
            <w:tcW w:w="885" w:type="dxa"/>
            <w:vAlign w:val="center"/>
          </w:tcPr>
          <w:p w14:paraId="34DEAD9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4</w:t>
            </w:r>
          </w:p>
        </w:tc>
        <w:tc>
          <w:tcPr>
            <w:tcW w:w="885" w:type="dxa"/>
            <w:vAlign w:val="center"/>
          </w:tcPr>
          <w:p w14:paraId="03E77D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82" w:type="dxa"/>
            <w:vAlign w:val="center"/>
          </w:tcPr>
          <w:p w14:paraId="0882C282">
            <w:pPr>
              <w:keepNext w:val="0"/>
              <w:keepLines w:val="0"/>
              <w:widowControl/>
              <w:suppressLineNumbers w:val="0"/>
              <w:snapToGrid w:val="0"/>
              <w:ind w:left="0" w:leftChars="0" w:right="0" w:rightChars="0" w:firstLine="0" w:firstLineChars="0"/>
              <w:jc w:val="left"/>
              <w:textAlignment w:val="top"/>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一体化工具套装</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1、主要包括常用绝缘工具、量具、棘轮扳手、套筒，螺丝批等。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2、外观采用优质钣金材料</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3、上部分采用木板平铺，方便摆放工具</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4、外观尺寸：≥1200*500*1030mm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5、技术参数：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绝缘公制六角长套筒：8MM、10MM、12MM、13MM、14MM；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绝缘公制六角套筒：8MM、10MM、12MM、13MM、14MM；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绝缘六角旋具套筒：4mm、5mm、6mm、8mm；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绝缘十字螺丝批：PH 0 x 60mmL、PH 1 x 80mmL、PH 2 x 100mmL、PH 3 x 150mmL；</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绝缘一字螺丝批：SL 2.5 x 75mmL、SL 3 x 100mmL、SL 4 x 100mmL、SL 6.5 x 150mmL；</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6.3MM系列公制六角套筒：4MM、4.5MM、5MM、5.5MM、6MM、7MM、8MM、9MM、10MM、11MM、12MM、13MM、14MM；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10MM系列公制六角套筒：8MM、9MM、10MM、11MM、12MM、13MM、14MM、15MM、16MM、17MM、18MM、19MM；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10MM系列花型套筒：E8、E10、E11、E12、E14、E16、E18；</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10MM系列48MM长一字旋具套筒：5.5MM、6.5MM、3MM、4MM、5MM、6MM、7MM、8MM；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6.3MM系列专业级快速脱落棘轮扳手；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10MM系列专业级快速脱落棘轮扳手；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6、专用工具量具：</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轴承安装工具1，材质：轴承钢，内径：≥27mm，尺寸：≥45*45*132mm；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轴承安装工具2；材质：轴承钢，内径：≥43mm，尺寸：≥70*70*150mm；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轴承安装工具3；材质：轴承钢，内径：≥40mm，尺寸：≥60*60*135；</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水泵钳；规格：≥10寸、L:≥258MM、C：≥10mm、最大开口≥45mm，多槽调节系统钳口开口范围可进行调节，使用范围更广，钳体整体采用高碳钢锻造坚固耐用；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扭力扳手（50-350Nm），材质：铬钒合金钢，尺寸：46*46*600mm；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深度尺（带数显），规格/量程：0-200，分辨率：≥0.01mm，电源：1.5V、总长≥280mm；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数显游标卡尺（0-150mm），材质：不锈钢，量程:0-150mm，分辨率:0.01mm，总长≥236mm；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百分表（0-10mm），测量范围：0-10mm，表盘直径：≥58mm，测量杆长度：≥20mm；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磁性表座，底座尺寸：≥60*50*55（mm）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冰点测试仪，测量防冻液冰点：-50~0℃  ，测量电池液比重：1.10~1.40，测量玻璃水冰点：-40~0℃；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轴承拉马（12-50mm），材质:塑料/不锈钢，拉玛开度：12-50mm；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刚直尺（600mm），材质：不锈钢，规格：≥300mm，尺身宽：≥30mm；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刹车油检测笔；</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千斤顶，举升高度：≥340mm；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高度尺（带数显），材质：塑料罩壳+不锈钢尺身，量程：0-300MM ，分辨率：0.01mm数显款。</w:t>
            </w:r>
          </w:p>
        </w:tc>
      </w:tr>
      <w:tr w14:paraId="2A7A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dxa"/>
            <w:vAlign w:val="center"/>
          </w:tcPr>
          <w:p w14:paraId="384ABBBA">
            <w:pPr>
              <w:keepNext w:val="0"/>
              <w:keepLines w:val="0"/>
              <w:widowControl/>
              <w:numPr>
                <w:ilvl w:val="0"/>
                <w:numId w:val="21"/>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13894B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绝缘电阻测试仪</w:t>
            </w:r>
          </w:p>
        </w:tc>
        <w:tc>
          <w:tcPr>
            <w:tcW w:w="885" w:type="dxa"/>
            <w:vAlign w:val="center"/>
          </w:tcPr>
          <w:p w14:paraId="69F4497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4</w:t>
            </w:r>
          </w:p>
        </w:tc>
        <w:tc>
          <w:tcPr>
            <w:tcW w:w="885" w:type="dxa"/>
            <w:vAlign w:val="center"/>
          </w:tcPr>
          <w:p w14:paraId="492C62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82" w:type="dxa"/>
            <w:vAlign w:val="center"/>
          </w:tcPr>
          <w:p w14:paraId="5292C14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技术参数：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范围：≥600.0 V 分辨率：0.1 V  50 Hz 至 400 Hz ± (2 % + 3)</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输入阻抗：≥3 MΩ （标称值）, &lt; 100 pF</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共模抑制比：（1 kΩ 不平衡):&gt; 60 dB，在直流、50 或 60 Hz时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过载保护：600 V 有效值或直流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量程/分辨率：20.00 Ω/0.01 Ω、200.0 Ω/0.1 Ω、2000 Ω/1 Ω、20.00 kΩ/0.01 kΩ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精确度：± (1.5 % + 3)</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过载保护：2 V 有效值或直流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开路测试电压：&gt; 4.0 V, &lt; 8 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短路电流：&gt; 200.0 mA</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0.01 MΩ 至 10 GΩ的绝缘测试</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绝缘测试电压: 50 V、100 V、250 V、500 V 和 1000 V，适用于多种应用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通过/失败（比较）功能，使重复性测试简单、方便</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保存/调用功能，有≥19个存储单元，节约时间和人力</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远程测试探头，使重复性测试或难以触及的被测点的测试更加方便</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带电电路检测功能，如果检测到大于30 V的电压，则禁止进行测试</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交/直流电压: 0.1 V 至 600 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200 mA 通断性测量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电阻:0.01 Ω 至 20.00 KΩ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自动关闭功能，节约电池电量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CAT IV 600 V 测量安全等级，提高了对人员的保护能力</w:t>
            </w:r>
          </w:p>
        </w:tc>
      </w:tr>
      <w:tr w14:paraId="1B39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dxa"/>
            <w:vAlign w:val="center"/>
          </w:tcPr>
          <w:p w14:paraId="2EBEF926">
            <w:pPr>
              <w:keepNext w:val="0"/>
              <w:keepLines w:val="0"/>
              <w:widowControl/>
              <w:numPr>
                <w:ilvl w:val="0"/>
                <w:numId w:val="21"/>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464124B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空调压力表套装</w:t>
            </w:r>
          </w:p>
        </w:tc>
        <w:tc>
          <w:tcPr>
            <w:tcW w:w="885" w:type="dxa"/>
            <w:vAlign w:val="center"/>
          </w:tcPr>
          <w:p w14:paraId="528CD9F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4</w:t>
            </w:r>
          </w:p>
        </w:tc>
        <w:tc>
          <w:tcPr>
            <w:tcW w:w="885" w:type="dxa"/>
            <w:vAlign w:val="center"/>
          </w:tcPr>
          <w:p w14:paraId="2EF63C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82" w:type="dxa"/>
            <w:vAlign w:val="center"/>
          </w:tcPr>
          <w:p w14:paraId="1B33722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一、产品功能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1.主要用于进行制冷剂加注及抽空，可实时显示空调系统压力。</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2.配置R134双芯冷媒表头。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3.配置≥1.5米进口冷媒加氟管。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4.配置专用开瓶器。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二、产品规格</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长宽高：≥39*30*8cm</w:t>
            </w:r>
          </w:p>
        </w:tc>
      </w:tr>
      <w:tr w14:paraId="626D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dxa"/>
            <w:vAlign w:val="center"/>
          </w:tcPr>
          <w:p w14:paraId="64CB15EE">
            <w:pPr>
              <w:keepNext w:val="0"/>
              <w:keepLines w:val="0"/>
              <w:widowControl/>
              <w:numPr>
                <w:ilvl w:val="0"/>
                <w:numId w:val="21"/>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400B7E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文化建设</w:t>
            </w:r>
          </w:p>
        </w:tc>
        <w:tc>
          <w:tcPr>
            <w:tcW w:w="885" w:type="dxa"/>
            <w:vAlign w:val="center"/>
          </w:tcPr>
          <w:p w14:paraId="265745F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85" w:type="dxa"/>
            <w:vAlign w:val="center"/>
          </w:tcPr>
          <w:p w14:paraId="082CE2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82" w:type="dxa"/>
            <w:shd w:val="clear" w:color="auto" w:fill="auto"/>
            <w:vAlign w:val="center"/>
          </w:tcPr>
          <w:p w14:paraId="7D6E731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1.实训工位吊牌（实训中心各区域名称等）</w:t>
            </w:r>
          </w:p>
          <w:p w14:paraId="62CF81A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2.横版常规造型料文化墙（实训基地简介，建设目标，建设规划，优秀教师、学生团队风采墙等）</w:t>
            </w:r>
          </w:p>
          <w:p w14:paraId="3EC14BA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3.竖版常规尺寸海报（规章制度/功能展板/知识墙/发展历程等文本/学校 logo、 校训等/优秀教师、学生团队风采墙等）</w:t>
            </w:r>
          </w:p>
          <w:p w14:paraId="6B63DE4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注：文化墙尺寸按实际墙面尺寸定制</w:t>
            </w:r>
          </w:p>
        </w:tc>
      </w:tr>
      <w:tr w14:paraId="4246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vAlign w:val="center"/>
          </w:tcPr>
          <w:p w14:paraId="67558E39">
            <w:pPr>
              <w:keepNext w:val="0"/>
              <w:keepLines w:val="0"/>
              <w:widowControl/>
              <w:numPr>
                <w:ilvl w:val="0"/>
                <w:numId w:val="21"/>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723082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人员防护套装</w:t>
            </w:r>
          </w:p>
        </w:tc>
        <w:tc>
          <w:tcPr>
            <w:tcW w:w="885" w:type="dxa"/>
            <w:vAlign w:val="center"/>
          </w:tcPr>
          <w:p w14:paraId="21454B9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10</w:t>
            </w:r>
          </w:p>
        </w:tc>
        <w:tc>
          <w:tcPr>
            <w:tcW w:w="885" w:type="dxa"/>
            <w:vAlign w:val="center"/>
          </w:tcPr>
          <w:p w14:paraId="27F2AB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82" w:type="dxa"/>
            <w:vAlign w:val="center"/>
          </w:tcPr>
          <w:p w14:paraId="697E038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人员防护套装包括绝缘手套、耐磨手套、绝缘鞋、护目镜、安全帽等各1套。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1、绝缘手套：天然橡胶制成，耐压等级≥1KV。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2、耐磨手套：符合人体工程学设计；可降低潜在的危险，如：刀割等；可清洗。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3、绝缘鞋：防砸电绝缘；双密度聚氨酯（PU）一次成型鞋底，大底致密耐磨，中底柔软舒适配合防滑设计穿着舒适安全。柔软型全封闭鞋舌，有效防止飞溅液体进入。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4、护目镜：防冲击物，如打磨，研磨等。防化学物，如电镀，喷漆等。防光辐射，如红外线、紫外线等。防热辐射，如电火花，热辐射等。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5、安全帽：绝缘，防撞减震，防喷溅，抗撕裂， 安全帽采用 ABS 硬质材质，无毒、无味、无任何刺激。</w:t>
            </w:r>
          </w:p>
        </w:tc>
      </w:tr>
      <w:tr w14:paraId="3E1D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dxa"/>
            <w:vAlign w:val="center"/>
          </w:tcPr>
          <w:p w14:paraId="47AC9CB0">
            <w:pPr>
              <w:keepNext w:val="0"/>
              <w:keepLines w:val="0"/>
              <w:widowControl/>
              <w:numPr>
                <w:ilvl w:val="0"/>
                <w:numId w:val="21"/>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3227A9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工位安全防护套装</w:t>
            </w:r>
          </w:p>
        </w:tc>
        <w:tc>
          <w:tcPr>
            <w:tcW w:w="885" w:type="dxa"/>
            <w:vAlign w:val="center"/>
          </w:tcPr>
          <w:p w14:paraId="2C284CF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5</w:t>
            </w:r>
          </w:p>
        </w:tc>
        <w:tc>
          <w:tcPr>
            <w:tcW w:w="885" w:type="dxa"/>
            <w:vAlign w:val="center"/>
          </w:tcPr>
          <w:p w14:paraId="4A2795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82" w:type="dxa"/>
            <w:vAlign w:val="center"/>
          </w:tcPr>
          <w:p w14:paraId="3EC93B3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工位安全保护套装包括警示牌、隔离带套装、绝缘防护垫等各1套。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1、警示牌：绝缘材质制作，表面喷涂"危险，请勿靠近”字样与带电符号。</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2、隔离带套装：可再次利用，对操作空间进行隔离；最长≥5m；可伸缩，每套≥6根围成一个工位。</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3、绝缘防护垫：最高耐压10KV，尺寸：≥5m x 1m x 5mm  （长x宽x厚度)</w:t>
            </w:r>
          </w:p>
        </w:tc>
      </w:tr>
      <w:tr w14:paraId="193C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5" w:type="dxa"/>
            <w:vAlign w:val="center"/>
          </w:tcPr>
          <w:p w14:paraId="37456D80">
            <w:pPr>
              <w:keepNext w:val="0"/>
              <w:keepLines w:val="0"/>
              <w:widowControl/>
              <w:numPr>
                <w:ilvl w:val="0"/>
                <w:numId w:val="21"/>
              </w:numPr>
              <w:suppressLineNumbers w:val="0"/>
              <w:snapToGrid w:val="0"/>
              <w:spacing w:line="240" w:lineRule="auto"/>
              <w:ind w:left="0" w:leftChars="0" w:right="0" w:rightChars="0" w:firstLine="0" w:firstLineChars="0"/>
              <w:jc w:val="center"/>
              <w:rPr>
                <w:rFonts w:hint="eastAsia" w:ascii="仿宋" w:hAnsi="仿宋" w:eastAsia="仿宋" w:cs="仿宋"/>
                <w:b/>
                <w:bCs/>
                <w:color w:val="auto"/>
                <w:kern w:val="0"/>
                <w:sz w:val="24"/>
                <w:szCs w:val="24"/>
                <w:vertAlign w:val="baseline"/>
                <w:lang w:val="en-US" w:eastAsia="zh-CN" w:bidi="ar"/>
              </w:rPr>
            </w:pPr>
          </w:p>
        </w:tc>
        <w:tc>
          <w:tcPr>
            <w:tcW w:w="0" w:type="auto"/>
            <w:vAlign w:val="center"/>
          </w:tcPr>
          <w:p w14:paraId="265AED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拾音扩音系统</w:t>
            </w:r>
          </w:p>
        </w:tc>
        <w:tc>
          <w:tcPr>
            <w:tcW w:w="885" w:type="dxa"/>
            <w:vAlign w:val="center"/>
          </w:tcPr>
          <w:p w14:paraId="4B38992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885" w:type="dxa"/>
            <w:vAlign w:val="center"/>
          </w:tcPr>
          <w:p w14:paraId="0EF133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5182" w:type="dxa"/>
            <w:vAlign w:val="center"/>
          </w:tcPr>
          <w:p w14:paraId="583A4D7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color w:val="auto"/>
                <w:kern w:val="0"/>
                <w:sz w:val="24"/>
                <w:szCs w:val="24"/>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 xml:space="preserve">1、8寸卡包音响：单8寸箱贴皮箱，低音100磁35芯+2个3寸高音，流线形的冲印灰色钢网。低音采用进口的复合松压纸盆，120磁双磁路设计。采用了发烧级耦合电容，致使中高频表现得也非常突出。频率范围;60HZ-18KHZ  单元配置;LF:8"×1HF:3"×2  阻抗;8Ω 灵敏度;90DB  额定功率;80W  最大功率;160W  最大声压;112DB   重量;7.5KG  外型尺寸;460L×238D×268H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2、合并式功放：1.双混响卡拉OK电路.真实的空间环绕混响.唱歌效果一流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2.高档VFD荧光显示屏.华丽惊艳的蓝色显示.独显气派</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3.双变色大按键.配合2.5U新型高档面板.特别适合高档场所</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4.USB/SD.蓝牙.FM收音功能.能播放MP3/WMA高品质的音乐.和采用高保真的音频专用线路.还原HIFI级的听觉效果.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5.采用SMT贴片技术.性能更稳定</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6.专业级的功放保护系统.有全方位的温度保护（包括变压器和散热器）.短路保护.和风扇的温控变速等        8Ω 平均功率  200W×2           4Ω 平均功率  350W×2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頻率模式  20Hz-20KHz.（+0.5.-0.5db)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输入灵敏度：25mv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瞬態回應 ：20V/μs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信噪比  ＞93dB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總諧波失真 ：&lt;0.05% 430mmX290mmX120mm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3、一拖二无线话筒：1.UHF频段传输信号，频率范围:500-980MHz；</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2.双通道接收信号,每通道有100个通道可选，每个通道以250KHz步进；每通道用25MHz*2=50MHz；</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3.采用稳定的PLL数位锁相环合成技术和智能数字线路，整机性能稳定性显著提高；</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4.各通道配备独有的ID号，增强抗干扰功能，支持多台叠机使用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5.背面设有2个独立平衡输出和1个混合非平衡输出，适合连接各种外置设备；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6.超静音轻触开关，轻按0.5S开启进入工作状态；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7.话筒耗电量为80mA，使用1.5V电池（2粒）供电，可连续使用6小时(配高端电池时)；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8.主机和发射器均具备LCD屏显示工作状态等内容</w:t>
            </w:r>
          </w:p>
        </w:tc>
      </w:tr>
    </w:tbl>
    <w:p w14:paraId="155C8DA4">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480" w:firstLineChars="200"/>
        <w:contextualSpacing/>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注：以上产品标注“※”为本项目的核心产品。</w:t>
      </w:r>
    </w:p>
    <w:bookmarkEnd w:id="680"/>
    <w:p w14:paraId="59DB85B8">
      <w:pPr>
        <w:pStyle w:val="3"/>
        <w:pageBreakBefore w:val="0"/>
        <w:kinsoku/>
        <w:wordWrap/>
        <w:overflowPunct/>
        <w:topLinePunct w:val="0"/>
        <w:autoSpaceDE/>
        <w:autoSpaceDN/>
        <w:bidi w:val="0"/>
        <w:spacing w:line="360" w:lineRule="auto"/>
        <w:jc w:val="left"/>
        <w:textAlignment w:val="auto"/>
        <w:rPr>
          <w:rFonts w:hint="eastAsia" w:ascii="仿宋" w:hAnsi="仿宋" w:eastAsia="仿宋" w:cs="仿宋"/>
          <w:i w:val="0"/>
          <w:iCs w:val="0"/>
          <w:caps w:val="0"/>
          <w:color w:val="auto"/>
          <w:spacing w:val="0"/>
          <w:sz w:val="24"/>
          <w:szCs w:val="24"/>
          <w:shd w:val="clear" w:fill="FFFFFF"/>
        </w:rPr>
      </w:pPr>
      <w:bookmarkStart w:id="718" w:name="_Toc713"/>
      <w:bookmarkStart w:id="719" w:name="_Toc12827"/>
      <w:r>
        <w:rPr>
          <w:rStyle w:val="31"/>
          <w:rFonts w:hint="eastAsia" w:ascii="仿宋" w:hAnsi="仿宋" w:eastAsia="仿宋" w:cs="仿宋"/>
          <w:b/>
          <w:bCs/>
          <w:i w:val="0"/>
          <w:iCs w:val="0"/>
          <w:caps w:val="0"/>
          <w:color w:val="auto"/>
          <w:spacing w:val="0"/>
          <w:sz w:val="24"/>
          <w:szCs w:val="24"/>
          <w:shd w:val="clear" w:fill="FFFFFF"/>
          <w:lang w:val="en-US" w:eastAsia="zh-CN"/>
        </w:rPr>
        <w:t>四、</w:t>
      </w:r>
      <w:r>
        <w:rPr>
          <w:rStyle w:val="31"/>
          <w:rFonts w:hint="eastAsia" w:ascii="仿宋" w:hAnsi="仿宋" w:eastAsia="仿宋" w:cs="仿宋"/>
          <w:b/>
          <w:bCs/>
          <w:i w:val="0"/>
          <w:iCs w:val="0"/>
          <w:caps w:val="0"/>
          <w:color w:val="auto"/>
          <w:spacing w:val="0"/>
          <w:sz w:val="24"/>
          <w:szCs w:val="24"/>
          <w:shd w:val="clear" w:fill="FFFFFF"/>
        </w:rPr>
        <w:t>采购</w:t>
      </w:r>
      <w:r>
        <w:rPr>
          <w:rStyle w:val="31"/>
          <w:rFonts w:hint="eastAsia" w:ascii="仿宋" w:hAnsi="仿宋" w:eastAsia="仿宋" w:cs="仿宋"/>
          <w:b/>
          <w:bCs/>
          <w:i w:val="0"/>
          <w:iCs w:val="0"/>
          <w:caps w:val="0"/>
          <w:color w:val="auto"/>
          <w:spacing w:val="0"/>
          <w:sz w:val="24"/>
          <w:szCs w:val="24"/>
          <w:shd w:val="clear" w:fill="FFFFFF"/>
          <w:lang w:val="en-US" w:eastAsia="zh-CN"/>
        </w:rPr>
        <w:t>标的的数量、采购项目交付或实施的时间和地点</w:t>
      </w:r>
      <w:r>
        <w:rPr>
          <w:rFonts w:hint="eastAsia" w:ascii="仿宋" w:hAnsi="仿宋" w:eastAsia="仿宋" w:cs="仿宋"/>
          <w:i w:val="0"/>
          <w:iCs w:val="0"/>
          <w:caps w:val="0"/>
          <w:color w:val="auto"/>
          <w:spacing w:val="0"/>
          <w:sz w:val="24"/>
          <w:szCs w:val="24"/>
          <w:shd w:val="clear" w:fill="FFFFFF"/>
        </w:rPr>
        <w:t>‌：</w:t>
      </w:r>
      <w:bookmarkEnd w:id="718"/>
      <w:bookmarkEnd w:id="719"/>
    </w:p>
    <w:p w14:paraId="63EC90CC">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480" w:firstLineChars="200"/>
        <w:contextualSpacing/>
        <w:textAlignment w:val="auto"/>
        <w:rPr>
          <w:rStyle w:val="31"/>
          <w:rFonts w:hint="eastAsia" w:ascii="仿宋" w:hAnsi="仿宋" w:eastAsia="仿宋" w:cs="仿宋"/>
          <w:b/>
          <w:bCs/>
          <w:i w:val="0"/>
          <w:iCs w:val="0"/>
          <w:caps w:val="0"/>
          <w:color w:val="auto"/>
          <w:spacing w:val="0"/>
          <w:sz w:val="24"/>
          <w:szCs w:val="24"/>
          <w:shd w:val="clear" w:fill="FFFFFF"/>
          <w:lang w:val="en-US" w:eastAsia="zh-CN"/>
        </w:rPr>
      </w:pPr>
      <w:r>
        <w:rPr>
          <w:rFonts w:hint="eastAsia" w:ascii="仿宋" w:hAnsi="仿宋" w:eastAsia="仿宋" w:cs="仿宋"/>
          <w:color w:val="auto"/>
          <w:sz w:val="24"/>
          <w:szCs w:val="24"/>
          <w:highlight w:val="none"/>
          <w:lang w:val="en-US" w:eastAsia="zh-CN"/>
        </w:rPr>
        <w:t>（一）</w:t>
      </w:r>
      <w:r>
        <w:rPr>
          <w:rStyle w:val="31"/>
          <w:rFonts w:hint="eastAsia" w:ascii="仿宋" w:hAnsi="仿宋" w:eastAsia="仿宋" w:cs="仿宋"/>
          <w:b/>
          <w:bCs/>
          <w:i w:val="0"/>
          <w:iCs w:val="0"/>
          <w:caps w:val="0"/>
          <w:color w:val="auto"/>
          <w:spacing w:val="0"/>
          <w:sz w:val="24"/>
          <w:szCs w:val="24"/>
          <w:shd w:val="clear" w:fill="FFFFFF"/>
        </w:rPr>
        <w:t>采购</w:t>
      </w:r>
      <w:r>
        <w:rPr>
          <w:rStyle w:val="31"/>
          <w:rFonts w:hint="eastAsia" w:ascii="仿宋" w:hAnsi="仿宋" w:eastAsia="仿宋" w:cs="仿宋"/>
          <w:b/>
          <w:bCs/>
          <w:i w:val="0"/>
          <w:iCs w:val="0"/>
          <w:caps w:val="0"/>
          <w:color w:val="auto"/>
          <w:spacing w:val="0"/>
          <w:sz w:val="24"/>
          <w:szCs w:val="24"/>
          <w:shd w:val="clear" w:fill="FFFFFF"/>
          <w:lang w:val="en-US" w:eastAsia="zh-CN"/>
        </w:rPr>
        <w:t>标的数量</w:t>
      </w:r>
    </w:p>
    <w:tbl>
      <w:tblPr>
        <w:tblStyle w:val="2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67"/>
        <w:gridCol w:w="875"/>
        <w:gridCol w:w="4570"/>
        <w:gridCol w:w="658"/>
        <w:gridCol w:w="658"/>
      </w:tblGrid>
      <w:tr w14:paraId="2058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0" w:type="auto"/>
            <w:shd w:val="clear" w:color="auto" w:fill="auto"/>
            <w:vAlign w:val="center"/>
          </w:tcPr>
          <w:p w14:paraId="7DFF72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模块</w:t>
            </w:r>
          </w:p>
        </w:tc>
        <w:tc>
          <w:tcPr>
            <w:tcW w:w="875" w:type="dxa"/>
            <w:shd w:val="clear" w:color="auto" w:fill="auto"/>
            <w:vAlign w:val="center"/>
          </w:tcPr>
          <w:p w14:paraId="097C0D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序号</w:t>
            </w:r>
          </w:p>
        </w:tc>
        <w:tc>
          <w:tcPr>
            <w:tcW w:w="4570" w:type="dxa"/>
            <w:shd w:val="clear" w:color="auto" w:fill="auto"/>
            <w:noWrap/>
            <w:vAlign w:val="center"/>
          </w:tcPr>
          <w:p w14:paraId="10A702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产品名称</w:t>
            </w:r>
          </w:p>
        </w:tc>
        <w:tc>
          <w:tcPr>
            <w:tcW w:w="0" w:type="auto"/>
            <w:shd w:val="clear" w:color="auto" w:fill="auto"/>
            <w:noWrap/>
            <w:vAlign w:val="center"/>
          </w:tcPr>
          <w:p w14:paraId="6D37C1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数量</w:t>
            </w:r>
          </w:p>
        </w:tc>
        <w:tc>
          <w:tcPr>
            <w:tcW w:w="658" w:type="dxa"/>
            <w:shd w:val="clear" w:color="auto" w:fill="auto"/>
            <w:noWrap/>
            <w:vAlign w:val="center"/>
          </w:tcPr>
          <w:p w14:paraId="0762FD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单位</w:t>
            </w:r>
          </w:p>
        </w:tc>
      </w:tr>
      <w:tr w14:paraId="728E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shd w:val="clear" w:color="auto" w:fill="auto"/>
            <w:vAlign w:val="center"/>
          </w:tcPr>
          <w:p w14:paraId="42F201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低压电工作业培训考证教室</w:t>
            </w:r>
          </w:p>
        </w:tc>
        <w:tc>
          <w:tcPr>
            <w:tcW w:w="875" w:type="dxa"/>
            <w:shd w:val="clear" w:color="auto" w:fill="auto"/>
            <w:vAlign w:val="center"/>
          </w:tcPr>
          <w:p w14:paraId="0BD4EFFB">
            <w:pPr>
              <w:keepNext w:val="0"/>
              <w:keepLines w:val="0"/>
              <w:widowControl/>
              <w:numPr>
                <w:ilvl w:val="0"/>
                <w:numId w:val="22"/>
              </w:numPr>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1"/>
                <w:u w:val="none"/>
                <w:lang w:val="en-US" w:eastAsia="zh-CN" w:bidi="ar"/>
              </w:rPr>
            </w:pPr>
          </w:p>
        </w:tc>
        <w:tc>
          <w:tcPr>
            <w:tcW w:w="4570" w:type="dxa"/>
            <w:shd w:val="clear" w:color="auto" w:fill="auto"/>
            <w:noWrap/>
            <w:vAlign w:val="center"/>
          </w:tcPr>
          <w:p w14:paraId="411158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安全用具使用(K1)</w:t>
            </w:r>
          </w:p>
        </w:tc>
        <w:tc>
          <w:tcPr>
            <w:tcW w:w="0" w:type="auto"/>
            <w:vMerge w:val="restart"/>
            <w:shd w:val="clear" w:color="auto" w:fill="auto"/>
            <w:noWrap/>
            <w:vAlign w:val="center"/>
          </w:tcPr>
          <w:p w14:paraId="661B5A9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auto"/>
                <w:kern w:val="0"/>
                <w:sz w:val="22"/>
                <w:szCs w:val="21"/>
                <w:u w:val="none"/>
                <w:lang w:val="en-US" w:eastAsia="zh-CN" w:bidi="ar"/>
              </w:rPr>
            </w:pPr>
            <w:r>
              <w:rPr>
                <w:rFonts w:hint="eastAsia" w:ascii="仿宋" w:hAnsi="仿宋" w:eastAsia="仿宋" w:cs="仿宋"/>
                <w:b/>
                <w:bCs/>
                <w:i w:val="0"/>
                <w:iCs w:val="0"/>
                <w:color w:val="auto"/>
                <w:kern w:val="0"/>
                <w:sz w:val="22"/>
                <w:szCs w:val="21"/>
                <w:u w:val="none"/>
                <w:lang w:val="en-US" w:eastAsia="zh-CN" w:bidi="ar"/>
              </w:rPr>
              <w:t>1</w:t>
            </w:r>
          </w:p>
        </w:tc>
        <w:tc>
          <w:tcPr>
            <w:tcW w:w="658" w:type="dxa"/>
            <w:vMerge w:val="restart"/>
            <w:shd w:val="clear" w:color="auto" w:fill="auto"/>
            <w:noWrap/>
            <w:vAlign w:val="center"/>
          </w:tcPr>
          <w:p w14:paraId="46CFD4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1"/>
                <w:u w:val="none"/>
                <w:lang w:val="en-US" w:eastAsia="zh-CN" w:bidi="ar"/>
              </w:rPr>
            </w:pPr>
            <w:r>
              <w:rPr>
                <w:rFonts w:hint="eastAsia" w:ascii="仿宋" w:hAnsi="仿宋" w:eastAsia="仿宋" w:cs="仿宋"/>
                <w:b/>
                <w:bCs/>
                <w:i w:val="0"/>
                <w:iCs w:val="0"/>
                <w:color w:val="auto"/>
                <w:kern w:val="0"/>
                <w:sz w:val="22"/>
                <w:szCs w:val="21"/>
                <w:u w:val="none"/>
                <w:lang w:val="en-US" w:eastAsia="zh-CN" w:bidi="ar"/>
              </w:rPr>
              <w:t>套</w:t>
            </w:r>
          </w:p>
        </w:tc>
      </w:tr>
      <w:tr w14:paraId="4028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791E25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0"/>
                <w:sz w:val="22"/>
                <w:szCs w:val="22"/>
                <w:u w:val="none"/>
                <w:lang w:val="en-US" w:eastAsia="zh-CN" w:bidi="ar"/>
              </w:rPr>
            </w:pPr>
          </w:p>
        </w:tc>
        <w:tc>
          <w:tcPr>
            <w:tcW w:w="875" w:type="dxa"/>
            <w:shd w:val="clear" w:color="auto" w:fill="auto"/>
            <w:vAlign w:val="center"/>
          </w:tcPr>
          <w:p w14:paraId="7142D8DD">
            <w:pPr>
              <w:keepNext w:val="0"/>
              <w:keepLines w:val="0"/>
              <w:widowControl/>
              <w:numPr>
                <w:ilvl w:val="0"/>
                <w:numId w:val="22"/>
              </w:numPr>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1"/>
                <w:u w:val="none"/>
                <w:lang w:val="en-US" w:eastAsia="zh-CN" w:bidi="ar"/>
              </w:rPr>
            </w:pPr>
          </w:p>
        </w:tc>
        <w:tc>
          <w:tcPr>
            <w:tcW w:w="4570" w:type="dxa"/>
            <w:shd w:val="clear" w:color="auto" w:fill="auto"/>
            <w:noWrap/>
            <w:vAlign w:val="center"/>
          </w:tcPr>
          <w:p w14:paraId="181777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作业现场安全隐患排除(K2)</w:t>
            </w:r>
          </w:p>
        </w:tc>
        <w:tc>
          <w:tcPr>
            <w:tcW w:w="0" w:type="auto"/>
            <w:vMerge w:val="continue"/>
            <w:shd w:val="clear" w:color="auto" w:fill="auto"/>
            <w:noWrap/>
            <w:vAlign w:val="center"/>
          </w:tcPr>
          <w:p w14:paraId="6470C78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auto"/>
                <w:kern w:val="0"/>
                <w:sz w:val="22"/>
                <w:szCs w:val="21"/>
                <w:u w:val="none"/>
                <w:lang w:val="en-US" w:eastAsia="zh-CN" w:bidi="ar"/>
              </w:rPr>
            </w:pPr>
          </w:p>
        </w:tc>
        <w:tc>
          <w:tcPr>
            <w:tcW w:w="658" w:type="dxa"/>
            <w:vMerge w:val="continue"/>
            <w:shd w:val="clear" w:color="auto" w:fill="auto"/>
            <w:noWrap/>
            <w:vAlign w:val="center"/>
          </w:tcPr>
          <w:p w14:paraId="013C68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1"/>
                <w:u w:val="none"/>
                <w:lang w:val="en-US" w:eastAsia="zh-CN" w:bidi="ar"/>
              </w:rPr>
            </w:pPr>
          </w:p>
        </w:tc>
      </w:tr>
      <w:tr w14:paraId="5326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455CB1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0"/>
                <w:sz w:val="22"/>
                <w:szCs w:val="22"/>
                <w:u w:val="none"/>
                <w:lang w:val="en-US" w:eastAsia="zh-CN" w:bidi="ar"/>
              </w:rPr>
            </w:pPr>
          </w:p>
        </w:tc>
        <w:tc>
          <w:tcPr>
            <w:tcW w:w="875" w:type="dxa"/>
            <w:shd w:val="clear" w:color="auto" w:fill="auto"/>
            <w:vAlign w:val="center"/>
          </w:tcPr>
          <w:p w14:paraId="0A902841">
            <w:pPr>
              <w:keepNext w:val="0"/>
              <w:keepLines w:val="0"/>
              <w:widowControl/>
              <w:numPr>
                <w:ilvl w:val="0"/>
                <w:numId w:val="22"/>
              </w:numPr>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1"/>
                <w:u w:val="none"/>
                <w:lang w:val="en-US" w:eastAsia="zh-CN" w:bidi="ar"/>
              </w:rPr>
            </w:pPr>
          </w:p>
        </w:tc>
        <w:tc>
          <w:tcPr>
            <w:tcW w:w="4570" w:type="dxa"/>
            <w:shd w:val="clear" w:color="auto" w:fill="auto"/>
            <w:noWrap/>
            <w:vAlign w:val="center"/>
          </w:tcPr>
          <w:p w14:paraId="0497D4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低压电工作业安全操作技术实操设备（K3）</w:t>
            </w:r>
          </w:p>
        </w:tc>
        <w:tc>
          <w:tcPr>
            <w:tcW w:w="0" w:type="auto"/>
            <w:vMerge w:val="continue"/>
            <w:shd w:val="clear" w:color="auto" w:fill="auto"/>
            <w:noWrap/>
            <w:vAlign w:val="center"/>
          </w:tcPr>
          <w:p w14:paraId="26F5282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auto"/>
                <w:kern w:val="0"/>
                <w:sz w:val="22"/>
                <w:szCs w:val="21"/>
                <w:u w:val="none"/>
                <w:lang w:val="en-US" w:eastAsia="zh-CN" w:bidi="ar"/>
              </w:rPr>
            </w:pPr>
          </w:p>
        </w:tc>
        <w:tc>
          <w:tcPr>
            <w:tcW w:w="658" w:type="dxa"/>
            <w:vMerge w:val="continue"/>
            <w:shd w:val="clear" w:color="auto" w:fill="auto"/>
            <w:noWrap/>
            <w:vAlign w:val="center"/>
          </w:tcPr>
          <w:p w14:paraId="4E09DC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1"/>
                <w:u w:val="none"/>
                <w:lang w:val="en-US" w:eastAsia="zh-CN" w:bidi="ar"/>
              </w:rPr>
            </w:pPr>
          </w:p>
        </w:tc>
      </w:tr>
      <w:tr w14:paraId="4D8D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09CA4E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0"/>
                <w:sz w:val="22"/>
                <w:szCs w:val="22"/>
                <w:u w:val="none"/>
                <w:lang w:val="en-US" w:eastAsia="zh-CN" w:bidi="ar"/>
              </w:rPr>
            </w:pPr>
          </w:p>
        </w:tc>
        <w:tc>
          <w:tcPr>
            <w:tcW w:w="875" w:type="dxa"/>
            <w:shd w:val="clear" w:color="auto" w:fill="auto"/>
            <w:vAlign w:val="center"/>
          </w:tcPr>
          <w:p w14:paraId="3C4A1F98">
            <w:pPr>
              <w:keepNext w:val="0"/>
              <w:keepLines w:val="0"/>
              <w:widowControl/>
              <w:numPr>
                <w:ilvl w:val="0"/>
                <w:numId w:val="22"/>
              </w:numPr>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1"/>
                <w:u w:val="none"/>
                <w:lang w:val="en-US" w:eastAsia="zh-CN" w:bidi="ar"/>
              </w:rPr>
            </w:pPr>
          </w:p>
        </w:tc>
        <w:tc>
          <w:tcPr>
            <w:tcW w:w="4570" w:type="dxa"/>
            <w:shd w:val="clear" w:color="auto" w:fill="auto"/>
            <w:noWrap/>
            <w:vAlign w:val="center"/>
          </w:tcPr>
          <w:p w14:paraId="6E8B9B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触电事故现场应急处置</w:t>
            </w:r>
          </w:p>
        </w:tc>
        <w:tc>
          <w:tcPr>
            <w:tcW w:w="0" w:type="auto"/>
            <w:shd w:val="clear" w:color="auto" w:fill="auto"/>
            <w:noWrap/>
            <w:vAlign w:val="center"/>
          </w:tcPr>
          <w:p w14:paraId="14BF6AB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658" w:type="dxa"/>
            <w:shd w:val="clear" w:color="auto" w:fill="auto"/>
            <w:noWrap/>
            <w:vAlign w:val="center"/>
          </w:tcPr>
          <w:p w14:paraId="1ADD29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70E9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73DC77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0"/>
                <w:sz w:val="22"/>
                <w:szCs w:val="22"/>
                <w:u w:val="none"/>
                <w:lang w:val="en-US" w:eastAsia="zh-CN" w:bidi="ar"/>
              </w:rPr>
            </w:pPr>
          </w:p>
        </w:tc>
        <w:tc>
          <w:tcPr>
            <w:tcW w:w="875" w:type="dxa"/>
            <w:shd w:val="clear" w:color="auto" w:fill="auto"/>
            <w:vAlign w:val="center"/>
          </w:tcPr>
          <w:p w14:paraId="4CBD4255">
            <w:pPr>
              <w:keepNext w:val="0"/>
              <w:keepLines w:val="0"/>
              <w:widowControl/>
              <w:numPr>
                <w:ilvl w:val="0"/>
                <w:numId w:val="22"/>
              </w:numPr>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1"/>
                <w:u w:val="none"/>
                <w:lang w:val="en-US" w:eastAsia="zh-CN" w:bidi="ar"/>
              </w:rPr>
            </w:pPr>
          </w:p>
        </w:tc>
        <w:tc>
          <w:tcPr>
            <w:tcW w:w="4570" w:type="dxa"/>
            <w:shd w:val="clear" w:color="auto" w:fill="auto"/>
            <w:noWrap/>
            <w:vAlign w:val="center"/>
          </w:tcPr>
          <w:p w14:paraId="056A7C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创伤包扎模拟人</w:t>
            </w:r>
          </w:p>
        </w:tc>
        <w:tc>
          <w:tcPr>
            <w:tcW w:w="0" w:type="auto"/>
            <w:shd w:val="clear" w:color="auto" w:fill="auto"/>
            <w:noWrap/>
            <w:vAlign w:val="center"/>
          </w:tcPr>
          <w:p w14:paraId="6AF81B6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658" w:type="dxa"/>
            <w:shd w:val="clear" w:color="auto" w:fill="auto"/>
            <w:noWrap/>
            <w:vAlign w:val="center"/>
          </w:tcPr>
          <w:p w14:paraId="042646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0183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7F0D50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0"/>
                <w:sz w:val="22"/>
                <w:szCs w:val="22"/>
                <w:u w:val="none"/>
                <w:lang w:val="en-US" w:eastAsia="zh-CN" w:bidi="ar"/>
              </w:rPr>
            </w:pPr>
          </w:p>
        </w:tc>
        <w:tc>
          <w:tcPr>
            <w:tcW w:w="875" w:type="dxa"/>
            <w:shd w:val="clear" w:color="auto" w:fill="auto"/>
            <w:vAlign w:val="center"/>
          </w:tcPr>
          <w:p w14:paraId="0569EBB3">
            <w:pPr>
              <w:keepNext w:val="0"/>
              <w:keepLines w:val="0"/>
              <w:widowControl/>
              <w:numPr>
                <w:ilvl w:val="0"/>
                <w:numId w:val="22"/>
              </w:numPr>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1"/>
                <w:u w:val="none"/>
                <w:lang w:val="en-US" w:eastAsia="zh-CN" w:bidi="ar"/>
              </w:rPr>
            </w:pPr>
          </w:p>
        </w:tc>
        <w:tc>
          <w:tcPr>
            <w:tcW w:w="4570" w:type="dxa"/>
            <w:shd w:val="clear" w:color="auto" w:fill="auto"/>
            <w:noWrap/>
            <w:vAlign w:val="center"/>
          </w:tcPr>
          <w:p w14:paraId="55EB20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心肺复苏模拟人</w:t>
            </w:r>
          </w:p>
        </w:tc>
        <w:tc>
          <w:tcPr>
            <w:tcW w:w="0" w:type="auto"/>
            <w:shd w:val="clear" w:color="auto" w:fill="auto"/>
            <w:noWrap/>
            <w:vAlign w:val="center"/>
          </w:tcPr>
          <w:p w14:paraId="0785D33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658" w:type="dxa"/>
            <w:shd w:val="clear" w:color="auto" w:fill="auto"/>
            <w:noWrap/>
            <w:vAlign w:val="center"/>
          </w:tcPr>
          <w:p w14:paraId="668DEB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7E02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1A7594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0"/>
                <w:sz w:val="22"/>
                <w:szCs w:val="22"/>
                <w:u w:val="none"/>
                <w:lang w:val="en-US" w:eastAsia="zh-CN" w:bidi="ar"/>
              </w:rPr>
            </w:pPr>
          </w:p>
        </w:tc>
        <w:tc>
          <w:tcPr>
            <w:tcW w:w="875" w:type="dxa"/>
            <w:shd w:val="clear" w:color="auto" w:fill="auto"/>
            <w:vAlign w:val="center"/>
          </w:tcPr>
          <w:p w14:paraId="696CC4A3">
            <w:pPr>
              <w:keepNext w:val="0"/>
              <w:keepLines w:val="0"/>
              <w:widowControl/>
              <w:numPr>
                <w:ilvl w:val="0"/>
                <w:numId w:val="22"/>
              </w:numPr>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1"/>
                <w:u w:val="none"/>
                <w:lang w:val="en-US" w:eastAsia="zh-CN" w:bidi="ar"/>
              </w:rPr>
            </w:pPr>
          </w:p>
        </w:tc>
        <w:tc>
          <w:tcPr>
            <w:tcW w:w="4570" w:type="dxa"/>
            <w:shd w:val="clear" w:color="auto" w:fill="auto"/>
            <w:noWrap/>
            <w:vAlign w:val="center"/>
          </w:tcPr>
          <w:p w14:paraId="7CCAF7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灭火器的选择和使用实操考核设备</w:t>
            </w:r>
          </w:p>
        </w:tc>
        <w:tc>
          <w:tcPr>
            <w:tcW w:w="0" w:type="auto"/>
            <w:shd w:val="clear" w:color="auto" w:fill="auto"/>
            <w:noWrap/>
            <w:vAlign w:val="center"/>
          </w:tcPr>
          <w:p w14:paraId="08DB8B6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658" w:type="dxa"/>
            <w:shd w:val="clear" w:color="auto" w:fill="auto"/>
            <w:noWrap/>
            <w:vAlign w:val="center"/>
          </w:tcPr>
          <w:p w14:paraId="104948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01DF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3E601F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0"/>
                <w:sz w:val="22"/>
                <w:szCs w:val="22"/>
                <w:u w:val="none"/>
                <w:lang w:val="en-US" w:eastAsia="zh-CN" w:bidi="ar"/>
              </w:rPr>
            </w:pPr>
          </w:p>
        </w:tc>
        <w:tc>
          <w:tcPr>
            <w:tcW w:w="875" w:type="dxa"/>
            <w:shd w:val="clear" w:color="auto" w:fill="auto"/>
            <w:vAlign w:val="center"/>
          </w:tcPr>
          <w:p w14:paraId="521681DE">
            <w:pPr>
              <w:keepNext w:val="0"/>
              <w:keepLines w:val="0"/>
              <w:widowControl/>
              <w:numPr>
                <w:ilvl w:val="0"/>
                <w:numId w:val="22"/>
              </w:numPr>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1"/>
                <w:u w:val="none"/>
                <w:lang w:val="en-US" w:eastAsia="zh-CN" w:bidi="ar"/>
              </w:rPr>
            </w:pPr>
          </w:p>
        </w:tc>
        <w:tc>
          <w:tcPr>
            <w:tcW w:w="4570" w:type="dxa"/>
            <w:shd w:val="clear" w:color="auto" w:fill="auto"/>
            <w:noWrap/>
            <w:vAlign w:val="center"/>
          </w:tcPr>
          <w:p w14:paraId="2FB6FC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拾音扩音系统</w:t>
            </w:r>
          </w:p>
        </w:tc>
        <w:tc>
          <w:tcPr>
            <w:tcW w:w="0" w:type="auto"/>
            <w:shd w:val="clear" w:color="auto" w:fill="auto"/>
            <w:noWrap/>
            <w:vAlign w:val="center"/>
          </w:tcPr>
          <w:p w14:paraId="26162E2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658" w:type="dxa"/>
            <w:shd w:val="clear" w:color="auto" w:fill="auto"/>
            <w:noWrap/>
            <w:vAlign w:val="center"/>
          </w:tcPr>
          <w:p w14:paraId="4EBE23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4DF7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323855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0"/>
                <w:sz w:val="22"/>
                <w:szCs w:val="22"/>
                <w:u w:val="none"/>
                <w:lang w:val="en-US" w:eastAsia="zh-CN" w:bidi="ar"/>
              </w:rPr>
            </w:pPr>
          </w:p>
        </w:tc>
        <w:tc>
          <w:tcPr>
            <w:tcW w:w="875" w:type="dxa"/>
            <w:shd w:val="clear" w:color="auto" w:fill="auto"/>
            <w:vAlign w:val="center"/>
          </w:tcPr>
          <w:p w14:paraId="546A432B">
            <w:pPr>
              <w:keepNext w:val="0"/>
              <w:keepLines w:val="0"/>
              <w:widowControl/>
              <w:numPr>
                <w:ilvl w:val="0"/>
                <w:numId w:val="22"/>
              </w:numPr>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1"/>
                <w:u w:val="none"/>
                <w:lang w:val="en-US" w:eastAsia="zh-CN" w:bidi="ar"/>
              </w:rPr>
            </w:pPr>
          </w:p>
        </w:tc>
        <w:tc>
          <w:tcPr>
            <w:tcW w:w="4570" w:type="dxa"/>
            <w:shd w:val="clear" w:color="auto" w:fill="auto"/>
            <w:noWrap/>
            <w:vAlign w:val="center"/>
          </w:tcPr>
          <w:p w14:paraId="45EAD0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便携式音响（配话筒）</w:t>
            </w:r>
          </w:p>
        </w:tc>
        <w:tc>
          <w:tcPr>
            <w:tcW w:w="0" w:type="auto"/>
            <w:shd w:val="clear" w:color="auto" w:fill="auto"/>
            <w:noWrap/>
            <w:vAlign w:val="center"/>
          </w:tcPr>
          <w:p w14:paraId="5E0F0DF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658" w:type="dxa"/>
            <w:shd w:val="clear" w:color="auto" w:fill="auto"/>
            <w:noWrap/>
            <w:vAlign w:val="center"/>
          </w:tcPr>
          <w:p w14:paraId="3B3EEB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7C15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45D13C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0"/>
                <w:sz w:val="22"/>
                <w:szCs w:val="22"/>
                <w:u w:val="none"/>
                <w:lang w:val="en-US" w:eastAsia="zh-CN" w:bidi="ar"/>
              </w:rPr>
            </w:pPr>
          </w:p>
        </w:tc>
        <w:tc>
          <w:tcPr>
            <w:tcW w:w="875" w:type="dxa"/>
            <w:shd w:val="clear" w:color="auto" w:fill="auto"/>
            <w:vAlign w:val="center"/>
          </w:tcPr>
          <w:p w14:paraId="772A6ADC">
            <w:pPr>
              <w:keepNext w:val="0"/>
              <w:keepLines w:val="0"/>
              <w:widowControl/>
              <w:numPr>
                <w:ilvl w:val="0"/>
                <w:numId w:val="22"/>
              </w:numPr>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1"/>
                <w:u w:val="none"/>
                <w:lang w:val="en-US" w:eastAsia="zh-CN" w:bidi="ar"/>
              </w:rPr>
            </w:pPr>
          </w:p>
        </w:tc>
        <w:tc>
          <w:tcPr>
            <w:tcW w:w="4570" w:type="dxa"/>
            <w:shd w:val="clear" w:color="auto" w:fill="auto"/>
            <w:noWrap/>
            <w:vAlign w:val="center"/>
          </w:tcPr>
          <w:p w14:paraId="18FE3D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文化建设</w:t>
            </w:r>
          </w:p>
        </w:tc>
        <w:tc>
          <w:tcPr>
            <w:tcW w:w="0" w:type="auto"/>
            <w:shd w:val="clear" w:color="auto" w:fill="auto"/>
            <w:noWrap/>
            <w:vAlign w:val="center"/>
          </w:tcPr>
          <w:p w14:paraId="7609DE9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658" w:type="dxa"/>
            <w:shd w:val="clear" w:color="auto" w:fill="auto"/>
            <w:noWrap/>
            <w:vAlign w:val="center"/>
          </w:tcPr>
          <w:p w14:paraId="5A231A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44E3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shd w:val="clear" w:color="auto" w:fill="auto"/>
            <w:vAlign w:val="center"/>
          </w:tcPr>
          <w:p w14:paraId="42153C38">
            <w:pPr>
              <w:keepNext w:val="0"/>
              <w:keepLines w:val="0"/>
              <w:widowControl/>
              <w:suppressLineNumbers w:val="0"/>
              <w:snapToGrid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Hans" w:bidi="ar"/>
              </w:rPr>
              <w:t>新能源电工电子实训室</w:t>
            </w:r>
          </w:p>
        </w:tc>
        <w:tc>
          <w:tcPr>
            <w:tcW w:w="875" w:type="dxa"/>
            <w:shd w:val="clear" w:color="auto" w:fill="auto"/>
            <w:vAlign w:val="center"/>
          </w:tcPr>
          <w:p w14:paraId="7A6C8757">
            <w:pPr>
              <w:numPr>
                <w:ilvl w:val="0"/>
                <w:numId w:val="23"/>
              </w:numPr>
              <w:snapToGrid w:val="0"/>
              <w:ind w:left="0" w:leftChars="0" w:right="0" w:rightChars="0" w:firstLine="0" w:firstLineChars="0"/>
              <w:jc w:val="center"/>
              <w:rPr>
                <w:rFonts w:hint="eastAsia" w:ascii="仿宋" w:hAnsi="仿宋" w:eastAsia="仿宋" w:cs="仿宋"/>
                <w:color w:val="auto"/>
                <w:sz w:val="22"/>
                <w:lang w:val="en-US" w:eastAsia="zh-CN"/>
              </w:rPr>
            </w:pPr>
          </w:p>
        </w:tc>
        <w:tc>
          <w:tcPr>
            <w:tcW w:w="4570" w:type="dxa"/>
            <w:shd w:val="clear" w:color="auto" w:fill="auto"/>
            <w:noWrap/>
            <w:vAlign w:val="center"/>
          </w:tcPr>
          <w:p w14:paraId="0B1531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sz w:val="22"/>
                <w:szCs w:val="21"/>
                <w:u w:val="none"/>
              </w:rPr>
            </w:pPr>
            <w:r>
              <w:rPr>
                <w:rFonts w:hint="eastAsia" w:ascii="仿宋" w:hAnsi="仿宋" w:eastAsia="仿宋" w:cs="仿宋"/>
                <w:i w:val="0"/>
                <w:iCs w:val="0"/>
                <w:color w:val="auto"/>
                <w:kern w:val="0"/>
                <w:sz w:val="22"/>
                <w:szCs w:val="22"/>
                <w:u w:val="none"/>
                <w:lang w:val="en-US" w:eastAsia="zh-CN" w:bidi="ar"/>
              </w:rPr>
              <w:t>电工电子综合操作实训台</w:t>
            </w:r>
          </w:p>
        </w:tc>
        <w:tc>
          <w:tcPr>
            <w:tcW w:w="0" w:type="auto"/>
            <w:shd w:val="clear" w:color="auto" w:fill="auto"/>
            <w:noWrap/>
            <w:vAlign w:val="center"/>
          </w:tcPr>
          <w:p w14:paraId="042D5B8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sz w:val="22"/>
                <w:szCs w:val="21"/>
                <w:u w:val="none"/>
              </w:rPr>
            </w:pPr>
            <w:r>
              <w:rPr>
                <w:rFonts w:hint="eastAsia" w:ascii="仿宋" w:hAnsi="仿宋" w:eastAsia="仿宋" w:cs="仿宋"/>
                <w:i w:val="0"/>
                <w:iCs w:val="0"/>
                <w:color w:val="auto"/>
                <w:kern w:val="0"/>
                <w:sz w:val="22"/>
                <w:szCs w:val="22"/>
                <w:u w:val="none"/>
                <w:lang w:val="en-US" w:eastAsia="zh-CN" w:bidi="ar"/>
              </w:rPr>
              <w:t>1</w:t>
            </w:r>
          </w:p>
        </w:tc>
        <w:tc>
          <w:tcPr>
            <w:tcW w:w="658" w:type="dxa"/>
            <w:shd w:val="clear" w:color="auto" w:fill="auto"/>
            <w:noWrap/>
            <w:vAlign w:val="center"/>
          </w:tcPr>
          <w:p w14:paraId="42FC60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sz w:val="22"/>
                <w:szCs w:val="21"/>
                <w:u w:val="none"/>
              </w:rPr>
            </w:pPr>
            <w:r>
              <w:rPr>
                <w:rFonts w:hint="eastAsia" w:ascii="仿宋" w:hAnsi="仿宋" w:eastAsia="仿宋" w:cs="仿宋"/>
                <w:i w:val="0"/>
                <w:iCs w:val="0"/>
                <w:color w:val="auto"/>
                <w:kern w:val="0"/>
                <w:sz w:val="22"/>
                <w:szCs w:val="22"/>
                <w:u w:val="none"/>
                <w:lang w:val="en-US" w:eastAsia="zh-CN" w:bidi="ar"/>
              </w:rPr>
              <w:t>套</w:t>
            </w:r>
          </w:p>
        </w:tc>
      </w:tr>
      <w:tr w14:paraId="71B5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745372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875" w:type="dxa"/>
            <w:shd w:val="clear" w:color="auto" w:fill="auto"/>
            <w:vAlign w:val="center"/>
          </w:tcPr>
          <w:p w14:paraId="05F7DB0F">
            <w:pPr>
              <w:numPr>
                <w:ilvl w:val="0"/>
                <w:numId w:val="23"/>
              </w:numPr>
              <w:snapToGrid w:val="0"/>
              <w:ind w:left="0" w:leftChars="0" w:right="0" w:rightChars="0" w:firstLine="0" w:firstLineChars="0"/>
              <w:jc w:val="center"/>
              <w:rPr>
                <w:rFonts w:hint="eastAsia" w:ascii="仿宋" w:hAnsi="仿宋" w:eastAsia="仿宋" w:cs="仿宋"/>
                <w:color w:val="auto"/>
                <w:sz w:val="22"/>
              </w:rPr>
            </w:pPr>
          </w:p>
        </w:tc>
        <w:tc>
          <w:tcPr>
            <w:tcW w:w="4570" w:type="dxa"/>
            <w:shd w:val="clear" w:color="auto" w:fill="auto"/>
            <w:vAlign w:val="center"/>
          </w:tcPr>
          <w:p w14:paraId="2C6126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sz w:val="22"/>
                <w:szCs w:val="21"/>
                <w:highlight w:val="yellow"/>
                <w:u w:val="none"/>
              </w:rPr>
            </w:pPr>
            <w:r>
              <w:rPr>
                <w:rFonts w:hint="eastAsia" w:ascii="仿宋" w:hAnsi="仿宋" w:eastAsia="仿宋" w:cs="仿宋"/>
                <w:i w:val="0"/>
                <w:iCs w:val="0"/>
                <w:color w:val="auto"/>
                <w:kern w:val="0"/>
                <w:sz w:val="22"/>
                <w:szCs w:val="22"/>
                <w:u w:val="none"/>
                <w:lang w:val="en-US" w:eastAsia="zh-CN" w:bidi="ar"/>
              </w:rPr>
              <w:t>电工电子实训箱</w:t>
            </w:r>
          </w:p>
        </w:tc>
        <w:tc>
          <w:tcPr>
            <w:tcW w:w="0" w:type="auto"/>
            <w:shd w:val="clear" w:color="auto" w:fill="auto"/>
            <w:noWrap/>
            <w:vAlign w:val="center"/>
          </w:tcPr>
          <w:p w14:paraId="728E552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sz w:val="22"/>
                <w:szCs w:val="21"/>
                <w:highlight w:val="yellow"/>
                <w:u w:val="none"/>
                <w:lang w:val="en-US"/>
              </w:rPr>
            </w:pPr>
            <w:r>
              <w:rPr>
                <w:rFonts w:hint="eastAsia" w:ascii="仿宋" w:hAnsi="仿宋" w:eastAsia="仿宋" w:cs="仿宋"/>
                <w:i w:val="0"/>
                <w:iCs w:val="0"/>
                <w:color w:val="auto"/>
                <w:kern w:val="0"/>
                <w:sz w:val="22"/>
                <w:szCs w:val="22"/>
                <w:u w:val="none"/>
                <w:lang w:val="en-US" w:eastAsia="zh-CN" w:bidi="ar"/>
              </w:rPr>
              <w:t>40</w:t>
            </w:r>
          </w:p>
        </w:tc>
        <w:tc>
          <w:tcPr>
            <w:tcW w:w="658" w:type="dxa"/>
            <w:shd w:val="clear" w:color="auto" w:fill="auto"/>
            <w:noWrap/>
            <w:vAlign w:val="center"/>
          </w:tcPr>
          <w:p w14:paraId="492BE7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sz w:val="22"/>
                <w:szCs w:val="21"/>
                <w:highlight w:val="yellow"/>
                <w:u w:val="none"/>
                <w:lang w:val="en-US"/>
              </w:rPr>
            </w:pPr>
            <w:r>
              <w:rPr>
                <w:rFonts w:hint="eastAsia" w:ascii="仿宋" w:hAnsi="仿宋" w:eastAsia="仿宋" w:cs="仿宋"/>
                <w:i w:val="0"/>
                <w:iCs w:val="0"/>
                <w:color w:val="auto"/>
                <w:kern w:val="0"/>
                <w:sz w:val="22"/>
                <w:szCs w:val="22"/>
                <w:u w:val="none"/>
                <w:lang w:val="en-US" w:eastAsia="zh-CN" w:bidi="ar"/>
              </w:rPr>
              <w:t>套</w:t>
            </w:r>
          </w:p>
        </w:tc>
      </w:tr>
      <w:tr w14:paraId="7356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132A0F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875" w:type="dxa"/>
            <w:shd w:val="clear" w:color="auto" w:fill="auto"/>
            <w:vAlign w:val="center"/>
          </w:tcPr>
          <w:p w14:paraId="59F702E4">
            <w:pPr>
              <w:numPr>
                <w:ilvl w:val="0"/>
                <w:numId w:val="23"/>
              </w:numPr>
              <w:snapToGrid w:val="0"/>
              <w:ind w:left="0" w:leftChars="0" w:right="0" w:rightChars="0" w:firstLine="0" w:firstLineChars="0"/>
              <w:jc w:val="center"/>
              <w:rPr>
                <w:rFonts w:hint="eastAsia" w:ascii="仿宋" w:hAnsi="仿宋" w:eastAsia="仿宋" w:cs="仿宋"/>
                <w:color w:val="auto"/>
                <w:sz w:val="22"/>
              </w:rPr>
            </w:pPr>
          </w:p>
        </w:tc>
        <w:tc>
          <w:tcPr>
            <w:tcW w:w="4570" w:type="dxa"/>
            <w:shd w:val="clear" w:color="auto" w:fill="auto"/>
            <w:noWrap/>
            <w:vAlign w:val="center"/>
          </w:tcPr>
          <w:p w14:paraId="3D9AA4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sz w:val="22"/>
                <w:szCs w:val="21"/>
                <w:u w:val="none"/>
              </w:rPr>
            </w:pPr>
            <w:r>
              <w:rPr>
                <w:rFonts w:hint="eastAsia" w:ascii="仿宋" w:hAnsi="仿宋" w:eastAsia="仿宋" w:cs="仿宋"/>
                <w:i w:val="0"/>
                <w:iCs w:val="0"/>
                <w:color w:val="auto"/>
                <w:kern w:val="0"/>
                <w:sz w:val="22"/>
                <w:szCs w:val="22"/>
                <w:u w:val="none"/>
                <w:lang w:val="en-US" w:eastAsia="zh-CN" w:bidi="ar"/>
              </w:rPr>
              <w:t>高压安全控制与防护实训平台</w:t>
            </w:r>
          </w:p>
        </w:tc>
        <w:tc>
          <w:tcPr>
            <w:tcW w:w="0" w:type="auto"/>
            <w:shd w:val="clear" w:color="auto" w:fill="auto"/>
            <w:noWrap/>
            <w:vAlign w:val="center"/>
          </w:tcPr>
          <w:p w14:paraId="2B3B5CF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sz w:val="22"/>
                <w:szCs w:val="21"/>
                <w:u w:val="none"/>
              </w:rPr>
            </w:pPr>
            <w:r>
              <w:rPr>
                <w:rFonts w:hint="eastAsia" w:ascii="仿宋" w:hAnsi="仿宋" w:eastAsia="仿宋" w:cs="仿宋"/>
                <w:i w:val="0"/>
                <w:iCs w:val="0"/>
                <w:color w:val="auto"/>
                <w:kern w:val="0"/>
                <w:sz w:val="22"/>
                <w:szCs w:val="22"/>
                <w:u w:val="none"/>
                <w:lang w:val="en-US" w:eastAsia="zh-CN" w:bidi="ar"/>
              </w:rPr>
              <w:t>1</w:t>
            </w:r>
          </w:p>
        </w:tc>
        <w:tc>
          <w:tcPr>
            <w:tcW w:w="658" w:type="dxa"/>
            <w:shd w:val="clear" w:color="auto" w:fill="auto"/>
            <w:noWrap/>
            <w:vAlign w:val="center"/>
          </w:tcPr>
          <w:p w14:paraId="35B203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sz w:val="22"/>
                <w:szCs w:val="21"/>
                <w:u w:val="none"/>
              </w:rPr>
            </w:pPr>
            <w:r>
              <w:rPr>
                <w:rFonts w:hint="eastAsia" w:ascii="仿宋" w:hAnsi="仿宋" w:eastAsia="仿宋" w:cs="仿宋"/>
                <w:i w:val="0"/>
                <w:iCs w:val="0"/>
                <w:color w:val="auto"/>
                <w:kern w:val="0"/>
                <w:sz w:val="22"/>
                <w:szCs w:val="22"/>
                <w:u w:val="none"/>
                <w:lang w:val="en-US" w:eastAsia="zh-CN" w:bidi="ar"/>
              </w:rPr>
              <w:t>套</w:t>
            </w:r>
          </w:p>
        </w:tc>
      </w:tr>
      <w:tr w14:paraId="3819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5EF229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p>
        </w:tc>
        <w:tc>
          <w:tcPr>
            <w:tcW w:w="875" w:type="dxa"/>
            <w:shd w:val="clear" w:color="auto" w:fill="auto"/>
            <w:vAlign w:val="center"/>
          </w:tcPr>
          <w:p w14:paraId="0D3CFB8F">
            <w:pPr>
              <w:numPr>
                <w:ilvl w:val="0"/>
                <w:numId w:val="23"/>
              </w:numPr>
              <w:snapToGrid w:val="0"/>
              <w:ind w:left="0" w:leftChars="0" w:right="0" w:rightChars="0" w:firstLine="0" w:firstLineChars="0"/>
              <w:jc w:val="center"/>
              <w:rPr>
                <w:rFonts w:hint="eastAsia" w:ascii="仿宋" w:hAnsi="仿宋" w:eastAsia="仿宋" w:cs="仿宋"/>
                <w:color w:val="auto"/>
                <w:sz w:val="22"/>
                <w:lang w:val="en-US" w:eastAsia="zh-CN"/>
              </w:rPr>
            </w:pPr>
          </w:p>
        </w:tc>
        <w:tc>
          <w:tcPr>
            <w:tcW w:w="4570" w:type="dxa"/>
            <w:shd w:val="clear" w:color="auto" w:fill="auto"/>
            <w:noWrap/>
            <w:vAlign w:val="center"/>
          </w:tcPr>
          <w:p w14:paraId="35A394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霍尔电流传感器实训台</w:t>
            </w:r>
          </w:p>
        </w:tc>
        <w:tc>
          <w:tcPr>
            <w:tcW w:w="0" w:type="auto"/>
            <w:shd w:val="clear" w:color="auto" w:fill="auto"/>
            <w:noWrap/>
            <w:vAlign w:val="center"/>
          </w:tcPr>
          <w:p w14:paraId="3E5FBB6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658" w:type="dxa"/>
            <w:shd w:val="clear" w:color="auto" w:fill="auto"/>
            <w:noWrap/>
            <w:vAlign w:val="center"/>
          </w:tcPr>
          <w:p w14:paraId="57F7F1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51B8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446E8D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p>
        </w:tc>
        <w:tc>
          <w:tcPr>
            <w:tcW w:w="875" w:type="dxa"/>
            <w:shd w:val="clear" w:color="auto" w:fill="auto"/>
            <w:vAlign w:val="center"/>
          </w:tcPr>
          <w:p w14:paraId="79689847">
            <w:pPr>
              <w:numPr>
                <w:ilvl w:val="0"/>
                <w:numId w:val="23"/>
              </w:numPr>
              <w:snapToGrid w:val="0"/>
              <w:ind w:left="0" w:leftChars="0" w:right="0" w:rightChars="0" w:firstLine="0" w:firstLineChars="0"/>
              <w:jc w:val="center"/>
              <w:rPr>
                <w:rFonts w:hint="eastAsia" w:ascii="仿宋" w:hAnsi="仿宋" w:eastAsia="仿宋" w:cs="仿宋"/>
                <w:color w:val="auto"/>
                <w:sz w:val="22"/>
                <w:lang w:val="en-US" w:eastAsia="zh-CN"/>
              </w:rPr>
            </w:pPr>
          </w:p>
        </w:tc>
        <w:tc>
          <w:tcPr>
            <w:tcW w:w="4570" w:type="dxa"/>
            <w:shd w:val="clear" w:color="auto" w:fill="auto"/>
            <w:noWrap/>
            <w:vAlign w:val="center"/>
          </w:tcPr>
          <w:p w14:paraId="419802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绝缘钩</w:t>
            </w:r>
          </w:p>
        </w:tc>
        <w:tc>
          <w:tcPr>
            <w:tcW w:w="0" w:type="auto"/>
            <w:shd w:val="clear" w:color="auto" w:fill="auto"/>
            <w:noWrap/>
            <w:vAlign w:val="center"/>
          </w:tcPr>
          <w:p w14:paraId="5785AD9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658" w:type="dxa"/>
            <w:shd w:val="clear" w:color="auto" w:fill="auto"/>
            <w:noWrap/>
            <w:vAlign w:val="center"/>
          </w:tcPr>
          <w:p w14:paraId="595416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3372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5C903F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p>
        </w:tc>
        <w:tc>
          <w:tcPr>
            <w:tcW w:w="875" w:type="dxa"/>
            <w:shd w:val="clear" w:color="auto" w:fill="auto"/>
            <w:vAlign w:val="center"/>
          </w:tcPr>
          <w:p w14:paraId="35A165D3">
            <w:pPr>
              <w:numPr>
                <w:ilvl w:val="0"/>
                <w:numId w:val="23"/>
              </w:numPr>
              <w:snapToGrid w:val="0"/>
              <w:ind w:left="0" w:leftChars="0" w:right="0" w:rightChars="0" w:firstLine="0" w:firstLineChars="0"/>
              <w:jc w:val="center"/>
              <w:rPr>
                <w:rFonts w:hint="eastAsia" w:ascii="仿宋" w:hAnsi="仿宋" w:eastAsia="仿宋" w:cs="仿宋"/>
                <w:color w:val="auto"/>
                <w:sz w:val="22"/>
                <w:lang w:val="en-US" w:eastAsia="zh-CN"/>
              </w:rPr>
            </w:pPr>
          </w:p>
        </w:tc>
        <w:tc>
          <w:tcPr>
            <w:tcW w:w="4570" w:type="dxa"/>
            <w:shd w:val="clear" w:color="auto" w:fill="auto"/>
            <w:noWrap/>
            <w:vAlign w:val="center"/>
          </w:tcPr>
          <w:p w14:paraId="7B9E1A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新能源专业万用表</w:t>
            </w:r>
          </w:p>
        </w:tc>
        <w:tc>
          <w:tcPr>
            <w:tcW w:w="0" w:type="auto"/>
            <w:shd w:val="clear" w:color="auto" w:fill="auto"/>
            <w:noWrap/>
            <w:vAlign w:val="center"/>
          </w:tcPr>
          <w:p w14:paraId="3F4743E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40</w:t>
            </w:r>
          </w:p>
        </w:tc>
        <w:tc>
          <w:tcPr>
            <w:tcW w:w="658" w:type="dxa"/>
            <w:shd w:val="clear" w:color="auto" w:fill="auto"/>
            <w:noWrap/>
            <w:vAlign w:val="center"/>
          </w:tcPr>
          <w:p w14:paraId="67C33C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562C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443EFB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p>
        </w:tc>
        <w:tc>
          <w:tcPr>
            <w:tcW w:w="875" w:type="dxa"/>
            <w:shd w:val="clear" w:color="auto" w:fill="auto"/>
            <w:vAlign w:val="center"/>
          </w:tcPr>
          <w:p w14:paraId="42124B03">
            <w:pPr>
              <w:numPr>
                <w:ilvl w:val="0"/>
                <w:numId w:val="23"/>
              </w:numPr>
              <w:snapToGrid w:val="0"/>
              <w:ind w:left="0" w:leftChars="0" w:right="0" w:rightChars="0" w:firstLine="0" w:firstLineChars="0"/>
              <w:jc w:val="center"/>
              <w:rPr>
                <w:rFonts w:hint="eastAsia" w:ascii="仿宋" w:hAnsi="仿宋" w:eastAsia="仿宋" w:cs="仿宋"/>
                <w:color w:val="auto"/>
                <w:sz w:val="22"/>
                <w:lang w:val="en-US" w:eastAsia="zh-CN"/>
              </w:rPr>
            </w:pPr>
          </w:p>
        </w:tc>
        <w:tc>
          <w:tcPr>
            <w:tcW w:w="4570" w:type="dxa"/>
            <w:shd w:val="clear" w:color="auto" w:fill="auto"/>
            <w:noWrap/>
            <w:vAlign w:val="center"/>
          </w:tcPr>
          <w:p w14:paraId="7893D2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kern w:val="2"/>
                <w:sz w:val="22"/>
                <w:szCs w:val="21"/>
                <w:lang w:val="en-US" w:eastAsia="zh-CN" w:bidi="ar-SA"/>
              </w:rPr>
            </w:pPr>
            <w:r>
              <w:rPr>
                <w:rFonts w:hint="eastAsia" w:ascii="仿宋" w:hAnsi="仿宋" w:eastAsia="仿宋" w:cs="仿宋"/>
                <w:i w:val="0"/>
                <w:iCs w:val="0"/>
                <w:color w:val="auto"/>
                <w:kern w:val="0"/>
                <w:sz w:val="22"/>
                <w:szCs w:val="22"/>
                <w:u w:val="none"/>
                <w:lang w:val="en-US" w:eastAsia="zh-CN" w:bidi="ar"/>
              </w:rPr>
              <w:t>示波器</w:t>
            </w:r>
          </w:p>
        </w:tc>
        <w:tc>
          <w:tcPr>
            <w:tcW w:w="0" w:type="auto"/>
            <w:shd w:val="clear" w:color="auto" w:fill="auto"/>
            <w:noWrap/>
            <w:vAlign w:val="center"/>
          </w:tcPr>
          <w:p w14:paraId="2A805B9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658" w:type="dxa"/>
            <w:shd w:val="clear" w:color="auto" w:fill="auto"/>
            <w:noWrap/>
            <w:vAlign w:val="center"/>
          </w:tcPr>
          <w:p w14:paraId="4ACD80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3C4A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6C7EC8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p>
        </w:tc>
        <w:tc>
          <w:tcPr>
            <w:tcW w:w="875" w:type="dxa"/>
            <w:shd w:val="clear" w:color="auto" w:fill="auto"/>
            <w:vAlign w:val="center"/>
          </w:tcPr>
          <w:p w14:paraId="0C5121BF">
            <w:pPr>
              <w:numPr>
                <w:ilvl w:val="0"/>
                <w:numId w:val="23"/>
              </w:numPr>
              <w:snapToGrid w:val="0"/>
              <w:ind w:left="0" w:leftChars="0" w:right="0" w:rightChars="0" w:firstLine="0" w:firstLineChars="0"/>
              <w:jc w:val="center"/>
              <w:rPr>
                <w:rFonts w:hint="eastAsia" w:ascii="仿宋" w:hAnsi="仿宋" w:eastAsia="仿宋" w:cs="仿宋"/>
                <w:color w:val="auto"/>
                <w:sz w:val="22"/>
                <w:lang w:val="en-US" w:eastAsia="zh-CN"/>
              </w:rPr>
            </w:pPr>
          </w:p>
        </w:tc>
        <w:tc>
          <w:tcPr>
            <w:tcW w:w="4570" w:type="dxa"/>
            <w:shd w:val="clear" w:color="auto" w:fill="auto"/>
            <w:noWrap/>
            <w:vAlign w:val="center"/>
          </w:tcPr>
          <w:p w14:paraId="078FF8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kern w:val="2"/>
                <w:sz w:val="22"/>
                <w:szCs w:val="21"/>
                <w:lang w:val="en-US" w:eastAsia="zh-CN" w:bidi="ar-SA"/>
              </w:rPr>
            </w:pPr>
            <w:r>
              <w:rPr>
                <w:rFonts w:hint="eastAsia" w:ascii="仿宋" w:hAnsi="仿宋" w:eastAsia="仿宋" w:cs="仿宋"/>
                <w:i w:val="0"/>
                <w:iCs w:val="0"/>
                <w:color w:val="auto"/>
                <w:kern w:val="0"/>
                <w:sz w:val="22"/>
                <w:szCs w:val="22"/>
                <w:u w:val="none"/>
                <w:lang w:val="en-US" w:eastAsia="zh-CN" w:bidi="ar"/>
              </w:rPr>
              <w:t>手持式绝缘电阻测试仪</w:t>
            </w:r>
          </w:p>
        </w:tc>
        <w:tc>
          <w:tcPr>
            <w:tcW w:w="0" w:type="auto"/>
            <w:shd w:val="clear" w:color="auto" w:fill="auto"/>
            <w:noWrap/>
            <w:vAlign w:val="center"/>
          </w:tcPr>
          <w:p w14:paraId="3D5C6E8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40</w:t>
            </w:r>
          </w:p>
        </w:tc>
        <w:tc>
          <w:tcPr>
            <w:tcW w:w="658" w:type="dxa"/>
            <w:shd w:val="clear" w:color="auto" w:fill="auto"/>
            <w:noWrap/>
            <w:vAlign w:val="center"/>
          </w:tcPr>
          <w:p w14:paraId="600EE8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4818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3995A9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p>
        </w:tc>
        <w:tc>
          <w:tcPr>
            <w:tcW w:w="875" w:type="dxa"/>
            <w:shd w:val="clear" w:color="auto" w:fill="auto"/>
            <w:vAlign w:val="center"/>
          </w:tcPr>
          <w:p w14:paraId="6BB4A7B9">
            <w:pPr>
              <w:numPr>
                <w:ilvl w:val="0"/>
                <w:numId w:val="23"/>
              </w:numPr>
              <w:snapToGrid w:val="0"/>
              <w:ind w:left="0" w:leftChars="0" w:right="0" w:rightChars="0" w:firstLine="0" w:firstLineChars="0"/>
              <w:jc w:val="center"/>
              <w:rPr>
                <w:rFonts w:hint="eastAsia" w:ascii="仿宋" w:hAnsi="仿宋" w:eastAsia="仿宋" w:cs="仿宋"/>
                <w:color w:val="auto"/>
                <w:sz w:val="22"/>
                <w:lang w:val="en-US" w:eastAsia="zh-CN"/>
              </w:rPr>
            </w:pPr>
          </w:p>
        </w:tc>
        <w:tc>
          <w:tcPr>
            <w:tcW w:w="4570" w:type="dxa"/>
            <w:shd w:val="clear" w:color="auto" w:fill="auto"/>
            <w:noWrap/>
            <w:vAlign w:val="center"/>
          </w:tcPr>
          <w:p w14:paraId="0E3F0B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绝缘工作台</w:t>
            </w:r>
          </w:p>
        </w:tc>
        <w:tc>
          <w:tcPr>
            <w:tcW w:w="0" w:type="auto"/>
            <w:shd w:val="clear" w:color="auto" w:fill="auto"/>
            <w:noWrap/>
            <w:vAlign w:val="center"/>
          </w:tcPr>
          <w:p w14:paraId="4ADF317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20</w:t>
            </w:r>
          </w:p>
        </w:tc>
        <w:tc>
          <w:tcPr>
            <w:tcW w:w="658" w:type="dxa"/>
            <w:shd w:val="clear" w:color="auto" w:fill="auto"/>
            <w:noWrap/>
            <w:vAlign w:val="center"/>
          </w:tcPr>
          <w:p w14:paraId="0255FC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19EF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2AAD3C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p>
        </w:tc>
        <w:tc>
          <w:tcPr>
            <w:tcW w:w="875" w:type="dxa"/>
            <w:shd w:val="clear" w:color="auto" w:fill="auto"/>
            <w:vAlign w:val="center"/>
          </w:tcPr>
          <w:p w14:paraId="30DFFEE6">
            <w:pPr>
              <w:numPr>
                <w:ilvl w:val="0"/>
                <w:numId w:val="23"/>
              </w:numPr>
              <w:snapToGrid w:val="0"/>
              <w:ind w:left="0" w:leftChars="0" w:right="0" w:rightChars="0" w:firstLine="0" w:firstLineChars="0"/>
              <w:jc w:val="center"/>
              <w:rPr>
                <w:rFonts w:hint="eastAsia" w:ascii="仿宋" w:hAnsi="仿宋" w:eastAsia="仿宋" w:cs="仿宋"/>
                <w:color w:val="auto"/>
                <w:sz w:val="22"/>
                <w:lang w:val="en-US" w:eastAsia="zh-CN"/>
              </w:rPr>
            </w:pPr>
          </w:p>
        </w:tc>
        <w:tc>
          <w:tcPr>
            <w:tcW w:w="4570" w:type="dxa"/>
            <w:shd w:val="clear" w:color="auto" w:fill="auto"/>
            <w:noWrap/>
            <w:vAlign w:val="center"/>
          </w:tcPr>
          <w:p w14:paraId="359D14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文化建设</w:t>
            </w:r>
          </w:p>
        </w:tc>
        <w:tc>
          <w:tcPr>
            <w:tcW w:w="0" w:type="auto"/>
            <w:shd w:val="clear" w:color="auto" w:fill="auto"/>
            <w:noWrap/>
            <w:vAlign w:val="center"/>
          </w:tcPr>
          <w:p w14:paraId="44DBD04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658" w:type="dxa"/>
            <w:shd w:val="clear" w:color="auto" w:fill="auto"/>
            <w:noWrap/>
            <w:vAlign w:val="center"/>
          </w:tcPr>
          <w:p w14:paraId="64FEEE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1B76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65AB85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p>
        </w:tc>
        <w:tc>
          <w:tcPr>
            <w:tcW w:w="875" w:type="dxa"/>
            <w:shd w:val="clear" w:color="auto" w:fill="auto"/>
            <w:vAlign w:val="center"/>
          </w:tcPr>
          <w:p w14:paraId="0C38F2F7">
            <w:pPr>
              <w:numPr>
                <w:ilvl w:val="0"/>
                <w:numId w:val="23"/>
              </w:numPr>
              <w:snapToGrid w:val="0"/>
              <w:ind w:left="0" w:leftChars="0" w:right="0" w:rightChars="0" w:firstLine="0" w:firstLineChars="0"/>
              <w:jc w:val="center"/>
              <w:rPr>
                <w:rFonts w:hint="eastAsia" w:ascii="仿宋" w:hAnsi="仿宋" w:eastAsia="仿宋" w:cs="仿宋"/>
                <w:color w:val="auto"/>
                <w:sz w:val="22"/>
                <w:lang w:val="en-US" w:eastAsia="zh-CN"/>
              </w:rPr>
            </w:pPr>
          </w:p>
        </w:tc>
        <w:tc>
          <w:tcPr>
            <w:tcW w:w="4570" w:type="dxa"/>
            <w:shd w:val="clear" w:color="auto" w:fill="auto"/>
            <w:noWrap/>
            <w:vAlign w:val="center"/>
          </w:tcPr>
          <w:p w14:paraId="119DAB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人员防护套装</w:t>
            </w:r>
          </w:p>
        </w:tc>
        <w:tc>
          <w:tcPr>
            <w:tcW w:w="0" w:type="auto"/>
            <w:shd w:val="clear" w:color="auto" w:fill="auto"/>
            <w:noWrap/>
            <w:vAlign w:val="center"/>
          </w:tcPr>
          <w:p w14:paraId="3DED8F5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40</w:t>
            </w:r>
          </w:p>
        </w:tc>
        <w:tc>
          <w:tcPr>
            <w:tcW w:w="658" w:type="dxa"/>
            <w:shd w:val="clear" w:color="auto" w:fill="auto"/>
            <w:noWrap/>
            <w:vAlign w:val="center"/>
          </w:tcPr>
          <w:p w14:paraId="20DCA7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7164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734EAE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p>
        </w:tc>
        <w:tc>
          <w:tcPr>
            <w:tcW w:w="875" w:type="dxa"/>
            <w:shd w:val="clear" w:color="auto" w:fill="auto"/>
            <w:vAlign w:val="center"/>
          </w:tcPr>
          <w:p w14:paraId="484933ED">
            <w:pPr>
              <w:numPr>
                <w:ilvl w:val="0"/>
                <w:numId w:val="23"/>
              </w:numPr>
              <w:snapToGrid w:val="0"/>
              <w:ind w:left="0" w:leftChars="0" w:right="0" w:rightChars="0" w:firstLine="0" w:firstLineChars="0"/>
              <w:jc w:val="center"/>
              <w:rPr>
                <w:rFonts w:hint="eastAsia" w:ascii="仿宋" w:hAnsi="仿宋" w:eastAsia="仿宋" w:cs="仿宋"/>
                <w:color w:val="auto"/>
                <w:sz w:val="22"/>
                <w:lang w:val="en-US" w:eastAsia="zh-CN"/>
              </w:rPr>
            </w:pPr>
          </w:p>
        </w:tc>
        <w:tc>
          <w:tcPr>
            <w:tcW w:w="4570" w:type="dxa"/>
            <w:shd w:val="clear" w:color="auto" w:fill="auto"/>
            <w:noWrap/>
            <w:vAlign w:val="center"/>
          </w:tcPr>
          <w:p w14:paraId="5DC908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工位安全防护套装</w:t>
            </w:r>
          </w:p>
        </w:tc>
        <w:tc>
          <w:tcPr>
            <w:tcW w:w="0" w:type="auto"/>
            <w:shd w:val="clear" w:color="auto" w:fill="auto"/>
            <w:noWrap/>
            <w:vAlign w:val="center"/>
          </w:tcPr>
          <w:p w14:paraId="1642FFF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10</w:t>
            </w:r>
          </w:p>
        </w:tc>
        <w:tc>
          <w:tcPr>
            <w:tcW w:w="658" w:type="dxa"/>
            <w:shd w:val="clear" w:color="auto" w:fill="auto"/>
            <w:noWrap/>
            <w:vAlign w:val="center"/>
          </w:tcPr>
          <w:p w14:paraId="516AE1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7B49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6BBFC2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p>
        </w:tc>
        <w:tc>
          <w:tcPr>
            <w:tcW w:w="875" w:type="dxa"/>
            <w:shd w:val="clear" w:color="auto" w:fill="auto"/>
            <w:vAlign w:val="center"/>
          </w:tcPr>
          <w:p w14:paraId="2872CF1D">
            <w:pPr>
              <w:numPr>
                <w:ilvl w:val="0"/>
                <w:numId w:val="23"/>
              </w:numPr>
              <w:snapToGrid w:val="0"/>
              <w:ind w:left="0" w:leftChars="0" w:right="0" w:rightChars="0" w:firstLine="0" w:firstLineChars="0"/>
              <w:jc w:val="center"/>
              <w:rPr>
                <w:rFonts w:hint="eastAsia" w:ascii="仿宋" w:hAnsi="仿宋" w:eastAsia="仿宋" w:cs="仿宋"/>
                <w:color w:val="auto"/>
                <w:sz w:val="22"/>
                <w:lang w:val="en-US" w:eastAsia="zh-CN"/>
              </w:rPr>
            </w:pPr>
          </w:p>
        </w:tc>
        <w:tc>
          <w:tcPr>
            <w:tcW w:w="4570" w:type="dxa"/>
            <w:shd w:val="clear" w:color="auto" w:fill="auto"/>
            <w:noWrap/>
            <w:vAlign w:val="center"/>
          </w:tcPr>
          <w:p w14:paraId="27D111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拾音扩音系统</w:t>
            </w:r>
          </w:p>
        </w:tc>
        <w:tc>
          <w:tcPr>
            <w:tcW w:w="0" w:type="auto"/>
            <w:shd w:val="clear" w:color="auto" w:fill="auto"/>
            <w:noWrap/>
            <w:vAlign w:val="center"/>
          </w:tcPr>
          <w:p w14:paraId="3ADF52B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658" w:type="dxa"/>
            <w:shd w:val="clear" w:color="auto" w:fill="auto"/>
            <w:noWrap/>
            <w:vAlign w:val="center"/>
          </w:tcPr>
          <w:p w14:paraId="4B4510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36B4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3A7DC2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p>
        </w:tc>
        <w:tc>
          <w:tcPr>
            <w:tcW w:w="875" w:type="dxa"/>
            <w:shd w:val="clear" w:color="auto" w:fill="auto"/>
            <w:vAlign w:val="center"/>
          </w:tcPr>
          <w:p w14:paraId="5E2A09EC">
            <w:pPr>
              <w:numPr>
                <w:ilvl w:val="0"/>
                <w:numId w:val="23"/>
              </w:numPr>
              <w:snapToGrid w:val="0"/>
              <w:ind w:left="0" w:leftChars="0" w:right="0" w:rightChars="0" w:firstLine="0" w:firstLineChars="0"/>
              <w:jc w:val="center"/>
              <w:rPr>
                <w:rFonts w:hint="eastAsia" w:ascii="仿宋" w:hAnsi="仿宋" w:eastAsia="仿宋" w:cs="仿宋"/>
                <w:color w:val="auto"/>
                <w:sz w:val="22"/>
                <w:lang w:val="en-US" w:eastAsia="zh-CN"/>
              </w:rPr>
            </w:pPr>
          </w:p>
        </w:tc>
        <w:tc>
          <w:tcPr>
            <w:tcW w:w="4570" w:type="dxa"/>
            <w:shd w:val="clear" w:color="auto" w:fill="auto"/>
            <w:noWrap/>
            <w:vAlign w:val="center"/>
          </w:tcPr>
          <w:p w14:paraId="1F1F50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实训操作台</w:t>
            </w:r>
          </w:p>
        </w:tc>
        <w:tc>
          <w:tcPr>
            <w:tcW w:w="0" w:type="auto"/>
            <w:shd w:val="clear" w:color="auto" w:fill="auto"/>
            <w:noWrap/>
            <w:vAlign w:val="center"/>
          </w:tcPr>
          <w:p w14:paraId="465ECB1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25</w:t>
            </w:r>
          </w:p>
        </w:tc>
        <w:tc>
          <w:tcPr>
            <w:tcW w:w="658" w:type="dxa"/>
            <w:shd w:val="clear" w:color="auto" w:fill="auto"/>
            <w:noWrap/>
            <w:vAlign w:val="center"/>
          </w:tcPr>
          <w:p w14:paraId="54DE9A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3F93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shd w:val="clear" w:color="auto" w:fill="auto"/>
            <w:vAlign w:val="center"/>
          </w:tcPr>
          <w:p w14:paraId="1B8025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Hans" w:bidi="ar"/>
              </w:rPr>
              <w:t>动力电池及充电系统实训室</w:t>
            </w:r>
          </w:p>
        </w:tc>
        <w:tc>
          <w:tcPr>
            <w:tcW w:w="875" w:type="dxa"/>
            <w:shd w:val="clear" w:color="auto" w:fill="auto"/>
            <w:vAlign w:val="center"/>
          </w:tcPr>
          <w:p w14:paraId="5F60EEB6">
            <w:pPr>
              <w:keepNext w:val="0"/>
              <w:keepLines w:val="0"/>
              <w:widowControl/>
              <w:numPr>
                <w:ilvl w:val="0"/>
                <w:numId w:val="2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sz w:val="22"/>
                <w:szCs w:val="21"/>
                <w:u w:val="none"/>
              </w:rPr>
            </w:pPr>
          </w:p>
        </w:tc>
        <w:tc>
          <w:tcPr>
            <w:tcW w:w="4570" w:type="dxa"/>
            <w:shd w:val="clear" w:color="auto" w:fill="auto"/>
            <w:noWrap/>
            <w:vAlign w:val="center"/>
          </w:tcPr>
          <w:p w14:paraId="0AAE8F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sz w:val="22"/>
                <w:szCs w:val="21"/>
                <w:u w:val="none"/>
              </w:rPr>
            </w:pPr>
            <w:r>
              <w:rPr>
                <w:rFonts w:hint="eastAsia" w:ascii="仿宋" w:hAnsi="仿宋" w:eastAsia="仿宋" w:cs="仿宋"/>
                <w:i w:val="0"/>
                <w:iCs w:val="0"/>
                <w:color w:val="auto"/>
                <w:kern w:val="0"/>
                <w:sz w:val="22"/>
                <w:szCs w:val="22"/>
                <w:u w:val="none"/>
                <w:lang w:val="en-US" w:eastAsia="zh-CN" w:bidi="ar"/>
              </w:rPr>
              <w:t>BMS管理系统综合检测实训平台</w:t>
            </w:r>
          </w:p>
        </w:tc>
        <w:tc>
          <w:tcPr>
            <w:tcW w:w="0" w:type="auto"/>
            <w:shd w:val="clear" w:color="auto" w:fill="auto"/>
            <w:noWrap/>
            <w:vAlign w:val="center"/>
          </w:tcPr>
          <w:p w14:paraId="430EC5F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sz w:val="22"/>
                <w:szCs w:val="21"/>
                <w:u w:val="none"/>
                <w:lang w:val="en-US" w:eastAsia="zh-CN"/>
              </w:rPr>
            </w:pPr>
            <w:r>
              <w:rPr>
                <w:rFonts w:hint="eastAsia" w:ascii="仿宋" w:hAnsi="仿宋" w:eastAsia="仿宋" w:cs="仿宋"/>
                <w:b w:val="0"/>
                <w:bCs w:val="0"/>
                <w:i w:val="0"/>
                <w:iCs w:val="0"/>
                <w:color w:val="auto"/>
                <w:sz w:val="22"/>
                <w:szCs w:val="21"/>
                <w:u w:val="none"/>
                <w:lang w:val="en-US" w:eastAsia="zh-CN"/>
              </w:rPr>
              <w:t>1</w:t>
            </w:r>
          </w:p>
        </w:tc>
        <w:tc>
          <w:tcPr>
            <w:tcW w:w="658" w:type="dxa"/>
            <w:shd w:val="clear" w:color="auto" w:fill="auto"/>
            <w:noWrap/>
            <w:vAlign w:val="center"/>
          </w:tcPr>
          <w:p w14:paraId="70EE40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050F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2A3E74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875" w:type="dxa"/>
            <w:shd w:val="clear" w:color="auto" w:fill="auto"/>
            <w:vAlign w:val="center"/>
          </w:tcPr>
          <w:p w14:paraId="06BDEC2E">
            <w:pPr>
              <w:keepNext w:val="0"/>
              <w:keepLines w:val="0"/>
              <w:widowControl/>
              <w:numPr>
                <w:ilvl w:val="0"/>
                <w:numId w:val="2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sz w:val="22"/>
                <w:szCs w:val="21"/>
                <w:u w:val="none"/>
              </w:rPr>
            </w:pPr>
          </w:p>
        </w:tc>
        <w:tc>
          <w:tcPr>
            <w:tcW w:w="4570" w:type="dxa"/>
            <w:shd w:val="clear" w:color="auto" w:fill="auto"/>
            <w:noWrap/>
            <w:vAlign w:val="center"/>
          </w:tcPr>
          <w:p w14:paraId="3335F5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sz w:val="22"/>
                <w:szCs w:val="21"/>
                <w:u w:val="none"/>
              </w:rPr>
            </w:pPr>
            <w:r>
              <w:rPr>
                <w:rFonts w:hint="eastAsia" w:ascii="仿宋" w:hAnsi="仿宋" w:eastAsia="仿宋" w:cs="仿宋"/>
                <w:i w:val="0"/>
                <w:iCs w:val="0"/>
                <w:color w:val="auto"/>
                <w:kern w:val="0"/>
                <w:sz w:val="22"/>
                <w:szCs w:val="22"/>
                <w:u w:val="none"/>
                <w:lang w:val="en-US" w:eastAsia="zh-CN" w:bidi="ar"/>
              </w:rPr>
              <w:t>动力电池模组检测实训平台（实车模组）</w:t>
            </w:r>
          </w:p>
        </w:tc>
        <w:tc>
          <w:tcPr>
            <w:tcW w:w="0" w:type="auto"/>
            <w:shd w:val="clear" w:color="auto" w:fill="auto"/>
            <w:noWrap/>
            <w:vAlign w:val="center"/>
          </w:tcPr>
          <w:p w14:paraId="412A9FF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sz w:val="22"/>
                <w:szCs w:val="21"/>
                <w:u w:val="none"/>
              </w:rPr>
            </w:pPr>
            <w:r>
              <w:rPr>
                <w:rFonts w:hint="eastAsia" w:ascii="仿宋" w:hAnsi="仿宋" w:eastAsia="仿宋" w:cs="仿宋"/>
                <w:i w:val="0"/>
                <w:iCs w:val="0"/>
                <w:color w:val="auto"/>
                <w:kern w:val="0"/>
                <w:sz w:val="22"/>
                <w:szCs w:val="22"/>
                <w:u w:val="none"/>
                <w:lang w:val="en-US" w:eastAsia="zh-CN" w:bidi="ar"/>
              </w:rPr>
              <w:t>1</w:t>
            </w:r>
          </w:p>
        </w:tc>
        <w:tc>
          <w:tcPr>
            <w:tcW w:w="658" w:type="dxa"/>
            <w:shd w:val="clear" w:color="auto" w:fill="auto"/>
            <w:noWrap/>
            <w:vAlign w:val="center"/>
          </w:tcPr>
          <w:p w14:paraId="3A957E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64D5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77F650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875" w:type="dxa"/>
            <w:shd w:val="clear" w:color="auto" w:fill="auto"/>
            <w:vAlign w:val="center"/>
          </w:tcPr>
          <w:p w14:paraId="76C15A07">
            <w:pPr>
              <w:keepNext w:val="0"/>
              <w:keepLines w:val="0"/>
              <w:widowControl/>
              <w:numPr>
                <w:ilvl w:val="0"/>
                <w:numId w:val="2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sz w:val="22"/>
                <w:szCs w:val="21"/>
                <w:u w:val="none"/>
              </w:rPr>
            </w:pPr>
          </w:p>
        </w:tc>
        <w:tc>
          <w:tcPr>
            <w:tcW w:w="4570" w:type="dxa"/>
            <w:shd w:val="clear" w:color="auto" w:fill="auto"/>
            <w:noWrap/>
            <w:vAlign w:val="center"/>
          </w:tcPr>
          <w:p w14:paraId="232642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sz w:val="22"/>
                <w:szCs w:val="21"/>
                <w:u w:val="none"/>
              </w:rPr>
            </w:pPr>
            <w:r>
              <w:rPr>
                <w:rFonts w:hint="eastAsia" w:ascii="仿宋" w:hAnsi="仿宋" w:eastAsia="仿宋" w:cs="仿宋"/>
                <w:i w:val="0"/>
                <w:iCs w:val="0"/>
                <w:color w:val="auto"/>
                <w:kern w:val="0"/>
                <w:sz w:val="22"/>
                <w:szCs w:val="22"/>
                <w:u w:val="none"/>
                <w:lang w:val="en-US" w:eastAsia="zh-CN" w:bidi="ar"/>
              </w:rPr>
              <w:t>锂电池智能均衡仪</w:t>
            </w:r>
          </w:p>
        </w:tc>
        <w:tc>
          <w:tcPr>
            <w:tcW w:w="0" w:type="auto"/>
            <w:shd w:val="clear" w:color="auto" w:fill="auto"/>
            <w:noWrap/>
            <w:vAlign w:val="center"/>
          </w:tcPr>
          <w:p w14:paraId="72259C6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sz w:val="22"/>
                <w:szCs w:val="21"/>
                <w:u w:val="none"/>
              </w:rPr>
            </w:pPr>
            <w:r>
              <w:rPr>
                <w:rFonts w:hint="eastAsia" w:ascii="仿宋" w:hAnsi="仿宋" w:eastAsia="仿宋" w:cs="仿宋"/>
                <w:i w:val="0"/>
                <w:iCs w:val="0"/>
                <w:color w:val="auto"/>
                <w:kern w:val="0"/>
                <w:sz w:val="22"/>
                <w:szCs w:val="22"/>
                <w:u w:val="none"/>
                <w:lang w:val="en-US" w:eastAsia="zh-CN" w:bidi="ar"/>
              </w:rPr>
              <w:t>2</w:t>
            </w:r>
          </w:p>
        </w:tc>
        <w:tc>
          <w:tcPr>
            <w:tcW w:w="658" w:type="dxa"/>
            <w:shd w:val="clear" w:color="auto" w:fill="auto"/>
            <w:noWrap/>
            <w:vAlign w:val="center"/>
          </w:tcPr>
          <w:p w14:paraId="0CA9DA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4548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7213B3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875" w:type="dxa"/>
            <w:shd w:val="clear" w:color="auto" w:fill="auto"/>
            <w:vAlign w:val="center"/>
          </w:tcPr>
          <w:p w14:paraId="12FA2B66">
            <w:pPr>
              <w:keepNext w:val="0"/>
              <w:keepLines w:val="0"/>
              <w:widowControl/>
              <w:numPr>
                <w:ilvl w:val="0"/>
                <w:numId w:val="2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sz w:val="22"/>
                <w:szCs w:val="21"/>
                <w:u w:val="none"/>
              </w:rPr>
            </w:pPr>
          </w:p>
        </w:tc>
        <w:tc>
          <w:tcPr>
            <w:tcW w:w="4570" w:type="dxa"/>
            <w:shd w:val="clear" w:color="auto" w:fill="auto"/>
            <w:noWrap/>
            <w:vAlign w:val="center"/>
          </w:tcPr>
          <w:p w14:paraId="7251DF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sz w:val="22"/>
                <w:szCs w:val="21"/>
                <w:u w:val="none"/>
              </w:rPr>
            </w:pPr>
            <w:r>
              <w:rPr>
                <w:rFonts w:hint="eastAsia" w:ascii="仿宋" w:hAnsi="仿宋" w:eastAsia="仿宋" w:cs="仿宋"/>
                <w:i w:val="0"/>
                <w:iCs w:val="0"/>
                <w:color w:val="auto"/>
                <w:kern w:val="0"/>
                <w:sz w:val="22"/>
                <w:szCs w:val="22"/>
                <w:u w:val="none"/>
                <w:lang w:val="en-US" w:eastAsia="zh-CN" w:bidi="ar"/>
              </w:rPr>
              <w:t>交直流充电设备装配与测试实训平台</w:t>
            </w:r>
          </w:p>
        </w:tc>
        <w:tc>
          <w:tcPr>
            <w:tcW w:w="0" w:type="auto"/>
            <w:shd w:val="clear" w:color="auto" w:fill="auto"/>
            <w:noWrap/>
            <w:vAlign w:val="center"/>
          </w:tcPr>
          <w:p w14:paraId="631AB6C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sz w:val="22"/>
                <w:szCs w:val="21"/>
                <w:u w:val="none"/>
              </w:rPr>
            </w:pPr>
            <w:r>
              <w:rPr>
                <w:rFonts w:hint="eastAsia" w:ascii="仿宋" w:hAnsi="仿宋" w:eastAsia="仿宋" w:cs="仿宋"/>
                <w:i w:val="0"/>
                <w:iCs w:val="0"/>
                <w:color w:val="auto"/>
                <w:kern w:val="0"/>
                <w:sz w:val="22"/>
                <w:szCs w:val="22"/>
                <w:u w:val="none"/>
                <w:lang w:val="en-US" w:eastAsia="zh-CN" w:bidi="ar"/>
              </w:rPr>
              <w:t>1</w:t>
            </w:r>
          </w:p>
        </w:tc>
        <w:tc>
          <w:tcPr>
            <w:tcW w:w="658" w:type="dxa"/>
            <w:shd w:val="clear" w:color="auto" w:fill="auto"/>
            <w:noWrap/>
            <w:vAlign w:val="center"/>
          </w:tcPr>
          <w:p w14:paraId="3C9CB3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21E1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24F094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875" w:type="dxa"/>
            <w:shd w:val="clear" w:color="auto" w:fill="auto"/>
            <w:vAlign w:val="center"/>
          </w:tcPr>
          <w:p w14:paraId="31FCAADD">
            <w:pPr>
              <w:keepNext w:val="0"/>
              <w:keepLines w:val="0"/>
              <w:widowControl/>
              <w:numPr>
                <w:ilvl w:val="0"/>
                <w:numId w:val="2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sz w:val="22"/>
                <w:szCs w:val="21"/>
                <w:u w:val="none"/>
              </w:rPr>
            </w:pPr>
          </w:p>
        </w:tc>
        <w:tc>
          <w:tcPr>
            <w:tcW w:w="4570" w:type="dxa"/>
            <w:shd w:val="clear" w:color="auto" w:fill="auto"/>
            <w:noWrap/>
            <w:vAlign w:val="center"/>
          </w:tcPr>
          <w:p w14:paraId="27FD3B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sz w:val="22"/>
                <w:szCs w:val="21"/>
                <w:u w:val="none"/>
              </w:rPr>
            </w:pPr>
            <w:r>
              <w:rPr>
                <w:rFonts w:hint="eastAsia" w:ascii="仿宋" w:hAnsi="仿宋" w:eastAsia="仿宋" w:cs="仿宋"/>
                <w:i w:val="0"/>
                <w:iCs w:val="0"/>
                <w:color w:val="auto"/>
                <w:kern w:val="0"/>
                <w:sz w:val="22"/>
                <w:szCs w:val="22"/>
                <w:u w:val="none"/>
                <w:lang w:val="en-US" w:eastAsia="zh-CN" w:bidi="ar"/>
              </w:rPr>
              <w:t>OBC/DC-DC综合测试台</w:t>
            </w:r>
          </w:p>
        </w:tc>
        <w:tc>
          <w:tcPr>
            <w:tcW w:w="0" w:type="auto"/>
            <w:shd w:val="clear" w:color="auto" w:fill="auto"/>
            <w:noWrap/>
            <w:vAlign w:val="center"/>
          </w:tcPr>
          <w:p w14:paraId="752D6F2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sz w:val="22"/>
                <w:szCs w:val="21"/>
                <w:u w:val="none"/>
              </w:rPr>
            </w:pPr>
            <w:r>
              <w:rPr>
                <w:rFonts w:hint="eastAsia" w:ascii="仿宋" w:hAnsi="仿宋" w:eastAsia="仿宋" w:cs="仿宋"/>
                <w:i w:val="0"/>
                <w:iCs w:val="0"/>
                <w:color w:val="auto"/>
                <w:kern w:val="0"/>
                <w:sz w:val="22"/>
                <w:szCs w:val="22"/>
                <w:u w:val="none"/>
                <w:lang w:val="en-US" w:eastAsia="zh-CN" w:bidi="ar"/>
              </w:rPr>
              <w:t>1</w:t>
            </w:r>
          </w:p>
        </w:tc>
        <w:tc>
          <w:tcPr>
            <w:tcW w:w="658" w:type="dxa"/>
            <w:shd w:val="clear" w:color="auto" w:fill="auto"/>
            <w:noWrap/>
            <w:vAlign w:val="center"/>
          </w:tcPr>
          <w:p w14:paraId="7C796F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4D84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066661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875" w:type="dxa"/>
            <w:shd w:val="clear" w:color="auto" w:fill="auto"/>
            <w:vAlign w:val="center"/>
          </w:tcPr>
          <w:p w14:paraId="72105EEF">
            <w:pPr>
              <w:keepNext w:val="0"/>
              <w:keepLines w:val="0"/>
              <w:widowControl/>
              <w:numPr>
                <w:ilvl w:val="0"/>
                <w:numId w:val="2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4570" w:type="dxa"/>
            <w:shd w:val="clear" w:color="auto" w:fill="auto"/>
            <w:noWrap/>
            <w:vAlign w:val="center"/>
          </w:tcPr>
          <w:p w14:paraId="06A0C5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落地式充电桩（交流）</w:t>
            </w:r>
          </w:p>
        </w:tc>
        <w:tc>
          <w:tcPr>
            <w:tcW w:w="0" w:type="auto"/>
            <w:shd w:val="clear" w:color="auto" w:fill="auto"/>
            <w:noWrap/>
            <w:vAlign w:val="center"/>
          </w:tcPr>
          <w:p w14:paraId="192AF47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658" w:type="dxa"/>
            <w:shd w:val="clear" w:color="auto" w:fill="auto"/>
            <w:noWrap/>
            <w:vAlign w:val="center"/>
          </w:tcPr>
          <w:p w14:paraId="3CF1A8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2700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265F6D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875" w:type="dxa"/>
            <w:shd w:val="clear" w:color="auto" w:fill="auto"/>
            <w:vAlign w:val="center"/>
          </w:tcPr>
          <w:p w14:paraId="1750059B">
            <w:pPr>
              <w:keepNext w:val="0"/>
              <w:keepLines w:val="0"/>
              <w:widowControl/>
              <w:numPr>
                <w:ilvl w:val="0"/>
                <w:numId w:val="2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4570" w:type="dxa"/>
            <w:shd w:val="clear" w:color="auto" w:fill="auto"/>
            <w:noWrap/>
            <w:vAlign w:val="center"/>
          </w:tcPr>
          <w:p w14:paraId="064BF0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动力电池被动均衡实训箱</w:t>
            </w:r>
          </w:p>
        </w:tc>
        <w:tc>
          <w:tcPr>
            <w:tcW w:w="0" w:type="auto"/>
            <w:shd w:val="clear" w:color="auto" w:fill="auto"/>
            <w:noWrap/>
            <w:vAlign w:val="center"/>
          </w:tcPr>
          <w:p w14:paraId="583BC73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658" w:type="dxa"/>
            <w:shd w:val="clear" w:color="auto" w:fill="auto"/>
            <w:noWrap/>
            <w:vAlign w:val="center"/>
          </w:tcPr>
          <w:p w14:paraId="418B3C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4C66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762F3F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875" w:type="dxa"/>
            <w:shd w:val="clear" w:color="auto" w:fill="auto"/>
            <w:vAlign w:val="center"/>
          </w:tcPr>
          <w:p w14:paraId="73E67DA5">
            <w:pPr>
              <w:keepNext w:val="0"/>
              <w:keepLines w:val="0"/>
              <w:widowControl/>
              <w:numPr>
                <w:ilvl w:val="0"/>
                <w:numId w:val="2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4570" w:type="dxa"/>
            <w:shd w:val="clear" w:color="auto" w:fill="auto"/>
            <w:noWrap/>
            <w:vAlign w:val="center"/>
          </w:tcPr>
          <w:p w14:paraId="1F9021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kern w:val="2"/>
                <w:sz w:val="22"/>
                <w:szCs w:val="21"/>
                <w:lang w:val="en-US" w:eastAsia="zh-CN" w:bidi="ar-SA"/>
              </w:rPr>
            </w:pPr>
            <w:r>
              <w:rPr>
                <w:rFonts w:hint="eastAsia" w:ascii="仿宋" w:hAnsi="仿宋" w:eastAsia="仿宋" w:cs="仿宋"/>
                <w:i w:val="0"/>
                <w:iCs w:val="0"/>
                <w:color w:val="auto"/>
                <w:kern w:val="0"/>
                <w:sz w:val="22"/>
                <w:szCs w:val="22"/>
                <w:u w:val="none"/>
                <w:lang w:val="en-US" w:eastAsia="zh-CN" w:bidi="ar"/>
              </w:rPr>
              <w:t>绝缘工具套装</w:t>
            </w:r>
          </w:p>
        </w:tc>
        <w:tc>
          <w:tcPr>
            <w:tcW w:w="0" w:type="auto"/>
            <w:shd w:val="clear" w:color="auto" w:fill="auto"/>
            <w:noWrap/>
            <w:vAlign w:val="center"/>
          </w:tcPr>
          <w:p w14:paraId="33D7B6A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658" w:type="dxa"/>
            <w:shd w:val="clear" w:color="auto" w:fill="auto"/>
            <w:noWrap/>
            <w:vAlign w:val="center"/>
          </w:tcPr>
          <w:p w14:paraId="317D30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7E14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1B4BF8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875" w:type="dxa"/>
            <w:shd w:val="clear" w:color="auto" w:fill="auto"/>
            <w:vAlign w:val="center"/>
          </w:tcPr>
          <w:p w14:paraId="71DF46E6">
            <w:pPr>
              <w:keepNext w:val="0"/>
              <w:keepLines w:val="0"/>
              <w:widowControl/>
              <w:numPr>
                <w:ilvl w:val="0"/>
                <w:numId w:val="2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4570" w:type="dxa"/>
            <w:shd w:val="clear" w:color="auto" w:fill="auto"/>
            <w:noWrap/>
            <w:vAlign w:val="center"/>
          </w:tcPr>
          <w:p w14:paraId="0E5527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kern w:val="2"/>
                <w:sz w:val="22"/>
                <w:szCs w:val="21"/>
                <w:lang w:val="en-US" w:eastAsia="zh-CN" w:bidi="ar-SA"/>
              </w:rPr>
            </w:pPr>
            <w:r>
              <w:rPr>
                <w:rFonts w:hint="eastAsia" w:ascii="仿宋" w:hAnsi="仿宋" w:eastAsia="仿宋" w:cs="仿宋"/>
                <w:i w:val="0"/>
                <w:iCs w:val="0"/>
                <w:color w:val="auto"/>
                <w:kern w:val="0"/>
                <w:sz w:val="22"/>
                <w:szCs w:val="22"/>
                <w:u w:val="none"/>
                <w:lang w:val="en-US" w:eastAsia="zh-CN" w:bidi="ar"/>
              </w:rPr>
              <w:t>数字钳形表</w:t>
            </w:r>
          </w:p>
        </w:tc>
        <w:tc>
          <w:tcPr>
            <w:tcW w:w="0" w:type="auto"/>
            <w:shd w:val="clear" w:color="auto" w:fill="auto"/>
            <w:noWrap/>
            <w:vAlign w:val="center"/>
          </w:tcPr>
          <w:p w14:paraId="659A320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658" w:type="dxa"/>
            <w:shd w:val="clear" w:color="auto" w:fill="auto"/>
            <w:noWrap/>
            <w:vAlign w:val="center"/>
          </w:tcPr>
          <w:p w14:paraId="590593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4EE2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73166E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875" w:type="dxa"/>
            <w:shd w:val="clear" w:color="auto" w:fill="auto"/>
            <w:vAlign w:val="center"/>
          </w:tcPr>
          <w:p w14:paraId="368BA15E">
            <w:pPr>
              <w:keepNext w:val="0"/>
              <w:keepLines w:val="0"/>
              <w:widowControl/>
              <w:numPr>
                <w:ilvl w:val="0"/>
                <w:numId w:val="2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4570" w:type="dxa"/>
            <w:shd w:val="clear" w:color="auto" w:fill="auto"/>
            <w:noWrap/>
            <w:vAlign w:val="center"/>
          </w:tcPr>
          <w:p w14:paraId="7906DE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绝缘电阻测试仪</w:t>
            </w:r>
          </w:p>
        </w:tc>
        <w:tc>
          <w:tcPr>
            <w:tcW w:w="0" w:type="auto"/>
            <w:shd w:val="clear" w:color="auto" w:fill="auto"/>
            <w:noWrap/>
            <w:vAlign w:val="center"/>
          </w:tcPr>
          <w:p w14:paraId="612C20D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658" w:type="dxa"/>
            <w:shd w:val="clear" w:color="auto" w:fill="auto"/>
            <w:noWrap/>
            <w:vAlign w:val="center"/>
          </w:tcPr>
          <w:p w14:paraId="2FFE34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448E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7D71B4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875" w:type="dxa"/>
            <w:shd w:val="clear" w:color="auto" w:fill="auto"/>
            <w:vAlign w:val="center"/>
          </w:tcPr>
          <w:p w14:paraId="63D699AF">
            <w:pPr>
              <w:keepNext w:val="0"/>
              <w:keepLines w:val="0"/>
              <w:widowControl/>
              <w:numPr>
                <w:ilvl w:val="0"/>
                <w:numId w:val="2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4570" w:type="dxa"/>
            <w:shd w:val="clear" w:color="auto" w:fill="auto"/>
            <w:noWrap/>
            <w:vAlign w:val="center"/>
          </w:tcPr>
          <w:p w14:paraId="7E8945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电池内阻测试仪</w:t>
            </w:r>
          </w:p>
        </w:tc>
        <w:tc>
          <w:tcPr>
            <w:tcW w:w="0" w:type="auto"/>
            <w:shd w:val="clear" w:color="auto" w:fill="auto"/>
            <w:noWrap/>
            <w:vAlign w:val="center"/>
          </w:tcPr>
          <w:p w14:paraId="2D23032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658" w:type="dxa"/>
            <w:shd w:val="clear" w:color="auto" w:fill="auto"/>
            <w:noWrap/>
            <w:vAlign w:val="center"/>
          </w:tcPr>
          <w:p w14:paraId="7412FD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6E18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4D46C6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875" w:type="dxa"/>
            <w:shd w:val="clear" w:color="auto" w:fill="auto"/>
            <w:vAlign w:val="center"/>
          </w:tcPr>
          <w:p w14:paraId="0F25807C">
            <w:pPr>
              <w:keepNext w:val="0"/>
              <w:keepLines w:val="0"/>
              <w:widowControl/>
              <w:numPr>
                <w:ilvl w:val="0"/>
                <w:numId w:val="2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4570" w:type="dxa"/>
            <w:shd w:val="clear" w:color="auto" w:fill="auto"/>
            <w:noWrap/>
            <w:vAlign w:val="center"/>
          </w:tcPr>
          <w:p w14:paraId="285B54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万用接线盒</w:t>
            </w:r>
          </w:p>
        </w:tc>
        <w:tc>
          <w:tcPr>
            <w:tcW w:w="0" w:type="auto"/>
            <w:shd w:val="clear" w:color="auto" w:fill="auto"/>
            <w:noWrap/>
            <w:vAlign w:val="center"/>
          </w:tcPr>
          <w:p w14:paraId="00046B9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658" w:type="dxa"/>
            <w:shd w:val="clear" w:color="auto" w:fill="auto"/>
            <w:noWrap/>
            <w:vAlign w:val="center"/>
          </w:tcPr>
          <w:p w14:paraId="6081AA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3C4E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0CFD9A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875" w:type="dxa"/>
            <w:shd w:val="clear" w:color="auto" w:fill="auto"/>
            <w:vAlign w:val="center"/>
          </w:tcPr>
          <w:p w14:paraId="30D864C1">
            <w:pPr>
              <w:keepNext w:val="0"/>
              <w:keepLines w:val="0"/>
              <w:widowControl/>
              <w:numPr>
                <w:ilvl w:val="0"/>
                <w:numId w:val="2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4570" w:type="dxa"/>
            <w:shd w:val="clear" w:color="auto" w:fill="auto"/>
            <w:noWrap/>
            <w:vAlign w:val="center"/>
          </w:tcPr>
          <w:p w14:paraId="151700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文化建设</w:t>
            </w:r>
          </w:p>
        </w:tc>
        <w:tc>
          <w:tcPr>
            <w:tcW w:w="0" w:type="auto"/>
            <w:shd w:val="clear" w:color="auto" w:fill="auto"/>
            <w:noWrap/>
            <w:vAlign w:val="center"/>
          </w:tcPr>
          <w:p w14:paraId="6BDBBA2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658" w:type="dxa"/>
            <w:shd w:val="clear" w:color="auto" w:fill="auto"/>
            <w:noWrap/>
            <w:vAlign w:val="center"/>
          </w:tcPr>
          <w:p w14:paraId="68A16E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1B27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6D7F90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875" w:type="dxa"/>
            <w:shd w:val="clear" w:color="auto" w:fill="auto"/>
            <w:vAlign w:val="center"/>
          </w:tcPr>
          <w:p w14:paraId="00C46FFB">
            <w:pPr>
              <w:keepNext w:val="0"/>
              <w:keepLines w:val="0"/>
              <w:widowControl/>
              <w:numPr>
                <w:ilvl w:val="0"/>
                <w:numId w:val="2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4570" w:type="dxa"/>
            <w:shd w:val="clear" w:color="auto" w:fill="auto"/>
            <w:noWrap/>
            <w:vAlign w:val="center"/>
          </w:tcPr>
          <w:p w14:paraId="71C20C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人员防护套装</w:t>
            </w:r>
          </w:p>
        </w:tc>
        <w:tc>
          <w:tcPr>
            <w:tcW w:w="0" w:type="auto"/>
            <w:shd w:val="clear" w:color="auto" w:fill="auto"/>
            <w:noWrap/>
            <w:vAlign w:val="center"/>
          </w:tcPr>
          <w:p w14:paraId="5C822B2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10</w:t>
            </w:r>
          </w:p>
        </w:tc>
        <w:tc>
          <w:tcPr>
            <w:tcW w:w="658" w:type="dxa"/>
            <w:shd w:val="clear" w:color="auto" w:fill="auto"/>
            <w:noWrap/>
            <w:vAlign w:val="center"/>
          </w:tcPr>
          <w:p w14:paraId="19DA00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5737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188065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875" w:type="dxa"/>
            <w:shd w:val="clear" w:color="auto" w:fill="auto"/>
            <w:vAlign w:val="center"/>
          </w:tcPr>
          <w:p w14:paraId="05F8A33E">
            <w:pPr>
              <w:keepNext w:val="0"/>
              <w:keepLines w:val="0"/>
              <w:widowControl/>
              <w:numPr>
                <w:ilvl w:val="0"/>
                <w:numId w:val="2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4570" w:type="dxa"/>
            <w:shd w:val="clear" w:color="auto" w:fill="auto"/>
            <w:noWrap/>
            <w:vAlign w:val="center"/>
          </w:tcPr>
          <w:p w14:paraId="6F4FBE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工位安全防护套装</w:t>
            </w:r>
          </w:p>
        </w:tc>
        <w:tc>
          <w:tcPr>
            <w:tcW w:w="0" w:type="auto"/>
            <w:shd w:val="clear" w:color="auto" w:fill="auto"/>
            <w:noWrap/>
            <w:vAlign w:val="center"/>
          </w:tcPr>
          <w:p w14:paraId="3BFAE21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5</w:t>
            </w:r>
          </w:p>
        </w:tc>
        <w:tc>
          <w:tcPr>
            <w:tcW w:w="658" w:type="dxa"/>
            <w:shd w:val="clear" w:color="auto" w:fill="auto"/>
            <w:noWrap/>
            <w:vAlign w:val="center"/>
          </w:tcPr>
          <w:p w14:paraId="38E8AF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7F1C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5B2D99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875" w:type="dxa"/>
            <w:shd w:val="clear" w:color="auto" w:fill="auto"/>
            <w:vAlign w:val="center"/>
          </w:tcPr>
          <w:p w14:paraId="00A8DBB7">
            <w:pPr>
              <w:keepNext w:val="0"/>
              <w:keepLines w:val="0"/>
              <w:widowControl/>
              <w:numPr>
                <w:ilvl w:val="0"/>
                <w:numId w:val="24"/>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4570" w:type="dxa"/>
            <w:shd w:val="clear" w:color="auto" w:fill="auto"/>
            <w:noWrap/>
            <w:vAlign w:val="center"/>
          </w:tcPr>
          <w:p w14:paraId="6C2691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highlight w:val="yellow"/>
                <w:u w:val="none"/>
                <w:lang w:val="en-US" w:eastAsia="zh-CN" w:bidi="ar"/>
              </w:rPr>
            </w:pPr>
            <w:r>
              <w:rPr>
                <w:rFonts w:hint="eastAsia" w:ascii="仿宋" w:hAnsi="仿宋" w:eastAsia="仿宋" w:cs="仿宋"/>
                <w:i w:val="0"/>
                <w:iCs w:val="0"/>
                <w:color w:val="auto"/>
                <w:kern w:val="0"/>
                <w:sz w:val="22"/>
                <w:szCs w:val="22"/>
                <w:u w:val="none"/>
                <w:lang w:val="en-US" w:eastAsia="zh-CN" w:bidi="ar"/>
              </w:rPr>
              <w:t>拾音扩音系统</w:t>
            </w:r>
          </w:p>
        </w:tc>
        <w:tc>
          <w:tcPr>
            <w:tcW w:w="0" w:type="auto"/>
            <w:shd w:val="clear" w:color="auto" w:fill="auto"/>
            <w:noWrap/>
            <w:vAlign w:val="center"/>
          </w:tcPr>
          <w:p w14:paraId="4FF9522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658" w:type="dxa"/>
            <w:shd w:val="clear" w:color="auto" w:fill="auto"/>
            <w:noWrap/>
            <w:vAlign w:val="center"/>
          </w:tcPr>
          <w:p w14:paraId="482FCF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r w14:paraId="50A5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shd w:val="clear" w:color="auto" w:fill="auto"/>
            <w:vAlign w:val="center"/>
          </w:tcPr>
          <w:p w14:paraId="000FF0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新能源汽车电器与辅助电子实训室</w:t>
            </w:r>
          </w:p>
        </w:tc>
        <w:tc>
          <w:tcPr>
            <w:tcW w:w="875" w:type="dxa"/>
            <w:shd w:val="clear" w:color="auto" w:fill="auto"/>
            <w:vAlign w:val="center"/>
          </w:tcPr>
          <w:p w14:paraId="17F10BAF">
            <w:pPr>
              <w:numPr>
                <w:ilvl w:val="0"/>
                <w:numId w:val="25"/>
              </w:numPr>
              <w:snapToGrid w:val="0"/>
              <w:ind w:left="0" w:leftChars="0" w:right="0" w:rightChars="0" w:firstLine="0" w:firstLineChars="0"/>
              <w:jc w:val="center"/>
              <w:rPr>
                <w:rFonts w:hint="eastAsia" w:ascii="仿宋" w:hAnsi="仿宋" w:eastAsia="仿宋" w:cs="仿宋"/>
                <w:color w:val="auto"/>
                <w:sz w:val="22"/>
              </w:rPr>
            </w:pPr>
          </w:p>
        </w:tc>
        <w:tc>
          <w:tcPr>
            <w:tcW w:w="4570" w:type="dxa"/>
            <w:shd w:val="clear" w:color="auto" w:fill="auto"/>
            <w:noWrap/>
            <w:vAlign w:val="center"/>
          </w:tcPr>
          <w:p w14:paraId="1D216D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rPr>
            </w:pPr>
            <w:r>
              <w:rPr>
                <w:rFonts w:hint="eastAsia" w:ascii="仿宋" w:hAnsi="仿宋" w:eastAsia="仿宋" w:cs="仿宋"/>
                <w:i w:val="0"/>
                <w:iCs w:val="0"/>
                <w:color w:val="auto"/>
                <w:kern w:val="0"/>
                <w:sz w:val="22"/>
                <w:szCs w:val="22"/>
                <w:u w:val="none"/>
                <w:lang w:val="en-US" w:eastAsia="zh-CN" w:bidi="ar"/>
              </w:rPr>
              <w:t>新能源汽车全车照明系统实训平台</w:t>
            </w:r>
          </w:p>
        </w:tc>
        <w:tc>
          <w:tcPr>
            <w:tcW w:w="0" w:type="auto"/>
            <w:shd w:val="clear" w:color="auto" w:fill="auto"/>
            <w:noWrap/>
            <w:vAlign w:val="center"/>
          </w:tcPr>
          <w:p w14:paraId="13B07BE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auto"/>
                <w:sz w:val="22"/>
              </w:rPr>
            </w:pPr>
            <w:r>
              <w:rPr>
                <w:rFonts w:hint="eastAsia" w:ascii="仿宋" w:hAnsi="仿宋" w:eastAsia="仿宋" w:cs="仿宋"/>
                <w:i w:val="0"/>
                <w:iCs w:val="0"/>
                <w:color w:val="auto"/>
                <w:kern w:val="0"/>
                <w:sz w:val="22"/>
                <w:szCs w:val="22"/>
                <w:u w:val="none"/>
                <w:lang w:val="en-US" w:eastAsia="zh-CN" w:bidi="ar"/>
              </w:rPr>
              <w:t>2</w:t>
            </w:r>
          </w:p>
        </w:tc>
        <w:tc>
          <w:tcPr>
            <w:tcW w:w="658" w:type="dxa"/>
            <w:shd w:val="clear" w:color="auto" w:fill="auto"/>
            <w:noWrap/>
            <w:vAlign w:val="center"/>
          </w:tcPr>
          <w:p w14:paraId="740CD4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lang w:val="en-US" w:eastAsia="zh-CN"/>
              </w:rPr>
            </w:pPr>
            <w:r>
              <w:rPr>
                <w:rFonts w:hint="eastAsia" w:ascii="仿宋" w:hAnsi="仿宋" w:eastAsia="仿宋" w:cs="仿宋"/>
                <w:i w:val="0"/>
                <w:iCs w:val="0"/>
                <w:color w:val="auto"/>
                <w:kern w:val="0"/>
                <w:sz w:val="22"/>
                <w:szCs w:val="22"/>
                <w:u w:val="none"/>
                <w:lang w:val="en-US" w:eastAsia="zh-CN" w:bidi="ar"/>
              </w:rPr>
              <w:t>套</w:t>
            </w:r>
          </w:p>
        </w:tc>
      </w:tr>
      <w:tr w14:paraId="7C84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4B0CE458">
            <w:pPr>
              <w:snapToGrid w:val="0"/>
              <w:ind w:left="0" w:leftChars="0" w:right="0" w:rightChars="0" w:firstLine="0" w:firstLineChars="0"/>
              <w:jc w:val="center"/>
              <w:rPr>
                <w:rFonts w:hint="eastAsia" w:ascii="仿宋" w:hAnsi="仿宋" w:eastAsia="仿宋" w:cs="仿宋"/>
                <w:color w:val="auto"/>
                <w:sz w:val="22"/>
                <w:lang w:val="en-US" w:eastAsia="zh-CN"/>
              </w:rPr>
            </w:pPr>
          </w:p>
        </w:tc>
        <w:tc>
          <w:tcPr>
            <w:tcW w:w="875" w:type="dxa"/>
            <w:shd w:val="clear" w:color="auto" w:fill="auto"/>
            <w:vAlign w:val="center"/>
          </w:tcPr>
          <w:p w14:paraId="58CBCED1">
            <w:pPr>
              <w:numPr>
                <w:ilvl w:val="0"/>
                <w:numId w:val="25"/>
              </w:numPr>
              <w:snapToGrid w:val="0"/>
              <w:ind w:left="0" w:leftChars="0" w:right="0" w:rightChars="0" w:firstLine="0" w:firstLineChars="0"/>
              <w:jc w:val="center"/>
              <w:rPr>
                <w:rFonts w:hint="eastAsia" w:ascii="仿宋" w:hAnsi="仿宋" w:eastAsia="仿宋" w:cs="仿宋"/>
                <w:color w:val="auto"/>
                <w:sz w:val="22"/>
              </w:rPr>
            </w:pPr>
          </w:p>
        </w:tc>
        <w:tc>
          <w:tcPr>
            <w:tcW w:w="4570" w:type="dxa"/>
            <w:shd w:val="clear" w:color="auto" w:fill="auto"/>
            <w:noWrap/>
            <w:vAlign w:val="center"/>
          </w:tcPr>
          <w:p w14:paraId="480FE9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rPr>
            </w:pPr>
            <w:r>
              <w:rPr>
                <w:rFonts w:hint="eastAsia" w:ascii="仿宋" w:hAnsi="仿宋" w:eastAsia="仿宋" w:cs="仿宋"/>
                <w:i w:val="0"/>
                <w:iCs w:val="0"/>
                <w:color w:val="auto"/>
                <w:kern w:val="0"/>
                <w:sz w:val="22"/>
                <w:szCs w:val="22"/>
                <w:u w:val="none"/>
                <w:lang w:val="en-US" w:eastAsia="zh-CN" w:bidi="ar"/>
              </w:rPr>
              <w:t>新能源汽车舒适系统实训平台</w:t>
            </w:r>
          </w:p>
        </w:tc>
        <w:tc>
          <w:tcPr>
            <w:tcW w:w="0" w:type="auto"/>
            <w:shd w:val="clear" w:color="auto" w:fill="auto"/>
            <w:noWrap/>
            <w:vAlign w:val="center"/>
          </w:tcPr>
          <w:p w14:paraId="69116D3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auto"/>
                <w:sz w:val="22"/>
              </w:rPr>
            </w:pPr>
            <w:r>
              <w:rPr>
                <w:rFonts w:hint="eastAsia" w:ascii="仿宋" w:hAnsi="仿宋" w:eastAsia="仿宋" w:cs="仿宋"/>
                <w:i w:val="0"/>
                <w:iCs w:val="0"/>
                <w:color w:val="auto"/>
                <w:kern w:val="0"/>
                <w:sz w:val="22"/>
                <w:szCs w:val="22"/>
                <w:u w:val="none"/>
                <w:lang w:val="en-US" w:eastAsia="zh-CN" w:bidi="ar"/>
              </w:rPr>
              <w:t>2</w:t>
            </w:r>
          </w:p>
        </w:tc>
        <w:tc>
          <w:tcPr>
            <w:tcW w:w="658" w:type="dxa"/>
            <w:shd w:val="clear" w:color="auto" w:fill="auto"/>
            <w:noWrap/>
            <w:vAlign w:val="center"/>
          </w:tcPr>
          <w:p w14:paraId="3EB409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lang w:val="en-US" w:eastAsia="zh-CN"/>
              </w:rPr>
            </w:pPr>
            <w:r>
              <w:rPr>
                <w:rFonts w:hint="eastAsia" w:ascii="仿宋" w:hAnsi="仿宋" w:eastAsia="仿宋" w:cs="仿宋"/>
                <w:i w:val="0"/>
                <w:iCs w:val="0"/>
                <w:color w:val="auto"/>
                <w:kern w:val="0"/>
                <w:sz w:val="22"/>
                <w:szCs w:val="22"/>
                <w:u w:val="none"/>
                <w:lang w:val="en-US" w:eastAsia="zh-CN" w:bidi="ar"/>
              </w:rPr>
              <w:t>套</w:t>
            </w:r>
          </w:p>
        </w:tc>
      </w:tr>
      <w:tr w14:paraId="595D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59F4C20B">
            <w:pPr>
              <w:snapToGrid w:val="0"/>
              <w:ind w:left="0" w:leftChars="0" w:right="0" w:rightChars="0" w:firstLine="0" w:firstLineChars="0"/>
              <w:jc w:val="center"/>
              <w:rPr>
                <w:rFonts w:hint="eastAsia" w:ascii="仿宋" w:hAnsi="仿宋" w:eastAsia="仿宋" w:cs="仿宋"/>
                <w:color w:val="auto"/>
                <w:sz w:val="22"/>
                <w:lang w:val="en-US" w:eastAsia="zh-CN"/>
              </w:rPr>
            </w:pPr>
          </w:p>
        </w:tc>
        <w:tc>
          <w:tcPr>
            <w:tcW w:w="875" w:type="dxa"/>
            <w:shd w:val="clear" w:color="auto" w:fill="auto"/>
            <w:vAlign w:val="center"/>
          </w:tcPr>
          <w:p w14:paraId="3AA93390">
            <w:pPr>
              <w:numPr>
                <w:ilvl w:val="0"/>
                <w:numId w:val="25"/>
              </w:numPr>
              <w:snapToGrid w:val="0"/>
              <w:ind w:left="0" w:leftChars="0" w:right="0" w:rightChars="0" w:firstLine="0" w:firstLineChars="0"/>
              <w:jc w:val="center"/>
              <w:rPr>
                <w:rFonts w:hint="eastAsia" w:ascii="仿宋" w:hAnsi="仿宋" w:eastAsia="仿宋" w:cs="仿宋"/>
                <w:color w:val="auto"/>
                <w:sz w:val="22"/>
              </w:rPr>
            </w:pPr>
          </w:p>
        </w:tc>
        <w:tc>
          <w:tcPr>
            <w:tcW w:w="4570" w:type="dxa"/>
            <w:shd w:val="clear" w:color="auto" w:fill="auto"/>
            <w:noWrap/>
            <w:vAlign w:val="center"/>
          </w:tcPr>
          <w:p w14:paraId="1468E4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rPr>
            </w:pPr>
            <w:r>
              <w:rPr>
                <w:rFonts w:hint="eastAsia" w:ascii="仿宋" w:hAnsi="仿宋" w:eastAsia="仿宋" w:cs="仿宋"/>
                <w:i w:val="0"/>
                <w:iCs w:val="0"/>
                <w:color w:val="auto"/>
                <w:kern w:val="0"/>
                <w:sz w:val="22"/>
                <w:szCs w:val="22"/>
                <w:u w:val="none"/>
                <w:lang w:val="en-US" w:eastAsia="zh-CN" w:bidi="ar"/>
              </w:rPr>
              <w:t>压缩机综合性能检测台</w:t>
            </w:r>
          </w:p>
        </w:tc>
        <w:tc>
          <w:tcPr>
            <w:tcW w:w="0" w:type="auto"/>
            <w:shd w:val="clear" w:color="auto" w:fill="auto"/>
            <w:noWrap/>
            <w:vAlign w:val="center"/>
          </w:tcPr>
          <w:p w14:paraId="3444E0C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auto"/>
                <w:sz w:val="22"/>
              </w:rPr>
            </w:pPr>
            <w:r>
              <w:rPr>
                <w:rFonts w:hint="eastAsia" w:ascii="仿宋" w:hAnsi="仿宋" w:eastAsia="仿宋" w:cs="仿宋"/>
                <w:i w:val="0"/>
                <w:iCs w:val="0"/>
                <w:color w:val="auto"/>
                <w:kern w:val="0"/>
                <w:sz w:val="22"/>
                <w:szCs w:val="22"/>
                <w:u w:val="none"/>
                <w:lang w:val="en-US" w:eastAsia="zh-CN" w:bidi="ar"/>
              </w:rPr>
              <w:t>2</w:t>
            </w:r>
          </w:p>
        </w:tc>
        <w:tc>
          <w:tcPr>
            <w:tcW w:w="658" w:type="dxa"/>
            <w:shd w:val="clear" w:color="auto" w:fill="auto"/>
            <w:noWrap/>
            <w:vAlign w:val="center"/>
          </w:tcPr>
          <w:p w14:paraId="3EEC35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lang w:val="en-US" w:eastAsia="zh-CN"/>
              </w:rPr>
            </w:pPr>
            <w:r>
              <w:rPr>
                <w:rFonts w:hint="eastAsia" w:ascii="仿宋" w:hAnsi="仿宋" w:eastAsia="仿宋" w:cs="仿宋"/>
                <w:i w:val="0"/>
                <w:iCs w:val="0"/>
                <w:color w:val="auto"/>
                <w:kern w:val="0"/>
                <w:sz w:val="22"/>
                <w:szCs w:val="22"/>
                <w:u w:val="none"/>
                <w:lang w:val="en-US" w:eastAsia="zh-CN" w:bidi="ar"/>
              </w:rPr>
              <w:t>套</w:t>
            </w:r>
          </w:p>
        </w:tc>
      </w:tr>
      <w:tr w14:paraId="2925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35DE8839">
            <w:pPr>
              <w:snapToGrid w:val="0"/>
              <w:ind w:left="0" w:leftChars="0" w:right="0" w:rightChars="0" w:firstLine="0" w:firstLineChars="0"/>
              <w:jc w:val="center"/>
              <w:rPr>
                <w:rFonts w:hint="eastAsia" w:ascii="仿宋" w:hAnsi="仿宋" w:eastAsia="仿宋" w:cs="仿宋"/>
                <w:color w:val="auto"/>
                <w:sz w:val="22"/>
                <w:lang w:val="en-US" w:eastAsia="zh-CN"/>
              </w:rPr>
            </w:pPr>
          </w:p>
        </w:tc>
        <w:tc>
          <w:tcPr>
            <w:tcW w:w="875" w:type="dxa"/>
            <w:shd w:val="clear" w:color="auto" w:fill="auto"/>
            <w:vAlign w:val="center"/>
          </w:tcPr>
          <w:p w14:paraId="514F941F">
            <w:pPr>
              <w:numPr>
                <w:ilvl w:val="0"/>
                <w:numId w:val="25"/>
              </w:numPr>
              <w:snapToGrid w:val="0"/>
              <w:ind w:left="0" w:leftChars="0" w:right="0" w:rightChars="0" w:firstLine="0" w:firstLineChars="0"/>
              <w:jc w:val="center"/>
              <w:rPr>
                <w:rFonts w:hint="eastAsia" w:ascii="仿宋" w:hAnsi="仿宋" w:eastAsia="仿宋" w:cs="仿宋"/>
                <w:color w:val="auto"/>
                <w:sz w:val="22"/>
              </w:rPr>
            </w:pPr>
          </w:p>
        </w:tc>
        <w:tc>
          <w:tcPr>
            <w:tcW w:w="4570" w:type="dxa"/>
            <w:shd w:val="clear" w:color="auto" w:fill="auto"/>
            <w:vAlign w:val="center"/>
          </w:tcPr>
          <w:p w14:paraId="180C8B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rPr>
            </w:pPr>
            <w:r>
              <w:rPr>
                <w:rFonts w:hint="eastAsia" w:ascii="仿宋" w:hAnsi="仿宋" w:eastAsia="仿宋" w:cs="仿宋"/>
                <w:i w:val="0"/>
                <w:iCs w:val="0"/>
                <w:color w:val="auto"/>
                <w:kern w:val="0"/>
                <w:sz w:val="22"/>
                <w:szCs w:val="22"/>
                <w:u w:val="none"/>
                <w:lang w:val="en-US" w:eastAsia="zh-CN" w:bidi="ar"/>
              </w:rPr>
              <w:t>PTC综合测试台</w:t>
            </w:r>
          </w:p>
        </w:tc>
        <w:tc>
          <w:tcPr>
            <w:tcW w:w="0" w:type="auto"/>
            <w:shd w:val="clear" w:color="auto" w:fill="auto"/>
            <w:noWrap/>
            <w:vAlign w:val="center"/>
          </w:tcPr>
          <w:p w14:paraId="32DB8BA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auto"/>
                <w:sz w:val="22"/>
              </w:rPr>
            </w:pPr>
            <w:r>
              <w:rPr>
                <w:rFonts w:hint="eastAsia" w:ascii="仿宋" w:hAnsi="仿宋" w:eastAsia="仿宋" w:cs="仿宋"/>
                <w:i w:val="0"/>
                <w:iCs w:val="0"/>
                <w:color w:val="auto"/>
                <w:kern w:val="0"/>
                <w:sz w:val="22"/>
                <w:szCs w:val="22"/>
                <w:u w:val="none"/>
                <w:lang w:val="en-US" w:eastAsia="zh-CN" w:bidi="ar"/>
              </w:rPr>
              <w:t>2</w:t>
            </w:r>
          </w:p>
        </w:tc>
        <w:tc>
          <w:tcPr>
            <w:tcW w:w="658" w:type="dxa"/>
            <w:shd w:val="clear" w:color="auto" w:fill="auto"/>
            <w:noWrap/>
            <w:vAlign w:val="center"/>
          </w:tcPr>
          <w:p w14:paraId="073CFE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lang w:val="en-US" w:eastAsia="zh-CN"/>
              </w:rPr>
            </w:pPr>
            <w:r>
              <w:rPr>
                <w:rFonts w:hint="eastAsia" w:ascii="仿宋" w:hAnsi="仿宋" w:eastAsia="仿宋" w:cs="仿宋"/>
                <w:i w:val="0"/>
                <w:iCs w:val="0"/>
                <w:color w:val="auto"/>
                <w:kern w:val="0"/>
                <w:sz w:val="22"/>
                <w:szCs w:val="22"/>
                <w:u w:val="none"/>
                <w:lang w:val="en-US" w:eastAsia="zh-CN" w:bidi="ar"/>
              </w:rPr>
              <w:t>套</w:t>
            </w:r>
          </w:p>
        </w:tc>
      </w:tr>
      <w:tr w14:paraId="4332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41710526">
            <w:pPr>
              <w:snapToGrid w:val="0"/>
              <w:ind w:left="0" w:leftChars="0" w:right="0" w:rightChars="0" w:firstLine="0" w:firstLineChars="0"/>
              <w:jc w:val="center"/>
              <w:rPr>
                <w:rFonts w:hint="eastAsia" w:ascii="仿宋" w:hAnsi="仿宋" w:eastAsia="仿宋" w:cs="仿宋"/>
                <w:color w:val="auto"/>
                <w:sz w:val="22"/>
                <w:lang w:val="en-US" w:eastAsia="zh-CN"/>
              </w:rPr>
            </w:pPr>
          </w:p>
        </w:tc>
        <w:tc>
          <w:tcPr>
            <w:tcW w:w="875" w:type="dxa"/>
            <w:shd w:val="clear" w:color="auto" w:fill="auto"/>
            <w:vAlign w:val="center"/>
          </w:tcPr>
          <w:p w14:paraId="7ADFE1C7">
            <w:pPr>
              <w:numPr>
                <w:ilvl w:val="0"/>
                <w:numId w:val="25"/>
              </w:numPr>
              <w:snapToGrid w:val="0"/>
              <w:ind w:left="0" w:leftChars="0" w:right="0" w:rightChars="0" w:firstLine="0" w:firstLineChars="0"/>
              <w:jc w:val="center"/>
              <w:rPr>
                <w:rFonts w:hint="eastAsia" w:ascii="仿宋" w:hAnsi="仿宋" w:eastAsia="仿宋" w:cs="仿宋"/>
                <w:color w:val="auto"/>
                <w:sz w:val="22"/>
              </w:rPr>
            </w:pPr>
          </w:p>
        </w:tc>
        <w:tc>
          <w:tcPr>
            <w:tcW w:w="4570" w:type="dxa"/>
            <w:shd w:val="clear" w:color="auto" w:fill="auto"/>
            <w:noWrap/>
            <w:vAlign w:val="center"/>
          </w:tcPr>
          <w:p w14:paraId="5C7C3E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rPr>
            </w:pPr>
            <w:r>
              <w:rPr>
                <w:rFonts w:hint="eastAsia" w:ascii="仿宋" w:hAnsi="仿宋" w:eastAsia="仿宋" w:cs="仿宋"/>
                <w:i w:val="0"/>
                <w:iCs w:val="0"/>
                <w:color w:val="auto"/>
                <w:kern w:val="0"/>
                <w:sz w:val="22"/>
                <w:szCs w:val="24"/>
                <w:u w:val="none"/>
                <w:lang w:val="en-US" w:eastAsia="zh-CN" w:bidi="ar"/>
              </w:rPr>
              <w:t>热泵空调控制系统实训平台</w:t>
            </w:r>
          </w:p>
        </w:tc>
        <w:tc>
          <w:tcPr>
            <w:tcW w:w="0" w:type="auto"/>
            <w:shd w:val="clear" w:color="auto" w:fill="auto"/>
            <w:noWrap/>
            <w:vAlign w:val="center"/>
          </w:tcPr>
          <w:p w14:paraId="3F63B1F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auto"/>
                <w:sz w:val="22"/>
              </w:rPr>
            </w:pPr>
            <w:r>
              <w:rPr>
                <w:rFonts w:hint="eastAsia" w:ascii="仿宋" w:hAnsi="仿宋" w:eastAsia="仿宋" w:cs="仿宋"/>
                <w:i w:val="0"/>
                <w:iCs w:val="0"/>
                <w:color w:val="auto"/>
                <w:kern w:val="0"/>
                <w:sz w:val="22"/>
                <w:szCs w:val="24"/>
                <w:u w:val="none"/>
                <w:lang w:val="en-US" w:eastAsia="zh-CN" w:bidi="ar"/>
              </w:rPr>
              <w:t>2</w:t>
            </w:r>
          </w:p>
        </w:tc>
        <w:tc>
          <w:tcPr>
            <w:tcW w:w="658" w:type="dxa"/>
            <w:shd w:val="clear" w:color="auto" w:fill="auto"/>
            <w:noWrap/>
            <w:vAlign w:val="center"/>
          </w:tcPr>
          <w:p w14:paraId="1A7C82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lang w:val="en-US" w:eastAsia="zh-CN"/>
              </w:rPr>
            </w:pPr>
            <w:r>
              <w:rPr>
                <w:rFonts w:hint="eastAsia" w:ascii="仿宋" w:hAnsi="仿宋" w:eastAsia="仿宋" w:cs="仿宋"/>
                <w:i w:val="0"/>
                <w:iCs w:val="0"/>
                <w:color w:val="auto"/>
                <w:kern w:val="0"/>
                <w:sz w:val="22"/>
                <w:szCs w:val="24"/>
                <w:u w:val="none"/>
                <w:lang w:val="en-US" w:eastAsia="zh-CN" w:bidi="ar"/>
              </w:rPr>
              <w:t>套</w:t>
            </w:r>
          </w:p>
        </w:tc>
      </w:tr>
      <w:tr w14:paraId="49AE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33958765">
            <w:pPr>
              <w:snapToGrid w:val="0"/>
              <w:ind w:left="0" w:leftChars="0" w:right="0" w:rightChars="0" w:firstLine="0" w:firstLineChars="0"/>
              <w:jc w:val="center"/>
              <w:rPr>
                <w:rFonts w:hint="eastAsia" w:ascii="仿宋" w:hAnsi="仿宋" w:eastAsia="仿宋" w:cs="仿宋"/>
                <w:color w:val="auto"/>
                <w:sz w:val="22"/>
                <w:lang w:val="en-US" w:eastAsia="zh-CN"/>
              </w:rPr>
            </w:pPr>
          </w:p>
        </w:tc>
        <w:tc>
          <w:tcPr>
            <w:tcW w:w="875" w:type="dxa"/>
            <w:shd w:val="clear" w:color="auto" w:fill="auto"/>
            <w:vAlign w:val="center"/>
          </w:tcPr>
          <w:p w14:paraId="6BA77A91">
            <w:pPr>
              <w:numPr>
                <w:ilvl w:val="0"/>
                <w:numId w:val="25"/>
              </w:numPr>
              <w:snapToGrid w:val="0"/>
              <w:ind w:left="0" w:leftChars="0" w:right="0" w:rightChars="0" w:firstLine="0" w:firstLineChars="0"/>
              <w:jc w:val="center"/>
              <w:rPr>
                <w:rFonts w:hint="eastAsia" w:ascii="仿宋" w:hAnsi="仿宋" w:eastAsia="仿宋" w:cs="仿宋"/>
                <w:color w:val="auto"/>
                <w:sz w:val="22"/>
              </w:rPr>
            </w:pPr>
          </w:p>
        </w:tc>
        <w:tc>
          <w:tcPr>
            <w:tcW w:w="4570" w:type="dxa"/>
            <w:shd w:val="clear" w:color="auto" w:fill="auto"/>
            <w:noWrap/>
            <w:vAlign w:val="center"/>
          </w:tcPr>
          <w:p w14:paraId="4A0BCE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rPr>
            </w:pPr>
            <w:r>
              <w:rPr>
                <w:rFonts w:hint="eastAsia" w:ascii="仿宋" w:hAnsi="仿宋" w:eastAsia="仿宋" w:cs="仿宋"/>
                <w:i w:val="0"/>
                <w:iCs w:val="0"/>
                <w:color w:val="auto"/>
                <w:kern w:val="0"/>
                <w:sz w:val="22"/>
                <w:szCs w:val="24"/>
                <w:u w:val="none"/>
                <w:lang w:val="en-US" w:eastAsia="zh-CN" w:bidi="ar"/>
              </w:rPr>
              <w:t>汽车电控与车载CAN网络故障诊断实验系统</w:t>
            </w:r>
          </w:p>
        </w:tc>
        <w:tc>
          <w:tcPr>
            <w:tcW w:w="0" w:type="auto"/>
            <w:shd w:val="clear" w:color="auto" w:fill="auto"/>
            <w:noWrap/>
            <w:vAlign w:val="center"/>
          </w:tcPr>
          <w:p w14:paraId="6ABA99B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auto"/>
                <w:sz w:val="22"/>
                <w:lang w:val="en-US" w:eastAsia="zh-CN"/>
              </w:rPr>
            </w:pPr>
            <w:r>
              <w:rPr>
                <w:rFonts w:hint="eastAsia" w:ascii="仿宋" w:hAnsi="仿宋" w:eastAsia="仿宋" w:cs="仿宋"/>
                <w:color w:val="auto"/>
                <w:sz w:val="22"/>
                <w:lang w:val="en-US" w:eastAsia="zh-CN"/>
              </w:rPr>
              <w:t>20</w:t>
            </w:r>
          </w:p>
        </w:tc>
        <w:tc>
          <w:tcPr>
            <w:tcW w:w="658" w:type="dxa"/>
            <w:shd w:val="clear" w:color="auto" w:fill="auto"/>
            <w:noWrap/>
            <w:vAlign w:val="center"/>
          </w:tcPr>
          <w:p w14:paraId="4954FC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lang w:val="en-US" w:eastAsia="zh-CN"/>
              </w:rPr>
            </w:pPr>
            <w:r>
              <w:rPr>
                <w:rFonts w:hint="eastAsia" w:ascii="仿宋" w:hAnsi="仿宋" w:eastAsia="仿宋" w:cs="仿宋"/>
                <w:i w:val="0"/>
                <w:iCs w:val="0"/>
                <w:color w:val="auto"/>
                <w:kern w:val="0"/>
                <w:sz w:val="22"/>
                <w:szCs w:val="24"/>
                <w:u w:val="none"/>
                <w:lang w:val="en-US" w:eastAsia="zh-CN" w:bidi="ar"/>
              </w:rPr>
              <w:t>套</w:t>
            </w:r>
          </w:p>
        </w:tc>
      </w:tr>
      <w:tr w14:paraId="68C7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74DBEC8D">
            <w:pPr>
              <w:snapToGrid w:val="0"/>
              <w:ind w:left="0" w:leftChars="0" w:right="0" w:rightChars="0" w:firstLine="0" w:firstLineChars="0"/>
              <w:jc w:val="center"/>
              <w:rPr>
                <w:rFonts w:hint="eastAsia" w:ascii="仿宋" w:hAnsi="仿宋" w:eastAsia="仿宋" w:cs="仿宋"/>
                <w:color w:val="auto"/>
                <w:sz w:val="22"/>
                <w:lang w:val="en-US" w:eastAsia="zh-CN"/>
              </w:rPr>
            </w:pPr>
          </w:p>
        </w:tc>
        <w:tc>
          <w:tcPr>
            <w:tcW w:w="875" w:type="dxa"/>
            <w:shd w:val="clear" w:color="auto" w:fill="auto"/>
            <w:vAlign w:val="center"/>
          </w:tcPr>
          <w:p w14:paraId="0E91AEF7">
            <w:pPr>
              <w:numPr>
                <w:ilvl w:val="0"/>
                <w:numId w:val="25"/>
              </w:numPr>
              <w:snapToGrid w:val="0"/>
              <w:ind w:left="0" w:leftChars="0" w:right="0" w:rightChars="0" w:firstLine="0" w:firstLineChars="0"/>
              <w:jc w:val="center"/>
              <w:rPr>
                <w:rFonts w:hint="eastAsia" w:ascii="仿宋" w:hAnsi="仿宋" w:eastAsia="仿宋" w:cs="仿宋"/>
                <w:color w:val="auto"/>
                <w:sz w:val="22"/>
              </w:rPr>
            </w:pPr>
          </w:p>
        </w:tc>
        <w:tc>
          <w:tcPr>
            <w:tcW w:w="4570" w:type="dxa"/>
            <w:shd w:val="clear" w:color="auto" w:fill="auto"/>
            <w:noWrap/>
            <w:vAlign w:val="center"/>
          </w:tcPr>
          <w:p w14:paraId="083CE5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rPr>
            </w:pPr>
            <w:r>
              <w:rPr>
                <w:rFonts w:hint="eastAsia" w:ascii="仿宋" w:hAnsi="仿宋" w:eastAsia="仿宋" w:cs="仿宋"/>
                <w:i w:val="0"/>
                <w:iCs w:val="0"/>
                <w:color w:val="auto"/>
                <w:kern w:val="0"/>
                <w:sz w:val="22"/>
                <w:szCs w:val="22"/>
                <w:u w:val="none"/>
                <w:lang w:val="en-US" w:eastAsia="zh-CN" w:bidi="ar"/>
              </w:rPr>
              <w:t>工具和量具套装</w:t>
            </w:r>
          </w:p>
        </w:tc>
        <w:tc>
          <w:tcPr>
            <w:tcW w:w="0" w:type="auto"/>
            <w:shd w:val="clear" w:color="auto" w:fill="auto"/>
            <w:noWrap/>
            <w:vAlign w:val="center"/>
          </w:tcPr>
          <w:p w14:paraId="1FF039B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auto"/>
                <w:sz w:val="22"/>
              </w:rPr>
            </w:pPr>
            <w:r>
              <w:rPr>
                <w:rFonts w:hint="eastAsia" w:ascii="仿宋" w:hAnsi="仿宋" w:eastAsia="仿宋" w:cs="仿宋"/>
                <w:i w:val="0"/>
                <w:iCs w:val="0"/>
                <w:color w:val="auto"/>
                <w:kern w:val="0"/>
                <w:sz w:val="22"/>
                <w:szCs w:val="22"/>
                <w:u w:val="none"/>
                <w:lang w:val="en-US" w:eastAsia="zh-CN" w:bidi="ar"/>
              </w:rPr>
              <w:t>4</w:t>
            </w:r>
          </w:p>
        </w:tc>
        <w:tc>
          <w:tcPr>
            <w:tcW w:w="658" w:type="dxa"/>
            <w:shd w:val="clear" w:color="auto" w:fill="auto"/>
            <w:noWrap/>
            <w:vAlign w:val="center"/>
          </w:tcPr>
          <w:p w14:paraId="3AD954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lang w:val="en-US" w:eastAsia="zh-CN"/>
              </w:rPr>
            </w:pPr>
            <w:r>
              <w:rPr>
                <w:rFonts w:hint="eastAsia" w:ascii="仿宋" w:hAnsi="仿宋" w:eastAsia="仿宋" w:cs="仿宋"/>
                <w:i w:val="0"/>
                <w:iCs w:val="0"/>
                <w:color w:val="auto"/>
                <w:kern w:val="0"/>
                <w:sz w:val="22"/>
                <w:szCs w:val="22"/>
                <w:u w:val="none"/>
                <w:lang w:val="en-US" w:eastAsia="zh-CN" w:bidi="ar"/>
              </w:rPr>
              <w:t>套</w:t>
            </w:r>
          </w:p>
        </w:tc>
      </w:tr>
      <w:tr w14:paraId="4910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0C1CCDD6">
            <w:pPr>
              <w:snapToGrid w:val="0"/>
              <w:ind w:left="0" w:leftChars="0" w:right="0" w:rightChars="0" w:firstLine="0" w:firstLineChars="0"/>
              <w:jc w:val="center"/>
              <w:rPr>
                <w:rFonts w:hint="eastAsia" w:ascii="仿宋" w:hAnsi="仿宋" w:eastAsia="仿宋" w:cs="仿宋"/>
                <w:color w:val="auto"/>
                <w:sz w:val="22"/>
                <w:lang w:val="en-US" w:eastAsia="zh-CN"/>
              </w:rPr>
            </w:pPr>
          </w:p>
        </w:tc>
        <w:tc>
          <w:tcPr>
            <w:tcW w:w="875" w:type="dxa"/>
            <w:shd w:val="clear" w:color="auto" w:fill="auto"/>
            <w:vAlign w:val="center"/>
          </w:tcPr>
          <w:p w14:paraId="47C4AB1B">
            <w:pPr>
              <w:numPr>
                <w:ilvl w:val="0"/>
                <w:numId w:val="25"/>
              </w:numPr>
              <w:snapToGrid w:val="0"/>
              <w:ind w:left="0" w:leftChars="0" w:right="0" w:rightChars="0" w:firstLine="0" w:firstLineChars="0"/>
              <w:jc w:val="center"/>
              <w:rPr>
                <w:rFonts w:hint="eastAsia" w:ascii="仿宋" w:hAnsi="仿宋" w:eastAsia="仿宋" w:cs="仿宋"/>
                <w:color w:val="auto"/>
                <w:sz w:val="22"/>
              </w:rPr>
            </w:pPr>
          </w:p>
        </w:tc>
        <w:tc>
          <w:tcPr>
            <w:tcW w:w="4570" w:type="dxa"/>
            <w:shd w:val="clear" w:color="auto" w:fill="auto"/>
            <w:noWrap/>
            <w:vAlign w:val="center"/>
          </w:tcPr>
          <w:p w14:paraId="3F7E98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rPr>
            </w:pPr>
            <w:r>
              <w:rPr>
                <w:rFonts w:hint="eastAsia" w:ascii="仿宋" w:hAnsi="仿宋" w:eastAsia="仿宋" w:cs="仿宋"/>
                <w:i w:val="0"/>
                <w:iCs w:val="0"/>
                <w:color w:val="auto"/>
                <w:kern w:val="0"/>
                <w:sz w:val="22"/>
                <w:szCs w:val="22"/>
                <w:u w:val="none"/>
                <w:lang w:val="en-US" w:eastAsia="zh-CN" w:bidi="ar"/>
              </w:rPr>
              <w:t>绝缘电阻测试仪</w:t>
            </w:r>
          </w:p>
        </w:tc>
        <w:tc>
          <w:tcPr>
            <w:tcW w:w="0" w:type="auto"/>
            <w:shd w:val="clear" w:color="auto" w:fill="auto"/>
            <w:noWrap/>
            <w:vAlign w:val="center"/>
          </w:tcPr>
          <w:p w14:paraId="5C2169E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auto"/>
                <w:sz w:val="22"/>
              </w:rPr>
            </w:pPr>
            <w:r>
              <w:rPr>
                <w:rFonts w:hint="eastAsia" w:ascii="仿宋" w:hAnsi="仿宋" w:eastAsia="仿宋" w:cs="仿宋"/>
                <w:i w:val="0"/>
                <w:iCs w:val="0"/>
                <w:color w:val="auto"/>
                <w:kern w:val="0"/>
                <w:sz w:val="22"/>
                <w:szCs w:val="22"/>
                <w:u w:val="none"/>
                <w:lang w:val="en-US" w:eastAsia="zh-CN" w:bidi="ar"/>
              </w:rPr>
              <w:t>4</w:t>
            </w:r>
          </w:p>
        </w:tc>
        <w:tc>
          <w:tcPr>
            <w:tcW w:w="658" w:type="dxa"/>
            <w:shd w:val="clear" w:color="auto" w:fill="auto"/>
            <w:noWrap/>
            <w:vAlign w:val="center"/>
          </w:tcPr>
          <w:p w14:paraId="677E31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lang w:val="en-US" w:eastAsia="zh-CN"/>
              </w:rPr>
            </w:pPr>
            <w:r>
              <w:rPr>
                <w:rFonts w:hint="eastAsia" w:ascii="仿宋" w:hAnsi="仿宋" w:eastAsia="仿宋" w:cs="仿宋"/>
                <w:i w:val="0"/>
                <w:iCs w:val="0"/>
                <w:color w:val="auto"/>
                <w:kern w:val="0"/>
                <w:sz w:val="22"/>
                <w:szCs w:val="22"/>
                <w:u w:val="none"/>
                <w:lang w:val="en-US" w:eastAsia="zh-CN" w:bidi="ar"/>
              </w:rPr>
              <w:t>套</w:t>
            </w:r>
          </w:p>
        </w:tc>
      </w:tr>
      <w:tr w14:paraId="2A9C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7B2DB9D7">
            <w:pPr>
              <w:snapToGrid w:val="0"/>
              <w:ind w:left="0" w:leftChars="0" w:right="0" w:rightChars="0" w:firstLine="0" w:firstLineChars="0"/>
              <w:jc w:val="center"/>
              <w:rPr>
                <w:rFonts w:hint="eastAsia" w:ascii="仿宋" w:hAnsi="仿宋" w:eastAsia="仿宋" w:cs="仿宋"/>
                <w:color w:val="auto"/>
                <w:sz w:val="22"/>
                <w:lang w:val="en-US" w:eastAsia="zh-CN"/>
              </w:rPr>
            </w:pPr>
          </w:p>
        </w:tc>
        <w:tc>
          <w:tcPr>
            <w:tcW w:w="875" w:type="dxa"/>
            <w:shd w:val="clear" w:color="auto" w:fill="auto"/>
            <w:vAlign w:val="center"/>
          </w:tcPr>
          <w:p w14:paraId="4F2E4234">
            <w:pPr>
              <w:numPr>
                <w:ilvl w:val="0"/>
                <w:numId w:val="25"/>
              </w:numPr>
              <w:snapToGrid w:val="0"/>
              <w:ind w:left="0" w:leftChars="0" w:right="0" w:rightChars="0" w:firstLine="0" w:firstLineChars="0"/>
              <w:jc w:val="center"/>
              <w:rPr>
                <w:rFonts w:hint="eastAsia" w:ascii="仿宋" w:hAnsi="仿宋" w:eastAsia="仿宋" w:cs="仿宋"/>
                <w:color w:val="auto"/>
                <w:sz w:val="22"/>
              </w:rPr>
            </w:pPr>
          </w:p>
        </w:tc>
        <w:tc>
          <w:tcPr>
            <w:tcW w:w="4570" w:type="dxa"/>
            <w:shd w:val="clear" w:color="auto" w:fill="auto"/>
            <w:noWrap/>
            <w:vAlign w:val="center"/>
          </w:tcPr>
          <w:p w14:paraId="328970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rPr>
            </w:pPr>
            <w:r>
              <w:rPr>
                <w:rFonts w:hint="eastAsia" w:ascii="仿宋" w:hAnsi="仿宋" w:eastAsia="仿宋" w:cs="仿宋"/>
                <w:i w:val="0"/>
                <w:iCs w:val="0"/>
                <w:color w:val="auto"/>
                <w:kern w:val="0"/>
                <w:sz w:val="22"/>
                <w:szCs w:val="22"/>
                <w:u w:val="none"/>
                <w:lang w:val="en-US" w:eastAsia="zh-CN" w:bidi="ar"/>
              </w:rPr>
              <w:t>空调压力表套装</w:t>
            </w:r>
          </w:p>
        </w:tc>
        <w:tc>
          <w:tcPr>
            <w:tcW w:w="0" w:type="auto"/>
            <w:shd w:val="clear" w:color="auto" w:fill="auto"/>
            <w:noWrap/>
            <w:vAlign w:val="center"/>
          </w:tcPr>
          <w:p w14:paraId="6561DB1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auto"/>
                <w:sz w:val="22"/>
              </w:rPr>
            </w:pPr>
            <w:r>
              <w:rPr>
                <w:rFonts w:hint="eastAsia" w:ascii="仿宋" w:hAnsi="仿宋" w:eastAsia="仿宋" w:cs="仿宋"/>
                <w:i w:val="0"/>
                <w:iCs w:val="0"/>
                <w:color w:val="auto"/>
                <w:kern w:val="0"/>
                <w:sz w:val="22"/>
                <w:szCs w:val="22"/>
                <w:u w:val="none"/>
                <w:lang w:val="en-US" w:eastAsia="zh-CN" w:bidi="ar"/>
              </w:rPr>
              <w:t>4</w:t>
            </w:r>
          </w:p>
        </w:tc>
        <w:tc>
          <w:tcPr>
            <w:tcW w:w="658" w:type="dxa"/>
            <w:shd w:val="clear" w:color="auto" w:fill="auto"/>
            <w:noWrap/>
            <w:vAlign w:val="center"/>
          </w:tcPr>
          <w:p w14:paraId="1DDCDC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lang w:val="en-US" w:eastAsia="zh-CN"/>
              </w:rPr>
            </w:pPr>
            <w:r>
              <w:rPr>
                <w:rFonts w:hint="eastAsia" w:ascii="仿宋" w:hAnsi="仿宋" w:eastAsia="仿宋" w:cs="仿宋"/>
                <w:i w:val="0"/>
                <w:iCs w:val="0"/>
                <w:color w:val="auto"/>
                <w:kern w:val="0"/>
                <w:sz w:val="22"/>
                <w:szCs w:val="22"/>
                <w:u w:val="none"/>
                <w:lang w:val="en-US" w:eastAsia="zh-CN" w:bidi="ar"/>
              </w:rPr>
              <w:t>套</w:t>
            </w:r>
          </w:p>
        </w:tc>
      </w:tr>
      <w:tr w14:paraId="1EB9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471DE593">
            <w:pPr>
              <w:snapToGrid w:val="0"/>
              <w:ind w:left="0" w:leftChars="0" w:right="0" w:rightChars="0" w:firstLine="0" w:firstLineChars="0"/>
              <w:jc w:val="center"/>
              <w:rPr>
                <w:rFonts w:hint="eastAsia" w:ascii="仿宋" w:hAnsi="仿宋" w:eastAsia="仿宋" w:cs="仿宋"/>
                <w:color w:val="auto"/>
                <w:sz w:val="22"/>
                <w:lang w:val="en-US" w:eastAsia="zh-CN"/>
              </w:rPr>
            </w:pPr>
          </w:p>
        </w:tc>
        <w:tc>
          <w:tcPr>
            <w:tcW w:w="875" w:type="dxa"/>
            <w:shd w:val="clear" w:color="auto" w:fill="auto"/>
            <w:vAlign w:val="center"/>
          </w:tcPr>
          <w:p w14:paraId="684AAD1B">
            <w:pPr>
              <w:numPr>
                <w:ilvl w:val="0"/>
                <w:numId w:val="25"/>
              </w:numPr>
              <w:snapToGrid w:val="0"/>
              <w:ind w:left="0" w:leftChars="0" w:right="0" w:rightChars="0" w:firstLine="0" w:firstLineChars="0"/>
              <w:jc w:val="center"/>
              <w:rPr>
                <w:rFonts w:hint="eastAsia" w:ascii="仿宋" w:hAnsi="仿宋" w:eastAsia="仿宋" w:cs="仿宋"/>
                <w:color w:val="auto"/>
                <w:sz w:val="22"/>
              </w:rPr>
            </w:pPr>
          </w:p>
        </w:tc>
        <w:tc>
          <w:tcPr>
            <w:tcW w:w="4570" w:type="dxa"/>
            <w:shd w:val="clear" w:color="auto" w:fill="auto"/>
            <w:noWrap/>
            <w:vAlign w:val="center"/>
          </w:tcPr>
          <w:p w14:paraId="2BD432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rPr>
            </w:pPr>
            <w:r>
              <w:rPr>
                <w:rFonts w:hint="eastAsia" w:ascii="仿宋" w:hAnsi="仿宋" w:eastAsia="仿宋" w:cs="仿宋"/>
                <w:i w:val="0"/>
                <w:iCs w:val="0"/>
                <w:color w:val="auto"/>
                <w:kern w:val="0"/>
                <w:sz w:val="22"/>
                <w:szCs w:val="22"/>
                <w:u w:val="none"/>
                <w:lang w:val="en-US" w:eastAsia="zh-CN" w:bidi="ar"/>
              </w:rPr>
              <w:t>文化建设</w:t>
            </w:r>
          </w:p>
        </w:tc>
        <w:tc>
          <w:tcPr>
            <w:tcW w:w="0" w:type="auto"/>
            <w:shd w:val="clear" w:color="auto" w:fill="auto"/>
            <w:noWrap/>
            <w:vAlign w:val="center"/>
          </w:tcPr>
          <w:p w14:paraId="4D77842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auto"/>
                <w:sz w:val="22"/>
              </w:rPr>
            </w:pPr>
            <w:r>
              <w:rPr>
                <w:rFonts w:hint="eastAsia" w:ascii="仿宋" w:hAnsi="仿宋" w:eastAsia="仿宋" w:cs="仿宋"/>
                <w:i w:val="0"/>
                <w:iCs w:val="0"/>
                <w:color w:val="auto"/>
                <w:kern w:val="0"/>
                <w:sz w:val="22"/>
                <w:szCs w:val="22"/>
                <w:u w:val="none"/>
                <w:lang w:val="en-US" w:eastAsia="zh-CN" w:bidi="ar"/>
              </w:rPr>
              <w:t>1</w:t>
            </w:r>
          </w:p>
        </w:tc>
        <w:tc>
          <w:tcPr>
            <w:tcW w:w="658" w:type="dxa"/>
            <w:shd w:val="clear" w:color="auto" w:fill="auto"/>
            <w:noWrap/>
            <w:vAlign w:val="center"/>
          </w:tcPr>
          <w:p w14:paraId="72819F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lang w:val="en-US" w:eastAsia="zh-CN"/>
              </w:rPr>
            </w:pPr>
            <w:r>
              <w:rPr>
                <w:rFonts w:hint="eastAsia" w:ascii="仿宋" w:hAnsi="仿宋" w:eastAsia="仿宋" w:cs="仿宋"/>
                <w:i w:val="0"/>
                <w:iCs w:val="0"/>
                <w:color w:val="auto"/>
                <w:kern w:val="0"/>
                <w:sz w:val="22"/>
                <w:szCs w:val="22"/>
                <w:u w:val="none"/>
                <w:lang w:val="en-US" w:eastAsia="zh-CN" w:bidi="ar"/>
              </w:rPr>
              <w:t>套</w:t>
            </w:r>
          </w:p>
        </w:tc>
      </w:tr>
      <w:tr w14:paraId="44D8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1522511D">
            <w:pPr>
              <w:snapToGrid w:val="0"/>
              <w:ind w:left="0" w:leftChars="0" w:right="0" w:rightChars="0" w:firstLine="0" w:firstLineChars="0"/>
              <w:jc w:val="center"/>
              <w:rPr>
                <w:rFonts w:hint="eastAsia" w:ascii="仿宋" w:hAnsi="仿宋" w:eastAsia="仿宋" w:cs="仿宋"/>
                <w:color w:val="auto"/>
                <w:sz w:val="22"/>
                <w:lang w:val="en-US" w:eastAsia="zh-CN"/>
              </w:rPr>
            </w:pPr>
          </w:p>
        </w:tc>
        <w:tc>
          <w:tcPr>
            <w:tcW w:w="875" w:type="dxa"/>
            <w:shd w:val="clear" w:color="auto" w:fill="auto"/>
            <w:vAlign w:val="center"/>
          </w:tcPr>
          <w:p w14:paraId="7A626DCD">
            <w:pPr>
              <w:numPr>
                <w:ilvl w:val="0"/>
                <w:numId w:val="25"/>
              </w:numPr>
              <w:snapToGrid w:val="0"/>
              <w:ind w:left="0" w:leftChars="0" w:right="0" w:rightChars="0" w:firstLine="0" w:firstLineChars="0"/>
              <w:jc w:val="center"/>
              <w:rPr>
                <w:rFonts w:hint="eastAsia" w:ascii="仿宋" w:hAnsi="仿宋" w:eastAsia="仿宋" w:cs="仿宋"/>
                <w:color w:val="auto"/>
                <w:sz w:val="22"/>
                <w:lang w:val="en-US" w:eastAsia="zh-CN"/>
              </w:rPr>
            </w:pPr>
          </w:p>
        </w:tc>
        <w:tc>
          <w:tcPr>
            <w:tcW w:w="4570" w:type="dxa"/>
            <w:shd w:val="clear" w:color="auto" w:fill="auto"/>
            <w:noWrap/>
            <w:vAlign w:val="center"/>
          </w:tcPr>
          <w:p w14:paraId="3CDDF6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lang w:val="en-US" w:eastAsia="zh-CN"/>
              </w:rPr>
            </w:pPr>
            <w:r>
              <w:rPr>
                <w:rFonts w:hint="eastAsia" w:ascii="仿宋" w:hAnsi="仿宋" w:eastAsia="仿宋" w:cs="仿宋"/>
                <w:i w:val="0"/>
                <w:iCs w:val="0"/>
                <w:color w:val="auto"/>
                <w:kern w:val="0"/>
                <w:sz w:val="22"/>
                <w:szCs w:val="22"/>
                <w:u w:val="none"/>
                <w:lang w:val="en-US" w:eastAsia="zh-CN" w:bidi="ar"/>
              </w:rPr>
              <w:t>人员防护套装</w:t>
            </w:r>
          </w:p>
        </w:tc>
        <w:tc>
          <w:tcPr>
            <w:tcW w:w="0" w:type="auto"/>
            <w:shd w:val="clear" w:color="auto" w:fill="auto"/>
            <w:noWrap/>
            <w:vAlign w:val="center"/>
          </w:tcPr>
          <w:p w14:paraId="253C6F4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auto"/>
                <w:sz w:val="22"/>
                <w:lang w:val="en-US" w:eastAsia="zh-CN"/>
              </w:rPr>
            </w:pPr>
            <w:r>
              <w:rPr>
                <w:rFonts w:hint="eastAsia" w:ascii="仿宋" w:hAnsi="仿宋" w:eastAsia="仿宋" w:cs="仿宋"/>
                <w:i w:val="0"/>
                <w:iCs w:val="0"/>
                <w:color w:val="auto"/>
                <w:kern w:val="0"/>
                <w:sz w:val="22"/>
                <w:szCs w:val="22"/>
                <w:u w:val="none"/>
                <w:lang w:val="en-US" w:eastAsia="zh-CN" w:bidi="ar"/>
              </w:rPr>
              <w:t>10</w:t>
            </w:r>
          </w:p>
        </w:tc>
        <w:tc>
          <w:tcPr>
            <w:tcW w:w="658" w:type="dxa"/>
            <w:shd w:val="clear" w:color="auto" w:fill="auto"/>
            <w:noWrap/>
            <w:vAlign w:val="center"/>
          </w:tcPr>
          <w:p w14:paraId="03D680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lang w:val="en-US" w:eastAsia="zh-CN"/>
              </w:rPr>
            </w:pPr>
            <w:r>
              <w:rPr>
                <w:rFonts w:hint="eastAsia" w:ascii="仿宋" w:hAnsi="仿宋" w:eastAsia="仿宋" w:cs="仿宋"/>
                <w:i w:val="0"/>
                <w:iCs w:val="0"/>
                <w:color w:val="auto"/>
                <w:kern w:val="0"/>
                <w:sz w:val="22"/>
                <w:szCs w:val="22"/>
                <w:u w:val="none"/>
                <w:lang w:val="en-US" w:eastAsia="zh-CN" w:bidi="ar"/>
              </w:rPr>
              <w:t>套</w:t>
            </w:r>
          </w:p>
        </w:tc>
      </w:tr>
      <w:tr w14:paraId="01BC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7D0B3C19">
            <w:pPr>
              <w:snapToGrid w:val="0"/>
              <w:ind w:left="0" w:leftChars="0" w:right="0" w:rightChars="0" w:firstLine="0" w:firstLineChars="0"/>
              <w:jc w:val="center"/>
              <w:rPr>
                <w:rFonts w:hint="eastAsia" w:ascii="仿宋" w:hAnsi="仿宋" w:eastAsia="仿宋" w:cs="仿宋"/>
                <w:color w:val="auto"/>
                <w:sz w:val="22"/>
                <w:lang w:val="en-US" w:eastAsia="zh-CN"/>
              </w:rPr>
            </w:pPr>
          </w:p>
        </w:tc>
        <w:tc>
          <w:tcPr>
            <w:tcW w:w="875" w:type="dxa"/>
            <w:shd w:val="clear" w:color="auto" w:fill="auto"/>
            <w:vAlign w:val="center"/>
          </w:tcPr>
          <w:p w14:paraId="772E4891">
            <w:pPr>
              <w:numPr>
                <w:ilvl w:val="0"/>
                <w:numId w:val="25"/>
              </w:numPr>
              <w:snapToGrid w:val="0"/>
              <w:ind w:left="0" w:leftChars="0" w:right="0" w:rightChars="0" w:firstLine="0" w:firstLineChars="0"/>
              <w:jc w:val="center"/>
              <w:rPr>
                <w:rFonts w:hint="eastAsia" w:ascii="仿宋" w:hAnsi="仿宋" w:eastAsia="仿宋" w:cs="仿宋"/>
                <w:color w:val="auto"/>
                <w:sz w:val="22"/>
                <w:lang w:val="en-US" w:eastAsia="zh-CN"/>
              </w:rPr>
            </w:pPr>
          </w:p>
        </w:tc>
        <w:tc>
          <w:tcPr>
            <w:tcW w:w="4570" w:type="dxa"/>
            <w:shd w:val="clear" w:color="auto" w:fill="auto"/>
            <w:noWrap/>
            <w:vAlign w:val="center"/>
          </w:tcPr>
          <w:p w14:paraId="32641B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lang w:val="en-US" w:eastAsia="zh-CN"/>
              </w:rPr>
            </w:pPr>
            <w:r>
              <w:rPr>
                <w:rFonts w:hint="eastAsia" w:ascii="仿宋" w:hAnsi="仿宋" w:eastAsia="仿宋" w:cs="仿宋"/>
                <w:i w:val="0"/>
                <w:iCs w:val="0"/>
                <w:color w:val="auto"/>
                <w:kern w:val="0"/>
                <w:sz w:val="22"/>
                <w:szCs w:val="22"/>
                <w:u w:val="none"/>
                <w:lang w:val="en-US" w:eastAsia="zh-CN" w:bidi="ar"/>
              </w:rPr>
              <w:t>工位安全防护套装</w:t>
            </w:r>
          </w:p>
        </w:tc>
        <w:tc>
          <w:tcPr>
            <w:tcW w:w="0" w:type="auto"/>
            <w:shd w:val="clear" w:color="auto" w:fill="auto"/>
            <w:noWrap/>
            <w:vAlign w:val="center"/>
          </w:tcPr>
          <w:p w14:paraId="3BAA628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color w:val="auto"/>
                <w:sz w:val="22"/>
                <w:lang w:val="en-US" w:eastAsia="zh-CN"/>
              </w:rPr>
            </w:pPr>
            <w:r>
              <w:rPr>
                <w:rFonts w:hint="eastAsia" w:ascii="仿宋" w:hAnsi="仿宋" w:eastAsia="仿宋" w:cs="仿宋"/>
                <w:i w:val="0"/>
                <w:iCs w:val="0"/>
                <w:color w:val="auto"/>
                <w:kern w:val="0"/>
                <w:sz w:val="22"/>
                <w:szCs w:val="22"/>
                <w:u w:val="none"/>
                <w:lang w:val="en-US" w:eastAsia="zh-CN" w:bidi="ar"/>
              </w:rPr>
              <w:t>5</w:t>
            </w:r>
          </w:p>
        </w:tc>
        <w:tc>
          <w:tcPr>
            <w:tcW w:w="658" w:type="dxa"/>
            <w:shd w:val="clear" w:color="auto" w:fill="auto"/>
            <w:noWrap/>
            <w:vAlign w:val="center"/>
          </w:tcPr>
          <w:p w14:paraId="575506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sz w:val="22"/>
                <w:lang w:val="en-US" w:eastAsia="zh-CN"/>
              </w:rPr>
            </w:pPr>
            <w:r>
              <w:rPr>
                <w:rFonts w:hint="eastAsia" w:ascii="仿宋" w:hAnsi="仿宋" w:eastAsia="仿宋" w:cs="仿宋"/>
                <w:i w:val="0"/>
                <w:iCs w:val="0"/>
                <w:color w:val="auto"/>
                <w:kern w:val="0"/>
                <w:sz w:val="22"/>
                <w:szCs w:val="22"/>
                <w:u w:val="none"/>
                <w:lang w:val="en-US" w:eastAsia="zh-CN" w:bidi="ar"/>
              </w:rPr>
              <w:t>套</w:t>
            </w:r>
          </w:p>
        </w:tc>
      </w:tr>
      <w:tr w14:paraId="7A5D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shd w:val="clear" w:color="auto" w:fill="auto"/>
            <w:vAlign w:val="center"/>
          </w:tcPr>
          <w:p w14:paraId="5F7606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875" w:type="dxa"/>
            <w:shd w:val="clear" w:color="auto" w:fill="auto"/>
            <w:vAlign w:val="center"/>
          </w:tcPr>
          <w:p w14:paraId="29EFAC52">
            <w:pPr>
              <w:keepNext w:val="0"/>
              <w:keepLines w:val="0"/>
              <w:widowControl/>
              <w:numPr>
                <w:ilvl w:val="0"/>
                <w:numId w:val="25"/>
              </w:numPr>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p>
        </w:tc>
        <w:tc>
          <w:tcPr>
            <w:tcW w:w="4570" w:type="dxa"/>
            <w:shd w:val="clear" w:color="auto" w:fill="auto"/>
            <w:noWrap/>
            <w:vAlign w:val="center"/>
          </w:tcPr>
          <w:p w14:paraId="0A348B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color w:val="auto"/>
                <w:kern w:val="2"/>
                <w:sz w:val="22"/>
                <w:szCs w:val="21"/>
                <w:lang w:val="en-US" w:eastAsia="zh-CN" w:bidi="ar-SA"/>
              </w:rPr>
            </w:pPr>
            <w:r>
              <w:rPr>
                <w:rFonts w:hint="eastAsia" w:ascii="仿宋" w:hAnsi="仿宋" w:eastAsia="仿宋" w:cs="仿宋"/>
                <w:i w:val="0"/>
                <w:iCs w:val="0"/>
                <w:color w:val="auto"/>
                <w:kern w:val="0"/>
                <w:sz w:val="22"/>
                <w:szCs w:val="22"/>
                <w:u w:val="none"/>
                <w:lang w:val="en-US" w:eastAsia="zh-CN" w:bidi="ar"/>
              </w:rPr>
              <w:t>拾音扩音系统</w:t>
            </w:r>
          </w:p>
        </w:tc>
        <w:tc>
          <w:tcPr>
            <w:tcW w:w="0" w:type="auto"/>
            <w:shd w:val="clear" w:color="auto" w:fill="auto"/>
            <w:noWrap/>
            <w:vAlign w:val="center"/>
          </w:tcPr>
          <w:p w14:paraId="41C6D58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658" w:type="dxa"/>
            <w:shd w:val="clear" w:color="auto" w:fill="auto"/>
            <w:noWrap/>
            <w:vAlign w:val="center"/>
          </w:tcPr>
          <w:p w14:paraId="0ECEDD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2"/>
                <w:szCs w:val="21"/>
                <w:u w:val="none"/>
                <w:lang w:val="en-US" w:eastAsia="zh-CN" w:bidi="ar"/>
              </w:rPr>
            </w:pPr>
            <w:r>
              <w:rPr>
                <w:rFonts w:hint="eastAsia" w:ascii="仿宋" w:hAnsi="仿宋" w:eastAsia="仿宋" w:cs="仿宋"/>
                <w:i w:val="0"/>
                <w:iCs w:val="0"/>
                <w:color w:val="auto"/>
                <w:kern w:val="0"/>
                <w:sz w:val="22"/>
                <w:szCs w:val="22"/>
                <w:u w:val="none"/>
                <w:lang w:val="en-US" w:eastAsia="zh-CN" w:bidi="ar"/>
              </w:rPr>
              <w:t>套</w:t>
            </w:r>
          </w:p>
        </w:tc>
      </w:tr>
    </w:tbl>
    <w:p w14:paraId="6A4753A2">
      <w:pPr>
        <w:keepNext w:val="0"/>
        <w:keepLines w:val="0"/>
        <w:pageBreakBefore w:val="0"/>
        <w:widowControl w:val="0"/>
        <w:shd w:val="clear" w:fill="FFFFFF" w:themeFill="background1"/>
        <w:kinsoku/>
        <w:wordWrap/>
        <w:overflowPunct/>
        <w:topLinePunct w:val="0"/>
        <w:autoSpaceDE/>
        <w:autoSpaceDN/>
        <w:bidi w:val="0"/>
        <w:adjustRightInd/>
        <w:snapToGrid/>
        <w:spacing w:before="157" w:beforeLines="50" w:beforeAutospacing="0" w:afterAutospacing="0" w:line="360" w:lineRule="auto"/>
        <w:ind w:left="0" w:leftChars="0" w:right="0" w:rightChars="0" w:firstLine="480" w:firstLineChars="200"/>
        <w:contextualSpacing/>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（二）交货期限：设备送达招标人指定地点并按规范安装调试完毕时间为合同签订生效后3个月内。</w:t>
      </w:r>
    </w:p>
    <w:p w14:paraId="1B443059">
      <w:pPr>
        <w:pageBreakBefore w:val="0"/>
        <w:numPr>
          <w:ilvl w:val="-1"/>
          <w:numId w:val="0"/>
        </w:numPr>
        <w:kinsoku/>
        <w:wordWrap/>
        <w:overflowPunct/>
        <w:topLinePunct w:val="0"/>
        <w:autoSpaceDE/>
        <w:autoSpaceDN/>
        <w:bidi w:val="0"/>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（三）合同履行期限：自合同签订之日起，至质保期期限届满之日止。</w:t>
      </w:r>
    </w:p>
    <w:p w14:paraId="3F23DECD">
      <w:pPr>
        <w:pageBreakBefore w:val="0"/>
        <w:numPr>
          <w:ilvl w:val="-1"/>
          <w:numId w:val="0"/>
        </w:numPr>
        <w:kinsoku/>
        <w:wordWrap/>
        <w:overflowPunct/>
        <w:topLinePunct w:val="0"/>
        <w:autoSpaceDE/>
        <w:autoSpaceDN/>
        <w:bidi w:val="0"/>
        <w:spacing w:beforeAutospacing="0" w:afterAutospacing="0" w:line="360" w:lineRule="auto"/>
        <w:ind w:left="0" w:leftChars="0" w:right="0" w:rightChars="0" w:firstLine="480" w:firstLineChars="200"/>
        <w:textAlignment w:val="auto"/>
        <w:rPr>
          <w:rFonts w:hint="default"/>
          <w:color w:val="auto"/>
          <w:lang w:val="en-US" w:eastAsia="zh-CN"/>
        </w:rPr>
      </w:pPr>
      <w:r>
        <w:rPr>
          <w:rFonts w:hint="eastAsia" w:ascii="仿宋" w:hAnsi="仿宋" w:eastAsia="仿宋" w:cs="仿宋"/>
          <w:color w:val="auto"/>
          <w:sz w:val="24"/>
          <w:szCs w:val="24"/>
          <w:highlight w:val="none"/>
          <w:lang w:val="en-US" w:eastAsia="zh-CN"/>
        </w:rPr>
        <w:t>（四）实施地点：丽江市指定地点（具体地点以合同约定为准），供应商需负责设备的运输、装卸、安装、调试，直至交付招标人正常使用，相关费用包含在总报价中。</w:t>
      </w:r>
    </w:p>
    <w:p w14:paraId="7A1A400F">
      <w:pPr>
        <w:pStyle w:val="3"/>
        <w:pageBreakBefore w:val="0"/>
        <w:kinsoku/>
        <w:wordWrap/>
        <w:overflowPunct/>
        <w:topLinePunct w:val="0"/>
        <w:autoSpaceDE/>
        <w:autoSpaceDN/>
        <w:bidi w:val="0"/>
        <w:spacing w:line="360" w:lineRule="auto"/>
        <w:textAlignment w:val="auto"/>
        <w:rPr>
          <w:rFonts w:hint="eastAsia" w:ascii="仿宋" w:hAnsi="仿宋" w:eastAsia="仿宋" w:cs="仿宋"/>
          <w:i w:val="0"/>
          <w:iCs w:val="0"/>
          <w:caps w:val="0"/>
          <w:color w:val="auto"/>
          <w:spacing w:val="0"/>
          <w:sz w:val="24"/>
          <w:szCs w:val="24"/>
          <w:shd w:val="clear" w:fill="FFFFFF"/>
        </w:rPr>
      </w:pPr>
      <w:bookmarkStart w:id="720" w:name="_Toc22299"/>
      <w:bookmarkStart w:id="721" w:name="_Toc22027"/>
      <w:bookmarkStart w:id="722" w:name="_Toc21893"/>
      <w:r>
        <w:rPr>
          <w:rFonts w:hint="eastAsia" w:ascii="仿宋" w:hAnsi="仿宋" w:eastAsia="仿宋" w:cs="仿宋"/>
          <w:color w:val="auto"/>
          <w:sz w:val="24"/>
          <w:szCs w:val="24"/>
          <w:highlight w:val="none"/>
          <w:lang w:val="en-US" w:eastAsia="zh-CN"/>
        </w:rPr>
        <w:t>五、</w:t>
      </w:r>
      <w:r>
        <w:rPr>
          <w:rStyle w:val="31"/>
          <w:rFonts w:hint="eastAsia" w:ascii="仿宋" w:hAnsi="仿宋" w:eastAsia="仿宋" w:cs="仿宋"/>
          <w:b/>
          <w:bCs/>
          <w:i w:val="0"/>
          <w:iCs w:val="0"/>
          <w:caps w:val="0"/>
          <w:color w:val="auto"/>
          <w:spacing w:val="0"/>
          <w:sz w:val="24"/>
          <w:szCs w:val="24"/>
          <w:shd w:val="clear" w:fill="FFFFFF"/>
        </w:rPr>
        <w:t>采购标的</w:t>
      </w:r>
      <w:r>
        <w:rPr>
          <w:rStyle w:val="31"/>
          <w:rFonts w:hint="eastAsia" w:ascii="仿宋" w:hAnsi="仿宋" w:eastAsia="仿宋" w:cs="仿宋"/>
          <w:b/>
          <w:bCs/>
          <w:i w:val="0"/>
          <w:iCs w:val="0"/>
          <w:caps w:val="0"/>
          <w:color w:val="auto"/>
          <w:spacing w:val="0"/>
          <w:sz w:val="24"/>
          <w:szCs w:val="24"/>
          <w:shd w:val="clear" w:fill="FFFFFF"/>
          <w:lang w:val="en-US" w:eastAsia="zh-CN"/>
        </w:rPr>
        <w:t>需满足的服务标准、期限、效率等要求</w:t>
      </w:r>
      <w:r>
        <w:rPr>
          <w:rFonts w:hint="eastAsia" w:ascii="仿宋" w:hAnsi="仿宋" w:eastAsia="仿宋" w:cs="仿宋"/>
          <w:i w:val="0"/>
          <w:iCs w:val="0"/>
          <w:caps w:val="0"/>
          <w:color w:val="auto"/>
          <w:spacing w:val="0"/>
          <w:sz w:val="24"/>
          <w:szCs w:val="24"/>
          <w:shd w:val="clear" w:fill="FFFFFF"/>
        </w:rPr>
        <w:t>‌：</w:t>
      </w:r>
      <w:bookmarkEnd w:id="720"/>
      <w:bookmarkEnd w:id="721"/>
    </w:p>
    <w:p w14:paraId="140CEBA5">
      <w:pPr>
        <w:keepNext w:val="0"/>
        <w:keepLines w:val="0"/>
        <w:pageBreakBefore w:val="0"/>
        <w:widowControl w:val="0"/>
        <w:kinsoku/>
        <w:wordWrap/>
        <w:overflowPunct/>
        <w:topLinePunct w:val="0"/>
        <w:autoSpaceDE/>
        <w:autoSpaceDN/>
        <w:bidi w:val="0"/>
        <w:adjustRightInd/>
        <w:snapToGrid w:val="0"/>
        <w:spacing w:beforeAutospacing="0" w:line="500" w:lineRule="exact"/>
        <w:ind w:firstLine="480" w:firstLineChars="200"/>
        <w:contextualSpacing/>
        <w:jc w:val="both"/>
        <w:textAlignment w:val="auto"/>
        <w:rPr>
          <w:rFonts w:hint="eastAsia" w:ascii="仿宋" w:hAnsi="仿宋" w:eastAsia="仿宋" w:cs="仿宋"/>
          <w:bCs w:val="0"/>
          <w:color w:val="auto"/>
          <w:kern w:val="2"/>
          <w:sz w:val="24"/>
          <w:szCs w:val="24"/>
          <w:lang w:val="en-US" w:eastAsia="zh-CN" w:bidi="ar-SA"/>
        </w:rPr>
      </w:pPr>
      <w:r>
        <w:rPr>
          <w:rFonts w:hint="eastAsia" w:ascii="仿宋" w:hAnsi="仿宋" w:eastAsia="仿宋" w:cs="仿宋"/>
          <w:bCs w:val="0"/>
          <w:color w:val="auto"/>
          <w:kern w:val="2"/>
          <w:sz w:val="24"/>
          <w:szCs w:val="24"/>
          <w:lang w:val="en-US" w:eastAsia="zh-CN" w:bidi="ar-SA"/>
        </w:rPr>
        <w:t>1、质保期</w:t>
      </w:r>
    </w:p>
    <w:p w14:paraId="79B48507">
      <w:pPr>
        <w:keepNext w:val="0"/>
        <w:keepLines w:val="0"/>
        <w:pageBreakBefore w:val="0"/>
        <w:widowControl w:val="0"/>
        <w:kinsoku/>
        <w:wordWrap/>
        <w:overflowPunct/>
        <w:topLinePunct w:val="0"/>
        <w:autoSpaceDE/>
        <w:autoSpaceDN/>
        <w:bidi w:val="0"/>
        <w:adjustRightInd/>
        <w:snapToGrid w:val="0"/>
        <w:spacing w:beforeAutospacing="0" w:line="500" w:lineRule="exact"/>
        <w:ind w:firstLine="480" w:firstLineChars="200"/>
        <w:contextualSpacing/>
        <w:jc w:val="both"/>
        <w:textAlignment w:val="auto"/>
        <w:rPr>
          <w:rFonts w:hint="eastAsia" w:ascii="仿宋" w:hAnsi="仿宋" w:eastAsia="仿宋" w:cs="仿宋"/>
          <w:bCs w:val="0"/>
          <w:color w:val="auto"/>
          <w:kern w:val="2"/>
          <w:sz w:val="24"/>
          <w:szCs w:val="24"/>
          <w:lang w:val="en-US" w:eastAsia="zh-CN" w:bidi="ar-SA"/>
        </w:rPr>
      </w:pPr>
      <w:r>
        <w:rPr>
          <w:rFonts w:hint="eastAsia" w:ascii="仿宋" w:hAnsi="仿宋" w:eastAsia="仿宋" w:cs="仿宋"/>
          <w:bCs w:val="0"/>
          <w:color w:val="auto"/>
          <w:kern w:val="2"/>
          <w:sz w:val="24"/>
          <w:szCs w:val="24"/>
          <w:lang w:val="en-US" w:eastAsia="zh-CN" w:bidi="ar-SA"/>
        </w:rPr>
        <w:t>提供的产品是全新的、具有有关部门注册或检验或商检及生产厂家质量合格证明的产品。质保期：自产品交付之日起提供≥3年质保，质保期自设备安装验收合格且所有配件、备件齐全之日起计算，质保期内，由于设备本身质量原因造成的任何损坏保证免费负责修理和更换；质保期满后，提供终身维修服务（优价向采购方提供零部件）；无论质保期内外，用户有应用方面的疑问，都将提供工程师电话解答和现场应用支持，免除费用，质保期满后，各项服务只收取材料成本费用，免收人工服务费用。</w:t>
      </w:r>
    </w:p>
    <w:p w14:paraId="7BA79FA9">
      <w:pPr>
        <w:keepNext w:val="0"/>
        <w:keepLines w:val="0"/>
        <w:pageBreakBefore w:val="0"/>
        <w:widowControl w:val="0"/>
        <w:kinsoku/>
        <w:wordWrap/>
        <w:overflowPunct/>
        <w:topLinePunct w:val="0"/>
        <w:autoSpaceDE/>
        <w:autoSpaceDN/>
        <w:bidi w:val="0"/>
        <w:adjustRightInd/>
        <w:snapToGrid w:val="0"/>
        <w:spacing w:beforeAutospacing="0" w:line="500" w:lineRule="exact"/>
        <w:ind w:firstLine="480" w:firstLineChars="200"/>
        <w:contextualSpacing/>
        <w:jc w:val="both"/>
        <w:textAlignment w:val="auto"/>
        <w:rPr>
          <w:rFonts w:hint="eastAsia" w:ascii="仿宋" w:hAnsi="仿宋" w:eastAsia="仿宋" w:cs="仿宋"/>
          <w:bCs w:val="0"/>
          <w:color w:val="auto"/>
          <w:kern w:val="2"/>
          <w:sz w:val="24"/>
          <w:szCs w:val="24"/>
          <w:lang w:val="en-US" w:eastAsia="zh-CN" w:bidi="ar-SA"/>
        </w:rPr>
      </w:pPr>
      <w:r>
        <w:rPr>
          <w:rFonts w:hint="eastAsia" w:ascii="仿宋" w:hAnsi="仿宋" w:eastAsia="仿宋" w:cs="仿宋"/>
          <w:bCs w:val="0"/>
          <w:color w:val="auto"/>
          <w:kern w:val="2"/>
          <w:sz w:val="24"/>
          <w:szCs w:val="24"/>
          <w:lang w:val="en-US" w:eastAsia="zh-CN" w:bidi="ar-SA"/>
        </w:rPr>
        <w:t>质保期内若出现任何故障，中标单位无偿更换零部件及无偿保养维护、维修，并按要求提供人员培训服务；终身维护和技术支持服务。按国家规定实行“三包”服务，并保证合同设备是符合行业标准全新、未曾使用过的，其质量、规格及技术特征符合标书的要求。提供目前为国际国内技术最先进、成熟的原装、全新的一线最优品质产品；提供的货物、符合国家质量标准、国家有关部门手续完备、具有生产厂家质量保证书（或合格证明）的设备；在保修期内，我方对整个设备提供免费的上门保修服务，保修期内有质量问题的硬件免费上门保修、免费上门更换、软件免费升级、软硬件终身维护并承担保修期内产生的一切费用。</w:t>
      </w:r>
    </w:p>
    <w:p w14:paraId="17DA3D64">
      <w:pPr>
        <w:keepNext w:val="0"/>
        <w:keepLines w:val="0"/>
        <w:pageBreakBefore w:val="0"/>
        <w:widowControl w:val="0"/>
        <w:kinsoku/>
        <w:wordWrap/>
        <w:overflowPunct/>
        <w:topLinePunct w:val="0"/>
        <w:autoSpaceDE/>
        <w:autoSpaceDN/>
        <w:bidi w:val="0"/>
        <w:adjustRightInd/>
        <w:snapToGrid w:val="0"/>
        <w:spacing w:beforeAutospacing="0" w:line="500" w:lineRule="exact"/>
        <w:ind w:firstLine="480" w:firstLineChars="200"/>
        <w:contextualSpacing/>
        <w:jc w:val="both"/>
        <w:textAlignment w:val="auto"/>
        <w:rPr>
          <w:rFonts w:hint="eastAsia" w:ascii="仿宋" w:hAnsi="仿宋" w:eastAsia="仿宋" w:cs="仿宋"/>
          <w:bCs w:val="0"/>
          <w:color w:val="auto"/>
          <w:kern w:val="2"/>
          <w:sz w:val="24"/>
          <w:szCs w:val="24"/>
          <w:lang w:val="en-US" w:eastAsia="zh-CN" w:bidi="ar-SA"/>
        </w:rPr>
      </w:pPr>
      <w:bookmarkStart w:id="723" w:name="_Toc10777"/>
      <w:bookmarkStart w:id="724" w:name="_Toc957"/>
      <w:r>
        <w:rPr>
          <w:rFonts w:hint="eastAsia" w:ascii="仿宋" w:hAnsi="仿宋" w:eastAsia="仿宋" w:cs="仿宋"/>
          <w:bCs w:val="0"/>
          <w:color w:val="auto"/>
          <w:kern w:val="2"/>
          <w:sz w:val="24"/>
          <w:szCs w:val="24"/>
          <w:lang w:val="en-US" w:eastAsia="zh-CN" w:bidi="ar-SA"/>
        </w:rPr>
        <w:t>2、维护保养：</w:t>
      </w:r>
      <w:bookmarkEnd w:id="723"/>
      <w:bookmarkEnd w:id="724"/>
      <w:r>
        <w:rPr>
          <w:rFonts w:hint="eastAsia" w:ascii="仿宋" w:hAnsi="仿宋" w:eastAsia="仿宋" w:cs="仿宋"/>
          <w:bCs w:val="0"/>
          <w:color w:val="auto"/>
          <w:kern w:val="2"/>
          <w:sz w:val="24"/>
          <w:szCs w:val="24"/>
          <w:lang w:val="en-US" w:eastAsia="zh-CN" w:bidi="ar-SA"/>
        </w:rPr>
        <w:t>巡检过程中进行免费维护保养，不收取任何人工费用。</w:t>
      </w:r>
    </w:p>
    <w:p w14:paraId="2BFCC167">
      <w:pPr>
        <w:keepNext w:val="0"/>
        <w:keepLines w:val="0"/>
        <w:pageBreakBefore w:val="0"/>
        <w:widowControl w:val="0"/>
        <w:kinsoku/>
        <w:wordWrap/>
        <w:overflowPunct/>
        <w:topLinePunct w:val="0"/>
        <w:autoSpaceDE/>
        <w:autoSpaceDN/>
        <w:bidi w:val="0"/>
        <w:adjustRightInd/>
        <w:snapToGrid w:val="0"/>
        <w:spacing w:beforeAutospacing="0" w:line="500" w:lineRule="exact"/>
        <w:ind w:firstLine="480" w:firstLineChars="200"/>
        <w:contextualSpacing/>
        <w:jc w:val="both"/>
        <w:textAlignment w:val="auto"/>
        <w:rPr>
          <w:rFonts w:hint="eastAsia" w:ascii="仿宋" w:hAnsi="仿宋" w:eastAsia="仿宋" w:cs="仿宋"/>
          <w:bCs w:val="0"/>
          <w:color w:val="auto"/>
          <w:kern w:val="2"/>
          <w:sz w:val="24"/>
          <w:szCs w:val="24"/>
          <w:lang w:val="en-US" w:eastAsia="zh-CN" w:bidi="ar-SA"/>
        </w:rPr>
      </w:pPr>
      <w:bookmarkStart w:id="725" w:name="_Toc11807"/>
      <w:bookmarkStart w:id="726" w:name="_Toc26615"/>
      <w:r>
        <w:rPr>
          <w:rFonts w:hint="eastAsia" w:ascii="仿宋" w:hAnsi="仿宋" w:eastAsia="仿宋" w:cs="仿宋"/>
          <w:bCs w:val="0"/>
          <w:color w:val="auto"/>
          <w:kern w:val="2"/>
          <w:sz w:val="24"/>
          <w:szCs w:val="24"/>
          <w:lang w:val="en-US" w:eastAsia="zh-CN" w:bidi="ar-SA"/>
        </w:rPr>
        <w:t>3、维护响应时间：</w:t>
      </w:r>
      <w:bookmarkEnd w:id="725"/>
      <w:bookmarkEnd w:id="726"/>
    </w:p>
    <w:p w14:paraId="554B0BE7">
      <w:pPr>
        <w:keepNext w:val="0"/>
        <w:keepLines w:val="0"/>
        <w:pageBreakBefore w:val="0"/>
        <w:widowControl w:val="0"/>
        <w:kinsoku/>
        <w:wordWrap/>
        <w:overflowPunct/>
        <w:topLinePunct w:val="0"/>
        <w:autoSpaceDE/>
        <w:autoSpaceDN/>
        <w:bidi w:val="0"/>
        <w:adjustRightInd/>
        <w:snapToGrid w:val="0"/>
        <w:spacing w:beforeAutospacing="0" w:line="500" w:lineRule="exact"/>
        <w:ind w:firstLine="480" w:firstLineChars="200"/>
        <w:contextualSpacing/>
        <w:jc w:val="both"/>
        <w:textAlignment w:val="auto"/>
        <w:rPr>
          <w:rFonts w:hint="eastAsia" w:ascii="仿宋" w:hAnsi="仿宋" w:eastAsia="仿宋" w:cs="仿宋"/>
          <w:bCs w:val="0"/>
          <w:color w:val="auto"/>
          <w:kern w:val="2"/>
          <w:sz w:val="24"/>
          <w:szCs w:val="24"/>
          <w:lang w:val="en-US" w:eastAsia="zh-CN" w:bidi="ar-SA"/>
        </w:rPr>
      </w:pPr>
      <w:r>
        <w:rPr>
          <w:rFonts w:hint="eastAsia" w:ascii="仿宋" w:hAnsi="仿宋" w:eastAsia="仿宋" w:cs="仿宋"/>
          <w:bCs w:val="0"/>
          <w:color w:val="auto"/>
          <w:kern w:val="2"/>
          <w:sz w:val="24"/>
          <w:szCs w:val="24"/>
          <w:lang w:val="en-US" w:eastAsia="zh-CN" w:bidi="ar-SA"/>
        </w:rPr>
        <w:t>（1）维护保养服务，每年不少于五次。</w:t>
      </w:r>
    </w:p>
    <w:p w14:paraId="1DAF9D4F">
      <w:pPr>
        <w:keepNext w:val="0"/>
        <w:keepLines w:val="0"/>
        <w:pageBreakBefore w:val="0"/>
        <w:widowControl w:val="0"/>
        <w:kinsoku/>
        <w:wordWrap/>
        <w:overflowPunct/>
        <w:topLinePunct w:val="0"/>
        <w:autoSpaceDE/>
        <w:autoSpaceDN/>
        <w:bidi w:val="0"/>
        <w:adjustRightInd/>
        <w:snapToGrid w:val="0"/>
        <w:spacing w:beforeAutospacing="0" w:line="500" w:lineRule="exact"/>
        <w:ind w:firstLine="480" w:firstLineChars="200"/>
        <w:contextualSpacing/>
        <w:jc w:val="both"/>
        <w:textAlignment w:val="auto"/>
        <w:rPr>
          <w:rFonts w:hint="eastAsia" w:ascii="仿宋" w:hAnsi="仿宋" w:eastAsia="仿宋" w:cs="仿宋"/>
          <w:bCs w:val="0"/>
          <w:color w:val="auto"/>
          <w:kern w:val="2"/>
          <w:sz w:val="24"/>
          <w:szCs w:val="24"/>
          <w:lang w:val="en-US" w:eastAsia="zh-CN" w:bidi="ar-SA"/>
        </w:rPr>
      </w:pPr>
      <w:r>
        <w:rPr>
          <w:rFonts w:hint="eastAsia" w:ascii="仿宋" w:hAnsi="仿宋" w:eastAsia="仿宋" w:cs="仿宋"/>
          <w:bCs w:val="0"/>
          <w:color w:val="auto"/>
          <w:kern w:val="2"/>
          <w:sz w:val="24"/>
          <w:szCs w:val="24"/>
          <w:lang w:val="en-US" w:eastAsia="zh-CN" w:bidi="ar-SA"/>
        </w:rPr>
        <w:t>（2）响应时间（在质保期内）：如设备出现故障，接到故障通知后5分钟内作出有效回应。如电话响应无法解决的，立即派技术员到现场解决的故障，到达现场时间3小时内。</w:t>
      </w:r>
    </w:p>
    <w:p w14:paraId="46B7764F">
      <w:pPr>
        <w:keepNext w:val="0"/>
        <w:keepLines w:val="0"/>
        <w:pageBreakBefore w:val="0"/>
        <w:widowControl w:val="0"/>
        <w:kinsoku/>
        <w:wordWrap/>
        <w:overflowPunct/>
        <w:topLinePunct w:val="0"/>
        <w:autoSpaceDE/>
        <w:autoSpaceDN/>
        <w:bidi w:val="0"/>
        <w:adjustRightInd/>
        <w:snapToGrid w:val="0"/>
        <w:spacing w:beforeAutospacing="0" w:line="500" w:lineRule="exact"/>
        <w:ind w:firstLine="480" w:firstLineChars="200"/>
        <w:contextualSpacing/>
        <w:jc w:val="both"/>
        <w:textAlignment w:val="auto"/>
        <w:rPr>
          <w:rFonts w:hint="eastAsia" w:ascii="仿宋" w:hAnsi="仿宋" w:eastAsia="仿宋" w:cs="仿宋"/>
          <w:bCs w:val="0"/>
          <w:color w:val="auto"/>
          <w:kern w:val="2"/>
          <w:sz w:val="24"/>
          <w:szCs w:val="24"/>
          <w:lang w:val="en-US" w:eastAsia="zh-CN" w:bidi="ar-SA"/>
        </w:rPr>
      </w:pPr>
      <w:r>
        <w:rPr>
          <w:rFonts w:hint="eastAsia" w:ascii="仿宋" w:hAnsi="仿宋" w:eastAsia="仿宋" w:cs="仿宋"/>
          <w:bCs w:val="0"/>
          <w:color w:val="auto"/>
          <w:kern w:val="2"/>
          <w:sz w:val="24"/>
          <w:szCs w:val="24"/>
          <w:lang w:val="en-US" w:eastAsia="zh-CN" w:bidi="ar-SA"/>
        </w:rPr>
        <w:t>（3）修复时间（在质保期内）：在保修期间，所有出现故障的设备在不换件的情况下6小时内修复，换件维修在24小时内更换。</w:t>
      </w:r>
    </w:p>
    <w:p w14:paraId="260B2861">
      <w:pPr>
        <w:pageBreakBefore w:val="0"/>
        <w:widowControl/>
        <w:numPr>
          <w:ilvl w:val="0"/>
          <w:numId w:val="0"/>
        </w:numPr>
        <w:kinsoku/>
        <w:wordWrap/>
        <w:overflowPunct/>
        <w:topLinePunct w:val="0"/>
        <w:autoSpaceDE/>
        <w:autoSpaceDN/>
        <w:bidi w:val="0"/>
        <w:spacing w:beforeAutospacing="0" w:afterAutospacing="0" w:line="360" w:lineRule="auto"/>
        <w:ind w:leftChars="200" w:right="0" w:rightChars="0"/>
        <w:textAlignment w:val="auto"/>
        <w:rPr>
          <w:rFonts w:hint="eastAsia" w:ascii="仿宋" w:hAnsi="仿宋" w:eastAsia="仿宋" w:cs="仿宋"/>
          <w:b/>
          <w:bCs/>
          <w:color w:val="auto"/>
          <w:kern w:val="0"/>
          <w:sz w:val="24"/>
          <w:szCs w:val="24"/>
          <w:lang w:eastAsia="zh-CN" w:bidi="ar"/>
        </w:rPr>
      </w:pPr>
      <w:r>
        <w:rPr>
          <w:rFonts w:hint="eastAsia" w:ascii="仿宋" w:hAnsi="仿宋" w:eastAsia="仿宋" w:cs="仿宋"/>
          <w:b/>
          <w:bCs/>
          <w:color w:val="auto"/>
          <w:kern w:val="0"/>
          <w:sz w:val="24"/>
          <w:szCs w:val="24"/>
          <w:lang w:eastAsia="zh-CN" w:bidi="ar"/>
        </w:rPr>
        <w:t>（</w:t>
      </w:r>
      <w:r>
        <w:rPr>
          <w:rFonts w:hint="eastAsia" w:ascii="仿宋" w:hAnsi="仿宋" w:eastAsia="仿宋" w:cs="仿宋"/>
          <w:b/>
          <w:bCs/>
          <w:color w:val="auto"/>
          <w:kern w:val="0"/>
          <w:sz w:val="24"/>
          <w:szCs w:val="24"/>
          <w:lang w:val="en-US" w:eastAsia="zh-CN" w:bidi="ar"/>
        </w:rPr>
        <w:t>4</w:t>
      </w:r>
      <w:r>
        <w:rPr>
          <w:rFonts w:hint="eastAsia" w:ascii="仿宋" w:hAnsi="仿宋" w:eastAsia="仿宋" w:cs="仿宋"/>
          <w:b/>
          <w:bCs/>
          <w:color w:val="auto"/>
          <w:kern w:val="0"/>
          <w:sz w:val="24"/>
          <w:szCs w:val="24"/>
          <w:lang w:eastAsia="zh-CN" w:bidi="ar"/>
        </w:rPr>
        <w:t>）</w:t>
      </w:r>
      <w:r>
        <w:rPr>
          <w:rFonts w:hint="eastAsia" w:ascii="仿宋" w:hAnsi="仿宋" w:eastAsia="仿宋" w:cs="仿宋"/>
          <w:bCs w:val="0"/>
          <w:color w:val="auto"/>
          <w:kern w:val="2"/>
          <w:sz w:val="24"/>
          <w:szCs w:val="24"/>
          <w:lang w:val="en-US" w:eastAsia="zh-CN" w:bidi="ar-SA"/>
        </w:rPr>
        <w:t>设备巡检和维护：每年组织不少于4次免费上门巡检和维护工作。</w:t>
      </w:r>
    </w:p>
    <w:p w14:paraId="4034F4A8">
      <w:pPr>
        <w:pageBreakBefore w:val="0"/>
        <w:widowControl/>
        <w:numPr>
          <w:ilvl w:val="0"/>
          <w:numId w:val="0"/>
        </w:numPr>
        <w:kinsoku/>
        <w:wordWrap/>
        <w:overflowPunct/>
        <w:topLinePunct w:val="0"/>
        <w:autoSpaceDE/>
        <w:autoSpaceDN/>
        <w:bidi w:val="0"/>
        <w:spacing w:beforeAutospacing="0" w:afterAutospacing="0" w:line="360" w:lineRule="auto"/>
        <w:ind w:leftChars="200" w:right="0" w:rightChars="0"/>
        <w:textAlignment w:val="auto"/>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eastAsia="zh-CN" w:bidi="ar"/>
        </w:rPr>
        <w:t>（</w:t>
      </w:r>
      <w:r>
        <w:rPr>
          <w:rFonts w:hint="eastAsia" w:ascii="仿宋" w:hAnsi="仿宋" w:eastAsia="仿宋" w:cs="仿宋"/>
          <w:b/>
          <w:bCs/>
          <w:color w:val="auto"/>
          <w:kern w:val="0"/>
          <w:sz w:val="24"/>
          <w:szCs w:val="24"/>
          <w:lang w:val="en-US" w:eastAsia="zh-CN" w:bidi="ar"/>
        </w:rPr>
        <w:t>二</w:t>
      </w:r>
      <w:r>
        <w:rPr>
          <w:rFonts w:hint="eastAsia" w:ascii="仿宋" w:hAnsi="仿宋" w:eastAsia="仿宋" w:cs="仿宋"/>
          <w:b/>
          <w:bCs/>
          <w:color w:val="auto"/>
          <w:kern w:val="0"/>
          <w:sz w:val="24"/>
          <w:szCs w:val="24"/>
          <w:lang w:eastAsia="zh-CN" w:bidi="ar"/>
        </w:rPr>
        <w:t>）</w:t>
      </w:r>
      <w:r>
        <w:rPr>
          <w:rFonts w:hint="eastAsia" w:ascii="仿宋" w:hAnsi="仿宋" w:eastAsia="仿宋" w:cs="仿宋"/>
          <w:b/>
          <w:bCs/>
          <w:color w:val="auto"/>
          <w:kern w:val="0"/>
          <w:sz w:val="24"/>
          <w:szCs w:val="24"/>
          <w:lang w:bidi="ar"/>
        </w:rPr>
        <w:t>技术培训服务</w:t>
      </w:r>
    </w:p>
    <w:p w14:paraId="55725B74">
      <w:pPr>
        <w:pageBreakBefore w:val="0"/>
        <w:widowControl/>
        <w:kinsoku/>
        <w:wordWrap/>
        <w:overflowPunct/>
        <w:topLinePunct w:val="0"/>
        <w:autoSpaceDE/>
        <w:autoSpaceDN/>
        <w:bidi w:val="0"/>
        <w:spacing w:beforeAutospacing="0" w:afterAutospacing="0" w:line="360" w:lineRule="auto"/>
        <w:ind w:left="0" w:leftChars="0" w:right="0" w:rightChars="0" w:firstLine="480" w:firstLineChars="200"/>
        <w:textAlignment w:val="auto"/>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在项目验收后，为</w:t>
      </w:r>
      <w:r>
        <w:rPr>
          <w:rFonts w:hint="eastAsia" w:ascii="仿宋" w:hAnsi="仿宋" w:eastAsia="仿宋" w:cs="仿宋"/>
          <w:color w:val="auto"/>
          <w:kern w:val="0"/>
          <w:sz w:val="24"/>
          <w:szCs w:val="24"/>
          <w:lang w:eastAsia="zh-CN" w:bidi="ar"/>
        </w:rPr>
        <w:t>学校</w:t>
      </w:r>
      <w:r>
        <w:rPr>
          <w:rFonts w:hint="eastAsia" w:ascii="仿宋" w:hAnsi="仿宋" w:eastAsia="仿宋" w:cs="仿宋"/>
          <w:color w:val="auto"/>
          <w:kern w:val="0"/>
          <w:sz w:val="24"/>
          <w:szCs w:val="24"/>
          <w:lang w:bidi="ar"/>
        </w:rPr>
        <w:t>专业教师提供系统的技术培训，包括硬件设备操作、软件系统应用、实训内容设计等，确保教师能够熟练开展实训教学；根据</w:t>
      </w:r>
      <w:r>
        <w:rPr>
          <w:rFonts w:hint="eastAsia" w:ascii="仿宋" w:hAnsi="仿宋" w:eastAsia="仿宋" w:cs="仿宋"/>
          <w:color w:val="auto"/>
          <w:kern w:val="0"/>
          <w:sz w:val="24"/>
          <w:szCs w:val="24"/>
          <w:lang w:eastAsia="zh-CN" w:bidi="ar"/>
        </w:rPr>
        <w:t>学校</w:t>
      </w:r>
      <w:r>
        <w:rPr>
          <w:rFonts w:hint="eastAsia" w:ascii="仿宋" w:hAnsi="仿宋" w:eastAsia="仿宋" w:cs="仿宋"/>
          <w:color w:val="auto"/>
          <w:kern w:val="0"/>
          <w:sz w:val="24"/>
          <w:szCs w:val="24"/>
          <w:lang w:bidi="ar"/>
        </w:rPr>
        <w:t>需求，可提供后续定制化培训服务（如新增功能培训、行业最新技术培训）。</w:t>
      </w:r>
    </w:p>
    <w:p w14:paraId="3FD83C3F">
      <w:pPr>
        <w:pageBreakBefore w:val="0"/>
        <w:widowControl/>
        <w:numPr>
          <w:ilvl w:val="0"/>
          <w:numId w:val="26"/>
        </w:numPr>
        <w:kinsoku/>
        <w:wordWrap/>
        <w:overflowPunct/>
        <w:topLinePunct w:val="0"/>
        <w:autoSpaceDE/>
        <w:autoSpaceDN/>
        <w:bidi w:val="0"/>
        <w:spacing w:beforeAutospacing="0" w:afterAutospacing="0" w:line="360" w:lineRule="auto"/>
        <w:ind w:left="0" w:leftChars="0" w:right="0" w:rightChars="0" w:firstLine="482" w:firstLineChars="200"/>
        <w:textAlignment w:val="auto"/>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bidi="ar"/>
        </w:rPr>
        <w:t>运维保障服务</w:t>
      </w:r>
    </w:p>
    <w:p w14:paraId="0519B33B">
      <w:pPr>
        <w:pageBreakBefore w:val="0"/>
        <w:widowControl/>
        <w:kinsoku/>
        <w:wordWrap/>
        <w:overflowPunct/>
        <w:topLinePunct w:val="0"/>
        <w:autoSpaceDE/>
        <w:autoSpaceDN/>
        <w:bidi w:val="0"/>
        <w:spacing w:beforeAutospacing="0" w:afterAutospacing="0" w:line="360" w:lineRule="auto"/>
        <w:ind w:left="0" w:leftChars="0" w:right="0" w:rightChars="0" w:firstLine="480" w:firstLineChars="200"/>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color w:val="auto"/>
          <w:kern w:val="0"/>
          <w:sz w:val="24"/>
          <w:szCs w:val="24"/>
          <w:lang w:eastAsia="zh-CN" w:bidi="ar"/>
        </w:rPr>
        <w:t>学校</w:t>
      </w:r>
      <w:r>
        <w:rPr>
          <w:rFonts w:hint="eastAsia" w:ascii="仿宋" w:hAnsi="仿宋" w:eastAsia="仿宋" w:cs="仿宋"/>
          <w:color w:val="auto"/>
          <w:kern w:val="0"/>
          <w:sz w:val="24"/>
          <w:szCs w:val="24"/>
          <w:lang w:bidi="ar"/>
        </w:rPr>
        <w:t>安排专人负责实训中心的日常运维管理，建立设备使用登记、故障报修、定期维护等管理制度；供应商与服务商提供运维指导手册，协助</w:t>
      </w:r>
      <w:r>
        <w:rPr>
          <w:rFonts w:hint="eastAsia" w:ascii="仿宋" w:hAnsi="仿宋" w:eastAsia="仿宋" w:cs="仿宋"/>
          <w:color w:val="auto"/>
          <w:kern w:val="0"/>
          <w:sz w:val="24"/>
          <w:szCs w:val="24"/>
          <w:lang w:eastAsia="zh-CN" w:bidi="ar"/>
        </w:rPr>
        <w:t>学校</w:t>
      </w:r>
      <w:r>
        <w:rPr>
          <w:rFonts w:hint="eastAsia" w:ascii="仿宋" w:hAnsi="仿宋" w:eastAsia="仿宋" w:cs="仿宋"/>
          <w:color w:val="auto"/>
          <w:kern w:val="0"/>
          <w:sz w:val="24"/>
          <w:szCs w:val="24"/>
          <w:lang w:bidi="ar"/>
        </w:rPr>
        <w:t>运维人员提升管理能力；建立售后服务沟通群，及时响应</w:t>
      </w:r>
      <w:r>
        <w:rPr>
          <w:rFonts w:hint="eastAsia" w:ascii="仿宋" w:hAnsi="仿宋" w:eastAsia="仿宋" w:cs="仿宋"/>
          <w:color w:val="auto"/>
          <w:kern w:val="0"/>
          <w:sz w:val="24"/>
          <w:szCs w:val="24"/>
          <w:lang w:eastAsia="zh-CN" w:bidi="ar"/>
        </w:rPr>
        <w:t>学校</w:t>
      </w:r>
      <w:r>
        <w:rPr>
          <w:rFonts w:hint="eastAsia" w:ascii="仿宋" w:hAnsi="仿宋" w:eastAsia="仿宋" w:cs="仿宋"/>
          <w:color w:val="auto"/>
          <w:kern w:val="0"/>
          <w:sz w:val="24"/>
          <w:szCs w:val="24"/>
          <w:lang w:bidi="ar"/>
        </w:rPr>
        <w:t>的服务需求，保障问题快速解决。</w:t>
      </w:r>
    </w:p>
    <w:p w14:paraId="019A44C1">
      <w:pPr>
        <w:pStyle w:val="3"/>
        <w:pageBreakBefore w:val="0"/>
        <w:kinsoku/>
        <w:wordWrap/>
        <w:overflowPunct/>
        <w:topLinePunct w:val="0"/>
        <w:autoSpaceDE/>
        <w:autoSpaceDN/>
        <w:bidi w:val="0"/>
        <w:spacing w:line="360" w:lineRule="auto"/>
        <w:jc w:val="left"/>
        <w:textAlignment w:val="auto"/>
        <w:rPr>
          <w:rFonts w:hint="eastAsia" w:ascii="仿宋" w:hAnsi="仿宋" w:eastAsia="仿宋" w:cs="仿宋"/>
          <w:i w:val="0"/>
          <w:iCs w:val="0"/>
          <w:caps w:val="0"/>
          <w:color w:val="auto"/>
          <w:spacing w:val="0"/>
          <w:sz w:val="24"/>
          <w:szCs w:val="24"/>
          <w:shd w:val="clear" w:fill="FFFFFF"/>
          <w:lang w:val="en-US" w:eastAsia="zh-CN"/>
        </w:rPr>
      </w:pPr>
      <w:bookmarkStart w:id="727" w:name="_Toc2430"/>
      <w:r>
        <w:rPr>
          <w:rFonts w:hint="eastAsia" w:ascii="仿宋" w:hAnsi="仿宋" w:eastAsia="仿宋" w:cs="仿宋"/>
          <w:i w:val="0"/>
          <w:iCs w:val="0"/>
          <w:caps w:val="0"/>
          <w:color w:val="auto"/>
          <w:spacing w:val="0"/>
          <w:sz w:val="24"/>
          <w:szCs w:val="24"/>
          <w:shd w:val="clear" w:fill="FFFFFF"/>
          <w:lang w:val="en-US" w:eastAsia="zh-CN"/>
        </w:rPr>
        <w:t>六、</w:t>
      </w:r>
      <w:r>
        <w:rPr>
          <w:rStyle w:val="31"/>
          <w:rFonts w:hint="eastAsia" w:ascii="仿宋" w:hAnsi="仿宋" w:eastAsia="仿宋" w:cs="仿宋"/>
          <w:b/>
          <w:bCs/>
          <w:i w:val="0"/>
          <w:iCs w:val="0"/>
          <w:caps w:val="0"/>
          <w:color w:val="auto"/>
          <w:spacing w:val="0"/>
          <w:sz w:val="24"/>
          <w:szCs w:val="24"/>
          <w:shd w:val="clear" w:fill="FFFFFF"/>
        </w:rPr>
        <w:t>采购标的验收标准</w:t>
      </w:r>
      <w:r>
        <w:rPr>
          <w:rFonts w:hint="eastAsia" w:ascii="仿宋" w:hAnsi="仿宋" w:eastAsia="仿宋" w:cs="仿宋"/>
          <w:i w:val="0"/>
          <w:iCs w:val="0"/>
          <w:caps w:val="0"/>
          <w:color w:val="auto"/>
          <w:spacing w:val="0"/>
          <w:sz w:val="24"/>
          <w:szCs w:val="24"/>
          <w:shd w:val="clear" w:fill="FFFFFF"/>
        </w:rPr>
        <w:t>‌：</w:t>
      </w:r>
      <w:bookmarkEnd w:id="722"/>
      <w:bookmarkEnd w:id="727"/>
    </w:p>
    <w:p w14:paraId="3207D0E0">
      <w:pPr>
        <w:keepNext w:val="0"/>
        <w:keepLines w:val="0"/>
        <w:pageBreakBefore w:val="0"/>
        <w:kinsoku/>
        <w:wordWrap/>
        <w:overflowPunct/>
        <w:topLinePunct w:val="0"/>
        <w:autoSpaceDE/>
        <w:autoSpaceDN/>
        <w:bidi w:val="0"/>
        <w:snapToGrid/>
        <w:spacing w:beforeAutospacing="0" w:afterAutospacing="0" w:line="360" w:lineRule="auto"/>
        <w:ind w:left="0" w:leftChars="0" w:right="0" w:rightChars="0" w:firstLine="520" w:firstLineChars="200"/>
        <w:textAlignment w:val="auto"/>
        <w:rPr>
          <w:rFonts w:hint="eastAsia" w:ascii="仿宋" w:hAnsi="仿宋" w:eastAsia="仿宋" w:cs="仿宋"/>
          <w:bCs/>
          <w:color w:val="auto"/>
          <w:spacing w:val="10"/>
          <w:kern w:val="0"/>
          <w:sz w:val="24"/>
          <w:szCs w:val="24"/>
          <w:highlight w:val="none"/>
          <w:lang w:val="en-US" w:eastAsia="zh-CN" w:bidi="ar-SA"/>
        </w:rPr>
      </w:pPr>
      <w:r>
        <w:rPr>
          <w:rFonts w:hint="eastAsia" w:ascii="仿宋" w:hAnsi="仿宋" w:eastAsia="仿宋" w:cs="仿宋"/>
          <w:bCs/>
          <w:color w:val="auto"/>
          <w:spacing w:val="10"/>
          <w:kern w:val="0"/>
          <w:sz w:val="24"/>
          <w:szCs w:val="24"/>
          <w:highlight w:val="none"/>
          <w:lang w:val="en-US" w:eastAsia="zh-CN" w:bidi="ar-SA"/>
        </w:rPr>
        <w:t>（一）项目验收：设备到达招标人指定地点后统一开箱验收，开箱验收内容包括设备是否完好、品牌型号是否和投标文件一致；中标人随货向招标人交付设备必需具有质保卡及相关资料（如操作手册、使用指南、维修手册、安装调试说明书、服务手册等）及配备的用件、工具等。</w:t>
      </w:r>
    </w:p>
    <w:p w14:paraId="66D4D3BD">
      <w:pPr>
        <w:keepNext w:val="0"/>
        <w:keepLines w:val="0"/>
        <w:pageBreakBefore w:val="0"/>
        <w:kinsoku/>
        <w:wordWrap/>
        <w:overflowPunct/>
        <w:topLinePunct w:val="0"/>
        <w:autoSpaceDE/>
        <w:autoSpaceDN/>
        <w:bidi w:val="0"/>
        <w:snapToGrid/>
        <w:spacing w:beforeAutospacing="0" w:afterAutospacing="0" w:line="360" w:lineRule="auto"/>
        <w:ind w:left="0" w:leftChars="0" w:right="0" w:rightChars="0" w:firstLine="520" w:firstLineChars="200"/>
        <w:textAlignment w:val="auto"/>
        <w:rPr>
          <w:rFonts w:hint="eastAsia" w:ascii="仿宋" w:hAnsi="仿宋" w:eastAsia="仿宋" w:cs="仿宋"/>
          <w:bCs/>
          <w:color w:val="auto"/>
          <w:spacing w:val="10"/>
          <w:kern w:val="0"/>
          <w:sz w:val="24"/>
          <w:szCs w:val="24"/>
          <w:highlight w:val="none"/>
          <w:lang w:val="en-US" w:eastAsia="zh-CN" w:bidi="ar-SA"/>
        </w:rPr>
      </w:pPr>
      <w:r>
        <w:rPr>
          <w:rFonts w:hint="eastAsia" w:ascii="仿宋" w:hAnsi="仿宋" w:eastAsia="仿宋" w:cs="仿宋"/>
          <w:bCs/>
          <w:color w:val="auto"/>
          <w:spacing w:val="10"/>
          <w:kern w:val="0"/>
          <w:sz w:val="24"/>
          <w:szCs w:val="24"/>
          <w:highlight w:val="none"/>
          <w:lang w:val="en-US" w:eastAsia="zh-CN" w:bidi="ar-SA"/>
        </w:rPr>
        <w:t>（二）</w:t>
      </w:r>
      <w:r>
        <w:rPr>
          <w:rFonts w:hint="eastAsia" w:ascii="仿宋" w:hAnsi="仿宋" w:eastAsia="仿宋" w:cs="仿宋"/>
          <w:color w:val="auto"/>
          <w:sz w:val="24"/>
          <w:szCs w:val="24"/>
          <w:highlight w:val="none"/>
          <w:lang w:val="en-US" w:eastAsia="zh-CN"/>
        </w:rPr>
        <w:t>■</w:t>
      </w:r>
      <w:r>
        <w:rPr>
          <w:rFonts w:hint="eastAsia" w:ascii="仿宋" w:hAnsi="仿宋" w:eastAsia="仿宋" w:cs="仿宋"/>
          <w:bCs/>
          <w:color w:val="auto"/>
          <w:spacing w:val="10"/>
          <w:kern w:val="0"/>
          <w:sz w:val="24"/>
          <w:szCs w:val="24"/>
          <w:highlight w:val="none"/>
          <w:lang w:val="en-US" w:eastAsia="zh-CN" w:bidi="ar-SA"/>
        </w:rPr>
        <w:t>严格按照《财政部关于进一步加强采购需求和履约验收管理的指导意见》的通知（财库〔2016〕205号）及《政府采购需求管理办法》（财库〔2021〕22号）的要求，招标人可以邀请参加本项目的其他供应商或第三方专业机构及专家参与验收或按照招标文件规定的要求和投标文件及合同承诺的内容进行验收。如验收不合格，招标人将按相关法律法规追究相应责任。（注：投标人须在投标文件中单独提供书面承诺函，对本条款内容进行响应承诺）</w:t>
      </w:r>
    </w:p>
    <w:p w14:paraId="3B831C2F">
      <w:pPr>
        <w:pStyle w:val="26"/>
        <w:pageBreakBefore w:val="0"/>
        <w:kinsoku/>
        <w:wordWrap/>
        <w:overflowPunct/>
        <w:topLinePunct w:val="0"/>
        <w:autoSpaceDE/>
        <w:autoSpaceDN/>
        <w:bidi w:val="0"/>
        <w:spacing w:line="360" w:lineRule="auto"/>
        <w:rPr>
          <w:rFonts w:hint="default"/>
          <w:b w:val="0"/>
          <w:bCs w:val="0"/>
          <w:color w:val="auto"/>
          <w:lang w:val="en-US" w:eastAsia="zh-CN"/>
        </w:rPr>
      </w:pPr>
      <w:r>
        <w:rPr>
          <w:rFonts w:hint="eastAsia" w:ascii="仿宋" w:hAnsi="仿宋" w:eastAsia="仿宋" w:cs="仿宋"/>
          <w:b w:val="0"/>
          <w:bCs w:val="0"/>
          <w:color w:val="auto"/>
          <w:spacing w:val="10"/>
          <w:kern w:val="0"/>
          <w:sz w:val="24"/>
          <w:szCs w:val="24"/>
          <w:highlight w:val="none"/>
          <w:lang w:val="en-US" w:eastAsia="zh-CN" w:bidi="ar-SA"/>
        </w:rPr>
        <w:t>（三）项目验收合格后，供应商需提供完整的技术档案，包括设备参数、安装调试记录、检测报告、培训记录、运维手册等，供招标人存档。</w:t>
      </w:r>
    </w:p>
    <w:p w14:paraId="0E60F9A4">
      <w:pPr>
        <w:pStyle w:val="3"/>
        <w:pageBreakBefore w:val="0"/>
        <w:numPr>
          <w:ilvl w:val="0"/>
          <w:numId w:val="27"/>
        </w:numPr>
        <w:kinsoku/>
        <w:wordWrap/>
        <w:overflowPunct/>
        <w:topLinePunct w:val="0"/>
        <w:autoSpaceDE/>
        <w:autoSpaceDN/>
        <w:bidi w:val="0"/>
        <w:spacing w:line="360" w:lineRule="auto"/>
        <w:jc w:val="left"/>
        <w:textAlignment w:val="auto"/>
        <w:rPr>
          <w:rFonts w:hint="eastAsia" w:ascii="仿宋" w:hAnsi="仿宋" w:eastAsia="仿宋" w:cs="仿宋"/>
          <w:bCs/>
          <w:color w:val="auto"/>
          <w:spacing w:val="10"/>
          <w:kern w:val="0"/>
          <w:sz w:val="24"/>
          <w:szCs w:val="24"/>
          <w:highlight w:val="none"/>
          <w:lang w:val="en-US" w:eastAsia="zh-CN" w:bidi="ar-SA"/>
        </w:rPr>
      </w:pPr>
      <w:bookmarkStart w:id="728" w:name="_Toc10644"/>
      <w:bookmarkStart w:id="729" w:name="_Toc12336"/>
      <w:r>
        <w:rPr>
          <w:rStyle w:val="31"/>
          <w:rFonts w:hint="eastAsia" w:ascii="仿宋" w:hAnsi="仿宋" w:eastAsia="仿宋" w:cs="仿宋"/>
          <w:b/>
          <w:bCs/>
          <w:i w:val="0"/>
          <w:iCs w:val="0"/>
          <w:caps w:val="0"/>
          <w:color w:val="auto"/>
          <w:spacing w:val="0"/>
          <w:sz w:val="24"/>
          <w:szCs w:val="24"/>
          <w:shd w:val="clear" w:fill="FFFFFF"/>
        </w:rPr>
        <w:t>采购标的的其他技术、服务等要求</w:t>
      </w:r>
      <w:r>
        <w:rPr>
          <w:rStyle w:val="31"/>
          <w:rFonts w:hint="eastAsia" w:ascii="仿宋" w:hAnsi="仿宋" w:eastAsia="仿宋" w:cs="仿宋"/>
          <w:b/>
          <w:bCs/>
          <w:i w:val="0"/>
          <w:iCs w:val="0"/>
          <w:caps w:val="0"/>
          <w:color w:val="auto"/>
          <w:spacing w:val="0"/>
          <w:sz w:val="24"/>
          <w:szCs w:val="24"/>
          <w:shd w:val="clear" w:fill="FFFFFF"/>
          <w:lang w:val="en-US" w:eastAsia="zh-CN"/>
        </w:rPr>
        <w:t>:</w:t>
      </w:r>
      <w:r>
        <w:rPr>
          <w:rFonts w:hint="eastAsia" w:ascii="仿宋" w:hAnsi="仿宋" w:eastAsia="仿宋" w:cs="仿宋"/>
          <w:i w:val="0"/>
          <w:iCs w:val="0"/>
          <w:caps w:val="0"/>
          <w:color w:val="auto"/>
          <w:spacing w:val="0"/>
          <w:sz w:val="24"/>
          <w:szCs w:val="24"/>
          <w:shd w:val="clear" w:fill="FFFFFF"/>
        </w:rPr>
        <w:t>‌</w:t>
      </w:r>
      <w:bookmarkEnd w:id="728"/>
      <w:bookmarkEnd w:id="729"/>
    </w:p>
    <w:p w14:paraId="041CF565">
      <w:pPr>
        <w:keepNext w:val="0"/>
        <w:keepLines w:val="0"/>
        <w:pageBreakBefore w:val="0"/>
        <w:numPr>
          <w:ilvl w:val="0"/>
          <w:numId w:val="28"/>
        </w:numPr>
        <w:kinsoku/>
        <w:wordWrap/>
        <w:overflowPunct/>
        <w:topLinePunct w:val="0"/>
        <w:autoSpaceDE/>
        <w:autoSpaceDN/>
        <w:bidi w:val="0"/>
        <w:snapToGrid/>
        <w:spacing w:beforeAutospacing="0" w:afterAutospacing="0" w:line="360" w:lineRule="auto"/>
        <w:ind w:left="630" w:leftChars="0" w:right="0" w:rightChars="0"/>
        <w:textAlignment w:val="auto"/>
        <w:rPr>
          <w:rFonts w:hint="eastAsia" w:ascii="仿宋" w:hAnsi="仿宋" w:eastAsia="仿宋" w:cs="仿宋"/>
          <w:color w:val="auto"/>
          <w:sz w:val="24"/>
          <w:szCs w:val="22"/>
          <w:highlight w:val="none"/>
          <w:lang w:val="en-US" w:eastAsia="zh-CN"/>
        </w:rPr>
      </w:pPr>
      <w:bookmarkStart w:id="730" w:name="_Toc13601"/>
      <w:r>
        <w:rPr>
          <w:rFonts w:hint="eastAsia" w:ascii="仿宋" w:hAnsi="仿宋" w:eastAsia="仿宋" w:cs="仿宋"/>
          <w:bCs/>
          <w:color w:val="auto"/>
          <w:spacing w:val="10"/>
          <w:kern w:val="0"/>
          <w:sz w:val="24"/>
          <w:szCs w:val="24"/>
          <w:highlight w:val="none"/>
          <w:lang w:val="en-US" w:eastAsia="zh-CN" w:bidi="ar-SA"/>
        </w:rPr>
        <w:t>合同价款结算</w:t>
      </w:r>
      <w:bookmarkEnd w:id="730"/>
      <w:r>
        <w:rPr>
          <w:rFonts w:hint="eastAsia" w:ascii="仿宋" w:hAnsi="仿宋" w:eastAsia="仿宋" w:cs="仿宋"/>
          <w:bCs/>
          <w:color w:val="auto"/>
          <w:spacing w:val="10"/>
          <w:kern w:val="0"/>
          <w:sz w:val="24"/>
          <w:szCs w:val="24"/>
          <w:highlight w:val="none"/>
          <w:lang w:val="en-US" w:eastAsia="zh-CN" w:bidi="ar-SA"/>
        </w:rPr>
        <w:t>：</w:t>
      </w:r>
      <w:bookmarkStart w:id="731" w:name="_Toc11783"/>
      <w:r>
        <w:rPr>
          <w:rFonts w:hint="eastAsia" w:ascii="仿宋" w:hAnsi="仿宋" w:eastAsia="仿宋" w:cs="仿宋"/>
          <w:color w:val="auto"/>
          <w:sz w:val="24"/>
          <w:szCs w:val="22"/>
          <w:highlight w:val="none"/>
          <w:lang w:val="en-US" w:eastAsia="zh-CN"/>
        </w:rPr>
        <w:t>合同签订后支付30%，项目初验完成后支付30%，终验完成后支付40%。</w:t>
      </w:r>
    </w:p>
    <w:p w14:paraId="75C3C7CD">
      <w:pPr>
        <w:keepNext w:val="0"/>
        <w:keepLines w:val="0"/>
        <w:pageBreakBefore w:val="0"/>
        <w:numPr>
          <w:ilvl w:val="0"/>
          <w:numId w:val="0"/>
        </w:numPr>
        <w:kinsoku/>
        <w:wordWrap/>
        <w:overflowPunct/>
        <w:topLinePunct w:val="0"/>
        <w:autoSpaceDE/>
        <w:autoSpaceDN/>
        <w:bidi w:val="0"/>
        <w:snapToGrid/>
        <w:spacing w:beforeAutospacing="0" w:afterAutospacing="0" w:line="360" w:lineRule="auto"/>
        <w:ind w:right="0" w:rightChars="0"/>
        <w:textAlignment w:val="auto"/>
        <w:rPr>
          <w:rFonts w:hint="eastAsia" w:ascii="仿宋" w:hAnsi="仿宋" w:eastAsia="仿宋" w:cs="仿宋"/>
          <w:bCs/>
          <w:color w:val="auto"/>
          <w:spacing w:val="10"/>
          <w:kern w:val="0"/>
          <w:sz w:val="24"/>
          <w:szCs w:val="24"/>
          <w:highlight w:val="none"/>
          <w:lang w:val="en-US" w:eastAsia="zh-CN" w:bidi="ar-SA"/>
        </w:rPr>
      </w:pPr>
      <w:r>
        <w:rPr>
          <w:rFonts w:hint="eastAsia" w:ascii="仿宋" w:hAnsi="仿宋" w:eastAsia="仿宋" w:cs="仿宋"/>
          <w:bCs/>
          <w:color w:val="auto"/>
          <w:spacing w:val="10"/>
          <w:kern w:val="0"/>
          <w:sz w:val="24"/>
          <w:szCs w:val="24"/>
          <w:highlight w:val="none"/>
          <w:lang w:val="en-US" w:eastAsia="zh-CN" w:bidi="ar-SA"/>
        </w:rPr>
        <w:t>（二）安装调试要求</w:t>
      </w:r>
      <w:bookmarkEnd w:id="731"/>
      <w:r>
        <w:rPr>
          <w:rFonts w:hint="eastAsia" w:ascii="仿宋" w:hAnsi="仿宋" w:eastAsia="仿宋" w:cs="仿宋"/>
          <w:bCs/>
          <w:color w:val="auto"/>
          <w:spacing w:val="10"/>
          <w:kern w:val="0"/>
          <w:sz w:val="24"/>
          <w:szCs w:val="24"/>
          <w:highlight w:val="none"/>
          <w:lang w:val="en-US" w:eastAsia="zh-CN" w:bidi="ar-SA"/>
        </w:rPr>
        <w:t>：供应商在中标后应组建专业的技术团队对设备、软件、进行安装调试，安装调试应符合国家标准，并满足招标人技术要求。</w:t>
      </w:r>
    </w:p>
    <w:p w14:paraId="5F73B737">
      <w:pPr>
        <w:rPr>
          <w:rFonts w:hint="eastAsia"/>
          <w:color w:val="auto"/>
        </w:rPr>
      </w:pPr>
      <w:r>
        <w:rPr>
          <w:rFonts w:hint="eastAsia"/>
          <w:color w:val="auto"/>
        </w:rPr>
        <w:br w:type="page"/>
      </w:r>
    </w:p>
    <w:p w14:paraId="1E7656A1">
      <w:pPr>
        <w:pStyle w:val="26"/>
        <w:pageBreakBefore w:val="0"/>
        <w:topLinePunct w:val="0"/>
        <w:bidi w:val="0"/>
        <w:spacing w:line="360" w:lineRule="auto"/>
        <w:rPr>
          <w:rFonts w:hint="eastAsia"/>
        </w:rPr>
      </w:pPr>
    </w:p>
    <w:p w14:paraId="5E2C97E8">
      <w:pPr>
        <w:pStyle w:val="2"/>
        <w:pageBreakBefore w:val="0"/>
        <w:numPr>
          <w:ilvl w:val="0"/>
          <w:numId w:val="0"/>
        </w:numPr>
        <w:shd w:val="clear"/>
        <w:topLinePunct w:val="0"/>
        <w:bidi w:val="0"/>
        <w:spacing w:beforeAutospacing="0" w:afterAutospacing="0" w:line="360" w:lineRule="auto"/>
        <w:ind w:left="0" w:leftChars="0" w:right="0" w:rightChars="0" w:firstLine="883" w:firstLineChars="200"/>
        <w:outlineLvl w:val="0"/>
        <w:rPr>
          <w:rFonts w:hint="eastAsia" w:ascii="仿宋" w:hAnsi="仿宋" w:eastAsia="仿宋" w:cs="仿宋"/>
          <w:color w:val="auto"/>
          <w:highlight w:val="none"/>
          <w:lang w:val="en-US" w:eastAsia="zh-CN"/>
        </w:rPr>
      </w:pPr>
      <w:bookmarkStart w:id="732" w:name="_Toc8485"/>
      <w:r>
        <w:rPr>
          <w:rFonts w:hint="eastAsia" w:ascii="仿宋" w:hAnsi="仿宋" w:eastAsia="仿宋" w:cs="仿宋"/>
          <w:color w:val="auto"/>
          <w:highlight w:val="none"/>
          <w:lang w:val="en-US" w:eastAsia="zh-CN"/>
        </w:rPr>
        <w:t>第六章  资格审查标准</w:t>
      </w:r>
      <w:bookmarkEnd w:id="681"/>
      <w:bookmarkEnd w:id="732"/>
    </w:p>
    <w:p w14:paraId="65AFF378">
      <w:pPr>
        <w:pStyle w:val="3"/>
        <w:pageBreakBefore w:val="0"/>
        <w:widowControl/>
        <w:shd w:val="clear"/>
        <w:topLinePunct w:val="0"/>
        <w:bidi w:val="0"/>
        <w:spacing w:beforeAutospacing="0" w:afterAutospacing="0" w:line="360" w:lineRule="auto"/>
        <w:ind w:left="0" w:leftChars="0" w:right="0" w:rightChars="0" w:firstLine="560" w:firstLineChars="200"/>
        <w:outlineLvl w:val="1"/>
        <w:rPr>
          <w:rFonts w:hint="eastAsia" w:ascii="仿宋" w:hAnsi="仿宋" w:eastAsia="仿宋" w:cs="仿宋"/>
          <w:color w:val="auto"/>
          <w:szCs w:val="32"/>
          <w:highlight w:val="none"/>
        </w:rPr>
      </w:pPr>
      <w:bookmarkStart w:id="733" w:name="_Toc26262"/>
      <w:bookmarkStart w:id="734" w:name="_Toc21917"/>
      <w:r>
        <w:rPr>
          <w:rFonts w:hint="eastAsia" w:ascii="仿宋" w:hAnsi="仿宋" w:eastAsia="仿宋" w:cs="仿宋"/>
          <w:color w:val="auto"/>
          <w:sz w:val="28"/>
          <w:szCs w:val="28"/>
          <w:highlight w:val="none"/>
        </w:rPr>
        <w:t>评标办法前附表</w:t>
      </w:r>
      <w:bookmarkEnd w:id="733"/>
      <w:bookmarkEnd w:id="734"/>
    </w:p>
    <w:tbl>
      <w:tblPr>
        <w:tblStyle w:val="28"/>
        <w:tblW w:w="92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739"/>
        <w:gridCol w:w="618"/>
        <w:gridCol w:w="5177"/>
        <w:gridCol w:w="2704"/>
        <w:gridCol w:w="1"/>
      </w:tblGrid>
      <w:tr w14:paraId="0F005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1" w:type="dxa"/>
          <w:trHeight w:val="567" w:hRule="atLeast"/>
          <w:jc w:val="center"/>
        </w:trPr>
        <w:tc>
          <w:tcPr>
            <w:tcW w:w="739" w:type="dxa"/>
            <w:shd w:val="clear" w:color="auto" w:fill="FFFFFF"/>
            <w:vAlign w:val="center"/>
          </w:tcPr>
          <w:p w14:paraId="02C21E62">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审查项目</w:t>
            </w:r>
          </w:p>
        </w:tc>
        <w:tc>
          <w:tcPr>
            <w:tcW w:w="5795" w:type="dxa"/>
            <w:gridSpan w:val="2"/>
            <w:shd w:val="clear" w:color="auto" w:fill="FFFFFF"/>
            <w:vAlign w:val="center"/>
          </w:tcPr>
          <w:p w14:paraId="527E7353">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审查内容</w:t>
            </w:r>
          </w:p>
        </w:tc>
        <w:tc>
          <w:tcPr>
            <w:tcW w:w="2704" w:type="dxa"/>
            <w:shd w:val="clear" w:color="auto" w:fill="FFFFFF"/>
            <w:vAlign w:val="center"/>
          </w:tcPr>
          <w:p w14:paraId="23C26B05">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审查标准</w:t>
            </w:r>
          </w:p>
        </w:tc>
      </w:tr>
      <w:tr w14:paraId="6FE18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39" w:type="dxa"/>
            <w:vMerge w:val="restart"/>
            <w:shd w:val="clear" w:color="auto" w:fill="FFFFFF"/>
            <w:vAlign w:val="center"/>
          </w:tcPr>
          <w:p w14:paraId="6DF184D3">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资格审查</w:t>
            </w:r>
          </w:p>
        </w:tc>
        <w:tc>
          <w:tcPr>
            <w:tcW w:w="8500" w:type="dxa"/>
            <w:gridSpan w:val="4"/>
            <w:shd w:val="clear" w:color="auto" w:fill="FFFFFF"/>
            <w:vAlign w:val="center"/>
          </w:tcPr>
          <w:p w14:paraId="5B5C1AC6">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highlight w:val="none"/>
              </w:rPr>
              <w:t>1.满足《中华人民共和国政府采购法》第二十二条规定：</w:t>
            </w:r>
          </w:p>
        </w:tc>
      </w:tr>
      <w:tr w14:paraId="58232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39" w:type="dxa"/>
            <w:vMerge w:val="continue"/>
            <w:shd w:val="clear" w:color="auto" w:fill="FFFFFF"/>
            <w:vAlign w:val="center"/>
          </w:tcPr>
          <w:p w14:paraId="0F5C5DAB">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618" w:type="dxa"/>
            <w:shd w:val="clear" w:color="auto" w:fill="FFFFFF"/>
            <w:vAlign w:val="center"/>
          </w:tcPr>
          <w:p w14:paraId="742A291F">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1.1</w:t>
            </w:r>
          </w:p>
        </w:tc>
        <w:tc>
          <w:tcPr>
            <w:tcW w:w="5177" w:type="dxa"/>
            <w:shd w:val="clear" w:color="auto" w:fill="FFFFFF"/>
            <w:vAlign w:val="center"/>
          </w:tcPr>
          <w:p w14:paraId="42276D2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具有独立承担民事责任的能力；</w:t>
            </w:r>
          </w:p>
        </w:tc>
        <w:tc>
          <w:tcPr>
            <w:tcW w:w="2705" w:type="dxa"/>
            <w:gridSpan w:val="2"/>
            <w:vMerge w:val="restart"/>
            <w:shd w:val="clear" w:color="auto" w:fill="FFFFFF"/>
            <w:vAlign w:val="center"/>
          </w:tcPr>
          <w:p w14:paraId="5555AD38">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符合第</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val="en-US" w:eastAsia="zh-CN"/>
              </w:rPr>
              <w:t>招标公告</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投标人的资格要求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规定，且提供了招标文件要求提供的证明材料。</w:t>
            </w:r>
          </w:p>
        </w:tc>
      </w:tr>
      <w:tr w14:paraId="2278E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39" w:type="dxa"/>
            <w:vMerge w:val="continue"/>
            <w:shd w:val="clear" w:color="auto" w:fill="FFFFFF"/>
            <w:vAlign w:val="center"/>
          </w:tcPr>
          <w:p w14:paraId="7A4FE322">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618" w:type="dxa"/>
            <w:shd w:val="clear" w:color="auto" w:fill="FFFFFF"/>
            <w:vAlign w:val="center"/>
          </w:tcPr>
          <w:p w14:paraId="0A11751A">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1.2</w:t>
            </w:r>
          </w:p>
        </w:tc>
        <w:tc>
          <w:tcPr>
            <w:tcW w:w="5177" w:type="dxa"/>
            <w:shd w:val="clear" w:color="auto" w:fill="FFFFFF"/>
            <w:vAlign w:val="center"/>
          </w:tcPr>
          <w:p w14:paraId="2FFB51D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有良好的商业信誉和健全的财务会计制度；</w:t>
            </w:r>
          </w:p>
        </w:tc>
        <w:tc>
          <w:tcPr>
            <w:tcW w:w="2705" w:type="dxa"/>
            <w:gridSpan w:val="2"/>
            <w:vMerge w:val="continue"/>
            <w:shd w:val="clear" w:color="auto" w:fill="FFFFFF"/>
            <w:vAlign w:val="center"/>
          </w:tcPr>
          <w:p w14:paraId="2E0855A4">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r>
      <w:tr w14:paraId="0430A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67" w:hRule="atLeast"/>
          <w:jc w:val="center"/>
        </w:trPr>
        <w:tc>
          <w:tcPr>
            <w:tcW w:w="739" w:type="dxa"/>
            <w:vMerge w:val="continue"/>
            <w:shd w:val="clear" w:color="auto" w:fill="FFFFFF"/>
            <w:vAlign w:val="center"/>
          </w:tcPr>
          <w:p w14:paraId="40CEAB57">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618" w:type="dxa"/>
            <w:shd w:val="clear" w:color="auto" w:fill="FFFFFF"/>
            <w:vAlign w:val="center"/>
          </w:tcPr>
          <w:p w14:paraId="0B26A0DD">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1.3</w:t>
            </w:r>
          </w:p>
        </w:tc>
        <w:tc>
          <w:tcPr>
            <w:tcW w:w="5177" w:type="dxa"/>
            <w:shd w:val="clear" w:color="auto" w:fill="FFFFFF"/>
            <w:vAlign w:val="center"/>
          </w:tcPr>
          <w:p w14:paraId="0AAFAF6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具有履行合同所必需的设备和专业技术能力；</w:t>
            </w:r>
          </w:p>
        </w:tc>
        <w:tc>
          <w:tcPr>
            <w:tcW w:w="2705" w:type="dxa"/>
            <w:gridSpan w:val="2"/>
            <w:vMerge w:val="continue"/>
            <w:shd w:val="clear" w:color="auto" w:fill="FFFFFF"/>
            <w:vAlign w:val="center"/>
          </w:tcPr>
          <w:p w14:paraId="2B4AA287">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r>
      <w:tr w14:paraId="5C80F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567" w:hRule="atLeast"/>
          <w:jc w:val="center"/>
        </w:trPr>
        <w:tc>
          <w:tcPr>
            <w:tcW w:w="739" w:type="dxa"/>
            <w:vMerge w:val="continue"/>
            <w:shd w:val="clear" w:color="auto" w:fill="FFFFFF"/>
            <w:vAlign w:val="center"/>
          </w:tcPr>
          <w:p w14:paraId="171F682D">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618" w:type="dxa"/>
            <w:shd w:val="clear" w:color="auto" w:fill="FFFFFF"/>
            <w:vAlign w:val="center"/>
          </w:tcPr>
          <w:p w14:paraId="2E34708A">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1.4</w:t>
            </w:r>
          </w:p>
        </w:tc>
        <w:tc>
          <w:tcPr>
            <w:tcW w:w="5177" w:type="dxa"/>
            <w:shd w:val="clear" w:color="auto" w:fill="FFFFFF"/>
            <w:vAlign w:val="center"/>
          </w:tcPr>
          <w:p w14:paraId="320A516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有依法缴纳税收和社会保障资金的良好记录；</w:t>
            </w:r>
          </w:p>
        </w:tc>
        <w:tc>
          <w:tcPr>
            <w:tcW w:w="2705" w:type="dxa"/>
            <w:gridSpan w:val="2"/>
            <w:vMerge w:val="continue"/>
            <w:shd w:val="clear" w:color="auto" w:fill="FFFFFF"/>
            <w:vAlign w:val="center"/>
          </w:tcPr>
          <w:p w14:paraId="0023A029">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r>
      <w:tr w14:paraId="6FEC8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39" w:type="dxa"/>
            <w:vMerge w:val="continue"/>
            <w:shd w:val="clear" w:color="auto" w:fill="FFFFFF"/>
            <w:vAlign w:val="center"/>
          </w:tcPr>
          <w:p w14:paraId="07E784FB">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618" w:type="dxa"/>
            <w:shd w:val="clear" w:color="auto" w:fill="FFFFFF"/>
            <w:vAlign w:val="center"/>
          </w:tcPr>
          <w:p w14:paraId="4072F2CB">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1.5</w:t>
            </w:r>
          </w:p>
        </w:tc>
        <w:tc>
          <w:tcPr>
            <w:tcW w:w="5177" w:type="dxa"/>
            <w:shd w:val="clear" w:color="auto" w:fill="FFFFFF"/>
            <w:vAlign w:val="center"/>
          </w:tcPr>
          <w:p w14:paraId="448B83F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参加政府采购活动前三年内，在经营活动中没有重大违法记录</w:t>
            </w:r>
            <w:r>
              <w:rPr>
                <w:rFonts w:hint="eastAsia" w:ascii="仿宋" w:hAnsi="仿宋" w:eastAsia="仿宋" w:cs="仿宋"/>
                <w:color w:val="auto"/>
                <w:sz w:val="24"/>
                <w:szCs w:val="24"/>
                <w:highlight w:val="none"/>
              </w:rPr>
              <w:t>；（投标人自行承诺）</w:t>
            </w:r>
          </w:p>
        </w:tc>
        <w:tc>
          <w:tcPr>
            <w:tcW w:w="2705" w:type="dxa"/>
            <w:gridSpan w:val="2"/>
            <w:vMerge w:val="continue"/>
            <w:shd w:val="clear" w:color="auto" w:fill="FFFFFF"/>
            <w:vAlign w:val="center"/>
          </w:tcPr>
          <w:p w14:paraId="6D808AE0">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lang w:eastAsia="zh-CN"/>
              </w:rPr>
            </w:pPr>
          </w:p>
        </w:tc>
      </w:tr>
      <w:tr w14:paraId="04468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39" w:type="dxa"/>
            <w:vMerge w:val="continue"/>
            <w:shd w:val="clear" w:color="auto" w:fill="FFFFFF"/>
            <w:vAlign w:val="center"/>
          </w:tcPr>
          <w:p w14:paraId="4C80F591">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618" w:type="dxa"/>
            <w:shd w:val="clear" w:color="auto" w:fill="FFFFFF"/>
            <w:vAlign w:val="center"/>
          </w:tcPr>
          <w:p w14:paraId="245A1445">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w:t>
            </w:r>
          </w:p>
        </w:tc>
        <w:tc>
          <w:tcPr>
            <w:tcW w:w="5177" w:type="dxa"/>
            <w:shd w:val="clear" w:color="auto" w:fill="FFFFFF"/>
            <w:vAlign w:val="center"/>
          </w:tcPr>
          <w:p w14:paraId="6B0FCFFC">
            <w:pPr>
              <w:keepNext w:val="0"/>
              <w:keepLines w:val="0"/>
              <w:pageBreakBefore w:val="0"/>
              <w:widowControl w:val="0"/>
              <w:shd w:val="clear"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left"/>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法律、行政法规规定的其他条件；</w:t>
            </w:r>
          </w:p>
        </w:tc>
        <w:tc>
          <w:tcPr>
            <w:tcW w:w="2705" w:type="dxa"/>
            <w:gridSpan w:val="2"/>
            <w:vMerge w:val="continue"/>
            <w:shd w:val="clear" w:color="auto" w:fill="FFFFFF"/>
            <w:vAlign w:val="center"/>
          </w:tcPr>
          <w:p w14:paraId="4DBDC510">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2"/>
                <w:highlight w:val="none"/>
                <w:lang w:eastAsia="zh-CN"/>
              </w:rPr>
            </w:pPr>
          </w:p>
        </w:tc>
      </w:tr>
      <w:tr w14:paraId="5320C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567" w:hRule="atLeast"/>
          <w:jc w:val="center"/>
        </w:trPr>
        <w:tc>
          <w:tcPr>
            <w:tcW w:w="739" w:type="dxa"/>
            <w:vMerge w:val="continue"/>
            <w:shd w:val="clear" w:color="auto" w:fill="FFFFFF"/>
            <w:vAlign w:val="center"/>
          </w:tcPr>
          <w:p w14:paraId="197979E2">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5795" w:type="dxa"/>
            <w:gridSpan w:val="2"/>
            <w:shd w:val="clear" w:color="auto" w:fill="FFFFFF"/>
            <w:vAlign w:val="center"/>
          </w:tcPr>
          <w:p w14:paraId="65AFE889">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lef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2.落实政府采购政策需满足的资格要求</w:t>
            </w:r>
            <w:r>
              <w:rPr>
                <w:rFonts w:hint="eastAsia" w:ascii="仿宋" w:hAnsi="仿宋" w:eastAsia="仿宋" w:cs="仿宋"/>
                <w:b/>
                <w:bCs/>
                <w:color w:val="auto"/>
                <w:sz w:val="24"/>
                <w:highlight w:val="none"/>
                <w:lang w:eastAsia="zh-CN"/>
              </w:rPr>
              <w:t>。</w:t>
            </w:r>
          </w:p>
        </w:tc>
        <w:tc>
          <w:tcPr>
            <w:tcW w:w="2704" w:type="dxa"/>
            <w:vMerge w:val="continue"/>
            <w:shd w:val="clear" w:color="auto" w:fill="FFFFFF"/>
            <w:vAlign w:val="center"/>
          </w:tcPr>
          <w:p w14:paraId="4A396EA3">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left"/>
              <w:textAlignment w:val="auto"/>
              <w:rPr>
                <w:rFonts w:hint="eastAsia" w:ascii="仿宋" w:hAnsi="仿宋" w:eastAsia="仿宋" w:cs="仿宋"/>
                <w:b/>
                <w:bCs/>
                <w:color w:val="auto"/>
                <w:sz w:val="24"/>
                <w:highlight w:val="none"/>
              </w:rPr>
            </w:pPr>
          </w:p>
        </w:tc>
      </w:tr>
      <w:tr w14:paraId="3D77E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gridAfter w:val="1"/>
          <w:wAfter w:w="1" w:type="dxa"/>
          <w:trHeight w:val="567" w:hRule="atLeast"/>
          <w:jc w:val="center"/>
        </w:trPr>
        <w:tc>
          <w:tcPr>
            <w:tcW w:w="739" w:type="dxa"/>
            <w:vMerge w:val="continue"/>
            <w:shd w:val="clear" w:color="auto" w:fill="FFFFFF"/>
            <w:vAlign w:val="center"/>
          </w:tcPr>
          <w:p w14:paraId="21B73CC4">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5795" w:type="dxa"/>
            <w:gridSpan w:val="2"/>
            <w:shd w:val="clear" w:color="auto" w:fill="FFFFFF"/>
            <w:vAlign w:val="center"/>
          </w:tcPr>
          <w:p w14:paraId="628ED0B0">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left"/>
              <w:textAlignment w:val="auto"/>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3.本项目的特定资格要求</w:t>
            </w:r>
            <w:r>
              <w:rPr>
                <w:rFonts w:hint="eastAsia" w:ascii="仿宋" w:hAnsi="仿宋" w:eastAsia="仿宋" w:cs="仿宋"/>
                <w:b/>
                <w:bCs/>
                <w:color w:val="auto"/>
                <w:sz w:val="24"/>
                <w:highlight w:val="none"/>
                <w:lang w:eastAsia="zh-CN"/>
              </w:rPr>
              <w:t>。</w:t>
            </w:r>
          </w:p>
        </w:tc>
        <w:tc>
          <w:tcPr>
            <w:tcW w:w="2704" w:type="dxa"/>
            <w:vMerge w:val="continue"/>
            <w:shd w:val="clear" w:color="auto" w:fill="FFFFFF"/>
            <w:vAlign w:val="center"/>
          </w:tcPr>
          <w:p w14:paraId="33F19D6B">
            <w:pPr>
              <w:keepNext w:val="0"/>
              <w:keepLines w:val="0"/>
              <w:pageBreakBefore w:val="0"/>
              <w:widowControl w:val="0"/>
              <w:kinsoku/>
              <w:wordWrap/>
              <w:overflowPunct/>
              <w:topLinePunct w:val="0"/>
              <w:autoSpaceDE/>
              <w:autoSpaceDN/>
              <w:bidi w:val="0"/>
              <w:adjustRightInd/>
              <w:spacing w:beforeAutospacing="0" w:afterAutospacing="0" w:line="360" w:lineRule="auto"/>
              <w:ind w:left="0" w:leftChars="0" w:right="0" w:rightChars="0" w:firstLine="0" w:firstLineChars="0"/>
              <w:jc w:val="left"/>
              <w:textAlignment w:val="auto"/>
              <w:rPr>
                <w:rFonts w:hint="eastAsia" w:ascii="仿宋" w:hAnsi="仿宋" w:eastAsia="仿宋" w:cs="仿宋"/>
                <w:b/>
                <w:bCs/>
                <w:color w:val="auto"/>
                <w:sz w:val="24"/>
                <w:highlight w:val="none"/>
              </w:rPr>
            </w:pPr>
          </w:p>
        </w:tc>
      </w:tr>
    </w:tbl>
    <w:p w14:paraId="192D32A4">
      <w:pPr>
        <w:pStyle w:val="3"/>
        <w:pageBreakBefore w:val="0"/>
        <w:widowControl/>
        <w:shd w:val="clear"/>
        <w:topLinePunct w:val="0"/>
        <w:bidi w:val="0"/>
        <w:spacing w:beforeAutospacing="0" w:afterAutospacing="0" w:line="360" w:lineRule="auto"/>
        <w:ind w:left="0" w:leftChars="0" w:right="0" w:rightChars="0" w:firstLine="560" w:firstLineChars="200"/>
        <w:outlineLvl w:val="1"/>
        <w:rPr>
          <w:rFonts w:hint="eastAsia" w:ascii="仿宋" w:hAnsi="仿宋" w:eastAsia="仿宋" w:cs="仿宋"/>
          <w:color w:val="auto"/>
          <w:sz w:val="28"/>
          <w:szCs w:val="28"/>
          <w:highlight w:val="none"/>
        </w:rPr>
      </w:pPr>
      <w:bookmarkStart w:id="735" w:name="_Toc14087"/>
      <w:bookmarkStart w:id="736" w:name="_Toc26869"/>
      <w:r>
        <w:rPr>
          <w:rFonts w:hint="eastAsia" w:ascii="仿宋" w:hAnsi="仿宋" w:eastAsia="仿宋" w:cs="仿宋"/>
          <w:color w:val="auto"/>
          <w:sz w:val="28"/>
          <w:szCs w:val="28"/>
          <w:highlight w:val="none"/>
        </w:rPr>
        <w:t>1.资格审查</w:t>
      </w:r>
      <w:bookmarkEnd w:id="735"/>
      <w:bookmarkEnd w:id="736"/>
    </w:p>
    <w:p w14:paraId="2448AE60">
      <w:pPr>
        <w:pageBreakBefore w:val="0"/>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1.1开标结束后，</w:t>
      </w:r>
      <w:r>
        <w:rPr>
          <w:rFonts w:hint="eastAsia" w:ascii="仿宋" w:hAnsi="仿宋" w:eastAsia="仿宋" w:cs="仿宋"/>
          <w:color w:val="auto"/>
          <w:sz w:val="24"/>
          <w:szCs w:val="22"/>
          <w:highlight w:val="none"/>
          <w:lang w:eastAsia="zh-CN"/>
        </w:rPr>
        <w:t>招标人</w:t>
      </w:r>
      <w:r>
        <w:rPr>
          <w:rFonts w:hint="eastAsia" w:ascii="仿宋" w:hAnsi="仿宋" w:eastAsia="仿宋" w:cs="仿宋"/>
          <w:color w:val="auto"/>
          <w:sz w:val="24"/>
          <w:szCs w:val="22"/>
          <w:highlight w:val="none"/>
        </w:rPr>
        <w:t>或者采购代理机构将依法对投标人的资格进行审查，合格投标人不足3家的，不得评标。</w:t>
      </w:r>
    </w:p>
    <w:p w14:paraId="778F9878">
      <w:pPr>
        <w:pageBreakBefore w:val="0"/>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1.2</w:t>
      </w:r>
      <w:r>
        <w:rPr>
          <w:rFonts w:hint="eastAsia" w:ascii="仿宋" w:hAnsi="仿宋" w:eastAsia="仿宋" w:cs="仿宋"/>
          <w:color w:val="auto"/>
          <w:sz w:val="24"/>
          <w:szCs w:val="22"/>
          <w:highlight w:val="none"/>
          <w:lang w:eastAsia="zh-CN"/>
        </w:rPr>
        <w:t>招标人</w:t>
      </w:r>
      <w:r>
        <w:rPr>
          <w:rFonts w:hint="eastAsia" w:ascii="仿宋" w:hAnsi="仿宋" w:eastAsia="仿宋" w:cs="仿宋"/>
          <w:color w:val="auto"/>
          <w:sz w:val="24"/>
          <w:szCs w:val="22"/>
          <w:highlight w:val="none"/>
        </w:rPr>
        <w:t>或者采购代理机构按照招标文件第一章《招标公告》二、投标人资格要求的规定对投标人投标文件中资格证明文件及</w:t>
      </w:r>
      <w:r>
        <w:rPr>
          <w:rFonts w:hint="eastAsia" w:ascii="仿宋" w:hAnsi="仿宋" w:eastAsia="仿宋" w:cs="仿宋"/>
          <w:color w:val="auto"/>
          <w:sz w:val="24"/>
          <w:szCs w:val="22"/>
          <w:highlight w:val="none"/>
          <w:lang w:eastAsia="zh-CN"/>
        </w:rPr>
        <w:t>招标人</w:t>
      </w:r>
      <w:r>
        <w:rPr>
          <w:rFonts w:hint="eastAsia" w:ascii="仿宋" w:hAnsi="仿宋" w:eastAsia="仿宋" w:cs="仿宋"/>
          <w:color w:val="auto"/>
          <w:sz w:val="24"/>
          <w:szCs w:val="22"/>
          <w:highlight w:val="none"/>
        </w:rPr>
        <w:t>、采购代理机构通过互联网或者相关信息系统的查询结果进行审查。</w:t>
      </w:r>
    </w:p>
    <w:p w14:paraId="77527336">
      <w:pPr>
        <w:pageBreakBefore w:val="0"/>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1.3如投标人</w:t>
      </w:r>
      <w:r>
        <w:rPr>
          <w:rFonts w:hint="eastAsia" w:ascii="仿宋" w:hAnsi="仿宋" w:eastAsia="仿宋" w:cs="仿宋"/>
          <w:color w:val="auto"/>
          <w:sz w:val="24"/>
          <w:szCs w:val="22"/>
          <w:highlight w:val="none"/>
          <w:lang w:eastAsia="zh-CN"/>
        </w:rPr>
        <w:t>未</w:t>
      </w:r>
      <w:r>
        <w:rPr>
          <w:rFonts w:hint="eastAsia" w:ascii="仿宋" w:hAnsi="仿宋" w:eastAsia="仿宋" w:cs="仿宋"/>
          <w:color w:val="auto"/>
          <w:sz w:val="24"/>
          <w:szCs w:val="22"/>
          <w:highlight w:val="none"/>
        </w:rPr>
        <w:t xml:space="preserve">满足投标人资格要求提供虚假材料，一经查实，视为未实质性响应招标文件，投标人投标文件将按无效处理。 </w:t>
      </w:r>
    </w:p>
    <w:p w14:paraId="4AA501D9">
      <w:pPr>
        <w:pageBreakBefore w:val="0"/>
        <w:topLinePunct w:val="0"/>
        <w:bidi w:val="0"/>
        <w:spacing w:beforeAutospacing="0" w:afterAutospacing="0" w:line="360" w:lineRule="auto"/>
        <w:ind w:left="0" w:leftChars="0" w:right="0" w:rightChars="0" w:firstLine="480" w:firstLineChars="200"/>
        <w:jc w:val="left"/>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1.4</w:t>
      </w:r>
      <w:r>
        <w:rPr>
          <w:rFonts w:hint="eastAsia" w:ascii="仿宋" w:hAnsi="仿宋" w:eastAsia="仿宋" w:cs="仿宋"/>
          <w:color w:val="auto"/>
          <w:sz w:val="24"/>
          <w:szCs w:val="22"/>
          <w:highlight w:val="none"/>
          <w:lang w:eastAsia="zh-CN"/>
        </w:rPr>
        <w:t>招标人</w:t>
      </w:r>
      <w:r>
        <w:rPr>
          <w:rFonts w:hint="eastAsia" w:ascii="仿宋" w:hAnsi="仿宋" w:eastAsia="仿宋" w:cs="仿宋"/>
          <w:color w:val="auto"/>
          <w:sz w:val="24"/>
          <w:szCs w:val="22"/>
          <w:highlight w:val="none"/>
        </w:rPr>
        <w:t>或者采购代理机构在资格审查过程中发现投标人有一项不符合上述规定的，该投标文件按无效投标处理。</w:t>
      </w:r>
    </w:p>
    <w:p w14:paraId="7827C19A">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14:paraId="66815D2A">
      <w:pPr>
        <w:pageBreakBefore w:val="0"/>
        <w:topLinePunct w:val="0"/>
        <w:bidi w:val="0"/>
        <w:spacing w:beforeAutospacing="0" w:afterAutospacing="0" w:line="360" w:lineRule="auto"/>
        <w:ind w:left="0" w:leftChars="0" w:right="0" w:rightChars="0" w:firstLine="420" w:firstLineChars="200"/>
        <w:rPr>
          <w:rFonts w:hint="eastAsia" w:ascii="仿宋" w:hAnsi="仿宋" w:eastAsia="仿宋" w:cs="仿宋"/>
          <w:color w:val="auto"/>
          <w:lang w:val="en-US" w:eastAsia="zh-CN"/>
        </w:rPr>
      </w:pPr>
    </w:p>
    <w:p w14:paraId="58E03E12">
      <w:pPr>
        <w:pStyle w:val="2"/>
        <w:pageBreakBefore w:val="0"/>
        <w:shd w:val="clear"/>
        <w:topLinePunct w:val="0"/>
        <w:bidi w:val="0"/>
        <w:spacing w:beforeAutospacing="0" w:afterAutospacing="0" w:line="360" w:lineRule="auto"/>
        <w:ind w:left="0" w:leftChars="0" w:right="0" w:rightChars="0" w:firstLine="883" w:firstLineChars="200"/>
        <w:outlineLvl w:val="0"/>
        <w:rPr>
          <w:rFonts w:hint="eastAsia" w:ascii="仿宋" w:hAnsi="仿宋" w:eastAsia="仿宋" w:cs="仿宋"/>
          <w:color w:val="auto"/>
          <w:highlight w:val="none"/>
          <w:lang w:eastAsia="zh-CN"/>
        </w:rPr>
      </w:pPr>
      <w:bookmarkStart w:id="737" w:name="_Toc24775"/>
      <w:bookmarkStart w:id="738" w:name="_Toc26200"/>
      <w:r>
        <w:rPr>
          <w:rFonts w:hint="eastAsia" w:ascii="仿宋" w:hAnsi="仿宋" w:eastAsia="仿宋" w:cs="仿宋"/>
          <w:color w:val="auto"/>
          <w:highlight w:val="none"/>
          <w:lang w:eastAsia="zh-CN"/>
        </w:rPr>
        <w:t>第</w:t>
      </w:r>
      <w:r>
        <w:rPr>
          <w:rFonts w:hint="eastAsia" w:ascii="仿宋" w:hAnsi="仿宋" w:eastAsia="仿宋" w:cs="仿宋"/>
          <w:color w:val="auto"/>
          <w:highlight w:val="none"/>
          <w:lang w:val="en-US" w:eastAsia="zh-CN"/>
        </w:rPr>
        <w:t>七</w:t>
      </w:r>
      <w:r>
        <w:rPr>
          <w:rFonts w:hint="eastAsia" w:ascii="仿宋" w:hAnsi="仿宋" w:eastAsia="仿宋" w:cs="仿宋"/>
          <w:color w:val="auto"/>
          <w:highlight w:val="none"/>
          <w:lang w:eastAsia="zh-CN"/>
        </w:rPr>
        <w:t>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评标办法</w:t>
      </w:r>
      <w:bookmarkEnd w:id="609"/>
      <w:bookmarkEnd w:id="682"/>
      <w:bookmarkEnd w:id="683"/>
      <w:bookmarkEnd w:id="684"/>
      <w:bookmarkEnd w:id="685"/>
      <w:bookmarkEnd w:id="737"/>
      <w:bookmarkEnd w:id="738"/>
    </w:p>
    <w:p w14:paraId="6A0D2112">
      <w:pPr>
        <w:pStyle w:val="3"/>
        <w:pageBreakBefore w:val="0"/>
        <w:widowControl/>
        <w:shd w:val="clear"/>
        <w:topLinePunct w:val="0"/>
        <w:bidi w:val="0"/>
        <w:spacing w:beforeAutospacing="0" w:afterAutospacing="0" w:line="360" w:lineRule="auto"/>
        <w:ind w:left="0" w:leftChars="0" w:right="0" w:rightChars="0" w:firstLine="560" w:firstLineChars="200"/>
        <w:outlineLvl w:val="1"/>
        <w:rPr>
          <w:rFonts w:hint="eastAsia" w:ascii="仿宋" w:hAnsi="仿宋" w:eastAsia="仿宋" w:cs="仿宋"/>
          <w:color w:val="auto"/>
          <w:highlight w:val="none"/>
        </w:rPr>
      </w:pPr>
      <w:bookmarkStart w:id="739" w:name="_Toc1740"/>
      <w:bookmarkStart w:id="740" w:name="_Toc26096"/>
      <w:bookmarkStart w:id="741" w:name="_Toc43719848"/>
      <w:bookmarkStart w:id="742" w:name="_Toc11688"/>
      <w:bookmarkStart w:id="743" w:name="_Toc213141119"/>
      <w:bookmarkStart w:id="744" w:name="_Toc26394"/>
      <w:bookmarkStart w:id="745" w:name="_Toc1551"/>
      <w:bookmarkStart w:id="746" w:name="_Toc42455032"/>
      <w:bookmarkStart w:id="747" w:name="_Toc1781"/>
      <w:bookmarkStart w:id="748" w:name="_Toc11454497"/>
      <w:bookmarkStart w:id="749" w:name="_Toc427081174"/>
      <w:bookmarkStart w:id="750" w:name="_Toc10305053"/>
      <w:bookmarkStart w:id="751" w:name="_Toc2349844"/>
      <w:bookmarkStart w:id="752" w:name="_Toc4629729"/>
      <w:r>
        <w:rPr>
          <w:rFonts w:hint="eastAsia" w:ascii="仿宋" w:hAnsi="仿宋" w:eastAsia="仿宋" w:cs="仿宋"/>
          <w:color w:val="auto"/>
          <w:sz w:val="28"/>
          <w:szCs w:val="28"/>
          <w:highlight w:val="none"/>
        </w:rPr>
        <w:t>评标办法前附表</w:t>
      </w:r>
      <w:bookmarkEnd w:id="739"/>
      <w:bookmarkEnd w:id="740"/>
      <w:bookmarkEnd w:id="741"/>
      <w:bookmarkEnd w:id="742"/>
      <w:bookmarkEnd w:id="743"/>
      <w:bookmarkEnd w:id="744"/>
      <w:bookmarkEnd w:id="745"/>
      <w:bookmarkEnd w:id="746"/>
      <w:bookmarkEnd w:id="747"/>
      <w:bookmarkEnd w:id="748"/>
    </w:p>
    <w:tbl>
      <w:tblPr>
        <w:tblStyle w:val="28"/>
        <w:tblW w:w="10138"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2"/>
        <w:gridCol w:w="795"/>
        <w:gridCol w:w="1965"/>
        <w:gridCol w:w="6786"/>
      </w:tblGrid>
      <w:tr w14:paraId="40668CBE">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2" w:hRule="exact"/>
          <w:tblHeader/>
          <w:jc w:val="center"/>
        </w:trPr>
        <w:tc>
          <w:tcPr>
            <w:tcW w:w="1387" w:type="dxa"/>
            <w:gridSpan w:val="2"/>
            <w:tcBorders>
              <w:top w:val="thinThickSmallGap" w:color="auto" w:sz="12" w:space="0"/>
              <w:left w:val="thinThickSmallGap" w:color="auto" w:sz="12" w:space="0"/>
              <w:bottom w:val="single" w:color="auto" w:sz="4" w:space="0"/>
              <w:right w:val="single" w:color="auto" w:sz="4" w:space="0"/>
            </w:tcBorders>
            <w:shd w:val="clear" w:color="auto" w:fill="auto"/>
            <w:vAlign w:val="center"/>
          </w:tcPr>
          <w:p w14:paraId="09B22066">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1965" w:type="dxa"/>
            <w:tcBorders>
              <w:top w:val="thinThickSmallGap" w:color="auto" w:sz="12" w:space="0"/>
              <w:left w:val="single" w:color="auto" w:sz="4" w:space="0"/>
              <w:bottom w:val="single" w:color="auto" w:sz="4" w:space="0"/>
              <w:right w:val="single" w:color="auto" w:sz="4" w:space="0"/>
            </w:tcBorders>
            <w:shd w:val="clear" w:color="auto" w:fill="auto"/>
            <w:vAlign w:val="center"/>
          </w:tcPr>
          <w:p w14:paraId="277EDDE0">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c>
          <w:tcPr>
            <w:tcW w:w="6786" w:type="dxa"/>
            <w:tcBorders>
              <w:top w:val="thinThickSmallGap" w:color="auto" w:sz="12" w:space="0"/>
              <w:left w:val="single" w:color="auto" w:sz="4" w:space="0"/>
              <w:bottom w:val="single" w:color="auto" w:sz="4" w:space="0"/>
              <w:right w:val="thickThinSmallGap" w:color="auto" w:sz="12" w:space="0"/>
            </w:tcBorders>
            <w:shd w:val="clear" w:color="auto" w:fill="auto"/>
            <w:vAlign w:val="center"/>
          </w:tcPr>
          <w:p w14:paraId="43F4620E">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评审标准</w:t>
            </w:r>
          </w:p>
        </w:tc>
      </w:tr>
      <w:tr w14:paraId="1F08F362">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622" w:hRule="exact"/>
          <w:jc w:val="center"/>
        </w:trPr>
        <w:tc>
          <w:tcPr>
            <w:tcW w:w="592" w:type="dxa"/>
            <w:vMerge w:val="restart"/>
            <w:tcBorders>
              <w:top w:val="single" w:color="auto" w:sz="4" w:space="0"/>
              <w:left w:val="thinThickSmallGap" w:color="auto" w:sz="12" w:space="0"/>
              <w:right w:val="single" w:color="auto" w:sz="4" w:space="0"/>
            </w:tcBorders>
            <w:shd w:val="clear" w:color="auto" w:fill="auto"/>
            <w:vAlign w:val="center"/>
          </w:tcPr>
          <w:p w14:paraId="228EB80A">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c>
          <w:tcPr>
            <w:tcW w:w="795" w:type="dxa"/>
            <w:vMerge w:val="restart"/>
            <w:tcBorders>
              <w:top w:val="single" w:color="auto" w:sz="4" w:space="0"/>
              <w:left w:val="single" w:color="auto" w:sz="4" w:space="0"/>
              <w:right w:val="single" w:color="auto" w:sz="4" w:space="0"/>
            </w:tcBorders>
            <w:shd w:val="clear" w:color="auto" w:fill="auto"/>
            <w:vAlign w:val="center"/>
          </w:tcPr>
          <w:p w14:paraId="63F3F70E">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w:t>
            </w:r>
          </w:p>
          <w:p w14:paraId="506E3308">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w:t>
            </w:r>
          </w:p>
          <w:p w14:paraId="05B1F50B">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7A9D5E0D">
            <w:pPr>
              <w:keepNext w:val="0"/>
              <w:keepLines w:val="0"/>
              <w:pageBreakBefore w:val="0"/>
              <w:widowControl w:val="0"/>
              <w:shd w:val="clear" w:fill="FFFFFF" w:themeFill="background1"/>
              <w:kinsoku/>
              <w:wordWrap/>
              <w:overflowPunct/>
              <w:topLinePunct w:val="0"/>
              <w:autoSpaceDE/>
              <w:autoSpaceDN/>
              <w:bidi w:val="0"/>
              <w:adjustRightIn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开标一览表</w:t>
            </w:r>
          </w:p>
        </w:tc>
        <w:tc>
          <w:tcPr>
            <w:tcW w:w="6786" w:type="dxa"/>
            <w:tcBorders>
              <w:top w:val="single" w:color="auto" w:sz="4" w:space="0"/>
              <w:left w:val="single" w:color="auto" w:sz="4" w:space="0"/>
              <w:bottom w:val="single" w:color="auto" w:sz="4" w:space="0"/>
              <w:right w:val="thickThinSmallGap" w:color="auto" w:sz="12" w:space="0"/>
            </w:tcBorders>
            <w:shd w:val="clear" w:color="auto" w:fill="auto"/>
            <w:vAlign w:val="center"/>
          </w:tcPr>
          <w:p w14:paraId="0346E090">
            <w:pPr>
              <w:keepNext w:val="0"/>
              <w:keepLines w:val="0"/>
              <w:pageBreakBefore w:val="0"/>
              <w:widowControl w:val="0"/>
              <w:shd w:val="clear" w:fill="FFFFFF" w:themeFill="background1"/>
              <w:kinsoku/>
              <w:wordWrap/>
              <w:overflowPunct/>
              <w:topLinePunct w:val="0"/>
              <w:autoSpaceDE/>
              <w:autoSpaceDN/>
              <w:bidi w:val="0"/>
              <w:adjustRightInd/>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报价未超过采购预算</w:t>
            </w:r>
            <w:r>
              <w:rPr>
                <w:rFonts w:hint="eastAsia" w:ascii="仿宋" w:hAnsi="仿宋" w:eastAsia="仿宋" w:cs="仿宋"/>
                <w:color w:val="auto"/>
                <w:sz w:val="24"/>
                <w:szCs w:val="24"/>
                <w:highlight w:val="none"/>
                <w:lang w:val="en-US" w:eastAsia="zh-CN"/>
              </w:rPr>
              <w:t>限价并符合招标文件要求</w:t>
            </w:r>
            <w:r>
              <w:rPr>
                <w:rFonts w:hint="eastAsia" w:ascii="仿宋" w:hAnsi="仿宋" w:eastAsia="仿宋" w:cs="仿宋"/>
                <w:color w:val="auto"/>
                <w:sz w:val="24"/>
                <w:szCs w:val="24"/>
                <w:highlight w:val="none"/>
              </w:rPr>
              <w:t>。</w:t>
            </w:r>
          </w:p>
        </w:tc>
      </w:tr>
      <w:tr w14:paraId="5D563337">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757" w:hRule="exact"/>
          <w:jc w:val="center"/>
        </w:trPr>
        <w:tc>
          <w:tcPr>
            <w:tcW w:w="592" w:type="dxa"/>
            <w:vMerge w:val="continue"/>
            <w:tcBorders>
              <w:left w:val="thinThickSmallGap" w:color="auto" w:sz="12" w:space="0"/>
              <w:right w:val="single" w:color="auto" w:sz="4" w:space="0"/>
            </w:tcBorders>
            <w:shd w:val="clear" w:color="auto" w:fill="auto"/>
            <w:vAlign w:val="center"/>
          </w:tcPr>
          <w:p w14:paraId="3C39AB24">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795" w:type="dxa"/>
            <w:vMerge w:val="continue"/>
            <w:tcBorders>
              <w:left w:val="single" w:color="auto" w:sz="4" w:space="0"/>
              <w:right w:val="single" w:color="auto" w:sz="4" w:space="0"/>
            </w:tcBorders>
            <w:shd w:val="clear" w:color="auto" w:fill="auto"/>
            <w:vAlign w:val="center"/>
          </w:tcPr>
          <w:p w14:paraId="4A68ABB0">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7A2DB60E">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投标文件签署</w:t>
            </w:r>
          </w:p>
        </w:tc>
        <w:tc>
          <w:tcPr>
            <w:tcW w:w="6786" w:type="dxa"/>
            <w:tcBorders>
              <w:top w:val="single" w:color="auto" w:sz="4" w:space="0"/>
              <w:left w:val="single" w:color="auto" w:sz="4" w:space="0"/>
              <w:bottom w:val="single" w:color="auto" w:sz="4" w:space="0"/>
              <w:right w:val="thickThinSmallGap" w:color="auto" w:sz="12" w:space="0"/>
            </w:tcBorders>
            <w:shd w:val="clear" w:color="auto" w:fill="auto"/>
            <w:vAlign w:val="center"/>
          </w:tcPr>
          <w:p w14:paraId="737EAD21">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符合招标文件规定的格式及内容，有法定代表人或其委托代理人电子签章</w:t>
            </w:r>
            <w:r>
              <w:rPr>
                <w:rFonts w:hint="eastAsia" w:ascii="仿宋" w:hAnsi="仿宋" w:eastAsia="仿宋" w:cs="仿宋"/>
                <w:color w:val="auto"/>
                <w:sz w:val="24"/>
                <w:szCs w:val="24"/>
                <w:highlight w:val="none"/>
                <w:lang w:val="en-US" w:eastAsia="zh-CN"/>
              </w:rPr>
              <w:t>或签字</w:t>
            </w:r>
            <w:r>
              <w:rPr>
                <w:rFonts w:hint="eastAsia" w:ascii="仿宋" w:hAnsi="仿宋" w:eastAsia="仿宋" w:cs="仿宋"/>
                <w:color w:val="auto"/>
                <w:sz w:val="24"/>
                <w:szCs w:val="24"/>
                <w:highlight w:val="none"/>
              </w:rPr>
              <w:t>，并</w:t>
            </w:r>
            <w:r>
              <w:rPr>
                <w:rFonts w:hint="eastAsia" w:ascii="仿宋" w:hAnsi="仿宋" w:eastAsia="仿宋" w:cs="仿宋"/>
                <w:color w:val="auto"/>
                <w:sz w:val="24"/>
                <w:szCs w:val="24"/>
                <w:highlight w:val="none"/>
                <w:lang w:val="en-US" w:eastAsia="zh-CN"/>
              </w:rPr>
              <w:t>有</w:t>
            </w:r>
            <w:r>
              <w:rPr>
                <w:rFonts w:hint="eastAsia" w:ascii="仿宋" w:hAnsi="仿宋" w:eastAsia="仿宋" w:cs="仿宋"/>
                <w:color w:val="auto"/>
                <w:sz w:val="24"/>
                <w:szCs w:val="24"/>
                <w:highlight w:val="none"/>
              </w:rPr>
              <w:t>单位</w:t>
            </w:r>
            <w:r>
              <w:rPr>
                <w:rFonts w:hint="eastAsia" w:ascii="仿宋" w:hAnsi="仿宋" w:eastAsia="仿宋" w:cs="仿宋"/>
                <w:color w:val="auto"/>
                <w:sz w:val="24"/>
                <w:szCs w:val="24"/>
                <w:highlight w:val="none"/>
                <w:lang w:eastAsia="zh-CN"/>
              </w:rPr>
              <w:t>电子签章</w:t>
            </w:r>
            <w:r>
              <w:rPr>
                <w:rFonts w:hint="eastAsia" w:ascii="仿宋" w:hAnsi="仿宋" w:eastAsia="仿宋" w:cs="仿宋"/>
                <w:color w:val="auto"/>
                <w:sz w:val="24"/>
                <w:szCs w:val="24"/>
                <w:highlight w:val="none"/>
              </w:rPr>
              <w:t>。</w:t>
            </w:r>
          </w:p>
        </w:tc>
      </w:tr>
      <w:tr w14:paraId="204CD382">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92" w:type="dxa"/>
            <w:vMerge w:val="continue"/>
            <w:tcBorders>
              <w:left w:val="thinThickSmallGap" w:color="auto" w:sz="12" w:space="0"/>
              <w:right w:val="single" w:color="auto" w:sz="4" w:space="0"/>
            </w:tcBorders>
            <w:shd w:val="clear" w:color="auto" w:fill="auto"/>
            <w:vAlign w:val="center"/>
          </w:tcPr>
          <w:p w14:paraId="185396B2">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795" w:type="dxa"/>
            <w:vMerge w:val="continue"/>
            <w:tcBorders>
              <w:left w:val="single" w:color="auto" w:sz="4" w:space="0"/>
              <w:right w:val="single" w:color="auto" w:sz="4" w:space="0"/>
            </w:tcBorders>
            <w:shd w:val="clear" w:color="auto" w:fill="auto"/>
            <w:vAlign w:val="center"/>
          </w:tcPr>
          <w:p w14:paraId="55FACF02">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56CA6B1E">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授权书</w:t>
            </w:r>
          </w:p>
        </w:tc>
        <w:tc>
          <w:tcPr>
            <w:tcW w:w="6786" w:type="dxa"/>
            <w:tcBorders>
              <w:top w:val="single" w:color="auto" w:sz="4" w:space="0"/>
              <w:left w:val="single" w:color="auto" w:sz="4" w:space="0"/>
              <w:bottom w:val="single" w:color="auto" w:sz="4" w:space="0"/>
              <w:right w:val="thickThinSmallGap" w:color="auto" w:sz="12" w:space="0"/>
            </w:tcBorders>
            <w:shd w:val="clear" w:color="auto" w:fill="auto"/>
            <w:vAlign w:val="center"/>
          </w:tcPr>
          <w:p w14:paraId="69CB3CB8">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委托代理人投标</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授权书。</w:t>
            </w:r>
          </w:p>
        </w:tc>
      </w:tr>
      <w:tr w14:paraId="61AA63DD">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751" w:hRule="exact"/>
          <w:jc w:val="center"/>
        </w:trPr>
        <w:tc>
          <w:tcPr>
            <w:tcW w:w="592" w:type="dxa"/>
            <w:vMerge w:val="continue"/>
            <w:tcBorders>
              <w:left w:val="thinThickSmallGap" w:color="auto" w:sz="12" w:space="0"/>
              <w:right w:val="single" w:color="auto" w:sz="4" w:space="0"/>
            </w:tcBorders>
            <w:shd w:val="clear" w:color="auto" w:fill="auto"/>
            <w:vAlign w:val="center"/>
          </w:tcPr>
          <w:p w14:paraId="35246FC8">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795" w:type="dxa"/>
            <w:vMerge w:val="continue"/>
            <w:tcBorders>
              <w:left w:val="single" w:color="auto" w:sz="4" w:space="0"/>
              <w:right w:val="single" w:color="auto" w:sz="4" w:space="0"/>
            </w:tcBorders>
            <w:shd w:val="clear" w:color="auto" w:fill="auto"/>
            <w:vAlign w:val="center"/>
          </w:tcPr>
          <w:p w14:paraId="06CDAFB3">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68DB92C8">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不能接受的条款</w:t>
            </w:r>
          </w:p>
        </w:tc>
        <w:tc>
          <w:tcPr>
            <w:tcW w:w="6786" w:type="dxa"/>
            <w:tcBorders>
              <w:top w:val="single" w:color="auto" w:sz="4" w:space="0"/>
              <w:left w:val="single" w:color="auto" w:sz="4" w:space="0"/>
              <w:bottom w:val="single" w:color="auto" w:sz="4" w:space="0"/>
              <w:right w:val="thickThinSmallGap" w:color="auto" w:sz="12" w:space="0"/>
            </w:tcBorders>
            <w:shd w:val="clear" w:color="auto" w:fill="auto"/>
            <w:vAlign w:val="center"/>
          </w:tcPr>
          <w:p w14:paraId="1CE5EC50">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投标文件没有</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不能接受的条件。</w:t>
            </w:r>
          </w:p>
        </w:tc>
      </w:tr>
      <w:tr w14:paraId="0E7282C3">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751" w:hRule="exact"/>
          <w:jc w:val="center"/>
        </w:trPr>
        <w:tc>
          <w:tcPr>
            <w:tcW w:w="592" w:type="dxa"/>
            <w:vMerge w:val="continue"/>
            <w:tcBorders>
              <w:left w:val="thinThickSmallGap" w:color="auto" w:sz="12" w:space="0"/>
              <w:right w:val="single" w:color="auto" w:sz="4" w:space="0"/>
            </w:tcBorders>
            <w:shd w:val="clear" w:color="auto" w:fill="auto"/>
            <w:vAlign w:val="center"/>
          </w:tcPr>
          <w:p w14:paraId="1E4C5BF5">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795" w:type="dxa"/>
            <w:vMerge w:val="continue"/>
            <w:tcBorders>
              <w:left w:val="single" w:color="auto" w:sz="4" w:space="0"/>
              <w:right w:val="single" w:color="auto" w:sz="4" w:space="0"/>
            </w:tcBorders>
            <w:shd w:val="clear" w:color="auto" w:fill="auto"/>
            <w:vAlign w:val="center"/>
          </w:tcPr>
          <w:p w14:paraId="747694D0">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08BDD40E">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投标保证金</w:t>
            </w:r>
          </w:p>
        </w:tc>
        <w:tc>
          <w:tcPr>
            <w:tcW w:w="6786" w:type="dxa"/>
            <w:tcBorders>
              <w:top w:val="single" w:color="auto" w:sz="4" w:space="0"/>
              <w:left w:val="single" w:color="auto" w:sz="4" w:space="0"/>
              <w:bottom w:val="single" w:color="auto" w:sz="4" w:space="0"/>
              <w:right w:val="thickThinSmallGap" w:color="auto" w:sz="12" w:space="0"/>
            </w:tcBorders>
            <w:shd w:val="clear" w:color="auto" w:fill="auto"/>
            <w:vAlign w:val="center"/>
          </w:tcPr>
          <w:p w14:paraId="2E82952E">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未按照招标文件要求缴纳投标保证金的，则符合性评审不通过。</w:t>
            </w:r>
          </w:p>
        </w:tc>
      </w:tr>
      <w:tr w14:paraId="278997A9">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1258" w:hRule="exact"/>
          <w:jc w:val="center"/>
        </w:trPr>
        <w:tc>
          <w:tcPr>
            <w:tcW w:w="592" w:type="dxa"/>
            <w:vMerge w:val="continue"/>
            <w:tcBorders>
              <w:left w:val="thinThickSmallGap" w:color="auto" w:sz="12" w:space="0"/>
              <w:right w:val="single" w:color="auto" w:sz="4" w:space="0"/>
            </w:tcBorders>
            <w:shd w:val="clear" w:color="auto" w:fill="auto"/>
            <w:vAlign w:val="center"/>
          </w:tcPr>
          <w:p w14:paraId="46B812CB">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795" w:type="dxa"/>
            <w:vMerge w:val="continue"/>
            <w:tcBorders>
              <w:left w:val="single" w:color="auto" w:sz="4" w:space="0"/>
              <w:right w:val="single" w:color="auto" w:sz="4" w:space="0"/>
            </w:tcBorders>
            <w:shd w:val="clear" w:color="auto" w:fill="auto"/>
            <w:vAlign w:val="center"/>
          </w:tcPr>
          <w:p w14:paraId="60F85524">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6519123E">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投标人具备参加政府采购活动条件承诺书</w:t>
            </w:r>
          </w:p>
        </w:tc>
        <w:tc>
          <w:tcPr>
            <w:tcW w:w="6786" w:type="dxa"/>
            <w:tcBorders>
              <w:top w:val="single" w:color="auto" w:sz="4" w:space="0"/>
              <w:left w:val="single" w:color="auto" w:sz="4" w:space="0"/>
              <w:bottom w:val="single" w:color="auto" w:sz="4" w:space="0"/>
              <w:right w:val="thickThinSmallGap" w:color="auto" w:sz="12" w:space="0"/>
            </w:tcBorders>
            <w:shd w:val="clear" w:color="auto" w:fill="auto"/>
            <w:vAlign w:val="center"/>
          </w:tcPr>
          <w:p w14:paraId="32D09584">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投标文件附有投标人具备参加政府采购活动条件承诺书。</w:t>
            </w:r>
          </w:p>
        </w:tc>
      </w:tr>
      <w:tr w14:paraId="080C48D8">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985" w:hRule="exact"/>
          <w:jc w:val="center"/>
        </w:trPr>
        <w:tc>
          <w:tcPr>
            <w:tcW w:w="592" w:type="dxa"/>
            <w:vMerge w:val="continue"/>
            <w:tcBorders>
              <w:left w:val="thinThickSmallGap" w:color="auto" w:sz="12" w:space="0"/>
              <w:bottom w:val="thickThinSmallGap" w:color="auto" w:sz="12" w:space="0"/>
              <w:right w:val="single" w:color="auto" w:sz="4" w:space="0"/>
            </w:tcBorders>
            <w:shd w:val="clear" w:color="auto" w:fill="auto"/>
            <w:vAlign w:val="center"/>
          </w:tcPr>
          <w:p w14:paraId="0AFFC5F3">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795" w:type="dxa"/>
            <w:vMerge w:val="continue"/>
            <w:tcBorders>
              <w:left w:val="single" w:color="auto" w:sz="4" w:space="0"/>
              <w:bottom w:val="thickThinSmallGap" w:color="auto" w:sz="12" w:space="0"/>
              <w:right w:val="single" w:color="auto" w:sz="4" w:space="0"/>
            </w:tcBorders>
            <w:shd w:val="clear" w:color="auto" w:fill="auto"/>
            <w:vAlign w:val="center"/>
          </w:tcPr>
          <w:p w14:paraId="7C076013">
            <w:pPr>
              <w:keepNext w:val="0"/>
              <w:keepLines w:val="0"/>
              <w:pageBreakBefore w:val="0"/>
              <w:widowControl w:val="0"/>
              <w:shd w:val="clear"/>
              <w:kinsoku/>
              <w:wordWrap/>
              <w:overflowPunct/>
              <w:topLinePunct w:val="0"/>
              <w:autoSpaceDE/>
              <w:autoSpaceDN/>
              <w:bidi w:val="0"/>
              <w:adjustRightInd/>
              <w:spacing w:beforeAutospacing="0" w:afterAutospacing="0" w:line="360" w:lineRule="auto"/>
              <w:ind w:left="0" w:leftChars="0" w:right="0" w:rightChars="0" w:firstLine="0" w:firstLineChars="0"/>
              <w:textAlignment w:val="auto"/>
              <w:rPr>
                <w:rFonts w:hint="eastAsia" w:ascii="仿宋" w:hAnsi="仿宋" w:eastAsia="仿宋" w:cs="仿宋"/>
                <w:color w:val="auto"/>
                <w:sz w:val="24"/>
                <w:szCs w:val="24"/>
                <w:highlight w:val="none"/>
              </w:rPr>
            </w:pPr>
          </w:p>
        </w:tc>
        <w:tc>
          <w:tcPr>
            <w:tcW w:w="1965" w:type="dxa"/>
            <w:tcBorders>
              <w:top w:val="single" w:color="auto" w:sz="4" w:space="0"/>
              <w:left w:val="single" w:color="auto" w:sz="4" w:space="0"/>
              <w:bottom w:val="thickThinSmallGap" w:color="auto" w:sz="12" w:space="0"/>
              <w:right w:val="single" w:color="auto" w:sz="4" w:space="0"/>
            </w:tcBorders>
            <w:shd w:val="clear" w:color="auto" w:fill="auto"/>
            <w:vAlign w:val="center"/>
          </w:tcPr>
          <w:p w14:paraId="1D6B07AA">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其他实质性要求</w:t>
            </w:r>
          </w:p>
        </w:tc>
        <w:tc>
          <w:tcPr>
            <w:tcW w:w="6786" w:type="dxa"/>
            <w:tcBorders>
              <w:top w:val="single" w:color="auto" w:sz="4" w:space="0"/>
              <w:left w:val="single" w:color="auto" w:sz="4" w:space="0"/>
              <w:bottom w:val="thickThinSmallGap" w:color="auto" w:sz="12" w:space="0"/>
              <w:right w:val="thickThinSmallGap" w:color="auto" w:sz="12" w:space="0"/>
            </w:tcBorders>
            <w:shd w:val="clear" w:color="auto" w:fill="auto"/>
            <w:vAlign w:val="center"/>
          </w:tcPr>
          <w:p w14:paraId="0C09F6D5">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未出现不符合</w:t>
            </w: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和招标文件中规定的其他实质性要求。</w:t>
            </w:r>
          </w:p>
          <w:p w14:paraId="2FC9F201">
            <w:pPr>
              <w:keepNext w:val="0"/>
              <w:keepLines w:val="0"/>
              <w:pageBreakBefore w:val="0"/>
              <w:widowControl w:val="0"/>
              <w:shd w:val="clear" w:fill="FFFFFF" w:themeFill="background1"/>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招标文件中标注“■”为本项目的实质性要求。</w:t>
            </w:r>
          </w:p>
        </w:tc>
      </w:tr>
    </w:tbl>
    <w:p w14:paraId="687A4130">
      <w:pPr>
        <w:pageBreakBefore w:val="0"/>
        <w:shd w:val="clear"/>
        <w:topLinePunct w:val="0"/>
        <w:bidi w:val="0"/>
        <w:spacing w:beforeAutospacing="0" w:afterAutospacing="0" w:line="360" w:lineRule="auto"/>
        <w:ind w:left="0" w:leftChars="0" w:right="0" w:rightChars="0" w:firstLine="420" w:firstLineChars="200"/>
        <w:rPr>
          <w:rFonts w:hint="eastAsia" w:ascii="仿宋" w:hAnsi="仿宋" w:eastAsia="仿宋" w:cs="仿宋"/>
          <w:color w:val="auto"/>
          <w:highlight w:val="none"/>
        </w:rPr>
      </w:pPr>
    </w:p>
    <w:p w14:paraId="515C1247">
      <w:pPr>
        <w:pageBreakBefore w:val="0"/>
        <w:shd w:val="clear"/>
        <w:topLinePunct w:val="0"/>
        <w:bidi w:val="0"/>
        <w:spacing w:beforeAutospacing="0" w:afterAutospacing="0" w:line="360" w:lineRule="auto"/>
        <w:ind w:left="0" w:leftChars="0" w:right="0" w:rightChars="0" w:firstLine="420" w:firstLineChars="200"/>
        <w:rPr>
          <w:rFonts w:hint="eastAsia" w:ascii="仿宋" w:hAnsi="仿宋" w:eastAsia="仿宋" w:cs="仿宋"/>
          <w:vanish/>
          <w:color w:val="auto"/>
          <w:highlight w:val="none"/>
        </w:rPr>
      </w:pPr>
      <w:r>
        <w:rPr>
          <w:rFonts w:hint="eastAsia" w:ascii="仿宋" w:hAnsi="仿宋" w:eastAsia="仿宋" w:cs="仿宋"/>
          <w:vanish/>
          <w:color w:val="auto"/>
          <w:highlight w:val="none"/>
        </w:rPr>
        <w:br w:type="page"/>
      </w:r>
    </w:p>
    <w:tbl>
      <w:tblPr>
        <w:tblStyle w:val="28"/>
        <w:tblW w:w="103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hemeFill="background1"/>
        <w:tblLayout w:type="fixed"/>
        <w:tblCellMar>
          <w:top w:w="0" w:type="dxa"/>
          <w:left w:w="108" w:type="dxa"/>
          <w:bottom w:w="0" w:type="dxa"/>
          <w:right w:w="108" w:type="dxa"/>
        </w:tblCellMar>
      </w:tblPr>
      <w:tblGrid>
        <w:gridCol w:w="1059"/>
        <w:gridCol w:w="1286"/>
        <w:gridCol w:w="8013"/>
      </w:tblGrid>
      <w:tr w14:paraId="10209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98" w:hRule="atLeast"/>
          <w:jc w:val="center"/>
        </w:trPr>
        <w:tc>
          <w:tcPr>
            <w:tcW w:w="1059" w:type="dxa"/>
            <w:shd w:val="clear" w:color="auto" w:fill="FFFFFF" w:themeFill="background1"/>
            <w:vAlign w:val="center"/>
          </w:tcPr>
          <w:p w14:paraId="00E7827B">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条款号</w:t>
            </w:r>
          </w:p>
        </w:tc>
        <w:tc>
          <w:tcPr>
            <w:tcW w:w="1286" w:type="dxa"/>
            <w:shd w:val="clear" w:color="auto" w:fill="FFFFFF" w:themeFill="background1"/>
            <w:vAlign w:val="center"/>
          </w:tcPr>
          <w:p w14:paraId="2FAC90FF">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评分因素</w:t>
            </w:r>
          </w:p>
        </w:tc>
        <w:tc>
          <w:tcPr>
            <w:tcW w:w="8013" w:type="dxa"/>
            <w:shd w:val="clear" w:color="auto" w:fill="FFFFFF" w:themeFill="background1"/>
            <w:vAlign w:val="center"/>
          </w:tcPr>
          <w:p w14:paraId="64BC321D">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评分标准</w:t>
            </w:r>
          </w:p>
        </w:tc>
      </w:tr>
      <w:tr w14:paraId="248D9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1365" w:hRule="atLeast"/>
          <w:jc w:val="center"/>
        </w:trPr>
        <w:tc>
          <w:tcPr>
            <w:tcW w:w="1059" w:type="dxa"/>
            <w:tcBorders>
              <w:right w:val="single" w:color="auto" w:sz="4" w:space="0"/>
            </w:tcBorders>
            <w:shd w:val="clear" w:color="auto" w:fill="FFFFFF" w:themeFill="background1"/>
            <w:vAlign w:val="center"/>
          </w:tcPr>
          <w:p w14:paraId="522DC9C2">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286" w:type="dxa"/>
            <w:tcBorders>
              <w:left w:val="single" w:color="auto" w:sz="4" w:space="0"/>
              <w:bottom w:val="single" w:color="auto" w:sz="4" w:space="0"/>
            </w:tcBorders>
            <w:shd w:val="clear" w:color="auto" w:fill="FFFFFF" w:themeFill="background1"/>
            <w:vAlign w:val="center"/>
          </w:tcPr>
          <w:p w14:paraId="5156DD0B">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评分因素权重</w:t>
            </w:r>
          </w:p>
        </w:tc>
        <w:tc>
          <w:tcPr>
            <w:tcW w:w="8013" w:type="dxa"/>
            <w:shd w:val="clear" w:color="auto" w:fill="FFFFFF" w:themeFill="background1"/>
            <w:vAlign w:val="center"/>
          </w:tcPr>
          <w:p w14:paraId="74DC854C">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价格部分F1:30分，权重A1为1。</w:t>
            </w:r>
          </w:p>
          <w:p w14:paraId="7C8B96DC">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技术部分F2:</w:t>
            </w:r>
            <w:r>
              <w:rPr>
                <w:rFonts w:hint="eastAsia" w:ascii="仿宋" w:hAnsi="仿宋" w:eastAsia="仿宋" w:cs="仿宋"/>
                <w:color w:val="auto"/>
                <w:sz w:val="24"/>
                <w:lang w:val="en-US" w:eastAsia="zh-CN"/>
              </w:rPr>
              <w:t>62</w:t>
            </w:r>
            <w:r>
              <w:rPr>
                <w:rFonts w:hint="eastAsia" w:ascii="仿宋" w:hAnsi="仿宋" w:eastAsia="仿宋" w:cs="仿宋"/>
                <w:color w:val="auto"/>
                <w:sz w:val="24"/>
              </w:rPr>
              <w:t>分，权重A2为1。</w:t>
            </w:r>
          </w:p>
          <w:p w14:paraId="3BF750D7">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商务部分F3:</w:t>
            </w:r>
            <w:r>
              <w:rPr>
                <w:rFonts w:hint="eastAsia" w:ascii="仿宋" w:hAnsi="仿宋" w:eastAsia="仿宋" w:cs="仿宋"/>
                <w:color w:val="auto"/>
                <w:sz w:val="24"/>
                <w:lang w:val="en-US" w:eastAsia="zh-CN"/>
              </w:rPr>
              <w:t>8</w:t>
            </w:r>
            <w:r>
              <w:rPr>
                <w:rFonts w:hint="eastAsia" w:ascii="仿宋" w:hAnsi="仿宋" w:eastAsia="仿宋" w:cs="仿宋"/>
                <w:color w:val="auto"/>
                <w:sz w:val="24"/>
              </w:rPr>
              <w:t>分，权重A3为1。</w:t>
            </w:r>
          </w:p>
        </w:tc>
      </w:tr>
      <w:tr w14:paraId="31E4D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19" w:hRule="atLeast"/>
          <w:jc w:val="center"/>
        </w:trPr>
        <w:tc>
          <w:tcPr>
            <w:tcW w:w="1059" w:type="dxa"/>
            <w:tcBorders>
              <w:right w:val="single" w:color="auto" w:sz="4" w:space="0"/>
            </w:tcBorders>
            <w:shd w:val="clear" w:color="auto" w:fill="FFFFFF" w:themeFill="background1"/>
            <w:vAlign w:val="center"/>
          </w:tcPr>
          <w:p w14:paraId="10231856">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2.1</w:t>
            </w:r>
          </w:p>
        </w:tc>
        <w:tc>
          <w:tcPr>
            <w:tcW w:w="1286" w:type="dxa"/>
            <w:tcBorders>
              <w:top w:val="single" w:color="auto" w:sz="4" w:space="0"/>
              <w:left w:val="single" w:color="auto" w:sz="4" w:space="0"/>
            </w:tcBorders>
            <w:shd w:val="clear" w:color="auto" w:fill="FFFFFF" w:themeFill="background1"/>
            <w:vAlign w:val="center"/>
          </w:tcPr>
          <w:p w14:paraId="55EE33F2">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rPr>
            </w:pPr>
            <w:r>
              <w:rPr>
                <w:rFonts w:hint="eastAsia" w:ascii="仿宋" w:hAnsi="仿宋" w:eastAsia="仿宋" w:cs="仿宋"/>
                <w:color w:val="auto"/>
                <w:sz w:val="24"/>
              </w:rPr>
              <w:t>评标总得分计算公式</w:t>
            </w:r>
          </w:p>
        </w:tc>
        <w:tc>
          <w:tcPr>
            <w:tcW w:w="8013" w:type="dxa"/>
            <w:shd w:val="clear" w:color="auto" w:fill="FFFFFF" w:themeFill="background1"/>
            <w:vAlign w:val="center"/>
          </w:tcPr>
          <w:p w14:paraId="58B9BFE8">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投标人的评标总得分＝F1×A1＋F2×A2＋F3×A3</w:t>
            </w:r>
          </w:p>
          <w:p w14:paraId="7FBC82C8">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其中：①F1、F2、F3分别为投标报价、技术部分、商务部分3项评分因素的汇总得分；</w:t>
            </w:r>
          </w:p>
          <w:p w14:paraId="2C7BCE24">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②A1、A2、A3分别为3项评分因素所占的权重；</w:t>
            </w:r>
          </w:p>
        </w:tc>
      </w:tr>
      <w:tr w14:paraId="0D161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09" w:hRule="atLeast"/>
          <w:jc w:val="center"/>
        </w:trPr>
        <w:tc>
          <w:tcPr>
            <w:tcW w:w="1059" w:type="dxa"/>
            <w:tcBorders>
              <w:right w:val="single" w:color="auto" w:sz="4" w:space="0"/>
            </w:tcBorders>
            <w:shd w:val="clear" w:color="auto" w:fill="FFFFFF" w:themeFill="background1"/>
            <w:vAlign w:val="center"/>
          </w:tcPr>
          <w:p w14:paraId="034F8F44">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2.2</w:t>
            </w:r>
          </w:p>
          <w:p w14:paraId="725BF445">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价格部分F1</w:t>
            </w:r>
          </w:p>
        </w:tc>
        <w:tc>
          <w:tcPr>
            <w:tcW w:w="1286" w:type="dxa"/>
            <w:tcBorders>
              <w:left w:val="single" w:color="auto" w:sz="4" w:space="0"/>
            </w:tcBorders>
            <w:shd w:val="clear" w:color="auto" w:fill="FFFFFF" w:themeFill="background1"/>
            <w:vAlign w:val="center"/>
          </w:tcPr>
          <w:p w14:paraId="0706C6C0">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rPr>
            </w:pPr>
            <w:r>
              <w:rPr>
                <w:rFonts w:hint="eastAsia" w:ascii="仿宋" w:hAnsi="仿宋" w:eastAsia="仿宋" w:cs="仿宋"/>
                <w:color w:val="auto"/>
                <w:sz w:val="24"/>
              </w:rPr>
              <w:t>投标总报价</w:t>
            </w:r>
            <w:r>
              <w:rPr>
                <w:rFonts w:hint="eastAsia" w:ascii="仿宋" w:hAnsi="仿宋" w:eastAsia="仿宋" w:cs="仿宋"/>
                <w:color w:val="auto"/>
                <w:sz w:val="24"/>
                <w:szCs w:val="24"/>
              </w:rPr>
              <w:t>评审评分</w:t>
            </w:r>
            <w:r>
              <w:rPr>
                <w:rFonts w:hint="eastAsia" w:ascii="仿宋" w:hAnsi="仿宋" w:eastAsia="仿宋" w:cs="仿宋"/>
                <w:color w:val="auto"/>
                <w:sz w:val="24"/>
              </w:rPr>
              <w:t>（满分30分）</w:t>
            </w:r>
          </w:p>
        </w:tc>
        <w:tc>
          <w:tcPr>
            <w:tcW w:w="8013" w:type="dxa"/>
            <w:shd w:val="clear" w:color="auto" w:fill="FFFFFF" w:themeFill="background1"/>
            <w:vAlign w:val="center"/>
          </w:tcPr>
          <w:p w14:paraId="54AAB64C">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rPr>
            </w:pPr>
            <w:r>
              <w:rPr>
                <w:rFonts w:hint="eastAsia" w:ascii="仿宋" w:hAnsi="仿宋" w:eastAsia="仿宋" w:cs="仿宋"/>
                <w:color w:val="auto"/>
                <w:sz w:val="24"/>
              </w:rPr>
              <w:t>1.评标基准价：满足招标文件要求且投标报价最低的有效投标报价；</w:t>
            </w:r>
          </w:p>
          <w:p w14:paraId="05146F83">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rPr>
            </w:pPr>
            <w:r>
              <w:rPr>
                <w:rFonts w:hint="eastAsia" w:ascii="仿宋" w:hAnsi="仿宋" w:eastAsia="仿宋" w:cs="仿宋"/>
                <w:color w:val="auto"/>
                <w:sz w:val="24"/>
              </w:rPr>
              <w:t>2.得分计算：满足招标文件要求且投标报价最低的有效投标报价，其报价分为满分。其他投标人的报价得分统一按照下列公式计算：</w:t>
            </w:r>
          </w:p>
          <w:p w14:paraId="6A285966">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rPr>
            </w:pPr>
            <w:r>
              <w:rPr>
                <w:rFonts w:hint="eastAsia" w:ascii="仿宋" w:hAnsi="仿宋" w:eastAsia="仿宋" w:cs="仿宋"/>
                <w:color w:val="auto"/>
                <w:sz w:val="24"/>
              </w:rPr>
              <w:t>即：F1=[C/（B1，B2，…，Bn）]×30</w:t>
            </w:r>
          </w:p>
          <w:p w14:paraId="3552FFF9">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rPr>
            </w:pPr>
            <w:r>
              <w:rPr>
                <w:rFonts w:hint="eastAsia" w:ascii="仿宋" w:hAnsi="仿宋" w:eastAsia="仿宋" w:cs="仿宋"/>
                <w:color w:val="auto"/>
                <w:sz w:val="24"/>
              </w:rPr>
              <w:t>注：C为评标基准价，即满足招标文件要求且投标报价最低的有效投标报价；</w:t>
            </w:r>
          </w:p>
          <w:p w14:paraId="40775C42">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rPr>
            </w:pPr>
            <w:r>
              <w:rPr>
                <w:rFonts w:hint="eastAsia" w:ascii="仿宋" w:hAnsi="仿宋" w:eastAsia="仿宋" w:cs="仿宋"/>
                <w:color w:val="auto"/>
                <w:sz w:val="24"/>
              </w:rPr>
              <w:t>B1，B2，…，Bn为第n个满足招标文件要求的有效投标报价。</w:t>
            </w:r>
          </w:p>
          <w:p w14:paraId="25E5C0CB">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left"/>
              <w:textAlignment w:val="auto"/>
              <w:rPr>
                <w:rFonts w:hint="eastAsia" w:ascii="仿宋" w:hAnsi="仿宋" w:eastAsia="仿宋" w:cs="仿宋"/>
                <w:color w:val="auto"/>
                <w:sz w:val="24"/>
              </w:rPr>
            </w:pPr>
            <w:r>
              <w:rPr>
                <w:rFonts w:hint="eastAsia" w:ascii="仿宋" w:hAnsi="仿宋" w:eastAsia="仿宋" w:cs="仿宋"/>
                <w:color w:val="auto"/>
                <w:sz w:val="24"/>
                <w:highlight w:val="none"/>
              </w:rPr>
              <w:t>注：本项目针对小型和微型企业产品或残疾人福利性单位产品的价格给予</w:t>
            </w:r>
            <w:r>
              <w:rPr>
                <w:rFonts w:hint="eastAsia" w:ascii="仿宋" w:hAnsi="仿宋" w:eastAsia="仿宋" w:cs="仿宋"/>
                <w:color w:val="auto"/>
                <w:sz w:val="24"/>
                <w:highlight w:val="none"/>
                <w:lang w:eastAsia="zh-CN"/>
              </w:rPr>
              <w:t>10%</w:t>
            </w:r>
            <w:r>
              <w:rPr>
                <w:rFonts w:hint="eastAsia" w:ascii="仿宋" w:hAnsi="仿宋" w:eastAsia="仿宋" w:cs="仿宋"/>
                <w:color w:val="auto"/>
                <w:sz w:val="24"/>
                <w:highlight w:val="none"/>
              </w:rPr>
              <w:t>的扣除，用扣除后的价格参与评审，残疾人福利性单位属于小型、微型企业的，不重复享受政策。（监狱企业视同小型或微型企业）。</w:t>
            </w:r>
          </w:p>
        </w:tc>
      </w:tr>
      <w:tr w14:paraId="35112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1059" w:type="dxa"/>
            <w:vMerge w:val="restart"/>
            <w:shd w:val="clear" w:color="auto" w:fill="FFFFFF" w:themeFill="background1"/>
            <w:vAlign w:val="center"/>
          </w:tcPr>
          <w:p w14:paraId="53FE38FB">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2.3</w:t>
            </w:r>
          </w:p>
          <w:p w14:paraId="21A56DE4">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Cs w:val="21"/>
              </w:rPr>
            </w:pPr>
            <w:r>
              <w:rPr>
                <w:rFonts w:hint="eastAsia" w:ascii="仿宋" w:hAnsi="仿宋" w:eastAsia="仿宋" w:cs="仿宋"/>
                <w:color w:val="auto"/>
                <w:sz w:val="24"/>
                <w:szCs w:val="24"/>
              </w:rPr>
              <w:t>技术部分F2</w:t>
            </w:r>
          </w:p>
        </w:tc>
        <w:tc>
          <w:tcPr>
            <w:tcW w:w="1286" w:type="dxa"/>
            <w:vMerge w:val="restart"/>
            <w:shd w:val="clear" w:color="auto" w:fill="FFFFFF" w:themeFill="background1"/>
            <w:vAlign w:val="center"/>
          </w:tcPr>
          <w:p w14:paraId="1F9F3B7F">
            <w:pPr>
              <w:pStyle w:val="39"/>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kern w:val="2"/>
                <w:lang w:val="en-US" w:eastAsia="zh-CN"/>
              </w:rPr>
            </w:pPr>
            <w:r>
              <w:rPr>
                <w:rFonts w:hint="eastAsia" w:ascii="仿宋" w:hAnsi="仿宋" w:eastAsia="仿宋" w:cs="仿宋"/>
                <w:color w:val="auto"/>
                <w:kern w:val="2"/>
                <w:lang w:val="en-US" w:eastAsia="zh-CN"/>
              </w:rPr>
              <w:t>1.技术参数评审（满分46分）</w:t>
            </w:r>
          </w:p>
        </w:tc>
        <w:tc>
          <w:tcPr>
            <w:tcW w:w="8013" w:type="dxa"/>
            <w:tcBorders>
              <w:bottom w:val="single" w:color="auto" w:sz="4" w:space="0"/>
            </w:tcBorders>
            <w:shd w:val="clear" w:color="auto" w:fill="FFFFFF" w:themeFill="background1"/>
            <w:vAlign w:val="center"/>
          </w:tcPr>
          <w:p w14:paraId="7E38CA53">
            <w:pPr>
              <w:keepNext w:val="0"/>
              <w:keepLines w:val="0"/>
              <w:pageBreakBefore w:val="0"/>
              <w:widowControl w:val="0"/>
              <w:numPr>
                <w:ilvl w:val="0"/>
                <w:numId w:val="29"/>
              </w:numPr>
              <w:shd w:val="clear" w:color="auto" w:fill="FFFFFF" w:themeFill="background1"/>
              <w:kinsoku/>
              <w:wordWrap/>
              <w:overflowPunct/>
              <w:topLinePunct w:val="0"/>
              <w:bidi w:val="0"/>
              <w:adjustRightInd/>
              <w:snapToGrid/>
              <w:spacing w:beforeAutospacing="0" w:afterAutospacing="0" w:line="400" w:lineRule="exact"/>
              <w:ind w:left="0" w:leftChars="0" w:right="0" w:rightChars="0" w:firstLine="241" w:firstLineChars="100"/>
              <w:jc w:val="lef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参数技术指标</w:t>
            </w:r>
            <w:r>
              <w:rPr>
                <w:rFonts w:hint="eastAsia" w:ascii="仿宋" w:hAnsi="仿宋" w:eastAsia="仿宋" w:cs="仿宋"/>
                <w:b/>
                <w:bCs/>
                <w:color w:val="000000" w:themeColor="text1"/>
                <w:sz w:val="24"/>
                <w:szCs w:val="24"/>
                <w14:textFill>
                  <w14:solidFill>
                    <w14:schemeClr w14:val="tx1"/>
                  </w14:solidFill>
                </w14:textFill>
              </w:rPr>
              <w:t>响应性评审（满分</w:t>
            </w:r>
            <w:r>
              <w:rPr>
                <w:rFonts w:hint="eastAsia" w:ascii="仿宋" w:hAnsi="仿宋" w:eastAsia="仿宋" w:cs="仿宋"/>
                <w:b/>
                <w:bCs/>
                <w:color w:val="000000" w:themeColor="text1"/>
                <w:sz w:val="24"/>
                <w:szCs w:val="24"/>
                <w:lang w:val="en-US" w:eastAsia="zh-CN"/>
                <w14:textFill>
                  <w14:solidFill>
                    <w14:schemeClr w14:val="tx1"/>
                  </w14:solidFill>
                </w14:textFill>
              </w:rPr>
              <w:t>40</w:t>
            </w:r>
            <w:r>
              <w:rPr>
                <w:rFonts w:hint="eastAsia" w:ascii="仿宋" w:hAnsi="仿宋" w:eastAsia="仿宋" w:cs="仿宋"/>
                <w:b/>
                <w:bCs/>
                <w:color w:val="000000" w:themeColor="text1"/>
                <w:sz w:val="24"/>
                <w:szCs w:val="24"/>
                <w14:textFill>
                  <w14:solidFill>
                    <w14:schemeClr w14:val="tx1"/>
                  </w14:solidFill>
                </w14:textFill>
              </w:rPr>
              <w:t>分）</w:t>
            </w:r>
          </w:p>
          <w:p w14:paraId="6AD70288">
            <w:pPr>
              <w:keepNext w:val="0"/>
              <w:keepLines w:val="0"/>
              <w:pageBreakBefore w:val="0"/>
              <w:widowControl w:val="0"/>
              <w:shd w:val="clear" w:fill="FFFFFF" w:themeFill="background1"/>
              <w:kinsoku/>
              <w:wordWrap/>
              <w:overflowPunct/>
              <w:topLinePunct w:val="0"/>
              <w:bidi w:val="0"/>
              <w:adjustRightInd/>
              <w:snapToGrid/>
              <w:spacing w:beforeAutospacing="0" w:afterAutospacing="0" w:line="400" w:lineRule="exact"/>
              <w:ind w:left="0" w:leftChars="0" w:right="0" w:rightChars="0" w:firstLine="240" w:firstLineChars="1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1.（35分）对照招</w:t>
            </w:r>
            <w:r>
              <w:rPr>
                <w:rFonts w:hint="eastAsia" w:ascii="仿宋" w:hAnsi="仿宋" w:eastAsia="仿宋" w:cs="仿宋"/>
                <w:color w:val="000000" w:themeColor="text1"/>
                <w:sz w:val="24"/>
                <w:szCs w:val="24"/>
                <w:highlight w:val="none"/>
                <w14:textFill>
                  <w14:solidFill>
                    <w14:schemeClr w14:val="tx1"/>
                  </w14:solidFill>
                </w14:textFill>
              </w:rPr>
              <w:t>标文件第五章《采购需求》中</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Fonts w:hint="eastAsia" w:ascii="仿宋" w:hAnsi="仿宋" w:eastAsia="仿宋" w:cs="仿宋"/>
                <w:b/>
                <w:bCs/>
                <w:color w:val="000000" w:themeColor="text1"/>
                <w:sz w:val="24"/>
                <w:szCs w:val="24"/>
                <w:lang w:val="en-US" w:eastAsia="zh-CN"/>
                <w14:textFill>
                  <w14:solidFill>
                    <w14:schemeClr w14:val="tx1"/>
                  </w14:solidFill>
                </w14:textFill>
              </w:rPr>
              <w:t>三、采购标的技术、服务要求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”中标注“▲”符号的35条参数作为评审。</w:t>
            </w:r>
          </w:p>
          <w:p w14:paraId="0B25F31D">
            <w:pPr>
              <w:keepNext w:val="0"/>
              <w:keepLines w:val="0"/>
              <w:pageBreakBefore w:val="0"/>
              <w:widowControl w:val="0"/>
              <w:shd w:val="clear" w:fill="FFFFFF" w:themeFill="background1"/>
              <w:kinsoku/>
              <w:wordWrap/>
              <w:overflowPunct/>
              <w:topLinePunct w:val="0"/>
              <w:bidi w:val="0"/>
              <w:adjustRightInd/>
              <w:snapToGrid/>
              <w:spacing w:beforeAutospacing="0" w:afterAutospacing="0" w:line="400" w:lineRule="exact"/>
              <w:ind w:left="0" w:leftChars="0" w:right="0" w:rightChars="0" w:firstLine="241" w:firstLineChars="1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评审标准：投标文件中</w:t>
            </w:r>
            <w:r>
              <w:rPr>
                <w:rFonts w:hint="eastAsia" w:ascii="仿宋" w:hAnsi="仿宋" w:eastAsia="仿宋" w:cs="仿宋"/>
                <w:b/>
                <w:bCs/>
                <w:color w:val="000000" w:themeColor="text1"/>
                <w:sz w:val="24"/>
                <w:szCs w:val="24"/>
                <w:highlight w:val="none"/>
                <w:lang w:eastAsia="zh-CN"/>
                <w14:textFill>
                  <w14:solidFill>
                    <w14:schemeClr w14:val="tx1"/>
                  </w14:solidFill>
                </w14:textFill>
              </w:rPr>
              <w:t>每出现</w:t>
            </w:r>
            <w:r>
              <w:rPr>
                <w:rFonts w:hint="eastAsia" w:ascii="仿宋" w:hAnsi="仿宋" w:eastAsia="仿宋" w:cs="仿宋"/>
                <w:b/>
                <w:bCs/>
                <w:color w:val="000000" w:themeColor="text1"/>
                <w:sz w:val="24"/>
                <w:szCs w:val="24"/>
                <w:highlight w:val="none"/>
                <w14:textFill>
                  <w14:solidFill>
                    <w14:schemeClr w14:val="tx1"/>
                  </w14:solidFill>
                </w14:textFill>
              </w:rPr>
              <w:t>1项</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参数</w:t>
            </w:r>
            <w:r>
              <w:rPr>
                <w:rFonts w:hint="eastAsia" w:ascii="仿宋" w:hAnsi="仿宋" w:eastAsia="仿宋" w:cs="仿宋"/>
                <w:b/>
                <w:bCs/>
                <w:color w:val="000000" w:themeColor="text1"/>
                <w:sz w:val="24"/>
                <w:szCs w:val="24"/>
                <w:highlight w:val="none"/>
                <w14:textFill>
                  <w14:solidFill>
                    <w14:schemeClr w14:val="tx1"/>
                  </w14:solidFill>
                </w14:textFill>
              </w:rPr>
              <w:t>不满足招标文件要求</w:t>
            </w:r>
            <w:r>
              <w:rPr>
                <w:rFonts w:hint="eastAsia" w:ascii="仿宋" w:hAnsi="仿宋" w:eastAsia="仿宋" w:cs="仿宋"/>
                <w:b/>
                <w:bCs/>
                <w:color w:val="000000" w:themeColor="text1"/>
                <w:sz w:val="24"/>
                <w:szCs w:val="24"/>
                <w:highlight w:val="none"/>
                <w:lang w:eastAsia="zh-CN"/>
                <w14:textFill>
                  <w14:solidFill>
                    <w14:schemeClr w14:val="tx1"/>
                  </w14:solidFill>
                </w14:textFill>
              </w:rPr>
              <w:t>的</w:t>
            </w:r>
            <w:r>
              <w:rPr>
                <w:rFonts w:hint="eastAsia" w:ascii="仿宋" w:hAnsi="仿宋" w:eastAsia="仿宋" w:cs="仿宋"/>
                <w:b/>
                <w:bCs/>
                <w:color w:val="000000" w:themeColor="text1"/>
                <w:sz w:val="24"/>
                <w:szCs w:val="24"/>
                <w:highlight w:val="none"/>
                <w14:textFill>
                  <w14:solidFill>
                    <w14:schemeClr w14:val="tx1"/>
                  </w14:solidFill>
                </w14:textFill>
              </w:rPr>
              <w:t>，扣</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bCs/>
                <w:color w:val="000000" w:themeColor="text1"/>
                <w:sz w:val="24"/>
                <w:szCs w:val="24"/>
                <w:highlight w:val="none"/>
                <w14:textFill>
                  <w14:solidFill>
                    <w14:schemeClr w14:val="tx1"/>
                  </w14:solidFill>
                </w14:textFill>
              </w:rPr>
              <w:t>分</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,35分扣完为止。</w:t>
            </w:r>
          </w:p>
          <w:p w14:paraId="68699770">
            <w:pPr>
              <w:keepNext w:val="0"/>
              <w:keepLines w:val="0"/>
              <w:pageBreakBefore w:val="0"/>
              <w:widowControl w:val="0"/>
              <w:shd w:val="clear" w:fill="FFFFFF" w:themeFill="background1"/>
              <w:kinsoku/>
              <w:wordWrap/>
              <w:overflowPunct/>
              <w:topLinePunct w:val="0"/>
              <w:bidi w:val="0"/>
              <w:adjustRightInd/>
              <w:snapToGrid/>
              <w:spacing w:beforeAutospacing="0" w:afterAutospacing="0" w:line="400" w:lineRule="exact"/>
              <w:ind w:left="0" w:leftChars="0" w:right="0" w:rightChars="0" w:firstLine="240" w:firstLineChars="100"/>
              <w:jc w:val="left"/>
              <w:textAlignment w:val="auto"/>
              <w:rPr>
                <w:rStyle w:val="46"/>
                <w:rFonts w:hint="eastAsia" w:ascii="仿宋" w:hAnsi="仿宋" w:eastAsia="仿宋" w:cs="仿宋"/>
                <w:color w:val="000000" w:themeColor="text1"/>
                <w:sz w:val="24"/>
                <w:szCs w:val="24"/>
                <w:lang w:val="en-US" w:eastAsia="zh-CN" w:bidi="ar"/>
                <w14:textFill>
                  <w14:solidFill>
                    <w14:schemeClr w14:val="tx1"/>
                  </w14:solidFill>
                </w14:textFill>
              </w:rPr>
            </w:pPr>
            <w:r>
              <w:rPr>
                <w:rStyle w:val="46"/>
                <w:rFonts w:hint="eastAsia" w:ascii="仿宋" w:hAnsi="仿宋" w:eastAsia="仿宋" w:cs="仿宋"/>
                <w:color w:val="000000" w:themeColor="text1"/>
                <w:sz w:val="24"/>
                <w:szCs w:val="24"/>
                <w:lang w:val="en-US" w:eastAsia="zh-CN" w:bidi="ar"/>
                <w14:textFill>
                  <w14:solidFill>
                    <w14:schemeClr w14:val="tx1"/>
                  </w14:solidFill>
                </w14:textFill>
              </w:rPr>
              <w:t>2.未标注“</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Style w:val="46"/>
                <w:rFonts w:hint="eastAsia" w:ascii="仿宋" w:hAnsi="仿宋" w:eastAsia="仿宋" w:cs="仿宋"/>
                <w:color w:val="000000" w:themeColor="text1"/>
                <w:sz w:val="24"/>
                <w:szCs w:val="24"/>
                <w:lang w:val="en-US" w:eastAsia="zh-CN" w:bidi="ar"/>
                <w14:textFill>
                  <w14:solidFill>
                    <w14:schemeClr w14:val="tx1"/>
                  </w14:solidFill>
                </w14:textFill>
              </w:rPr>
              <w:t>”符号的功能响应性评审（满分5分）</w:t>
            </w:r>
          </w:p>
          <w:p w14:paraId="64614F33">
            <w:pPr>
              <w:keepNext w:val="0"/>
              <w:keepLines w:val="0"/>
              <w:pageBreakBefore w:val="0"/>
              <w:widowControl w:val="0"/>
              <w:shd w:val="clear" w:fill="FFFFFF" w:themeFill="background1"/>
              <w:kinsoku/>
              <w:wordWrap/>
              <w:overflowPunct/>
              <w:topLinePunct w:val="0"/>
              <w:bidi w:val="0"/>
              <w:adjustRightInd/>
              <w:snapToGrid/>
              <w:spacing w:beforeAutospacing="0" w:afterAutospacing="0" w:line="400" w:lineRule="exact"/>
              <w:ind w:left="0" w:leftChars="0" w:right="0" w:rightChars="0" w:firstLine="240" w:firstLineChars="100"/>
              <w:jc w:val="left"/>
              <w:textAlignment w:val="auto"/>
              <w:rPr>
                <w:rStyle w:val="46"/>
                <w:rFonts w:hint="eastAsia" w:ascii="仿宋" w:hAnsi="仿宋" w:eastAsia="仿宋" w:cs="仿宋"/>
                <w:color w:val="000000" w:themeColor="text1"/>
                <w:sz w:val="24"/>
                <w:szCs w:val="24"/>
                <w:lang w:val="en-US" w:eastAsia="zh-CN" w:bidi="ar"/>
                <w14:textFill>
                  <w14:solidFill>
                    <w14:schemeClr w14:val="tx1"/>
                  </w14:solidFill>
                </w14:textFill>
              </w:rPr>
            </w:pPr>
            <w:r>
              <w:rPr>
                <w:rStyle w:val="46"/>
                <w:rFonts w:hint="eastAsia" w:ascii="仿宋" w:hAnsi="仿宋" w:eastAsia="仿宋" w:cs="仿宋"/>
                <w:color w:val="000000" w:themeColor="text1"/>
                <w:sz w:val="24"/>
                <w:szCs w:val="24"/>
                <w:lang w:val="en-US" w:eastAsia="zh-CN" w:bidi="ar"/>
                <w14:textFill>
                  <w14:solidFill>
                    <w14:schemeClr w14:val="tx1"/>
                  </w14:solidFill>
                </w14:textFill>
              </w:rPr>
              <w:t>未标注“</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Style w:val="46"/>
                <w:rFonts w:hint="eastAsia" w:ascii="仿宋" w:hAnsi="仿宋" w:eastAsia="仿宋" w:cs="仿宋"/>
                <w:color w:val="000000" w:themeColor="text1"/>
                <w:sz w:val="24"/>
                <w:szCs w:val="24"/>
                <w:lang w:val="en-US" w:eastAsia="zh-CN" w:bidi="ar"/>
                <w14:textFill>
                  <w14:solidFill>
                    <w14:schemeClr w14:val="tx1"/>
                  </w14:solidFill>
                </w14:textFill>
              </w:rPr>
              <w:t>”标的参数条款得分=投标文件中满足招标文件未标注“</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Style w:val="46"/>
                <w:rFonts w:hint="eastAsia" w:ascii="仿宋" w:hAnsi="仿宋" w:eastAsia="仿宋" w:cs="仿宋"/>
                <w:color w:val="000000" w:themeColor="text1"/>
                <w:sz w:val="24"/>
                <w:szCs w:val="24"/>
                <w:lang w:val="en-US" w:eastAsia="zh-CN" w:bidi="ar"/>
                <w14:textFill>
                  <w14:solidFill>
                    <w14:schemeClr w14:val="tx1"/>
                  </w14:solidFill>
                </w14:textFill>
              </w:rPr>
              <w:t>”标的参数条款的数量/招标文件未标注“</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Style w:val="46"/>
                <w:rFonts w:hint="eastAsia" w:ascii="仿宋" w:hAnsi="仿宋" w:eastAsia="仿宋" w:cs="仿宋"/>
                <w:color w:val="000000" w:themeColor="text1"/>
                <w:sz w:val="24"/>
                <w:szCs w:val="24"/>
                <w:lang w:val="en-US" w:eastAsia="zh-CN" w:bidi="ar"/>
                <w14:textFill>
                  <w14:solidFill>
                    <w14:schemeClr w14:val="tx1"/>
                  </w14:solidFill>
                </w14:textFill>
              </w:rPr>
              <w:t>”标的参数条款总数量*5。（此项得分保留小数点后两位，小数点后第三位“四舍五入”）</w:t>
            </w:r>
            <w:r>
              <w:rPr>
                <w:rStyle w:val="67"/>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46"/>
                <w:rFonts w:hint="eastAsia" w:ascii="仿宋" w:hAnsi="仿宋" w:eastAsia="仿宋" w:cs="仿宋"/>
                <w:color w:val="000000" w:themeColor="text1"/>
                <w:sz w:val="24"/>
                <w:szCs w:val="24"/>
                <w:lang w:val="en-US" w:eastAsia="zh-CN" w:bidi="ar"/>
                <w14:textFill>
                  <w14:solidFill>
                    <w14:schemeClr w14:val="tx1"/>
                  </w14:solidFill>
                </w14:textFill>
              </w:rPr>
              <w:t>注：（1）第五章“采购需求”中，除按招标文件要求填写技术规格偏离表外，还须提供技术支持资料，包括：招标文件技术参数内明确要求提供的证明材料，未明确的可提供所投产品主要技术指标、参数及性能的公开印刷的详细说明书（非自行拟定）或制造商公开发布的印刷资料（彩页或产品宣传册或白皮书或制造商出具的证明材料）或检测(检验)报告或官方网站发布的技术资料截图。如技术支持资料字迹不清、无法辨认导致无法评判的或提供的技术支持资料不能反映该参数要求的或未按要求提供技术支持资料的，视为不响应该条技术参数。</w:t>
            </w:r>
            <w:r>
              <w:rPr>
                <w:rStyle w:val="46"/>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46"/>
                <w:rFonts w:hint="eastAsia" w:ascii="仿宋" w:hAnsi="仿宋" w:eastAsia="仿宋" w:cs="仿宋"/>
                <w:color w:val="000000" w:themeColor="text1"/>
                <w:sz w:val="24"/>
                <w:szCs w:val="24"/>
                <w:lang w:val="en-US" w:eastAsia="zh-CN" w:bidi="ar"/>
                <w14:textFill>
                  <w14:solidFill>
                    <w14:schemeClr w14:val="tx1"/>
                  </w14:solidFill>
                </w14:textFill>
              </w:rPr>
              <w:t>（2）技术规格偏离表“偏离情况”列，应据实填写“无偏离”“正偏离”或“负偏离”，未填写的视为负偏离。</w:t>
            </w:r>
            <w:r>
              <w:rPr>
                <w:rStyle w:val="46"/>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46"/>
                <w:rFonts w:hint="eastAsia" w:ascii="仿宋" w:hAnsi="仿宋" w:eastAsia="仿宋" w:cs="仿宋"/>
                <w:color w:val="000000" w:themeColor="text1"/>
                <w:sz w:val="24"/>
                <w:szCs w:val="24"/>
                <w:lang w:val="en-US" w:eastAsia="zh-CN" w:bidi="ar"/>
                <w14:textFill>
                  <w14:solidFill>
                    <w14:schemeClr w14:val="tx1"/>
                  </w14:solidFill>
                </w14:textFill>
              </w:rPr>
              <w:t>（3）第五章“采购需求”中，未标注“</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Style w:val="46"/>
                <w:rFonts w:hint="eastAsia" w:ascii="仿宋" w:hAnsi="仿宋" w:eastAsia="仿宋" w:cs="仿宋"/>
                <w:color w:val="000000" w:themeColor="text1"/>
                <w:sz w:val="24"/>
                <w:szCs w:val="24"/>
                <w:lang w:val="en-US" w:eastAsia="zh-CN" w:bidi="ar"/>
                <w14:textFill>
                  <w14:solidFill>
                    <w14:schemeClr w14:val="tx1"/>
                  </w14:solidFill>
                </w14:textFill>
              </w:rPr>
              <w:t>”符号的为一般技术参数，需在技术规格偏离表上应答，同时提交满足招标文件要求的证明材料或承诺函，若投标文件中提交了满足招标文件要求的承诺函，但在履约过程中，达不到招标文件要求的功能，采购人有权按照虚假应标处理，并上报相关部门处理。</w:t>
            </w:r>
          </w:p>
          <w:p w14:paraId="0DAE52D7">
            <w:pPr>
              <w:keepNext w:val="0"/>
              <w:keepLines w:val="0"/>
              <w:pageBreakBefore w:val="0"/>
              <w:widowControl w:val="0"/>
              <w:shd w:val="clear" w:fill="FFFFFF" w:themeFill="background1"/>
              <w:kinsoku/>
              <w:wordWrap/>
              <w:overflowPunct/>
              <w:topLinePunct w:val="0"/>
              <w:bidi w:val="0"/>
              <w:adjustRightInd/>
              <w:snapToGrid/>
              <w:spacing w:beforeAutospacing="0" w:afterAutospacing="0" w:line="400" w:lineRule="exact"/>
              <w:ind w:left="0" w:leftChars="0" w:right="0" w:rightChars="0" w:firstLine="240" w:firstLineChars="10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Style w:val="46"/>
                <w:rFonts w:hint="eastAsia" w:ascii="仿宋" w:hAnsi="仿宋" w:eastAsia="仿宋" w:cs="仿宋"/>
                <w:color w:val="000000" w:themeColor="text1"/>
                <w:sz w:val="24"/>
                <w:szCs w:val="24"/>
                <w:lang w:val="en-US" w:eastAsia="zh-CN" w:bidi="ar"/>
                <w14:textFill>
                  <w14:solidFill>
                    <w14:schemeClr w14:val="tx1"/>
                  </w14:solidFill>
                </w14:textFill>
              </w:rPr>
              <w:t>（4）投标文件中提供了技术支持资料的技术参数，如技术支持资料内容与技术规格偏离表应答不一致，以技术支持资料显示内容为准。如技术支持资料字迹不清、无法辨认导致无法评判的或提供的技术支持资料不能反映该参数要求的或未按要求提供技术支持资料的，视为不响应该条技术参数。</w:t>
            </w:r>
          </w:p>
        </w:tc>
      </w:tr>
      <w:tr w14:paraId="6AFE1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346" w:hRule="atLeast"/>
          <w:jc w:val="center"/>
        </w:trPr>
        <w:tc>
          <w:tcPr>
            <w:tcW w:w="1059" w:type="dxa"/>
            <w:vMerge w:val="continue"/>
            <w:shd w:val="clear" w:color="auto" w:fill="FFFFFF" w:themeFill="background1"/>
            <w:vAlign w:val="center"/>
          </w:tcPr>
          <w:p w14:paraId="421711E4">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rPr>
            </w:pPr>
          </w:p>
        </w:tc>
        <w:tc>
          <w:tcPr>
            <w:tcW w:w="1286" w:type="dxa"/>
            <w:vMerge w:val="continue"/>
            <w:shd w:val="clear" w:color="auto" w:fill="FFFFFF" w:themeFill="background1"/>
            <w:vAlign w:val="center"/>
          </w:tcPr>
          <w:p w14:paraId="6BC7DD71">
            <w:pPr>
              <w:pStyle w:val="40"/>
              <w:keepNext w:val="0"/>
              <w:keepLines w:val="0"/>
              <w:pageBreakBefore w:val="0"/>
              <w:widowControl w:val="0"/>
              <w:numPr>
                <w:ilvl w:val="0"/>
                <w:numId w:val="0"/>
              </w:numPr>
              <w:shd w:val="clear" w:color="auto"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eastAsia" w:ascii="仿宋" w:hAnsi="仿宋" w:eastAsia="仿宋" w:cs="仿宋"/>
                <w:color w:val="auto"/>
                <w:kern w:val="2"/>
              </w:rPr>
            </w:pPr>
          </w:p>
        </w:tc>
        <w:tc>
          <w:tcPr>
            <w:tcW w:w="8013" w:type="dxa"/>
            <w:tcBorders>
              <w:bottom w:val="single" w:color="auto" w:sz="4" w:space="0"/>
            </w:tcBorders>
            <w:shd w:val="clear" w:color="auto" w:fill="FFFFFF" w:themeFill="background1"/>
            <w:vAlign w:val="center"/>
          </w:tcPr>
          <w:p w14:paraId="0A898131">
            <w:pPr>
              <w:pStyle w:val="40"/>
              <w:keepNext w:val="0"/>
              <w:keepLines w:val="0"/>
              <w:pageBreakBefore w:val="0"/>
              <w:widowControl w:val="0"/>
              <w:numPr>
                <w:ilvl w:val="0"/>
                <w:numId w:val="0"/>
              </w:numPr>
              <w:shd w:val="clear" w:color="auto" w:fill="FFFFFF" w:themeFill="background1"/>
              <w:kinsoku/>
              <w:wordWrap/>
              <w:overflowPunct/>
              <w:topLinePunct w:val="0"/>
              <w:bidi w:val="0"/>
              <w:adjustRightInd/>
              <w:snapToGrid/>
              <w:spacing w:beforeAutospacing="0" w:afterAutospacing="0" w:line="400" w:lineRule="exact"/>
              <w:ind w:leftChars="0" w:right="0" w:rightChars="0" w:firstLine="221" w:firstLineChars="100"/>
              <w:jc w:val="both"/>
              <w:textAlignment w:val="auto"/>
              <w:rPr>
                <w:rFonts w:hint="eastAsia" w:ascii="仿宋" w:hAnsi="仿宋" w:eastAsia="仿宋" w:cs="仿宋"/>
                <w:b/>
                <w:bCs/>
                <w:color w:val="000000" w:themeColor="text1"/>
                <w:kern w:val="2"/>
                <w:lang w:val="en-US" w:eastAsia="zh-CN"/>
                <w14:textFill>
                  <w14:solidFill>
                    <w14:schemeClr w14:val="tx1"/>
                  </w14:solidFill>
                </w14:textFill>
              </w:rPr>
            </w:pPr>
            <w:r>
              <w:rPr>
                <w:rFonts w:hint="eastAsia" w:ascii="仿宋" w:hAnsi="仿宋" w:eastAsia="仿宋" w:cs="仿宋"/>
                <w:b/>
                <w:bCs/>
                <w:color w:val="000000" w:themeColor="text1"/>
                <w:kern w:val="2"/>
                <w:lang w:val="en-US" w:eastAsia="zh-CN"/>
                <w14:textFill>
                  <w14:solidFill>
                    <w14:schemeClr w14:val="tx1"/>
                  </w14:solidFill>
                </w14:textFill>
              </w:rPr>
              <w:t>（2）演示评审（满分6分）</w:t>
            </w:r>
          </w:p>
          <w:p w14:paraId="1BB6185B">
            <w:pPr>
              <w:pStyle w:val="40"/>
              <w:keepNext w:val="0"/>
              <w:keepLines w:val="0"/>
              <w:pageBreakBefore w:val="0"/>
              <w:widowControl w:val="0"/>
              <w:shd w:val="clear" w:color="auto" w:fill="FFFFFF" w:themeFill="background1"/>
              <w:kinsoku/>
              <w:wordWrap/>
              <w:overflowPunct/>
              <w:topLinePunct w:val="0"/>
              <w:bidi w:val="0"/>
              <w:adjustRightInd/>
              <w:snapToGrid/>
              <w:spacing w:beforeAutospacing="0" w:afterAutospacing="0" w:line="400" w:lineRule="exact"/>
              <w:ind w:left="0" w:leftChars="0" w:right="0" w:rightChars="0" w:firstLine="240" w:firstLineChars="1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招</w:t>
            </w:r>
            <w:r>
              <w:rPr>
                <w:rFonts w:hint="eastAsia" w:ascii="仿宋" w:hAnsi="仿宋" w:eastAsia="仿宋" w:cs="仿宋"/>
                <w:color w:val="000000" w:themeColor="text1"/>
                <w:sz w:val="24"/>
                <w:szCs w:val="24"/>
                <w:highlight w:val="none"/>
                <w14:textFill>
                  <w14:solidFill>
                    <w14:schemeClr w14:val="tx1"/>
                  </w14:solidFill>
                </w14:textFill>
              </w:rPr>
              <w:t>标文件第五章《采购需求》中</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Fonts w:hint="eastAsia" w:ascii="仿宋" w:hAnsi="仿宋" w:eastAsia="仿宋" w:cs="仿宋"/>
                <w:b/>
                <w:bCs/>
                <w:color w:val="000000" w:themeColor="text1"/>
                <w:sz w:val="24"/>
                <w:szCs w:val="24"/>
                <w:lang w:val="en-US" w:eastAsia="zh-CN"/>
                <w14:textFill>
                  <w14:solidFill>
                    <w14:schemeClr w14:val="tx1"/>
                  </w14:solidFill>
                </w14:textFill>
              </w:rPr>
              <w:t>三、采购标的技术、服务要求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标注“●”的技术参数为现场演示（共3条，满分6分）：</w:t>
            </w:r>
          </w:p>
          <w:p w14:paraId="442A9E2C">
            <w:pPr>
              <w:pStyle w:val="40"/>
              <w:keepNext w:val="0"/>
              <w:keepLines w:val="0"/>
              <w:pageBreakBefore w:val="0"/>
              <w:widowControl w:val="0"/>
              <w:shd w:val="clear" w:color="auto" w:fill="FFFFFF" w:themeFill="background1"/>
              <w:kinsoku/>
              <w:wordWrap/>
              <w:overflowPunct/>
              <w:topLinePunct w:val="0"/>
              <w:bidi w:val="0"/>
              <w:adjustRightInd/>
              <w:snapToGrid/>
              <w:spacing w:beforeAutospacing="0" w:afterAutospacing="0" w:line="400" w:lineRule="exact"/>
              <w:ind w:left="0" w:leftChars="0" w:right="0" w:rightChars="0" w:firstLine="240" w:firstLineChars="1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标注“●”符号的技术参数，需按照参数描述进行演示，每有1条不满足采购要求的扣2分；</w:t>
            </w:r>
            <w:r>
              <w:rPr>
                <w:rFonts w:hint="eastAsia" w:ascii="仿宋" w:hAnsi="仿宋" w:eastAsia="仿宋" w:cs="仿宋"/>
                <w:color w:val="000000" w:themeColor="text1"/>
                <w:sz w:val="24"/>
                <w:szCs w:val="24"/>
                <w:lang w:val="en-US" w:eastAsia="zh-CN"/>
                <w14:textFill>
                  <w14:solidFill>
                    <w14:schemeClr w14:val="tx1"/>
                  </w14:solidFill>
                </w14:textFill>
              </w:rPr>
              <w:br w:type="textWrapping"/>
            </w:r>
            <w:r>
              <w:rPr>
                <w:rFonts w:hint="eastAsia" w:ascii="仿宋" w:hAnsi="仿宋" w:eastAsia="仿宋" w:cs="仿宋"/>
                <w:color w:val="000000" w:themeColor="text1"/>
                <w:sz w:val="24"/>
                <w:szCs w:val="24"/>
                <w:lang w:val="en-US" w:eastAsia="zh-CN"/>
                <w14:textFill>
                  <w14:solidFill>
                    <w14:schemeClr w14:val="tx1"/>
                  </w14:solidFill>
                </w14:textFill>
              </w:rPr>
              <w:t>注：①演示顺序按照政采云平台唱标顺序进行演示，投标人视频演示时间不超过30分钟。演示时需吐字清晰、逻辑合理。30分钟后终止演示，请各投标人合理安排演示时间。</w:t>
            </w:r>
          </w:p>
          <w:p w14:paraId="72111F99">
            <w:pPr>
              <w:pStyle w:val="40"/>
              <w:keepNext w:val="0"/>
              <w:keepLines w:val="0"/>
              <w:pageBreakBefore w:val="0"/>
              <w:widowControl w:val="0"/>
              <w:shd w:val="clear" w:color="auto" w:fill="FFFFFF" w:themeFill="background1"/>
              <w:kinsoku/>
              <w:wordWrap/>
              <w:overflowPunct/>
              <w:topLinePunct w:val="0"/>
              <w:bidi w:val="0"/>
              <w:adjustRightInd/>
              <w:snapToGrid/>
              <w:spacing w:beforeAutospacing="0" w:afterAutospacing="0" w:line="400" w:lineRule="exact"/>
              <w:ind w:left="0" w:leftChars="0" w:right="0" w:rightChars="0" w:firstLine="240" w:firstLineChars="1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②投标人投标时自行准备演示所需的设备（含但不限于电脑、U盘、转接口等）。</w:t>
            </w:r>
          </w:p>
          <w:p w14:paraId="300E5F68">
            <w:pPr>
              <w:pStyle w:val="40"/>
              <w:keepNext w:val="0"/>
              <w:keepLines w:val="0"/>
              <w:pageBreakBefore w:val="0"/>
              <w:widowControl w:val="0"/>
              <w:shd w:val="clear" w:color="auto" w:fill="FFFFFF" w:themeFill="background1"/>
              <w:kinsoku/>
              <w:wordWrap/>
              <w:overflowPunct/>
              <w:topLinePunct w:val="0"/>
              <w:bidi w:val="0"/>
              <w:adjustRightInd/>
              <w:snapToGrid/>
              <w:spacing w:beforeAutospacing="0" w:afterAutospacing="0" w:line="400" w:lineRule="exact"/>
              <w:ind w:left="0" w:leftChars="0" w:right="0" w:rightChars="0" w:firstLine="240" w:firstLineChars="1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③演示方式:现场演示。</w:t>
            </w:r>
          </w:p>
          <w:p w14:paraId="406C8CBE">
            <w:pPr>
              <w:pStyle w:val="40"/>
              <w:keepNext w:val="0"/>
              <w:keepLines w:val="0"/>
              <w:pageBreakBefore w:val="0"/>
              <w:widowControl w:val="0"/>
              <w:shd w:val="clear" w:color="auto" w:fill="FFFFFF" w:themeFill="background1"/>
              <w:kinsoku/>
              <w:wordWrap/>
              <w:overflowPunct/>
              <w:topLinePunct w:val="0"/>
              <w:bidi w:val="0"/>
              <w:adjustRightInd/>
              <w:snapToGrid/>
              <w:spacing w:beforeAutospacing="0" w:afterAutospacing="0" w:line="400" w:lineRule="exact"/>
              <w:ind w:left="0" w:leftChars="0" w:right="0" w:rightChars="0" w:firstLine="240" w:firstLineChars="1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④演示地点：云南省丽江市古城区象山路264号办公楼5楼评标室。</w:t>
            </w:r>
          </w:p>
          <w:p w14:paraId="5D245CA3">
            <w:pPr>
              <w:pStyle w:val="40"/>
              <w:keepNext w:val="0"/>
              <w:keepLines w:val="0"/>
              <w:pageBreakBefore w:val="0"/>
              <w:widowControl w:val="0"/>
              <w:shd w:val="clear" w:color="auto" w:fill="FFFFFF" w:themeFill="background1"/>
              <w:kinsoku/>
              <w:wordWrap/>
              <w:overflowPunct/>
              <w:topLinePunct w:val="0"/>
              <w:bidi w:val="0"/>
              <w:adjustRightInd/>
              <w:snapToGrid/>
              <w:spacing w:beforeAutospacing="0" w:afterAutospacing="0" w:line="400" w:lineRule="exact"/>
              <w:ind w:left="0" w:leftChars="0" w:right="0" w:rightChars="0" w:firstLine="240" w:firstLineChars="100"/>
              <w:jc w:val="both"/>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⑤最终交付客户的软件版本（教育版）须具备上述专用版本（演示版）的功能，若最终交付客户的软硬件版本（教育版）不满足上述专用版本（演示版）的功能，则视为投标人虚假应标。</w:t>
            </w:r>
          </w:p>
        </w:tc>
      </w:tr>
      <w:tr w14:paraId="3FAA1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1059" w:type="dxa"/>
            <w:vMerge w:val="continue"/>
            <w:shd w:val="clear" w:color="auto" w:fill="FFFFFF" w:themeFill="background1"/>
            <w:vAlign w:val="center"/>
          </w:tcPr>
          <w:p w14:paraId="7D068412">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Cs w:val="21"/>
              </w:rPr>
            </w:pPr>
          </w:p>
        </w:tc>
        <w:tc>
          <w:tcPr>
            <w:tcW w:w="1286" w:type="dxa"/>
            <w:tcBorders>
              <w:top w:val="single" w:color="auto" w:sz="4" w:space="0"/>
            </w:tcBorders>
            <w:shd w:val="clear" w:color="auto" w:fill="FFFFFF" w:themeFill="background1"/>
            <w:vAlign w:val="center"/>
          </w:tcPr>
          <w:p w14:paraId="5E155D26">
            <w:pPr>
              <w:pStyle w:val="39"/>
              <w:keepNext w:val="0"/>
              <w:keepLines w:val="0"/>
              <w:pageBreakBefore w:val="0"/>
              <w:widowControl w:val="0"/>
              <w:shd w:val="clear"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2.项目实施方案评审评分</w:t>
            </w:r>
          </w:p>
          <w:p w14:paraId="236440E8">
            <w:pPr>
              <w:pStyle w:val="39"/>
              <w:keepNext w:val="0"/>
              <w:keepLines w:val="0"/>
              <w:pageBreakBefore w:val="0"/>
              <w:widowControl w:val="0"/>
              <w:shd w:val="clear"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rPr>
            </w:pPr>
            <w:r>
              <w:rPr>
                <w:rFonts w:hint="eastAsia" w:ascii="仿宋" w:hAnsi="仿宋" w:eastAsia="仿宋" w:cs="仿宋"/>
                <w:color w:val="auto"/>
                <w:sz w:val="24"/>
                <w:szCs w:val="24"/>
                <w:highlight w:val="none"/>
                <w:lang w:val="en-US" w:eastAsia="zh-CN" w:bidi="ar-SA"/>
              </w:rPr>
              <w:t>（8分）</w:t>
            </w:r>
          </w:p>
        </w:tc>
        <w:tc>
          <w:tcPr>
            <w:tcW w:w="8013" w:type="dxa"/>
            <w:tcBorders>
              <w:top w:val="single" w:color="auto" w:sz="4" w:space="0"/>
              <w:bottom w:val="single" w:color="auto" w:sz="6" w:space="0"/>
            </w:tcBorders>
            <w:shd w:val="clear" w:color="auto" w:fill="FFFFFF" w:themeFill="background1"/>
            <w:vAlign w:val="center"/>
          </w:tcPr>
          <w:p w14:paraId="1E25CE06">
            <w:pPr>
              <w:pStyle w:val="40"/>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400" w:lineRule="exact"/>
              <w:ind w:left="0" w:leftChars="0" w:right="0" w:rightChars="0" w:firstLine="240" w:firstLineChars="1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根据投标人提供的①重、难点分析；②进度计划及保障措施；③质量控制及保障措施；④应急预案及保障措施；⑤技术培训；进行综合评审，评审标准如下：</w:t>
            </w:r>
          </w:p>
          <w:p w14:paraId="7646C711">
            <w:pPr>
              <w:pStyle w:val="40"/>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400" w:lineRule="exact"/>
              <w:ind w:left="0" w:leftChars="0" w:right="0" w:rightChars="0" w:firstLine="241" w:firstLineChars="1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重、难点分析（1.5分）</w:t>
            </w:r>
            <w:r>
              <w:rPr>
                <w:rFonts w:hint="eastAsia" w:ascii="仿宋" w:hAnsi="仿宋" w:eastAsia="仿宋" w:cs="仿宋"/>
                <w:color w:val="auto"/>
                <w:sz w:val="24"/>
                <w:szCs w:val="24"/>
                <w:highlight w:val="none"/>
                <w:lang w:val="en-US" w:eastAsia="zh-CN"/>
              </w:rPr>
              <w:t>：能结合学校的实际需求，准确识别项目核心重点（如多系统数据联动、AR设备实操适配、实训资源落地、空间建设与设备安装衔接）及难点（如多设备同步调试、软件与硬件兼容性、现场演示达标、3个月交货期履约），识别全面、精准，重点把握准确，全面、完整，内容与本项目需求高度吻合、层次细化，具有具体详细的阐述；</w:t>
            </w:r>
          </w:p>
          <w:p w14:paraId="399A158C">
            <w:pPr>
              <w:pStyle w:val="40"/>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400" w:lineRule="exact"/>
              <w:ind w:left="0" w:leftChars="0" w:right="0" w:rightChars="0" w:firstLine="241" w:firstLineChars="1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进度计划及保障措施（1.5分）：</w:t>
            </w:r>
            <w:r>
              <w:rPr>
                <w:rFonts w:hint="eastAsia" w:ascii="仿宋" w:hAnsi="仿宋" w:eastAsia="仿宋" w:cs="仿宋"/>
                <w:color w:val="auto"/>
                <w:sz w:val="24"/>
                <w:szCs w:val="24"/>
                <w:highlight w:val="none"/>
                <w:lang w:val="en-US" w:eastAsia="zh-CN"/>
              </w:rPr>
              <w:t>进度计划完整，明确划分设备采购、运输、安装调试、软件部署、空间建设、验收、培训等各阶段时间节点，节点分配合理，严格契合“合同签订后3个月内完成整体项目”的要求，有详细的时间节点表、责任人及衔接流程，实施计划切实可行，组织形式、阶段划分、组织要点等安排合理；</w:t>
            </w:r>
          </w:p>
          <w:p w14:paraId="3E8923A2">
            <w:pPr>
              <w:pStyle w:val="40"/>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400" w:lineRule="exact"/>
              <w:ind w:left="0" w:leftChars="0" w:right="0" w:rightChars="0" w:firstLine="241" w:firstLineChars="1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质量控制保障措施（1.5分）：</w:t>
            </w:r>
            <w:r>
              <w:rPr>
                <w:rFonts w:hint="eastAsia" w:ascii="仿宋" w:hAnsi="仿宋" w:eastAsia="仿宋" w:cs="仿宋"/>
                <w:color w:val="auto"/>
                <w:sz w:val="24"/>
                <w:szCs w:val="24"/>
                <w:highlight w:val="none"/>
                <w:lang w:val="en-US" w:eastAsia="zh-CN"/>
              </w:rPr>
              <w:t>质量保证措施及承诺建立完善的项目质量控制体系，明确质量管控目标、流程、责任人，覆盖设备采购、验收、安装调试、软件部署、空间建设、售后运维全流程，体系规范，阐述详细、全面、清晰且可行性、有效性、可操作性强；</w:t>
            </w:r>
          </w:p>
          <w:p w14:paraId="3D3E95F0">
            <w:pPr>
              <w:keepNext w:val="0"/>
              <w:keepLines w:val="0"/>
              <w:pageBreakBefore w:val="0"/>
              <w:widowControl/>
              <w:suppressLineNumbers w:val="0"/>
              <w:kinsoku/>
              <w:wordWrap/>
              <w:overflowPunct/>
              <w:topLinePunct w:val="0"/>
              <w:autoSpaceDE/>
              <w:autoSpaceDN/>
              <w:bidi w:val="0"/>
              <w:adjustRightInd/>
              <w:snapToGrid/>
              <w:spacing w:line="400" w:lineRule="exact"/>
              <w:ind w:firstLine="241" w:firstLineChars="1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应急预案及保障措施（1.5分）：</w:t>
            </w:r>
            <w:r>
              <w:rPr>
                <w:rFonts w:hint="eastAsia" w:ascii="仿宋" w:hAnsi="仿宋" w:eastAsia="仿宋" w:cs="仿宋"/>
                <w:color w:val="auto"/>
                <w:kern w:val="0"/>
                <w:sz w:val="24"/>
                <w:szCs w:val="24"/>
                <w:highlight w:val="none"/>
                <w:lang w:val="en-US" w:eastAsia="zh-CN" w:bidi="ar-SA"/>
              </w:rPr>
              <w:t>应急预案覆盖设备故障、软件崩溃、进度滞后、运输延误、售后响应不及时等各类突发情况，预案内容完整、逻辑清晰，针对各类突发情况，制定具体、可操作的应急处置措施，明确应急响应流程、责任人、处置时限，配备必要的应急资源（如备用设备、应急技术人员），明确应急响应时限（贴合硬件2小时响应、24小时到场，软件7×24小时技术支持要求），建立应急沟通机制，能及时响应、快速处置突发问题，同时制定应急处置后的复盘、优化措施，形成长效保障；</w:t>
            </w:r>
          </w:p>
          <w:p w14:paraId="177EBFEB">
            <w:pPr>
              <w:keepNext w:val="0"/>
              <w:keepLines w:val="0"/>
              <w:pageBreakBefore w:val="0"/>
              <w:widowControl/>
              <w:suppressLineNumbers w:val="0"/>
              <w:kinsoku/>
              <w:wordWrap/>
              <w:overflowPunct/>
              <w:topLinePunct w:val="0"/>
              <w:autoSpaceDE/>
              <w:autoSpaceDN/>
              <w:bidi w:val="0"/>
              <w:adjustRightInd/>
              <w:snapToGrid/>
              <w:spacing w:line="400" w:lineRule="exact"/>
              <w:ind w:firstLine="241" w:firstLineChars="1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技术培训与验收（2分）：</w:t>
            </w:r>
            <w:r>
              <w:rPr>
                <w:rFonts w:hint="eastAsia" w:ascii="仿宋" w:hAnsi="仿宋" w:eastAsia="仿宋" w:cs="仿宋"/>
                <w:color w:val="auto"/>
                <w:kern w:val="0"/>
                <w:sz w:val="24"/>
                <w:szCs w:val="24"/>
                <w:lang w:val="en-US" w:eastAsia="zh-CN" w:bidi="ar"/>
              </w:rPr>
              <w:t>培训方案完整，明确培训目标、培训对象、培训时间、培训地点、培训内容、培训方式、考核方式，贴合学院教学需求，</w:t>
            </w:r>
            <w:r>
              <w:rPr>
                <w:rFonts w:hint="eastAsia" w:ascii="仿宋" w:hAnsi="仿宋" w:eastAsia="仿宋" w:cs="仿宋"/>
                <w:color w:val="auto"/>
                <w:sz w:val="24"/>
                <w:szCs w:val="24"/>
                <w:highlight w:val="none"/>
                <w:lang w:val="en-US" w:eastAsia="zh-CN"/>
              </w:rPr>
              <w:t>能为教师提供深入的系统操作、设备使用培训，确保“会用、能教”；</w:t>
            </w:r>
            <w:r>
              <w:rPr>
                <w:rFonts w:hint="eastAsia" w:ascii="仿宋" w:hAnsi="仿宋" w:eastAsia="仿宋" w:cs="仿宋"/>
                <w:color w:val="auto"/>
                <w:kern w:val="0"/>
                <w:sz w:val="24"/>
                <w:szCs w:val="24"/>
                <w:lang w:val="en-US" w:eastAsia="zh-CN" w:bidi="ar"/>
              </w:rPr>
              <w:t>承诺提供后续定制化培训服务（如新增功能培训、行业最新技术培训），建立培训回访机制，及时解决教师培训后遇到的问题，保障培训效果长效性；</w:t>
            </w:r>
            <w:r>
              <w:rPr>
                <w:rFonts w:hint="eastAsia" w:ascii="仿宋" w:hAnsi="仿宋" w:eastAsia="仿宋" w:cs="仿宋"/>
                <w:color w:val="auto"/>
                <w:kern w:val="2"/>
                <w:sz w:val="24"/>
                <w:szCs w:val="24"/>
                <w:highlight w:val="none"/>
                <w:lang w:val="en-US" w:eastAsia="zh-CN"/>
              </w:rPr>
              <w:t>验收职责明确，流程清晰，违约责任或承诺具体，资料审查、功能测试明确。</w:t>
            </w:r>
          </w:p>
          <w:p w14:paraId="77C92891">
            <w:pPr>
              <w:pStyle w:val="40"/>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400" w:lineRule="exact"/>
              <w:ind w:left="0" w:leftChars="0" w:right="0" w:rightChars="0" w:firstLine="240" w:firstLineChars="1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以上内容完整、详细，契合度高得8分；</w:t>
            </w:r>
            <w:r>
              <w:rPr>
                <w:rFonts w:hint="eastAsia" w:ascii="仿宋" w:hAnsi="仿宋" w:eastAsia="仿宋" w:cs="仿宋"/>
                <w:b w:val="0"/>
                <w:bCs w:val="0"/>
                <w:color w:val="auto"/>
                <w:sz w:val="24"/>
                <w:szCs w:val="24"/>
                <w:highlight w:val="none"/>
                <w:lang w:val="en-US" w:eastAsia="zh-CN"/>
              </w:rPr>
              <w:t>每一项内容达不到上述要求，不完整或有缺陷的扣0.5分；不</w:t>
            </w:r>
            <w:r>
              <w:rPr>
                <w:rFonts w:hint="eastAsia" w:ascii="仿宋" w:hAnsi="仿宋" w:eastAsia="仿宋" w:cs="仿宋"/>
                <w:color w:val="auto"/>
                <w:sz w:val="24"/>
                <w:szCs w:val="24"/>
                <w:highlight w:val="none"/>
                <w:lang w:val="en-US" w:eastAsia="zh-CN"/>
              </w:rPr>
              <w:t>提供该部分得0分。</w:t>
            </w:r>
          </w:p>
          <w:p w14:paraId="4E78E91C">
            <w:pPr>
              <w:pStyle w:val="40"/>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400" w:lineRule="exact"/>
              <w:ind w:left="0" w:leftChars="0" w:right="0" w:rightChars="0" w:firstLine="240" w:firstLineChars="1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14:paraId="4A242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1059" w:type="dxa"/>
            <w:vMerge w:val="continue"/>
            <w:shd w:val="clear" w:color="auto" w:fill="FFFFFF" w:themeFill="background1"/>
            <w:vAlign w:val="center"/>
          </w:tcPr>
          <w:p w14:paraId="1E4CBCFA">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Cs w:val="21"/>
              </w:rPr>
            </w:pPr>
          </w:p>
        </w:tc>
        <w:tc>
          <w:tcPr>
            <w:tcW w:w="1286" w:type="dxa"/>
            <w:tcBorders>
              <w:top w:val="single" w:color="auto" w:sz="4" w:space="0"/>
            </w:tcBorders>
            <w:shd w:val="clear" w:color="auto" w:fill="FFFFFF" w:themeFill="background1"/>
            <w:vAlign w:val="center"/>
          </w:tcPr>
          <w:p w14:paraId="5DB3F775">
            <w:pPr>
              <w:pStyle w:val="40"/>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3.交付与安装调试方案（满分5分）</w:t>
            </w:r>
          </w:p>
          <w:p w14:paraId="3D7A0C79">
            <w:pPr>
              <w:pStyle w:val="39"/>
              <w:keepNext w:val="0"/>
              <w:keepLines w:val="0"/>
              <w:pageBreakBefore w:val="0"/>
              <w:widowControl w:val="0"/>
              <w:shd w:val="clear"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bidi="ar-SA"/>
              </w:rPr>
            </w:pPr>
          </w:p>
        </w:tc>
        <w:tc>
          <w:tcPr>
            <w:tcW w:w="8013" w:type="dxa"/>
            <w:tcBorders>
              <w:top w:val="single" w:color="auto" w:sz="4" w:space="0"/>
              <w:bottom w:val="single" w:color="auto" w:sz="6" w:space="0"/>
            </w:tcBorders>
            <w:shd w:val="clear" w:color="auto" w:fill="FFFFFF" w:themeFill="background1"/>
            <w:vAlign w:val="center"/>
          </w:tcPr>
          <w:p w14:paraId="35BEB96F">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根据投标人提供的</w:t>
            </w:r>
            <w:r>
              <w:rPr>
                <w:rFonts w:hint="eastAsia" w:ascii="仿宋" w:hAnsi="仿宋" w:eastAsia="仿宋" w:cs="仿宋"/>
                <w:b/>
                <w:bCs/>
                <w:color w:val="auto"/>
                <w:sz w:val="24"/>
                <w:szCs w:val="24"/>
                <w:highlight w:val="none"/>
                <w:lang w:val="en-US" w:eastAsia="zh-CN"/>
              </w:rPr>
              <w:t>①设备送达、安装调试及交付时效②项目交付方案③</w:t>
            </w:r>
            <w:r>
              <w:rPr>
                <w:rFonts w:hint="eastAsia" w:ascii="仿宋" w:hAnsi="仿宋" w:eastAsia="仿宋" w:cs="仿宋"/>
                <w:b/>
                <w:bCs/>
                <w:kern w:val="0"/>
                <w:sz w:val="24"/>
                <w:szCs w:val="24"/>
                <w:lang w:val="en-US" w:eastAsia="zh-CN" w:bidi="ar"/>
              </w:rPr>
              <w:t>安装调试</w:t>
            </w:r>
            <w:r>
              <w:rPr>
                <w:rFonts w:hint="eastAsia" w:ascii="仿宋" w:hAnsi="仿宋" w:eastAsia="仿宋" w:cs="仿宋"/>
                <w:b/>
                <w:bCs/>
                <w:color w:val="auto"/>
                <w:sz w:val="24"/>
                <w:szCs w:val="24"/>
                <w:highlight w:val="none"/>
                <w:lang w:val="en-US" w:eastAsia="zh-CN"/>
              </w:rPr>
              <w:t>④货物包装与运输⑤验收方案，</w:t>
            </w:r>
            <w:r>
              <w:rPr>
                <w:rFonts w:hint="eastAsia" w:ascii="仿宋" w:hAnsi="仿宋" w:eastAsia="仿宋" w:cs="仿宋"/>
                <w:color w:val="auto"/>
                <w:sz w:val="24"/>
                <w:szCs w:val="24"/>
                <w:highlight w:val="none"/>
                <w:lang w:val="en-US" w:eastAsia="zh-CN"/>
              </w:rPr>
              <w:t>进行综合评审，评审标准如下：</w:t>
            </w:r>
          </w:p>
          <w:p w14:paraId="2100BC7B">
            <w:pPr>
              <w:pStyle w:val="40"/>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400" w:lineRule="exact"/>
              <w:ind w:left="0" w:leftChars="0" w:right="0" w:rightChars="0" w:firstLine="241" w:firstLineChars="1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设备送达、安装调试及交付时效（1分）</w:t>
            </w:r>
            <w:r>
              <w:rPr>
                <w:rFonts w:hint="eastAsia" w:ascii="仿宋" w:hAnsi="仿宋" w:eastAsia="仿宋" w:cs="仿宋"/>
                <w:color w:val="auto"/>
                <w:sz w:val="24"/>
                <w:szCs w:val="24"/>
                <w:highlight w:val="none"/>
                <w:lang w:val="en-US" w:eastAsia="zh-CN"/>
              </w:rPr>
              <w:t>：明确承诺在合同签订后3个月（90个自然日）内，完成全部设备的送达、安装调试，并正式交付招标人使用；承诺函中明确时效起算时间（合同签订次日）、截止时间，同时提供时效保障措施（如专人跟进物流、提前备货、调试排班计划等），无模糊表述，可落地性强。</w:t>
            </w:r>
          </w:p>
          <w:p w14:paraId="4E99E604">
            <w:pPr>
              <w:pStyle w:val="40"/>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400" w:lineRule="exact"/>
              <w:ind w:left="0" w:leftChars="0" w:right="0" w:rightChars="0" w:firstLine="241" w:firstLineChars="1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项目交付方案（1分）</w:t>
            </w:r>
            <w:r>
              <w:rPr>
                <w:rFonts w:hint="eastAsia" w:ascii="仿宋" w:hAnsi="仿宋" w:eastAsia="仿宋" w:cs="仿宋"/>
                <w:color w:val="auto"/>
                <w:sz w:val="24"/>
                <w:szCs w:val="24"/>
                <w:highlight w:val="none"/>
                <w:lang w:val="en-US" w:eastAsia="zh-CN"/>
              </w:rPr>
              <w:t>：软件及硬件交付能结合各系统的实际情况，重点把握准确，全面、完整，内容与本项目需求高度吻合、层次细化，具有具体详细的阐述，实施计划切实可行，人员配置充足合理，组织形式、阶段划分、组织要点等安排合理；</w:t>
            </w:r>
          </w:p>
          <w:p w14:paraId="33548113">
            <w:pPr>
              <w:pStyle w:val="40"/>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400" w:lineRule="exact"/>
              <w:ind w:left="0" w:leftChars="0" w:right="0" w:rightChars="0" w:firstLine="241" w:firstLineChars="1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安装调试（1分）</w:t>
            </w:r>
            <w:r>
              <w:rPr>
                <w:rFonts w:hint="eastAsia" w:ascii="仿宋" w:hAnsi="仿宋" w:eastAsia="仿宋" w:cs="仿宋"/>
                <w:color w:val="auto"/>
                <w:sz w:val="24"/>
                <w:szCs w:val="24"/>
                <w:highlight w:val="none"/>
                <w:lang w:val="en-US" w:eastAsia="zh-CN"/>
              </w:rPr>
              <w:t>：提供详细的安装调试计划，计划包含但不限于：施工准备阶段（材料、工具、人员到位安排）、安装流程（分设备、分步骤说明）、调试流程（调试内容、调试标准、调试频次）、进度节点（各阶段完成时间）、质量检验标准、安全保障措施，内容完整、逻辑清晰，可直接指导现场施工。</w:t>
            </w:r>
          </w:p>
          <w:p w14:paraId="7F96D5FD">
            <w:pPr>
              <w:pStyle w:val="40"/>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400" w:lineRule="exact"/>
              <w:ind w:left="0" w:leftChars="0" w:right="0" w:rightChars="0" w:firstLine="241" w:firstLineChars="1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货物包装与运输（1分）</w:t>
            </w:r>
            <w:r>
              <w:rPr>
                <w:rFonts w:hint="eastAsia" w:ascii="仿宋" w:hAnsi="仿宋" w:eastAsia="仿宋" w:cs="仿宋"/>
                <w:color w:val="auto"/>
                <w:sz w:val="24"/>
                <w:szCs w:val="24"/>
                <w:highlight w:val="none"/>
                <w:lang w:val="en-US" w:eastAsia="zh-CN"/>
              </w:rPr>
              <w:t>：货物包装符合行业标准及合同约定，无破损、无受潮、无变形，防护措施到位（易碎、易损货物有特殊防护）。</w:t>
            </w:r>
          </w:p>
          <w:p w14:paraId="250A046A">
            <w:pPr>
              <w:pStyle w:val="40"/>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400" w:lineRule="exact"/>
              <w:ind w:left="0" w:leftChars="0" w:right="0" w:rightChars="0" w:firstLine="241" w:firstLineChars="1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验收方案（1分）：</w:t>
            </w:r>
            <w:r>
              <w:rPr>
                <w:rFonts w:hint="eastAsia" w:ascii="仿宋" w:hAnsi="仿宋" w:eastAsia="仿宋" w:cs="仿宋"/>
                <w:b w:val="0"/>
                <w:bCs w:val="0"/>
                <w:color w:val="auto"/>
                <w:sz w:val="24"/>
                <w:highlight w:val="none"/>
                <w:lang w:val="en-US" w:eastAsia="zh-CN"/>
              </w:rPr>
              <w:t>验收方案中提出了具体、可操作的验收标准和方法，</w:t>
            </w:r>
            <w:r>
              <w:rPr>
                <w:rFonts w:hint="eastAsia" w:ascii="仿宋" w:hAnsi="仿宋" w:eastAsia="仿宋" w:cs="仿宋"/>
                <w:color w:val="auto"/>
                <w:kern w:val="2"/>
                <w:sz w:val="24"/>
                <w:szCs w:val="24"/>
                <w:highlight w:val="none"/>
                <w:lang w:val="en-US" w:eastAsia="zh-CN"/>
              </w:rPr>
              <w:t>验收职责明确，流程清晰，违约责任或承诺具体，资料审查、功能测试明确</w:t>
            </w:r>
            <w:r>
              <w:rPr>
                <w:rFonts w:hint="eastAsia" w:ascii="仿宋" w:hAnsi="仿宋" w:eastAsia="仿宋" w:cs="仿宋"/>
                <w:b w:val="0"/>
                <w:bCs w:val="0"/>
                <w:color w:val="auto"/>
                <w:sz w:val="24"/>
                <w:highlight w:val="none"/>
                <w:lang w:val="en-US" w:eastAsia="zh-CN"/>
              </w:rPr>
              <w:t>。</w:t>
            </w:r>
          </w:p>
          <w:p w14:paraId="5B7B0B0C">
            <w:pPr>
              <w:pStyle w:val="40"/>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400" w:lineRule="exact"/>
              <w:ind w:right="0" w:rightChars="0" w:firstLine="240" w:firstLineChars="1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以上内容完整、详细，契合度高得5分；每缺少一项内容的扣1分，每一项内容达不到上述要求，不完整或有缺陷的扣0.5分；不提供该部分得0分。</w:t>
            </w:r>
          </w:p>
          <w:p w14:paraId="49295D07">
            <w:pPr>
              <w:pStyle w:val="40"/>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400" w:lineRule="exact"/>
              <w:ind w:left="0" w:leftChars="0" w:right="0" w:rightChars="0" w:firstLine="240" w:firstLineChars="1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14:paraId="0CB37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578" w:hRule="atLeast"/>
          <w:jc w:val="center"/>
        </w:trPr>
        <w:tc>
          <w:tcPr>
            <w:tcW w:w="1059" w:type="dxa"/>
            <w:vMerge w:val="continue"/>
            <w:tcBorders>
              <w:bottom w:val="single" w:color="auto" w:sz="4" w:space="0"/>
            </w:tcBorders>
            <w:shd w:val="clear" w:color="auto" w:fill="FFFFFF" w:themeFill="background1"/>
            <w:vAlign w:val="center"/>
          </w:tcPr>
          <w:p w14:paraId="1E40B28A">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Cs w:val="21"/>
              </w:rPr>
            </w:pPr>
          </w:p>
        </w:tc>
        <w:tc>
          <w:tcPr>
            <w:tcW w:w="1286" w:type="dxa"/>
            <w:tcBorders>
              <w:top w:val="single" w:color="auto" w:sz="4" w:space="0"/>
            </w:tcBorders>
            <w:shd w:val="clear" w:color="auto" w:fill="FFFFFF" w:themeFill="background1"/>
            <w:vAlign w:val="center"/>
          </w:tcPr>
          <w:p w14:paraId="5DFE5C52">
            <w:pPr>
              <w:pageBreakBefore w:val="0"/>
              <w:wordWrap/>
              <w:overflowPunct/>
              <w:topLinePunct w:val="0"/>
              <w:bidi w:val="0"/>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highlight w:val="none"/>
                <w:lang w:val="en-US" w:eastAsia="zh-CN"/>
              </w:rPr>
              <w:t>4.环境提升及文化建设方案评审（3分）</w:t>
            </w:r>
          </w:p>
        </w:tc>
        <w:tc>
          <w:tcPr>
            <w:tcW w:w="8013" w:type="dxa"/>
            <w:tcBorders>
              <w:top w:val="single" w:color="auto" w:sz="4" w:space="0"/>
              <w:bottom w:val="single" w:color="auto" w:sz="6" w:space="0"/>
            </w:tcBorders>
            <w:shd w:val="clear" w:color="auto" w:fill="FFFFFF" w:themeFill="background1"/>
            <w:vAlign w:val="top"/>
          </w:tcPr>
          <w:p w14:paraId="7E46A950">
            <w:pPr>
              <w:pStyle w:val="11"/>
              <w:keepNext w:val="0"/>
              <w:keepLines w:val="0"/>
              <w:pageBreakBefore w:val="0"/>
              <w:kinsoku/>
              <w:wordWrap/>
              <w:overflowPunct/>
              <w:topLinePunct w:val="0"/>
              <w:bidi w:val="0"/>
              <w:adjustRightInd/>
              <w:snapToGrid/>
              <w:spacing w:line="400" w:lineRule="exact"/>
              <w:ind w:firstLine="240" w:firstLineChars="10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根据</w:t>
            </w:r>
            <w:r>
              <w:rPr>
                <w:rFonts w:hint="eastAsia" w:ascii="仿宋" w:hAnsi="仿宋" w:eastAsia="仿宋" w:cs="仿宋"/>
                <w:color w:val="auto"/>
                <w:kern w:val="2"/>
                <w:sz w:val="24"/>
                <w:szCs w:val="24"/>
                <w:highlight w:val="none"/>
                <w:lang w:eastAsia="zh-CN"/>
              </w:rPr>
              <w:t>投标人</w:t>
            </w:r>
            <w:r>
              <w:rPr>
                <w:rFonts w:hint="eastAsia" w:ascii="仿宋" w:hAnsi="仿宋" w:eastAsia="仿宋" w:cs="仿宋"/>
                <w:color w:val="auto"/>
                <w:kern w:val="2"/>
                <w:sz w:val="24"/>
                <w:szCs w:val="24"/>
                <w:highlight w:val="none"/>
                <w:lang w:val="en-US" w:eastAsia="zh-CN"/>
              </w:rPr>
              <w:t>提供的</w:t>
            </w:r>
            <w:r>
              <w:rPr>
                <w:rFonts w:hint="eastAsia" w:ascii="仿宋" w:hAnsi="仿宋" w:eastAsia="仿宋" w:cs="仿宋"/>
                <w:color w:val="auto"/>
                <w:sz w:val="24"/>
                <w:highlight w:val="none"/>
                <w:lang w:val="en-US" w:eastAsia="zh-CN"/>
              </w:rPr>
              <w:t>环境提升及文化建设方案（</w:t>
            </w:r>
            <w:r>
              <w:rPr>
                <w:rFonts w:hint="eastAsia" w:ascii="仿宋" w:hAnsi="仿宋" w:eastAsia="仿宋" w:cs="仿宋"/>
                <w:color w:val="auto"/>
                <w:kern w:val="2"/>
                <w:sz w:val="24"/>
                <w:szCs w:val="24"/>
                <w:highlight w:val="none"/>
                <w:lang w:val="en-US" w:eastAsia="zh-CN" w:bidi="ar-SA"/>
              </w:rPr>
              <w:t>内容包括</w:t>
            </w:r>
            <w:r>
              <w:rPr>
                <w:rFonts w:hint="eastAsia" w:ascii="仿宋" w:hAnsi="仿宋" w:eastAsia="仿宋" w:cs="仿宋"/>
                <w:color w:val="auto"/>
                <w:kern w:val="2"/>
                <w:sz w:val="24"/>
                <w:szCs w:val="24"/>
                <w:highlight w:val="none"/>
              </w:rPr>
              <w:t>①</w:t>
            </w:r>
            <w:r>
              <w:rPr>
                <w:rFonts w:hint="eastAsia" w:ascii="仿宋" w:hAnsi="仿宋" w:eastAsia="仿宋" w:cs="仿宋"/>
                <w:color w:val="auto"/>
                <w:kern w:val="2"/>
                <w:sz w:val="24"/>
                <w:szCs w:val="24"/>
                <w:highlight w:val="none"/>
                <w:lang w:val="en-US" w:eastAsia="zh-CN"/>
              </w:rPr>
              <w:t>环境提升和文化建设设计思路</w:t>
            </w:r>
            <w:r>
              <w:rPr>
                <w:rFonts w:hint="eastAsia" w:ascii="仿宋" w:hAnsi="仿宋" w:eastAsia="仿宋" w:cs="仿宋"/>
                <w:color w:val="auto"/>
                <w:kern w:val="2"/>
                <w:sz w:val="24"/>
                <w:szCs w:val="24"/>
                <w:highlight w:val="none"/>
              </w:rPr>
              <w:t>②</w:t>
            </w:r>
            <w:r>
              <w:rPr>
                <w:rFonts w:hint="eastAsia" w:ascii="仿宋" w:hAnsi="仿宋" w:eastAsia="仿宋" w:cs="仿宋"/>
                <w:color w:val="auto"/>
                <w:sz w:val="24"/>
                <w:highlight w:val="none"/>
                <w:lang w:val="en-US" w:eastAsia="zh-CN"/>
              </w:rPr>
              <w:t>项目实施保障措施）</w:t>
            </w:r>
            <w:r>
              <w:rPr>
                <w:rFonts w:hint="eastAsia" w:ascii="仿宋" w:hAnsi="仿宋" w:eastAsia="仿宋" w:cs="仿宋"/>
                <w:color w:val="auto"/>
                <w:kern w:val="2"/>
                <w:sz w:val="24"/>
                <w:szCs w:val="24"/>
                <w:highlight w:val="none"/>
                <w:lang w:val="en-US" w:eastAsia="zh-CN" w:bidi="ar-SA"/>
              </w:rPr>
              <w:t>按照下述要求进行综合评审：</w:t>
            </w:r>
          </w:p>
          <w:p w14:paraId="7206DDB5">
            <w:pPr>
              <w:keepNext w:val="0"/>
              <w:keepLines w:val="0"/>
              <w:pageBreakBefore w:val="0"/>
              <w:widowControl w:val="0"/>
              <w:kinsoku/>
              <w:wordWrap/>
              <w:overflowPunct/>
              <w:topLinePunct w:val="0"/>
              <w:bidi w:val="0"/>
              <w:adjustRightInd/>
              <w:snapToGrid/>
              <w:spacing w:line="400" w:lineRule="exact"/>
              <w:ind w:firstLine="240" w:firstLineChars="100"/>
              <w:jc w:val="both"/>
              <w:textAlignment w:val="auto"/>
              <w:rPr>
                <w:rFonts w:hint="eastAsia" w:ascii="仿宋" w:hAnsi="仿宋" w:eastAsia="仿宋" w:cs="仿宋"/>
                <w:b/>
                <w:bCs/>
                <w:color w:val="auto"/>
                <w:kern w:val="2"/>
                <w:szCs w:val="24"/>
                <w:highlight w:val="none"/>
              </w:rPr>
            </w:pPr>
            <w:r>
              <w:rPr>
                <w:rFonts w:hint="eastAsia" w:ascii="仿宋" w:hAnsi="仿宋" w:eastAsia="仿宋" w:cs="仿宋"/>
                <w:b w:val="0"/>
                <w:bCs w:val="0"/>
                <w:color w:val="auto"/>
                <w:sz w:val="24"/>
                <w:szCs w:val="24"/>
                <w:highlight w:val="none"/>
                <w:lang w:val="en-US" w:eastAsia="zh-CN"/>
              </w:rPr>
              <w:t>以上方案2项内容均全部提供，</w:t>
            </w:r>
            <w:r>
              <w:rPr>
                <w:rFonts w:hint="eastAsia" w:ascii="仿宋" w:hAnsi="仿宋" w:eastAsia="仿宋" w:cs="仿宋"/>
                <w:b/>
                <w:bCs/>
                <w:color w:val="auto"/>
                <w:kern w:val="2"/>
                <w:sz w:val="24"/>
                <w:szCs w:val="24"/>
                <w:highlight w:val="none"/>
                <w:lang w:val="en-US" w:eastAsia="zh-CN"/>
              </w:rPr>
              <w:t>环境提升和文化建设设计思路</w:t>
            </w:r>
            <w:r>
              <w:rPr>
                <w:rFonts w:hint="eastAsia" w:ascii="仿宋" w:hAnsi="仿宋" w:eastAsia="仿宋" w:cs="仿宋"/>
                <w:color w:val="auto"/>
                <w:kern w:val="2"/>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项目背景、采购需求分析全面，深入透彻，对实施过程中可能存在的问题（重点、难点、经济、安全）及产生问题的原因分析全面科学合理，并提出有针对性的解决方案及切实可行的合理化建议；设计思路满足项目需求且同时能充分利用空间优势，对整个项目的环境提升及文化建设方案阐述详细、全面，</w:t>
            </w:r>
            <w:r>
              <w:rPr>
                <w:rFonts w:hint="eastAsia" w:ascii="仿宋" w:hAnsi="仿宋" w:eastAsia="仿宋" w:cs="仿宋"/>
                <w:b/>
                <w:bCs/>
                <w:color w:val="auto"/>
                <w:sz w:val="24"/>
                <w:highlight w:val="none"/>
                <w:lang w:val="en-US" w:eastAsia="zh-CN"/>
              </w:rPr>
              <w:t>项目实施保障措施</w:t>
            </w:r>
            <w:r>
              <w:rPr>
                <w:rFonts w:hint="eastAsia" w:ascii="仿宋" w:hAnsi="仿宋" w:eastAsia="仿宋" w:cs="仿宋"/>
                <w:color w:val="auto"/>
                <w:sz w:val="24"/>
                <w:highlight w:val="none"/>
                <w:lang w:val="en-US" w:eastAsia="zh-CN"/>
              </w:rPr>
              <w:t>：</w:t>
            </w:r>
            <w:r>
              <w:rPr>
                <w:rFonts w:hint="eastAsia" w:ascii="仿宋" w:hAnsi="仿宋" w:eastAsia="仿宋" w:cs="仿宋"/>
                <w:b w:val="0"/>
                <w:bCs w:val="0"/>
                <w:color w:val="auto"/>
                <w:sz w:val="24"/>
                <w:highlight w:val="none"/>
                <w:lang w:val="en-US" w:eastAsia="zh-CN"/>
              </w:rPr>
              <w:t>措施全面、有效，</w:t>
            </w:r>
            <w:r>
              <w:rPr>
                <w:rFonts w:hint="eastAsia" w:ascii="仿宋" w:hAnsi="仿宋" w:eastAsia="仿宋" w:cs="仿宋"/>
                <w:b w:val="0"/>
                <w:bCs w:val="0"/>
                <w:color w:val="auto"/>
                <w:sz w:val="24"/>
                <w:szCs w:val="24"/>
                <w:highlight w:val="none"/>
                <w:lang w:val="en-US" w:eastAsia="zh-CN"/>
              </w:rPr>
              <w:t>方案切实可行；每项内容均满足上述描述及项目需求，没有</w:t>
            </w:r>
            <w:r>
              <w:rPr>
                <w:rFonts w:hint="eastAsia" w:ascii="仿宋" w:hAnsi="仿宋" w:eastAsia="仿宋" w:cs="仿宋"/>
                <w:color w:val="auto"/>
                <w:sz w:val="24"/>
                <w:highlight w:val="none"/>
              </w:rPr>
              <w:t>内容不完整或有缺陷或与项目不匹配</w:t>
            </w:r>
            <w:r>
              <w:rPr>
                <w:rFonts w:hint="eastAsia" w:ascii="仿宋" w:hAnsi="仿宋" w:eastAsia="仿宋" w:cs="仿宋"/>
                <w:b w:val="0"/>
                <w:bCs w:val="0"/>
                <w:color w:val="auto"/>
                <w:sz w:val="24"/>
                <w:szCs w:val="24"/>
                <w:highlight w:val="none"/>
                <w:lang w:val="en-US" w:eastAsia="zh-CN"/>
              </w:rPr>
              <w:t>的</w:t>
            </w:r>
            <w:r>
              <w:rPr>
                <w:rFonts w:hint="eastAsia" w:ascii="仿宋" w:hAnsi="仿宋" w:eastAsia="仿宋" w:cs="仿宋"/>
                <w:color w:val="auto"/>
                <w:sz w:val="24"/>
                <w:highlight w:val="none"/>
              </w:rPr>
              <w:t>得</w:t>
            </w:r>
            <w:r>
              <w:rPr>
                <w:rFonts w:hint="eastAsia" w:ascii="仿宋" w:hAnsi="仿宋" w:eastAsia="仿宋" w:cs="仿宋"/>
                <w:color w:val="auto"/>
                <w:sz w:val="24"/>
                <w:highlight w:val="none"/>
                <w:lang w:val="en-US" w:eastAsia="zh-CN"/>
              </w:rPr>
              <w:t>满分3</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val="en-US" w:eastAsia="zh-CN"/>
              </w:rPr>
              <w:t>每</w:t>
            </w:r>
            <w:r>
              <w:rPr>
                <w:rFonts w:hint="eastAsia" w:ascii="仿宋" w:hAnsi="仿宋" w:eastAsia="仿宋" w:cs="仿宋"/>
                <w:color w:val="auto"/>
                <w:sz w:val="24"/>
                <w:highlight w:val="none"/>
              </w:rPr>
              <w:t>缺</w:t>
            </w:r>
            <w:r>
              <w:rPr>
                <w:rFonts w:hint="eastAsia" w:ascii="仿宋" w:hAnsi="仿宋" w:eastAsia="仿宋" w:cs="仿宋"/>
                <w:color w:val="auto"/>
                <w:sz w:val="24"/>
                <w:highlight w:val="none"/>
                <w:lang w:val="en-US" w:eastAsia="zh-CN"/>
              </w:rPr>
              <w:t>少</w:t>
            </w:r>
            <w:r>
              <w:rPr>
                <w:rFonts w:hint="eastAsia" w:ascii="仿宋" w:hAnsi="仿宋" w:eastAsia="仿宋" w:cs="仿宋"/>
                <w:color w:val="auto"/>
                <w:sz w:val="24"/>
                <w:highlight w:val="none"/>
              </w:rPr>
              <w:t>一项</w:t>
            </w:r>
            <w:r>
              <w:rPr>
                <w:rFonts w:hint="eastAsia" w:ascii="仿宋" w:hAnsi="仿宋" w:eastAsia="仿宋" w:cs="仿宋"/>
                <w:color w:val="auto"/>
                <w:sz w:val="24"/>
                <w:highlight w:val="none"/>
                <w:lang w:val="en-US" w:eastAsia="zh-CN"/>
              </w:rPr>
              <w:t>方案的</w:t>
            </w:r>
            <w:r>
              <w:rPr>
                <w:rFonts w:hint="eastAsia" w:ascii="仿宋" w:hAnsi="仿宋" w:eastAsia="仿宋" w:cs="仿宋"/>
                <w:color w:val="auto"/>
                <w:sz w:val="24"/>
                <w:highlight w:val="none"/>
              </w:rPr>
              <w:t>扣</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分，每一项</w:t>
            </w:r>
            <w:r>
              <w:rPr>
                <w:rFonts w:hint="eastAsia" w:ascii="仿宋" w:hAnsi="仿宋" w:eastAsia="仿宋" w:cs="仿宋"/>
                <w:color w:val="auto"/>
                <w:sz w:val="24"/>
                <w:highlight w:val="none"/>
                <w:lang w:val="en-US" w:eastAsia="zh-CN"/>
              </w:rPr>
              <w:t>方案</w:t>
            </w:r>
            <w:r>
              <w:rPr>
                <w:rFonts w:hint="eastAsia" w:ascii="仿宋" w:hAnsi="仿宋" w:eastAsia="仿宋" w:cs="仿宋"/>
                <w:color w:val="auto"/>
                <w:sz w:val="24"/>
                <w:highlight w:val="none"/>
              </w:rPr>
              <w:t>内容</w:t>
            </w:r>
            <w:r>
              <w:rPr>
                <w:rFonts w:hint="eastAsia" w:ascii="仿宋" w:hAnsi="仿宋" w:eastAsia="仿宋" w:cs="仿宋"/>
                <w:color w:val="auto"/>
                <w:sz w:val="24"/>
                <w:highlight w:val="none"/>
                <w:lang w:val="en-US" w:eastAsia="zh-CN"/>
              </w:rPr>
              <w:t>每有1处</w:t>
            </w:r>
            <w:r>
              <w:rPr>
                <w:rFonts w:hint="eastAsia" w:ascii="仿宋" w:hAnsi="仿宋" w:eastAsia="仿宋" w:cs="仿宋"/>
                <w:color w:val="auto"/>
                <w:sz w:val="24"/>
                <w:highlight w:val="none"/>
              </w:rPr>
              <w:t>不完整或有缺陷或与项目不匹配的扣</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val="en-US" w:eastAsia="zh-CN"/>
              </w:rPr>
              <w:t>每一项方案最多扣1.5分，</w:t>
            </w:r>
            <w:r>
              <w:rPr>
                <w:rFonts w:hint="eastAsia" w:ascii="仿宋" w:hAnsi="仿宋" w:eastAsia="仿宋" w:cs="仿宋"/>
                <w:color w:val="auto"/>
                <w:sz w:val="24"/>
                <w:highlight w:val="none"/>
              </w:rPr>
              <w:t>扣完为止。</w:t>
            </w:r>
          </w:p>
          <w:p w14:paraId="02C6199C">
            <w:pPr>
              <w:pStyle w:val="11"/>
              <w:keepNext w:val="0"/>
              <w:keepLines w:val="0"/>
              <w:pageBreakBefore w:val="0"/>
              <w:kinsoku/>
              <w:wordWrap/>
              <w:overflowPunct/>
              <w:topLinePunct w:val="0"/>
              <w:bidi w:val="0"/>
              <w:adjustRightInd/>
              <w:snapToGrid/>
              <w:spacing w:line="400" w:lineRule="exact"/>
              <w:ind w:firstLine="241"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highlight w:val="none"/>
              </w:rPr>
              <w:t>注：</w:t>
            </w:r>
            <w:r>
              <w:rPr>
                <w:rFonts w:hint="eastAsia" w:ascii="仿宋" w:hAnsi="仿宋" w:eastAsia="仿宋" w:cs="仿宋"/>
                <w:color w:val="auto"/>
                <w:sz w:val="24"/>
                <w:highlight w:val="none"/>
              </w:rPr>
              <w:t>内容</w:t>
            </w:r>
            <w:r>
              <w:rPr>
                <w:rFonts w:hint="eastAsia" w:ascii="仿宋" w:hAnsi="仿宋" w:eastAsia="仿宋" w:cs="仿宋"/>
                <w:color w:val="auto"/>
                <w:sz w:val="24"/>
                <w:highlight w:val="none"/>
                <w:lang w:val="en-US" w:eastAsia="zh-CN"/>
              </w:rPr>
              <w:t>描述</w:t>
            </w:r>
            <w:r>
              <w:rPr>
                <w:rFonts w:hint="eastAsia" w:ascii="仿宋" w:hAnsi="仿宋" w:eastAsia="仿宋" w:cs="仿宋"/>
                <w:color w:val="auto"/>
                <w:sz w:val="24"/>
                <w:highlight w:val="none"/>
              </w:rPr>
              <w:t>不完整或有缺陷或与项目不匹配是指非专门针对本项目或不适用项目特性的情形、内容不明确、表述不清晰或不完善</w:t>
            </w:r>
            <w:r>
              <w:rPr>
                <w:rFonts w:hint="eastAsia" w:ascii="仿宋" w:hAnsi="仿宋" w:eastAsia="仿宋" w:cs="仿宋"/>
                <w:color w:val="auto"/>
                <w:sz w:val="24"/>
                <w:highlight w:val="none"/>
                <w:lang w:val="en-US" w:eastAsia="zh-CN"/>
              </w:rPr>
              <w:t>或过于简陋</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缺少关键节点</w:t>
            </w:r>
            <w:r>
              <w:rPr>
                <w:rFonts w:hint="eastAsia" w:ascii="仿宋" w:hAnsi="仿宋" w:eastAsia="仿宋" w:cs="仿宋"/>
                <w:color w:val="auto"/>
                <w:sz w:val="24"/>
                <w:highlight w:val="none"/>
                <w:lang w:val="en-US" w:eastAsia="zh-CN"/>
              </w:rPr>
              <w:t>说明或说明不详细</w:t>
            </w:r>
            <w:r>
              <w:rPr>
                <w:rFonts w:hint="eastAsia" w:ascii="仿宋" w:hAnsi="仿宋" w:eastAsia="仿宋" w:cs="仿宋"/>
                <w:color w:val="auto"/>
                <w:sz w:val="24"/>
                <w:highlight w:val="none"/>
              </w:rPr>
              <w:t>、套用其他项目方案、内容前后矛盾、涉及的规范及标准错误、不利于项目实施、不可能实现的情形等任意一种情形。</w:t>
            </w:r>
          </w:p>
        </w:tc>
      </w:tr>
      <w:tr w14:paraId="776D4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1059" w:type="dxa"/>
            <w:vMerge w:val="restart"/>
            <w:shd w:val="clear" w:color="auto" w:fill="FFFFFF" w:themeFill="background1"/>
            <w:vAlign w:val="center"/>
          </w:tcPr>
          <w:p w14:paraId="448AA485">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2.4</w:t>
            </w:r>
          </w:p>
          <w:p w14:paraId="7EBC4DCA">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Cs w:val="21"/>
              </w:rPr>
            </w:pPr>
            <w:r>
              <w:rPr>
                <w:rFonts w:hint="eastAsia" w:ascii="仿宋" w:hAnsi="仿宋" w:eastAsia="仿宋" w:cs="仿宋"/>
                <w:color w:val="auto"/>
                <w:sz w:val="24"/>
                <w:szCs w:val="24"/>
              </w:rPr>
              <w:t>商务部分F3</w:t>
            </w:r>
          </w:p>
        </w:tc>
        <w:tc>
          <w:tcPr>
            <w:tcW w:w="1286" w:type="dxa"/>
            <w:tcBorders>
              <w:top w:val="single" w:color="auto" w:sz="4" w:space="0"/>
            </w:tcBorders>
            <w:shd w:val="clear" w:color="auto" w:fill="FFFFFF" w:themeFill="background1"/>
            <w:vAlign w:val="center"/>
          </w:tcPr>
          <w:p w14:paraId="7062B57B">
            <w:pPr>
              <w:pStyle w:val="9"/>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1.售后服务能力评审评分</w:t>
            </w:r>
          </w:p>
          <w:p w14:paraId="5B8F7B02">
            <w:pPr>
              <w:pStyle w:val="9"/>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center"/>
              <w:textAlignment w:val="auto"/>
              <w:outlineLvl w:val="9"/>
              <w:rPr>
                <w:rFonts w:hint="eastAsia" w:ascii="仿宋" w:hAnsi="仿宋" w:eastAsia="仿宋" w:cs="仿宋"/>
                <w:color w:val="auto"/>
                <w:szCs w:val="24"/>
              </w:rPr>
            </w:pPr>
            <w:r>
              <w:rPr>
                <w:rFonts w:hint="eastAsia" w:ascii="仿宋" w:hAnsi="仿宋" w:eastAsia="仿宋" w:cs="仿宋"/>
                <w:color w:val="auto"/>
                <w:sz w:val="24"/>
                <w:szCs w:val="24"/>
                <w:highlight w:val="none"/>
                <w:lang w:val="en-US" w:eastAsia="zh-CN"/>
              </w:rPr>
              <w:t>（6分）</w:t>
            </w:r>
          </w:p>
        </w:tc>
        <w:tc>
          <w:tcPr>
            <w:tcW w:w="8013" w:type="dxa"/>
            <w:tcBorders>
              <w:top w:val="single" w:color="auto" w:sz="4" w:space="0"/>
            </w:tcBorders>
            <w:shd w:val="clear" w:color="auto" w:fill="FFFFFF" w:themeFill="background1"/>
            <w:vAlign w:val="center"/>
          </w:tcPr>
          <w:p w14:paraId="524F706E">
            <w:pPr>
              <w:pStyle w:val="40"/>
              <w:keepNext w:val="0"/>
              <w:keepLines w:val="0"/>
              <w:pageBreakBefore w:val="0"/>
              <w:widowControl w:val="0"/>
              <w:shd w:val="clear" w:color="auto" w:fill="FFFFFF" w:themeFill="background1"/>
              <w:kinsoku/>
              <w:wordWrap/>
              <w:overflowPunct/>
              <w:topLinePunct w:val="0"/>
              <w:bidi w:val="0"/>
              <w:adjustRightInd/>
              <w:snapToGrid/>
              <w:spacing w:beforeAutospacing="0" w:afterAutospacing="0" w:line="400" w:lineRule="exact"/>
              <w:ind w:left="0" w:leftChars="0" w:right="0" w:rightChars="0" w:firstLine="240" w:firstLineChars="1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color w:val="auto"/>
                <w:sz w:val="24"/>
                <w:szCs w:val="24"/>
                <w:highlight w:val="none"/>
                <w:lang w:val="en-US" w:eastAsia="zh-CN"/>
              </w:rPr>
              <w:t>根据投标人提供的</w:t>
            </w:r>
            <w:r>
              <w:rPr>
                <w:rFonts w:hint="eastAsia" w:ascii="仿宋" w:hAnsi="仿宋" w:eastAsia="仿宋" w:cs="仿宋"/>
                <w:b/>
                <w:bCs/>
                <w:color w:val="auto"/>
                <w:sz w:val="24"/>
                <w:szCs w:val="24"/>
                <w:lang w:val="en-US" w:eastAsia="zh-CN"/>
              </w:rPr>
              <w:t>①售后服务方式与流程②故障报修流程及产品维修更换措施</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lang w:val="en-US" w:eastAsia="zh-CN"/>
              </w:rPr>
              <w:t>③售后服务违约承诺及处罚措施</w:t>
            </w:r>
            <w:r>
              <w:rPr>
                <w:rFonts w:hint="eastAsia" w:ascii="仿宋" w:hAnsi="仿宋" w:eastAsia="仿宋" w:cs="仿宋"/>
                <w:color w:val="auto"/>
                <w:sz w:val="24"/>
                <w:szCs w:val="24"/>
                <w:highlight w:val="none"/>
                <w:lang w:val="en-US" w:eastAsia="zh-CN"/>
              </w:rPr>
              <w:t>；进行综合评审，评审标准如下：</w:t>
            </w:r>
          </w:p>
          <w:p w14:paraId="294058D2">
            <w:pPr>
              <w:pStyle w:val="40"/>
              <w:keepNext w:val="0"/>
              <w:keepLines w:val="0"/>
              <w:pageBreakBefore w:val="0"/>
              <w:widowControl w:val="0"/>
              <w:shd w:val="clear" w:color="auto" w:fill="FFFFFF" w:themeFill="background1"/>
              <w:kinsoku/>
              <w:wordWrap/>
              <w:overflowPunct/>
              <w:topLinePunct w:val="0"/>
              <w:bidi w:val="0"/>
              <w:adjustRightInd/>
              <w:snapToGrid/>
              <w:spacing w:beforeAutospacing="0" w:afterAutospacing="0" w:line="400" w:lineRule="exact"/>
              <w:ind w:left="0" w:leftChars="0" w:right="0" w:rightChars="0" w:firstLine="241" w:firstLineChars="1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①售后服务方式与流程（2分）：</w:t>
            </w:r>
            <w:r>
              <w:rPr>
                <w:rFonts w:hint="eastAsia" w:ascii="仿宋" w:hAnsi="仿宋" w:eastAsia="仿宋" w:cs="仿宋"/>
                <w:color w:val="auto"/>
                <w:sz w:val="24"/>
                <w:szCs w:val="24"/>
                <w:lang w:val="en-US" w:eastAsia="zh-CN"/>
              </w:rPr>
              <w:t>方案具备完整、闭环的售后服务体系，配备现场服务、远程支持、驻场值守、定期巡检、应急保障等多元化服务方式，服务资源配置齐全、贴合项目实际需求；售后接待、登记派单、落地服务、验收回访、台账归档全流程完整无缺失，各服务节点响应时限、处置时限清晰量化，全程可追溯、可管控，完全满足项目及行业标准要求</w:t>
            </w:r>
          </w:p>
          <w:p w14:paraId="4454E074">
            <w:pPr>
              <w:pStyle w:val="40"/>
              <w:keepNext w:val="0"/>
              <w:keepLines w:val="0"/>
              <w:pageBreakBefore w:val="0"/>
              <w:widowControl w:val="0"/>
              <w:shd w:val="clear" w:color="auto" w:fill="FFFFFF" w:themeFill="background1"/>
              <w:kinsoku/>
              <w:wordWrap/>
              <w:overflowPunct/>
              <w:topLinePunct w:val="0"/>
              <w:bidi w:val="0"/>
              <w:adjustRightInd/>
              <w:snapToGrid/>
              <w:spacing w:beforeAutospacing="0" w:afterAutospacing="0" w:line="400" w:lineRule="exact"/>
              <w:ind w:left="0" w:leftChars="0" w:right="0" w:rightChars="0" w:firstLine="241" w:firstLineChars="1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②故障报修流程及产品维修更换措施（2分）：</w:t>
            </w:r>
            <w:r>
              <w:rPr>
                <w:rFonts w:hint="eastAsia" w:ascii="仿宋" w:hAnsi="仿宋" w:eastAsia="仿宋" w:cs="仿宋"/>
                <w:color w:val="auto"/>
                <w:sz w:val="24"/>
                <w:szCs w:val="24"/>
                <w:lang w:val="en-US" w:eastAsia="zh-CN"/>
              </w:rPr>
              <w:t>具备多渠道便捷报修通道，建立故障分级处置机制，针对常规故障、重大紧急故障有差异化处置方案和专属应急预案，报修进度全程透明可同步；维修方式全面、技术规范，原厂备件保障充足，清晰明确设备维修、换新判定标准，无模糊及隐性限制，且明确维修更换后的质保延续政策，无质保真空期，保障体系完善，得30-35分。报修流程、维修更换措施基本齐全，应急机制、备件保障、质保衔接略有瑕疵，整体可落地。</w:t>
            </w:r>
          </w:p>
          <w:p w14:paraId="72D2FC86">
            <w:pPr>
              <w:pStyle w:val="40"/>
              <w:keepNext w:val="0"/>
              <w:keepLines w:val="0"/>
              <w:pageBreakBefore w:val="0"/>
              <w:widowControl w:val="0"/>
              <w:shd w:val="clear" w:color="auto" w:fill="FFFFFF" w:themeFill="background1"/>
              <w:kinsoku/>
              <w:wordWrap/>
              <w:overflowPunct/>
              <w:topLinePunct w:val="0"/>
              <w:bidi w:val="0"/>
              <w:adjustRightInd/>
              <w:snapToGrid/>
              <w:spacing w:beforeAutospacing="0" w:afterAutospacing="0" w:line="400" w:lineRule="exact"/>
              <w:ind w:left="0" w:leftChars="0" w:right="0" w:rightChars="0" w:firstLine="241" w:firstLineChars="100"/>
              <w:jc w:val="both"/>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b/>
                <w:bCs/>
                <w:color w:val="auto"/>
                <w:sz w:val="24"/>
                <w:szCs w:val="24"/>
                <w:lang w:val="en-US" w:eastAsia="zh-CN"/>
              </w:rPr>
              <w:t>③售后服务违约承诺及处罚措施（2分）：</w:t>
            </w:r>
            <w:r>
              <w:rPr>
                <w:rFonts w:hint="eastAsia" w:ascii="仿宋" w:hAnsi="仿宋" w:eastAsia="仿宋" w:cs="仿宋"/>
                <w:color w:val="auto"/>
                <w:kern w:val="0"/>
                <w:sz w:val="24"/>
                <w:szCs w:val="24"/>
                <w:lang w:val="en-US" w:eastAsia="zh-CN" w:bidi="ar-SA"/>
              </w:rPr>
              <w:t>售后服务承诺全面细化，覆盖时效、质量、维保、换新、服务态度等全维度内容，承诺真实合规、无虚假夸大；清晰界定各类售后违约情形，针对不同轻重违约行为设置分级、量化、可落地的处罚措施，包含整改、赔付、扣质保金、终止合作等约束手段，同时具备违约整改复查、加重处罚兜底机制，条款合法合规、具备法律约束力，充分保障甲方权益。</w:t>
            </w:r>
          </w:p>
          <w:p w14:paraId="2C92B2A1">
            <w:pPr>
              <w:pStyle w:val="40"/>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400" w:lineRule="exact"/>
              <w:ind w:right="0" w:rightChars="0" w:firstLine="240" w:firstLineChars="1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以上内容完整、详细，契合度高得6分；每缺少一项内容的扣2分，每一项内容达不到上述要求，不完整或有缺陷的扣0.5分，</w:t>
            </w:r>
            <w:r>
              <w:rPr>
                <w:rFonts w:hint="eastAsia" w:ascii="仿宋" w:hAnsi="仿宋" w:eastAsia="仿宋" w:cs="仿宋"/>
                <w:color w:val="auto"/>
                <w:sz w:val="24"/>
                <w:highlight w:val="none"/>
                <w:lang w:val="en-US" w:eastAsia="zh-CN"/>
              </w:rPr>
              <w:t>每一项方案最多扣2分，</w:t>
            </w:r>
            <w:r>
              <w:rPr>
                <w:rFonts w:hint="eastAsia" w:ascii="仿宋" w:hAnsi="仿宋" w:eastAsia="仿宋" w:cs="仿宋"/>
                <w:color w:val="auto"/>
                <w:sz w:val="24"/>
                <w:highlight w:val="none"/>
              </w:rPr>
              <w:t>扣完为止</w:t>
            </w:r>
            <w:r>
              <w:rPr>
                <w:rFonts w:hint="eastAsia" w:ascii="仿宋" w:hAnsi="仿宋" w:eastAsia="仿宋" w:cs="仿宋"/>
                <w:color w:val="auto"/>
                <w:sz w:val="24"/>
                <w:szCs w:val="24"/>
                <w:highlight w:val="none"/>
                <w:lang w:val="en-US" w:eastAsia="zh-CN"/>
              </w:rPr>
              <w:t>；不提供该部分得0分。</w:t>
            </w:r>
          </w:p>
          <w:p w14:paraId="5B8C807F">
            <w:pPr>
              <w:pStyle w:val="40"/>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400" w:lineRule="exact"/>
              <w:ind w:left="0" w:leftChars="0" w:right="0" w:rightChars="0" w:firstLine="240" w:firstLineChars="1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注：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14:paraId="345F5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1059" w:type="dxa"/>
            <w:vMerge w:val="continue"/>
            <w:shd w:val="clear" w:color="auto" w:fill="FFFFFF" w:themeFill="background1"/>
            <w:vAlign w:val="center"/>
          </w:tcPr>
          <w:p w14:paraId="45A37BD0">
            <w:pPr>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Cs w:val="21"/>
              </w:rPr>
            </w:pPr>
          </w:p>
        </w:tc>
        <w:tc>
          <w:tcPr>
            <w:tcW w:w="1286" w:type="dxa"/>
            <w:tcBorders>
              <w:top w:val="single" w:color="auto" w:sz="4" w:space="0"/>
              <w:bottom w:val="single" w:color="auto" w:sz="4" w:space="0"/>
            </w:tcBorders>
            <w:shd w:val="clear" w:color="auto" w:fill="FFFFFF" w:themeFill="background1"/>
            <w:vAlign w:val="center"/>
          </w:tcPr>
          <w:p w14:paraId="0FB6A8C4">
            <w:pPr>
              <w:pStyle w:val="40"/>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.类似合</w:t>
            </w:r>
            <w:r>
              <w:rPr>
                <w:rFonts w:hint="eastAsia" w:ascii="仿宋" w:hAnsi="仿宋" w:eastAsia="仿宋" w:cs="仿宋"/>
                <w:color w:val="auto"/>
                <w:sz w:val="24"/>
                <w:szCs w:val="24"/>
                <w:lang w:eastAsia="zh-CN"/>
              </w:rPr>
              <w:t>同</w:t>
            </w:r>
            <w:r>
              <w:rPr>
                <w:rFonts w:hint="eastAsia" w:ascii="仿宋" w:hAnsi="仿宋" w:eastAsia="仿宋" w:cs="仿宋"/>
                <w:color w:val="auto"/>
                <w:sz w:val="24"/>
                <w:szCs w:val="24"/>
              </w:rPr>
              <w:t>业绩评审评分</w:t>
            </w:r>
          </w:p>
          <w:p w14:paraId="2EEE5C6D">
            <w:pPr>
              <w:pStyle w:val="40"/>
              <w:keepNext w:val="0"/>
              <w:keepLines w:val="0"/>
              <w:pageBreakBefore w:val="0"/>
              <w:widowControl w:val="0"/>
              <w:shd w:val="clear" w:color="auto" w:fill="FFFFFF" w:themeFill="background1"/>
              <w:kinsoku/>
              <w:wordWrap/>
              <w:overflowPunct/>
              <w:topLinePunct w:val="0"/>
              <w:bidi w:val="0"/>
              <w:snapToGrid/>
              <w:spacing w:beforeAutospacing="0" w:afterAutospacing="0" w:line="360" w:lineRule="auto"/>
              <w:ind w:left="0" w:leftChars="0" w:right="0" w:righ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p>
        </w:tc>
        <w:tc>
          <w:tcPr>
            <w:tcW w:w="8013" w:type="dxa"/>
            <w:tcBorders>
              <w:top w:val="single" w:color="auto" w:sz="4" w:space="0"/>
              <w:bottom w:val="single" w:color="auto" w:sz="4" w:space="0"/>
            </w:tcBorders>
            <w:shd w:val="clear" w:color="auto" w:fill="FFFFFF" w:themeFill="background1"/>
            <w:vAlign w:val="center"/>
          </w:tcPr>
          <w:p w14:paraId="26CF22EA">
            <w:pPr>
              <w:pStyle w:val="40"/>
              <w:keepNext w:val="0"/>
              <w:keepLines w:val="0"/>
              <w:pageBreakBefore w:val="0"/>
              <w:widowControl w:val="0"/>
              <w:shd w:val="clear" w:color="auto" w:fill="FFFFFF" w:themeFill="background1"/>
              <w:kinsoku/>
              <w:wordWrap/>
              <w:overflowPunct/>
              <w:topLinePunct w:val="0"/>
              <w:bidi w:val="0"/>
              <w:adjustRightInd/>
              <w:snapToGrid/>
              <w:spacing w:beforeAutospacing="0" w:afterAutospacing="0" w:line="400" w:lineRule="exact"/>
              <w:ind w:left="0" w:leftChars="0" w:right="0" w:rightChars="0" w:firstLine="240" w:firstLineChars="1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每提供一个类似合同业绩，得</w:t>
            </w:r>
            <w:r>
              <w:rPr>
                <w:rFonts w:hint="eastAsia" w:ascii="仿宋" w:hAnsi="仿宋" w:eastAsia="仿宋" w:cs="仿宋"/>
                <w:color w:val="auto"/>
                <w:sz w:val="24"/>
                <w:szCs w:val="24"/>
                <w:lang w:val="en-US" w:eastAsia="zh-CN"/>
              </w:rPr>
              <w:t>0.5</w:t>
            </w:r>
            <w:r>
              <w:rPr>
                <w:rFonts w:hint="eastAsia" w:ascii="仿宋" w:hAnsi="仿宋" w:eastAsia="仿宋" w:cs="仿宋"/>
                <w:color w:val="auto"/>
                <w:sz w:val="24"/>
                <w:szCs w:val="24"/>
              </w:rPr>
              <w:t>分，满分</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分。类似合同业绩是指202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年至投标文件递交截止时间完成的类似业绩（提供合同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包括：合同首页、标的、金额所在页及合同签字盖章页证明材料</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或成交（中标）通知书或成果验收单等业绩证明材料</w:t>
            </w:r>
            <w:r>
              <w:rPr>
                <w:rFonts w:hint="eastAsia" w:ascii="仿宋" w:hAnsi="仿宋" w:eastAsia="仿宋" w:cs="仿宋"/>
                <w:color w:val="auto"/>
                <w:sz w:val="24"/>
                <w:szCs w:val="24"/>
              </w:rPr>
              <w:t>）。</w:t>
            </w:r>
          </w:p>
          <w:p w14:paraId="459F06DC">
            <w:pPr>
              <w:pStyle w:val="40"/>
              <w:keepNext w:val="0"/>
              <w:keepLines w:val="0"/>
              <w:pageBreakBefore w:val="0"/>
              <w:widowControl w:val="0"/>
              <w:shd w:val="clear" w:color="auto" w:fill="FFFFFF" w:themeFill="background1"/>
              <w:kinsoku/>
              <w:wordWrap/>
              <w:overflowPunct/>
              <w:topLinePunct w:val="0"/>
              <w:bidi w:val="0"/>
              <w:adjustRightInd/>
              <w:snapToGrid/>
              <w:spacing w:beforeAutospacing="0" w:afterAutospacing="0" w:line="400" w:lineRule="exact"/>
              <w:ind w:left="0" w:leftChars="0" w:right="0" w:rightChars="0" w:firstLine="240" w:firstLineChars="1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评审小组根据项目情况，结合各投标人业绩进行判定，所提供业绩是否符合本项目采购内容的业绩为有效业绩。</w:t>
            </w:r>
          </w:p>
        </w:tc>
      </w:tr>
    </w:tbl>
    <w:p w14:paraId="5BDB373C">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highlight w:val="none"/>
        </w:rPr>
      </w:pPr>
    </w:p>
    <w:p w14:paraId="20A6C9E1">
      <w:pPr>
        <w:pageBreakBefore w:val="0"/>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bookmarkEnd w:id="749"/>
    <w:bookmarkEnd w:id="750"/>
    <w:bookmarkEnd w:id="751"/>
    <w:bookmarkEnd w:id="752"/>
    <w:p w14:paraId="3CEDED25">
      <w:pPr>
        <w:pStyle w:val="3"/>
        <w:pageBreakBefore w:val="0"/>
        <w:shd w:val="clear"/>
        <w:topLinePunct w:val="0"/>
        <w:bidi w:val="0"/>
        <w:spacing w:beforeAutospacing="0" w:afterAutospacing="0" w:line="360" w:lineRule="auto"/>
        <w:ind w:left="0" w:leftChars="0" w:right="0" w:rightChars="0" w:firstLine="600" w:firstLineChars="200"/>
        <w:outlineLvl w:val="1"/>
        <w:rPr>
          <w:rFonts w:hint="eastAsia" w:ascii="仿宋" w:hAnsi="仿宋" w:eastAsia="仿宋" w:cs="仿宋"/>
          <w:color w:val="auto"/>
          <w:sz w:val="30"/>
          <w:szCs w:val="30"/>
          <w:highlight w:val="none"/>
        </w:rPr>
      </w:pPr>
      <w:bookmarkStart w:id="753" w:name="_Toc17107"/>
      <w:bookmarkStart w:id="754" w:name="_Toc18949"/>
      <w:bookmarkStart w:id="755" w:name="_Toc29277"/>
      <w:bookmarkStart w:id="756" w:name="_Toc2722"/>
      <w:r>
        <w:rPr>
          <w:rFonts w:hint="eastAsia" w:ascii="仿宋" w:hAnsi="仿宋" w:eastAsia="仿宋" w:cs="仿宋"/>
          <w:color w:val="auto"/>
          <w:sz w:val="30"/>
          <w:szCs w:val="30"/>
          <w:highlight w:val="none"/>
        </w:rPr>
        <w:t>一、评标方法</w:t>
      </w:r>
      <w:bookmarkEnd w:id="753"/>
      <w:bookmarkEnd w:id="754"/>
      <w:bookmarkEnd w:id="755"/>
      <w:bookmarkEnd w:id="756"/>
    </w:p>
    <w:p w14:paraId="420398B7">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根据《中华人民共和国政府采购法</w:t>
      </w:r>
      <w:r>
        <w:rPr>
          <w:rFonts w:hint="eastAsia" w:ascii="仿宋" w:hAnsi="仿宋" w:eastAsia="仿宋" w:cs="仿宋"/>
          <w:color w:val="auto"/>
          <w:sz w:val="24"/>
          <w:highlight w:val="none"/>
          <w:lang w:eastAsia="zh-CN"/>
        </w:rPr>
        <w:t>》《</w:t>
      </w:r>
      <w:r>
        <w:rPr>
          <w:rFonts w:hint="eastAsia" w:ascii="仿宋" w:hAnsi="仿宋" w:eastAsia="仿宋" w:cs="仿宋"/>
          <w:color w:val="auto"/>
          <w:kern w:val="0"/>
          <w:sz w:val="24"/>
          <w:highlight w:val="none"/>
        </w:rPr>
        <w:t>中华人民共和国政府采购法实施条例</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z w:val="24"/>
          <w:highlight w:val="none"/>
        </w:rPr>
        <w:t>政府采购货物和服务招投标管理办法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财政部令87号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》等有关规定等有关法律法规，结合本项目实际情况制定本办法。</w:t>
      </w:r>
    </w:p>
    <w:p w14:paraId="117ECA8A">
      <w:pPr>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本次采购所采用的评标方法为“综合评分法”，</w:t>
      </w:r>
      <w:r>
        <w:rPr>
          <w:rFonts w:hint="eastAsia" w:ascii="仿宋" w:hAnsi="仿宋" w:eastAsia="仿宋" w:cs="仿宋"/>
          <w:color w:val="auto"/>
          <w:sz w:val="24"/>
          <w:szCs w:val="22"/>
          <w:highlight w:val="none"/>
          <w:lang w:val="en-US" w:eastAsia="zh-CN"/>
        </w:rPr>
        <w:t>即</w:t>
      </w:r>
      <w:r>
        <w:rPr>
          <w:rFonts w:hint="eastAsia" w:ascii="仿宋" w:hAnsi="仿宋" w:eastAsia="仿宋" w:cs="仿宋"/>
          <w:color w:val="auto"/>
          <w:sz w:val="24"/>
          <w:szCs w:val="22"/>
          <w:highlight w:val="none"/>
        </w:rPr>
        <w:t>投标文件满足招标文件全部实质性要求，且按照评审因素的量化指标评审得分最高的投标人为中标候选人的评标方法。</w:t>
      </w:r>
    </w:p>
    <w:p w14:paraId="1B821775">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rPr>
      </w:pPr>
      <w:bookmarkStart w:id="757" w:name="_Toc364392660"/>
      <w:bookmarkStart w:id="758" w:name="_Toc396313203"/>
      <w:bookmarkStart w:id="759" w:name="_Toc391301904"/>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关于中小企业</w:t>
      </w:r>
    </w:p>
    <w:p w14:paraId="3CDB78ED">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w:t>
      </w:r>
      <w:r>
        <w:rPr>
          <w:rFonts w:hint="eastAsia" w:ascii="仿宋" w:hAnsi="仿宋" w:eastAsia="仿宋" w:cs="仿宋"/>
          <w:color w:val="auto"/>
          <w:sz w:val="24"/>
          <w:szCs w:val="22"/>
          <w:highlight w:val="none"/>
          <w:lang w:val="en-US" w:eastAsia="zh-CN"/>
        </w:rPr>
        <w:t>1</w:t>
      </w:r>
      <w:r>
        <w:rPr>
          <w:rFonts w:hint="eastAsia" w:ascii="仿宋" w:hAnsi="仿宋" w:eastAsia="仿宋" w:cs="仿宋"/>
          <w:color w:val="auto"/>
          <w:sz w:val="24"/>
          <w:szCs w:val="22"/>
          <w:highlight w:val="none"/>
        </w:rPr>
        <w:t>.1根据《政府采购促进中小企业发展管理办法》（财库〔20</w:t>
      </w:r>
      <w:r>
        <w:rPr>
          <w:rFonts w:hint="eastAsia" w:ascii="仿宋" w:hAnsi="仿宋" w:eastAsia="仿宋" w:cs="仿宋"/>
          <w:color w:val="auto"/>
          <w:sz w:val="24"/>
          <w:szCs w:val="22"/>
          <w:highlight w:val="none"/>
          <w:lang w:val="en-US" w:eastAsia="zh-CN"/>
        </w:rPr>
        <w:t>20</w:t>
      </w:r>
      <w:r>
        <w:rPr>
          <w:rFonts w:hint="eastAsia" w:ascii="仿宋" w:hAnsi="仿宋" w:eastAsia="仿宋" w:cs="仿宋"/>
          <w:color w:val="auto"/>
          <w:sz w:val="24"/>
          <w:szCs w:val="22"/>
          <w:highlight w:val="none"/>
        </w:rPr>
        <w:t>〕</w:t>
      </w:r>
      <w:r>
        <w:rPr>
          <w:rFonts w:hint="eastAsia" w:ascii="仿宋" w:hAnsi="仿宋" w:eastAsia="仿宋" w:cs="仿宋"/>
          <w:color w:val="auto"/>
          <w:sz w:val="24"/>
          <w:szCs w:val="22"/>
          <w:highlight w:val="none"/>
          <w:lang w:val="en-US" w:eastAsia="zh-CN"/>
        </w:rPr>
        <w:t>46</w:t>
      </w:r>
      <w:r>
        <w:rPr>
          <w:rFonts w:hint="eastAsia" w:ascii="仿宋" w:hAnsi="仿宋" w:eastAsia="仿宋" w:cs="仿宋"/>
          <w:color w:val="auto"/>
          <w:sz w:val="24"/>
          <w:szCs w:val="22"/>
          <w:highlight w:val="none"/>
        </w:rPr>
        <w:t>号）</w:t>
      </w:r>
      <w:r>
        <w:rPr>
          <w:rFonts w:hint="eastAsia" w:ascii="仿宋" w:hAnsi="仿宋" w:eastAsia="仿宋" w:cs="仿宋"/>
          <w:color w:val="auto"/>
          <w:sz w:val="24"/>
          <w:szCs w:val="22"/>
          <w:highlight w:val="none"/>
          <w:lang w:val="en-US" w:eastAsia="zh-CN"/>
        </w:rPr>
        <w:t>规定，</w:t>
      </w:r>
      <w:r>
        <w:rPr>
          <w:rFonts w:hint="eastAsia" w:ascii="仿宋" w:hAnsi="仿宋" w:eastAsia="仿宋" w:cs="仿宋"/>
          <w:color w:val="auto"/>
          <w:sz w:val="24"/>
          <w:szCs w:val="22"/>
          <w:highlight w:val="none"/>
        </w:rPr>
        <w:t>在政府采购活动中，</w:t>
      </w:r>
      <w:r>
        <w:rPr>
          <w:rFonts w:hint="eastAsia" w:ascii="仿宋" w:hAnsi="仿宋" w:eastAsia="仿宋" w:cs="仿宋"/>
          <w:color w:val="auto"/>
          <w:sz w:val="24"/>
          <w:szCs w:val="22"/>
          <w:highlight w:val="none"/>
          <w:lang w:eastAsia="zh-CN"/>
        </w:rPr>
        <w:t>投标人</w:t>
      </w:r>
      <w:r>
        <w:rPr>
          <w:rFonts w:hint="eastAsia" w:ascii="仿宋" w:hAnsi="仿宋" w:eastAsia="仿宋" w:cs="仿宋"/>
          <w:color w:val="auto"/>
          <w:sz w:val="24"/>
          <w:szCs w:val="22"/>
          <w:highlight w:val="none"/>
        </w:rPr>
        <w:t>提供</w:t>
      </w:r>
      <w:r>
        <w:rPr>
          <w:rFonts w:hint="eastAsia" w:ascii="仿宋" w:hAnsi="仿宋" w:eastAsia="仿宋" w:cs="仿宋"/>
          <w:color w:val="auto"/>
          <w:sz w:val="24"/>
          <w:szCs w:val="22"/>
          <w:highlight w:val="none"/>
          <w:lang w:val="en-US" w:eastAsia="zh-CN"/>
        </w:rPr>
        <w:t>的货物</w:t>
      </w:r>
      <w:r>
        <w:rPr>
          <w:rFonts w:hint="eastAsia" w:ascii="仿宋" w:hAnsi="仿宋" w:eastAsia="仿宋" w:cs="仿宋"/>
          <w:color w:val="auto"/>
          <w:sz w:val="24"/>
          <w:szCs w:val="22"/>
          <w:highlight w:val="none"/>
        </w:rPr>
        <w:t>符合下列情形的，享受中小企业扶持政策：</w:t>
      </w:r>
    </w:p>
    <w:p w14:paraId="31C5B362">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rPr>
        <w:t>在货物采购项目中，货物由中小企业制造，即货物由中小企业生产且使用该中小企业商号或者注册商标</w:t>
      </w:r>
      <w:r>
        <w:rPr>
          <w:rFonts w:hint="eastAsia" w:ascii="仿宋" w:hAnsi="仿宋" w:eastAsia="仿宋" w:cs="仿宋"/>
          <w:color w:val="auto"/>
          <w:sz w:val="24"/>
          <w:szCs w:val="22"/>
          <w:highlight w:val="none"/>
          <w:lang w:eastAsia="zh-CN"/>
        </w:rPr>
        <w:t>。</w:t>
      </w:r>
    </w:p>
    <w:p w14:paraId="552DE6A8">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在货物采购项目中，供应商提供的货物既有中小企业制造货物，也有大型企业制造货物的，不享受本办法规定的中小企业扶持政策。</w:t>
      </w:r>
    </w:p>
    <w:p w14:paraId="247FEA80">
      <w:pPr>
        <w:keepNext w:val="0"/>
        <w:keepLines w:val="0"/>
        <w:pageBreakBefore w:val="0"/>
        <w:widowControl/>
        <w:kinsoku/>
        <w:wordWrap w:val="0"/>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以联合体形式参加政府采购活动，联合体各方均为中小企业的，联合体视同中小企业。其中，联合体各方均为小微企业的，联合体视同小微企业。</w:t>
      </w:r>
    </w:p>
    <w:p w14:paraId="3A658B21">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b/>
          <w:bCs/>
          <w:color w:val="auto"/>
          <w:sz w:val="24"/>
          <w:szCs w:val="22"/>
          <w:highlight w:val="none"/>
          <w:lang w:eastAsia="zh-CN"/>
        </w:rPr>
      </w:pPr>
      <w:r>
        <w:rPr>
          <w:rFonts w:hint="eastAsia" w:ascii="仿宋" w:hAnsi="仿宋" w:eastAsia="仿宋" w:cs="仿宋"/>
          <w:color w:val="auto"/>
          <w:sz w:val="24"/>
          <w:szCs w:val="22"/>
          <w:highlight w:val="none"/>
          <w:lang w:val="en-US" w:eastAsia="zh-CN"/>
        </w:rPr>
        <w:t>1.1.2</w:t>
      </w:r>
      <w:r>
        <w:rPr>
          <w:rFonts w:hint="eastAsia" w:ascii="仿宋" w:hAnsi="仿宋" w:eastAsia="仿宋" w:cs="仿宋"/>
          <w:color w:val="auto"/>
          <w:sz w:val="24"/>
          <w:szCs w:val="22"/>
          <w:highlight w:val="none"/>
        </w:rPr>
        <w:t>中小企业参加政府采购活动，中小企业应当按照《政府采购促进中小企业发展管理办法》（财库〔20</w:t>
      </w:r>
      <w:r>
        <w:rPr>
          <w:rFonts w:hint="eastAsia" w:ascii="仿宋" w:hAnsi="仿宋" w:eastAsia="仿宋" w:cs="仿宋"/>
          <w:color w:val="auto"/>
          <w:sz w:val="24"/>
          <w:szCs w:val="22"/>
          <w:highlight w:val="none"/>
          <w:lang w:val="en-US" w:eastAsia="zh-CN"/>
        </w:rPr>
        <w:t>20</w:t>
      </w:r>
      <w:r>
        <w:rPr>
          <w:rFonts w:hint="eastAsia" w:ascii="仿宋" w:hAnsi="仿宋" w:eastAsia="仿宋" w:cs="仿宋"/>
          <w:color w:val="auto"/>
          <w:sz w:val="24"/>
          <w:szCs w:val="22"/>
          <w:highlight w:val="none"/>
        </w:rPr>
        <w:t>〕</w:t>
      </w:r>
      <w:r>
        <w:rPr>
          <w:rFonts w:hint="eastAsia" w:ascii="仿宋" w:hAnsi="仿宋" w:eastAsia="仿宋" w:cs="仿宋"/>
          <w:color w:val="auto"/>
          <w:sz w:val="24"/>
          <w:szCs w:val="22"/>
          <w:highlight w:val="none"/>
          <w:lang w:val="en-US" w:eastAsia="zh-CN"/>
        </w:rPr>
        <w:t>46</w:t>
      </w:r>
      <w:r>
        <w:rPr>
          <w:rFonts w:hint="eastAsia" w:ascii="仿宋" w:hAnsi="仿宋" w:eastAsia="仿宋" w:cs="仿宋"/>
          <w:color w:val="auto"/>
          <w:sz w:val="24"/>
          <w:szCs w:val="22"/>
          <w:highlight w:val="none"/>
        </w:rPr>
        <w:t>号）规定和《中小企业划型标准规定》（工信部联企业〔2011〕300号），如实填写并提交《中小企业声明函》</w:t>
      </w:r>
      <w:r>
        <w:rPr>
          <w:rFonts w:hint="eastAsia" w:ascii="仿宋" w:hAnsi="仿宋" w:eastAsia="仿宋" w:cs="仿宋"/>
          <w:color w:val="auto"/>
          <w:sz w:val="24"/>
          <w:szCs w:val="22"/>
          <w:highlight w:val="none"/>
          <w:lang w:eastAsia="zh-CN"/>
        </w:rPr>
        <w:t>。</w:t>
      </w:r>
      <w:r>
        <w:rPr>
          <w:rFonts w:hint="eastAsia" w:ascii="仿宋" w:hAnsi="仿宋" w:eastAsia="仿宋" w:cs="仿宋"/>
          <w:b/>
          <w:bCs/>
          <w:color w:val="auto"/>
          <w:sz w:val="24"/>
          <w:szCs w:val="22"/>
          <w:highlight w:val="none"/>
          <w:lang w:eastAsia="zh-CN"/>
        </w:rPr>
        <w:t>中小企业对其声明内容的真实性负责，声明函内容不实的，属于提供虚假材料谋取中标、成交，依照《中华人民共和国政府采购法》等国家有关规定追究相应责任。</w:t>
      </w:r>
    </w:p>
    <w:p w14:paraId="030B59AA">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1.1.3针对</w:t>
      </w:r>
      <w:r>
        <w:rPr>
          <w:rFonts w:hint="eastAsia" w:ascii="仿宋" w:hAnsi="仿宋" w:eastAsia="仿宋" w:cs="仿宋"/>
          <w:color w:val="auto"/>
          <w:sz w:val="24"/>
          <w:szCs w:val="22"/>
          <w:highlight w:val="none"/>
        </w:rPr>
        <w:t>未预留份额专门面向中小企业采购的采购项目，以及预留份额项目中的非预留部分采购包，</w:t>
      </w:r>
      <w:r>
        <w:rPr>
          <w:rFonts w:hint="eastAsia" w:ascii="仿宋" w:hAnsi="仿宋" w:eastAsia="仿宋" w:cs="仿宋"/>
          <w:color w:val="auto"/>
          <w:sz w:val="24"/>
          <w:szCs w:val="22"/>
          <w:highlight w:val="none"/>
          <w:lang w:eastAsia="zh-CN"/>
        </w:rPr>
        <w:t>招标人</w:t>
      </w:r>
      <w:r>
        <w:rPr>
          <w:rFonts w:hint="eastAsia" w:ascii="仿宋" w:hAnsi="仿宋" w:eastAsia="仿宋" w:cs="仿宋"/>
          <w:color w:val="auto"/>
          <w:sz w:val="24"/>
          <w:szCs w:val="22"/>
          <w:highlight w:val="none"/>
        </w:rPr>
        <w:t>、采购代理机构应当对符合本办法规定的小微企业报价给予6%—10%的扣除，用扣除后的价格参加评审。</w:t>
      </w:r>
    </w:p>
    <w:p w14:paraId="6F9880CE">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1.1.4</w:t>
      </w:r>
      <w:r>
        <w:rPr>
          <w:rFonts w:hint="eastAsia" w:ascii="仿宋" w:hAnsi="仿宋" w:eastAsia="仿宋" w:cs="仿宋"/>
          <w:color w:val="auto"/>
          <w:sz w:val="24"/>
          <w:szCs w:val="22"/>
          <w:highlight w:val="none"/>
        </w:rPr>
        <w:t>根据《关于进一步加大政府采购支持中小企业力度的通知》财库〔2022〕19</w:t>
      </w:r>
      <w:r>
        <w:rPr>
          <w:rFonts w:hint="eastAsia" w:ascii="仿宋" w:hAnsi="仿宋" w:eastAsia="仿宋" w:cs="仿宋"/>
          <w:color w:val="auto"/>
          <w:sz w:val="24"/>
          <w:szCs w:val="22"/>
          <w:highlight w:val="none"/>
          <w:lang w:val="en-US" w:eastAsia="zh-CN"/>
        </w:rPr>
        <w:t>规定</w:t>
      </w:r>
      <w:r>
        <w:rPr>
          <w:rFonts w:hint="eastAsia" w:ascii="仿宋" w:hAnsi="仿宋" w:eastAsia="仿宋" w:cs="仿宋"/>
          <w:color w:val="auto"/>
          <w:sz w:val="24"/>
          <w:szCs w:val="22"/>
          <w:highlight w:val="none"/>
        </w:rPr>
        <w:t>，调整对小微企业的价格评审优惠幅度。货物采购项目给予小微企业的价格扣除优惠，由财库〔2020〕46号文件规定的6%</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10%提高至10%</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20%。</w:t>
      </w:r>
    </w:p>
    <w:p w14:paraId="4D1E30B9">
      <w:pPr>
        <w:pageBreakBefore w:val="0"/>
        <w:shd w:val="clear"/>
        <w:topLinePunct w:val="0"/>
        <w:bidi w:val="0"/>
        <w:spacing w:beforeAutospacing="0" w:afterAutospacing="0" w:line="360" w:lineRule="auto"/>
        <w:ind w:left="0" w:leftChars="0" w:right="0" w:rightChars="0" w:firstLine="482" w:firstLineChars="200"/>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lang w:val="en-US" w:eastAsia="zh-CN"/>
        </w:rPr>
        <w:t>注：（1）</w:t>
      </w:r>
      <w:r>
        <w:rPr>
          <w:rFonts w:hint="eastAsia" w:ascii="仿宋" w:hAnsi="仿宋" w:eastAsia="仿宋" w:cs="仿宋"/>
          <w:b/>
          <w:bCs/>
          <w:color w:val="auto"/>
          <w:sz w:val="24"/>
          <w:szCs w:val="22"/>
          <w:highlight w:val="none"/>
        </w:rPr>
        <w:t>本项目预留份额</w:t>
      </w:r>
      <w:r>
        <w:rPr>
          <w:rFonts w:hint="eastAsia" w:ascii="仿宋" w:hAnsi="仿宋" w:eastAsia="仿宋" w:cs="仿宋"/>
          <w:b/>
          <w:bCs/>
          <w:color w:val="auto"/>
          <w:sz w:val="24"/>
          <w:szCs w:val="22"/>
          <w:highlight w:val="none"/>
          <w:lang w:val="en-US" w:eastAsia="zh-CN"/>
        </w:rPr>
        <w:t>详见“第一章  招标公告”“2.落实政府采购政策需满足的资格要求”</w:t>
      </w:r>
      <w:r>
        <w:rPr>
          <w:rFonts w:hint="eastAsia" w:ascii="仿宋" w:hAnsi="仿宋" w:eastAsia="仿宋" w:cs="仿宋"/>
          <w:b/>
          <w:bCs/>
          <w:color w:val="auto"/>
          <w:sz w:val="24"/>
          <w:szCs w:val="22"/>
          <w:highlight w:val="none"/>
        </w:rPr>
        <w:t>。</w:t>
      </w:r>
    </w:p>
    <w:p w14:paraId="1ECF3790">
      <w:pPr>
        <w:pageBreakBefore w:val="0"/>
        <w:shd w:val="clear"/>
        <w:topLinePunct w:val="0"/>
        <w:bidi w:val="0"/>
        <w:spacing w:beforeAutospacing="0" w:afterAutospacing="0" w:line="360" w:lineRule="auto"/>
        <w:ind w:left="0" w:leftChars="0" w:right="0" w:rightChars="0" w:firstLine="482" w:firstLineChars="200"/>
        <w:rPr>
          <w:rFonts w:hint="eastAsia" w:ascii="仿宋" w:hAnsi="仿宋" w:eastAsia="仿宋" w:cs="仿宋"/>
          <w:b/>
          <w:bCs/>
          <w:color w:val="auto"/>
          <w:sz w:val="24"/>
          <w:szCs w:val="22"/>
          <w:highlight w:val="none"/>
          <w:lang w:val="en-US" w:eastAsia="zh-CN"/>
        </w:rPr>
      </w:pPr>
      <w:r>
        <w:rPr>
          <w:rFonts w:hint="eastAsia" w:ascii="仿宋" w:hAnsi="仿宋" w:eastAsia="仿宋" w:cs="仿宋"/>
          <w:b/>
          <w:bCs/>
          <w:color w:val="auto"/>
          <w:sz w:val="24"/>
          <w:szCs w:val="22"/>
          <w:highlight w:val="none"/>
          <w:lang w:eastAsia="zh-CN"/>
        </w:rPr>
        <w:t>（</w:t>
      </w:r>
      <w:r>
        <w:rPr>
          <w:rFonts w:hint="eastAsia" w:ascii="仿宋" w:hAnsi="仿宋" w:eastAsia="仿宋" w:cs="仿宋"/>
          <w:b/>
          <w:bCs/>
          <w:color w:val="auto"/>
          <w:sz w:val="24"/>
          <w:szCs w:val="22"/>
          <w:highlight w:val="none"/>
          <w:lang w:val="en-US" w:eastAsia="zh-CN"/>
        </w:rPr>
        <w:t>2</w:t>
      </w:r>
      <w:r>
        <w:rPr>
          <w:rFonts w:hint="eastAsia" w:ascii="仿宋" w:hAnsi="仿宋" w:eastAsia="仿宋" w:cs="仿宋"/>
          <w:b/>
          <w:bCs/>
          <w:color w:val="auto"/>
          <w:sz w:val="24"/>
          <w:szCs w:val="22"/>
          <w:highlight w:val="none"/>
          <w:lang w:eastAsia="zh-CN"/>
        </w:rPr>
        <w:t>）</w:t>
      </w:r>
      <w:r>
        <w:rPr>
          <w:rFonts w:hint="eastAsia" w:ascii="仿宋" w:hAnsi="仿宋" w:eastAsia="仿宋" w:cs="仿宋"/>
          <w:b/>
          <w:bCs/>
          <w:color w:val="auto"/>
          <w:sz w:val="24"/>
          <w:szCs w:val="22"/>
          <w:highlight w:val="none"/>
        </w:rPr>
        <w:t>价格扣除优惠幅度以评标办法中明确为准</w:t>
      </w:r>
      <w:r>
        <w:rPr>
          <w:rFonts w:hint="eastAsia" w:ascii="仿宋" w:hAnsi="仿宋" w:eastAsia="仿宋" w:cs="仿宋"/>
          <w:b/>
          <w:bCs/>
          <w:color w:val="auto"/>
          <w:sz w:val="24"/>
          <w:szCs w:val="22"/>
          <w:highlight w:val="none"/>
          <w:lang w:eastAsia="zh-CN"/>
        </w:rPr>
        <w:t>（</w:t>
      </w:r>
      <w:r>
        <w:rPr>
          <w:rFonts w:hint="eastAsia" w:ascii="仿宋" w:hAnsi="仿宋" w:eastAsia="仿宋" w:cs="仿宋"/>
          <w:b/>
          <w:bCs/>
          <w:color w:val="auto"/>
          <w:sz w:val="24"/>
          <w:szCs w:val="22"/>
          <w:highlight w:val="none"/>
          <w:lang w:val="en-US" w:eastAsia="zh-CN"/>
        </w:rPr>
        <w:t>若项目已预留份额即专门面向中小微企业、监狱企业及残疾人福利性单位采购项目，则对预留份额无价格优惠幅度</w:t>
      </w:r>
      <w:r>
        <w:rPr>
          <w:rFonts w:hint="eastAsia" w:ascii="仿宋" w:hAnsi="仿宋" w:eastAsia="仿宋" w:cs="仿宋"/>
          <w:b/>
          <w:bCs/>
          <w:color w:val="auto"/>
          <w:sz w:val="24"/>
          <w:szCs w:val="22"/>
          <w:highlight w:val="none"/>
          <w:lang w:eastAsia="zh-CN"/>
        </w:rPr>
        <w:t>）</w:t>
      </w:r>
    </w:p>
    <w:p w14:paraId="2CE8639B">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2"/>
          <w:highlight w:val="none"/>
        </w:rPr>
        <w:t>1.</w:t>
      </w:r>
      <w:r>
        <w:rPr>
          <w:rFonts w:hint="eastAsia" w:ascii="仿宋" w:hAnsi="仿宋" w:eastAsia="仿宋" w:cs="仿宋"/>
          <w:color w:val="auto"/>
          <w:sz w:val="24"/>
          <w:szCs w:val="22"/>
          <w:highlight w:val="none"/>
          <w:lang w:val="en-US" w:eastAsia="zh-CN"/>
        </w:rPr>
        <w:t>1</w:t>
      </w:r>
      <w:r>
        <w:rPr>
          <w:rFonts w:hint="eastAsia" w:ascii="仿宋" w:hAnsi="仿宋" w:eastAsia="仿宋" w:cs="仿宋"/>
          <w:color w:val="auto"/>
          <w:sz w:val="24"/>
          <w:szCs w:val="22"/>
          <w:highlight w:val="none"/>
        </w:rPr>
        <w:t>.4依据规定享受扶持政策获得政府采购合同</w:t>
      </w:r>
      <w:r>
        <w:rPr>
          <w:rFonts w:hint="eastAsia" w:ascii="仿宋" w:hAnsi="仿宋" w:eastAsia="仿宋" w:cs="仿宋"/>
          <w:color w:val="auto"/>
          <w:sz w:val="24"/>
          <w:highlight w:val="none"/>
        </w:rPr>
        <w:t>的，小微企业不得将合同分包给大中型企业，中型企业不得将合同分包给大型企业。</w:t>
      </w:r>
    </w:p>
    <w:p w14:paraId="2562EBBB">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1.1.5本项目政府采购合同不允许分包。</w:t>
      </w:r>
    </w:p>
    <w:p w14:paraId="6032B70C">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关于监狱企业</w:t>
      </w:r>
    </w:p>
    <w:p w14:paraId="1AE37910">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w:t>
      </w:r>
      <w:r>
        <w:rPr>
          <w:rFonts w:hint="eastAsia" w:ascii="仿宋" w:hAnsi="仿宋" w:eastAsia="仿宋" w:cs="仿宋"/>
          <w:color w:val="auto"/>
          <w:sz w:val="24"/>
          <w:szCs w:val="22"/>
          <w:highlight w:val="none"/>
          <w:lang w:val="en-US" w:eastAsia="zh-CN"/>
        </w:rPr>
        <w:t>2</w:t>
      </w:r>
      <w:r>
        <w:rPr>
          <w:rFonts w:hint="eastAsia" w:ascii="仿宋" w:hAnsi="仿宋" w:eastAsia="仿宋" w:cs="仿宋"/>
          <w:color w:val="auto"/>
          <w:sz w:val="24"/>
          <w:szCs w:val="22"/>
          <w:highlight w:val="none"/>
        </w:rPr>
        <w:t>.1根据财政部《司法部关于政府采购支持监狱企业发展有关问题》的通知（财库〔2014〕68号）</w:t>
      </w:r>
      <w:r>
        <w:rPr>
          <w:rFonts w:hint="eastAsia" w:ascii="仿宋" w:hAnsi="仿宋" w:eastAsia="仿宋" w:cs="仿宋"/>
          <w:color w:val="auto"/>
          <w:sz w:val="24"/>
          <w:szCs w:val="22"/>
          <w:highlight w:val="none"/>
          <w:lang w:val="en-US" w:eastAsia="zh-CN"/>
        </w:rPr>
        <w:t>规定</w:t>
      </w:r>
      <w:r>
        <w:rPr>
          <w:rFonts w:hint="eastAsia" w:ascii="仿宋" w:hAnsi="仿宋" w:eastAsia="仿宋" w:cs="仿宋"/>
          <w:color w:val="auto"/>
          <w:sz w:val="24"/>
          <w:szCs w:val="22"/>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D57C4A2">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lang w:val="en-US" w:eastAsia="zh-CN"/>
        </w:rPr>
      </w:pPr>
      <w:r>
        <w:rPr>
          <w:rFonts w:hint="eastAsia" w:ascii="仿宋" w:hAnsi="仿宋" w:eastAsia="仿宋" w:cs="仿宋"/>
          <w:color w:val="auto"/>
          <w:sz w:val="24"/>
          <w:szCs w:val="22"/>
          <w:highlight w:val="none"/>
          <w:lang w:val="en-US" w:eastAsia="zh-CN"/>
        </w:rPr>
        <w:t>1.2.2在政府采购活动中，监狱企业视同小型、微型企业，享受预留份额、评审中价格扣除等政府采购促进中小企业发展的政府采购政策。</w:t>
      </w:r>
    </w:p>
    <w:p w14:paraId="3A871B20">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关于残疾人福利性单位</w:t>
      </w:r>
    </w:p>
    <w:p w14:paraId="69FAE740">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w:t>
      </w:r>
      <w:r>
        <w:rPr>
          <w:rFonts w:hint="eastAsia" w:ascii="仿宋" w:hAnsi="仿宋" w:eastAsia="仿宋" w:cs="仿宋"/>
          <w:color w:val="auto"/>
          <w:sz w:val="24"/>
          <w:szCs w:val="22"/>
          <w:highlight w:val="none"/>
          <w:lang w:val="en-US" w:eastAsia="zh-CN"/>
        </w:rPr>
        <w:t>3</w:t>
      </w:r>
      <w:r>
        <w:rPr>
          <w:rFonts w:hint="eastAsia" w:ascii="仿宋" w:hAnsi="仿宋" w:eastAsia="仿宋" w:cs="仿宋"/>
          <w:color w:val="auto"/>
          <w:sz w:val="24"/>
          <w:szCs w:val="22"/>
          <w:highlight w:val="none"/>
        </w:rPr>
        <w:t>.1根据《三部门联合发布关于促进残疾人就业政府采购政策的通知》（财库〔2017〕141号）的规定，享受政府采购支持政策的残疾人福利性单位应当同时满足以下条件：</w:t>
      </w:r>
    </w:p>
    <w:p w14:paraId="5A39931A">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（一）安置的残疾人占本单位在职职工人数的比例不低于25%（含25%），并且安置的残疾人人数不少于10人（含10人）；</w:t>
      </w:r>
    </w:p>
    <w:p w14:paraId="687323E5">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（二）依法与安置的每位残疾人签订了一年以上（含一年）的劳动合同或服务协议；</w:t>
      </w:r>
    </w:p>
    <w:p w14:paraId="77AE61DC">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（三）为安置的每位残疾人按月足额缴纳了基本养老保险、基本医疗保险、失业保险、工伤保险和生育保险等社会保险费；</w:t>
      </w:r>
    </w:p>
    <w:p w14:paraId="5161F3AF">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（四）通过银行等金融机构向安置的每位残疾人，按月支付了不低于单位所在区县适用的经省级人民政府批准的月最低工资标准的工资；</w:t>
      </w:r>
    </w:p>
    <w:p w14:paraId="5F0A242B">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（五）提供本单位制造的货物、承担的工程或者服务（以下简称产品），或者提供其他残疾人福利性单位制造的货物（不包括使用非残疾人福利性单位注册商标的货物）。</w:t>
      </w:r>
    </w:p>
    <w:p w14:paraId="3AC6C1B2">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9481F7E">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1.</w:t>
      </w:r>
      <w:r>
        <w:rPr>
          <w:rFonts w:hint="eastAsia" w:ascii="仿宋" w:hAnsi="仿宋" w:eastAsia="仿宋" w:cs="仿宋"/>
          <w:color w:val="auto"/>
          <w:sz w:val="24"/>
          <w:szCs w:val="22"/>
          <w:highlight w:val="none"/>
          <w:lang w:val="en-US" w:eastAsia="zh-CN"/>
        </w:rPr>
        <w:t>3</w:t>
      </w:r>
      <w:r>
        <w:rPr>
          <w:rFonts w:hint="eastAsia" w:ascii="仿宋" w:hAnsi="仿宋" w:eastAsia="仿宋" w:cs="仿宋"/>
          <w:color w:val="auto"/>
          <w:sz w:val="24"/>
          <w:szCs w:val="22"/>
          <w:highlight w:val="none"/>
        </w:rPr>
        <w:t>.2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bookmarkEnd w:id="757"/>
    <w:bookmarkEnd w:id="758"/>
    <w:bookmarkEnd w:id="759"/>
    <w:p w14:paraId="373D76CB">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rPr>
      </w:pPr>
      <w:bookmarkStart w:id="760" w:name="_Toc26783948"/>
      <w:bookmarkStart w:id="761" w:name="_Toc9454"/>
      <w:bookmarkStart w:id="762" w:name="_Toc391301905"/>
      <w:bookmarkStart w:id="763" w:name="_Toc396313204"/>
      <w:bookmarkStart w:id="764" w:name="_Toc54878357"/>
      <w:bookmarkStart w:id="765" w:name="_Toc21613"/>
      <w:bookmarkStart w:id="766" w:name="_Toc364392661"/>
      <w:bookmarkStart w:id="767" w:name="_Toc22211"/>
      <w:bookmarkStart w:id="768" w:name="_Toc217"/>
      <w:r>
        <w:rPr>
          <w:rFonts w:hint="eastAsia" w:ascii="仿宋" w:hAnsi="仿宋" w:eastAsia="仿宋" w:cs="仿宋"/>
          <w:b/>
          <w:bCs/>
          <w:color w:val="auto"/>
          <w:sz w:val="28"/>
          <w:szCs w:val="28"/>
          <w:lang w:val="en-US" w:eastAsia="zh-CN"/>
        </w:rPr>
        <w:t>1.4</w:t>
      </w:r>
      <w:r>
        <w:rPr>
          <w:rFonts w:hint="eastAsia" w:ascii="仿宋" w:hAnsi="仿宋" w:eastAsia="仿宋" w:cs="仿宋"/>
          <w:b/>
          <w:bCs/>
          <w:color w:val="auto"/>
          <w:sz w:val="28"/>
          <w:szCs w:val="28"/>
        </w:rPr>
        <w:t>关于节能产品及环境标志产品</w:t>
      </w:r>
      <w:bookmarkEnd w:id="760"/>
      <w:bookmarkEnd w:id="761"/>
    </w:p>
    <w:p w14:paraId="5DDF6E26">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1.4.1</w:t>
      </w:r>
      <w:r>
        <w:rPr>
          <w:rFonts w:hint="eastAsia" w:ascii="仿宋" w:hAnsi="仿宋" w:eastAsia="仿宋" w:cs="仿宋"/>
          <w:color w:val="auto"/>
          <w:sz w:val="24"/>
          <w:szCs w:val="22"/>
          <w:highlight w:val="none"/>
        </w:rPr>
        <w:t>根据《财政部 发展改革委 生态环境部 市场监管总局 关于调整优化节能产品、环境标志产品政府采购执行机制的通知》（财库〔2019〕9号），对政府采购节能产品、环境标志产品实施品目清单管理。</w:t>
      </w:r>
    </w:p>
    <w:p w14:paraId="69CB58DC">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1.4</w:t>
      </w:r>
      <w:r>
        <w:rPr>
          <w:rFonts w:hint="eastAsia" w:ascii="仿宋" w:hAnsi="仿宋" w:eastAsia="仿宋" w:cs="仿宋"/>
          <w:color w:val="auto"/>
          <w:sz w:val="24"/>
          <w:szCs w:val="22"/>
          <w:highlight w:val="none"/>
        </w:rPr>
        <w:t>.2节能产品是指列入财政部和发展改革委公布的《关于印发节能产品政府采购品目清单的通知》（财库〔2019〕19号）《节能产品政府采购品目清单》中的产品，其中以“★”标注的为政府强制采购产品。</w:t>
      </w:r>
    </w:p>
    <w:p w14:paraId="060B5684">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1.4</w:t>
      </w:r>
      <w:r>
        <w:rPr>
          <w:rFonts w:hint="eastAsia" w:ascii="仿宋" w:hAnsi="仿宋" w:eastAsia="仿宋" w:cs="仿宋"/>
          <w:color w:val="auto"/>
          <w:sz w:val="24"/>
          <w:szCs w:val="22"/>
          <w:highlight w:val="none"/>
        </w:rPr>
        <w:t>.3环境标志产品是指列入财政部和生态环境部公布的《关于印发环境标志产品政府采购品目清单的通知》（财库〔2019〕18号）《环境标志产品政府采购品目清单》中的产品。</w:t>
      </w:r>
    </w:p>
    <w:p w14:paraId="426A1372">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1.4</w:t>
      </w:r>
      <w:r>
        <w:rPr>
          <w:rFonts w:hint="eastAsia" w:ascii="仿宋" w:hAnsi="仿宋" w:eastAsia="仿宋" w:cs="仿宋"/>
          <w:color w:val="auto"/>
          <w:sz w:val="24"/>
          <w:szCs w:val="22"/>
          <w:highlight w:val="none"/>
        </w:rPr>
        <w:t>.4产品属于节能产品或环境标志产品的，</w:t>
      </w:r>
      <w:r>
        <w:rPr>
          <w:rFonts w:hint="eastAsia" w:ascii="仿宋" w:hAnsi="仿宋" w:eastAsia="仿宋" w:cs="仿宋"/>
          <w:color w:val="auto"/>
          <w:sz w:val="24"/>
          <w:szCs w:val="22"/>
          <w:highlight w:val="none"/>
          <w:lang w:eastAsia="zh-CN"/>
        </w:rPr>
        <w:t>投标人</w:t>
      </w:r>
      <w:r>
        <w:rPr>
          <w:rFonts w:hint="eastAsia" w:ascii="仿宋" w:hAnsi="仿宋" w:eastAsia="仿宋" w:cs="仿宋"/>
          <w:color w:val="auto"/>
          <w:sz w:val="24"/>
          <w:szCs w:val="22"/>
          <w:highlight w:val="none"/>
        </w:rPr>
        <w:t>需在投标文件中提供产品经国家确定的参与实施政府采购节能产品认证机构或参与实施政府采购环境标志产品认证机构出具的、处于有效期之内的节能产品、环境标志产品认证证书，</w:t>
      </w:r>
      <w:r>
        <w:rPr>
          <w:rFonts w:hint="eastAsia" w:ascii="仿宋" w:hAnsi="仿宋" w:eastAsia="仿宋" w:cs="仿宋"/>
          <w:color w:val="auto"/>
          <w:sz w:val="24"/>
          <w:szCs w:val="22"/>
          <w:highlight w:val="none"/>
          <w:lang w:eastAsia="zh-CN"/>
        </w:rPr>
        <w:t>招标人</w:t>
      </w:r>
      <w:r>
        <w:rPr>
          <w:rFonts w:hint="eastAsia" w:ascii="仿宋" w:hAnsi="仿宋" w:eastAsia="仿宋" w:cs="仿宋"/>
          <w:color w:val="auto"/>
          <w:sz w:val="24"/>
          <w:szCs w:val="22"/>
          <w:highlight w:val="none"/>
        </w:rPr>
        <w:t>及采购代理机构将对获得证书的产品实施政府优先采购或强制采购。</w:t>
      </w:r>
    </w:p>
    <w:p w14:paraId="6971B223">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1.4</w:t>
      </w:r>
      <w:r>
        <w:rPr>
          <w:rFonts w:hint="eastAsia" w:ascii="仿宋" w:hAnsi="仿宋" w:eastAsia="仿宋" w:cs="仿宋"/>
          <w:color w:val="auto"/>
          <w:sz w:val="24"/>
          <w:szCs w:val="22"/>
          <w:highlight w:val="none"/>
        </w:rPr>
        <w:t>.5若</w:t>
      </w:r>
      <w:r>
        <w:rPr>
          <w:rFonts w:hint="eastAsia" w:ascii="仿宋" w:hAnsi="仿宋" w:eastAsia="仿宋" w:cs="仿宋"/>
          <w:color w:val="auto"/>
          <w:sz w:val="24"/>
          <w:szCs w:val="22"/>
          <w:highlight w:val="none"/>
          <w:lang w:eastAsia="zh-CN"/>
        </w:rPr>
        <w:t>投标人</w:t>
      </w:r>
      <w:r>
        <w:rPr>
          <w:rFonts w:hint="eastAsia" w:ascii="仿宋" w:hAnsi="仿宋" w:eastAsia="仿宋" w:cs="仿宋"/>
          <w:color w:val="auto"/>
          <w:sz w:val="24"/>
          <w:szCs w:val="22"/>
          <w:highlight w:val="none"/>
        </w:rPr>
        <w:t>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w:t>
      </w:r>
      <w:r>
        <w:rPr>
          <w:rFonts w:hint="eastAsia" w:ascii="仿宋" w:hAnsi="仿宋" w:eastAsia="仿宋" w:cs="仿宋"/>
          <w:color w:val="auto"/>
          <w:sz w:val="24"/>
          <w:szCs w:val="22"/>
          <w:highlight w:val="none"/>
          <w:lang w:eastAsia="zh-CN"/>
        </w:rPr>
        <w:t>果由投标人</w:t>
      </w:r>
      <w:r>
        <w:rPr>
          <w:rFonts w:hint="eastAsia" w:ascii="仿宋" w:hAnsi="仿宋" w:eastAsia="仿宋" w:cs="仿宋"/>
          <w:color w:val="auto"/>
          <w:sz w:val="24"/>
          <w:szCs w:val="22"/>
          <w:highlight w:val="none"/>
        </w:rPr>
        <w:t>自行承担。</w:t>
      </w:r>
    </w:p>
    <w:p w14:paraId="49FADAA3">
      <w:pPr>
        <w:pStyle w:val="3"/>
        <w:pageBreakBefore w:val="0"/>
        <w:shd w:val="clear"/>
        <w:topLinePunct w:val="0"/>
        <w:bidi w:val="0"/>
        <w:spacing w:beforeAutospacing="0" w:afterAutospacing="0" w:line="360" w:lineRule="auto"/>
        <w:ind w:left="0" w:leftChars="0" w:right="0" w:rightChars="0" w:firstLine="600" w:firstLineChars="200"/>
        <w:jc w:val="center"/>
        <w:outlineLvl w:val="1"/>
        <w:rPr>
          <w:rFonts w:hint="eastAsia" w:ascii="仿宋" w:hAnsi="仿宋" w:eastAsia="仿宋" w:cs="仿宋"/>
          <w:color w:val="auto"/>
          <w:sz w:val="30"/>
          <w:szCs w:val="30"/>
          <w:highlight w:val="none"/>
        </w:rPr>
      </w:pPr>
      <w:bookmarkStart w:id="769" w:name="_Toc17664"/>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rPr>
        <w:t>、评标原则</w:t>
      </w:r>
      <w:bookmarkEnd w:id="762"/>
      <w:bookmarkEnd w:id="763"/>
      <w:bookmarkEnd w:id="764"/>
      <w:bookmarkEnd w:id="765"/>
      <w:bookmarkEnd w:id="766"/>
      <w:bookmarkEnd w:id="767"/>
      <w:bookmarkEnd w:id="768"/>
      <w:bookmarkEnd w:id="769"/>
    </w:p>
    <w:p w14:paraId="7B89F201">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.1评标遵循“公平、公正、科学、择优、保密”的原则。</w:t>
      </w:r>
    </w:p>
    <w:p w14:paraId="2D030DEC">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.2只对有效投标文件进行评审，投标文件以外的资料信息不作为评标的依据和参考。</w:t>
      </w:r>
    </w:p>
    <w:p w14:paraId="256AC068">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.3询标只针对投标文件中的疑问和问题，投标人澄清问题不允许超出要求的范围或修改投标文件的实质性内容。</w:t>
      </w:r>
    </w:p>
    <w:p w14:paraId="637A0946">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.4评标委员会专家对所有投标文件一一进行独立审核和评价，客观公正</w:t>
      </w:r>
      <w:r>
        <w:rPr>
          <w:rFonts w:hint="eastAsia" w:ascii="仿宋" w:hAnsi="仿宋" w:eastAsia="仿宋" w:cs="仿宋"/>
          <w:color w:val="auto"/>
          <w:sz w:val="24"/>
          <w:highlight w:val="none"/>
          <w:lang w:eastAsia="zh-CN"/>
        </w:rPr>
        <w:t>地</w:t>
      </w:r>
      <w:r>
        <w:rPr>
          <w:rFonts w:hint="eastAsia" w:ascii="仿宋" w:hAnsi="仿宋" w:eastAsia="仿宋" w:cs="仿宋"/>
          <w:color w:val="auto"/>
          <w:sz w:val="24"/>
          <w:highlight w:val="none"/>
        </w:rPr>
        <w:t>对每个投标文件进行独立打分。</w:t>
      </w:r>
    </w:p>
    <w:p w14:paraId="0031A2FF">
      <w:pPr>
        <w:pStyle w:val="3"/>
        <w:pageBreakBefore w:val="0"/>
        <w:shd w:val="clear"/>
        <w:topLinePunct w:val="0"/>
        <w:bidi w:val="0"/>
        <w:spacing w:beforeAutospacing="0" w:afterAutospacing="0" w:line="360" w:lineRule="auto"/>
        <w:ind w:left="0" w:leftChars="0" w:right="0" w:rightChars="0" w:firstLine="600" w:firstLineChars="200"/>
        <w:jc w:val="center"/>
        <w:outlineLvl w:val="1"/>
        <w:rPr>
          <w:rFonts w:hint="eastAsia" w:ascii="仿宋" w:hAnsi="仿宋" w:eastAsia="仿宋" w:cs="仿宋"/>
          <w:color w:val="auto"/>
          <w:sz w:val="30"/>
          <w:szCs w:val="30"/>
          <w:highlight w:val="none"/>
        </w:rPr>
      </w:pPr>
      <w:bookmarkStart w:id="770" w:name="_Toc22721"/>
      <w:bookmarkStart w:id="771" w:name="_Toc364392662"/>
      <w:bookmarkStart w:id="772" w:name="_Toc396313205"/>
      <w:bookmarkStart w:id="773" w:name="_Toc391301906"/>
      <w:bookmarkStart w:id="774" w:name="_Toc18409"/>
      <w:bookmarkStart w:id="775" w:name="_Toc8335"/>
      <w:bookmarkStart w:id="776" w:name="_Toc2691"/>
      <w:bookmarkStart w:id="777" w:name="_Toc54878358"/>
      <w:r>
        <w:rPr>
          <w:rFonts w:hint="eastAsia" w:ascii="仿宋" w:hAnsi="仿宋" w:eastAsia="仿宋" w:cs="仿宋"/>
          <w:color w:val="auto"/>
          <w:sz w:val="30"/>
          <w:szCs w:val="30"/>
          <w:highlight w:val="none"/>
          <w:lang w:val="en-US" w:eastAsia="zh-CN"/>
        </w:rPr>
        <w:t>三</w:t>
      </w:r>
      <w:r>
        <w:rPr>
          <w:rFonts w:hint="eastAsia" w:ascii="仿宋" w:hAnsi="仿宋" w:eastAsia="仿宋" w:cs="仿宋"/>
          <w:color w:val="auto"/>
          <w:sz w:val="30"/>
          <w:szCs w:val="30"/>
          <w:highlight w:val="none"/>
        </w:rPr>
        <w:t>、评标纪律</w:t>
      </w:r>
      <w:bookmarkEnd w:id="770"/>
      <w:bookmarkEnd w:id="771"/>
      <w:bookmarkEnd w:id="772"/>
      <w:bookmarkEnd w:id="773"/>
      <w:bookmarkEnd w:id="774"/>
      <w:bookmarkEnd w:id="775"/>
      <w:bookmarkEnd w:id="776"/>
      <w:bookmarkEnd w:id="777"/>
    </w:p>
    <w:p w14:paraId="4F6DF240">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.1评标委员会的成员应严格自律</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自觉接受有关部门的监督。</w:t>
      </w:r>
    </w:p>
    <w:p w14:paraId="3257A271">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.2评标过程中，评标委员会成员不得擅离职守，影响评标程序正常进行。</w:t>
      </w:r>
    </w:p>
    <w:p w14:paraId="18C71439">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.3评标委员会的成员不得与投标人、其他利害关系人私下接触，不得向投标人、其他利害关系人泄露对投标文件的评审、比较、中标候选人的推荐以及与评标有关</w:t>
      </w:r>
      <w:r>
        <w:rPr>
          <w:rFonts w:hint="eastAsia" w:ascii="仿宋" w:hAnsi="仿宋" w:eastAsia="仿宋" w:cs="仿宋"/>
          <w:color w:val="auto"/>
          <w:sz w:val="24"/>
          <w:highlight w:val="none"/>
          <w:lang w:eastAsia="zh-CN"/>
        </w:rPr>
        <w:t>的其他</w:t>
      </w:r>
      <w:r>
        <w:rPr>
          <w:rFonts w:hint="eastAsia" w:ascii="仿宋" w:hAnsi="仿宋" w:eastAsia="仿宋" w:cs="仿宋"/>
          <w:color w:val="auto"/>
          <w:sz w:val="24"/>
          <w:highlight w:val="none"/>
        </w:rPr>
        <w:t>情况。</w:t>
      </w:r>
    </w:p>
    <w:p w14:paraId="15D27864">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.4评标委员会如有</w:t>
      </w:r>
      <w:r>
        <w:rPr>
          <w:rFonts w:hint="eastAsia" w:ascii="仿宋" w:hAnsi="仿宋" w:eastAsia="仿宋" w:cs="仿宋"/>
          <w:color w:val="auto"/>
          <w:sz w:val="24"/>
          <w:highlight w:val="none"/>
          <w:lang w:eastAsia="zh-CN"/>
        </w:rPr>
        <w:t>需要</w:t>
      </w:r>
      <w:r>
        <w:rPr>
          <w:rFonts w:hint="eastAsia" w:ascii="仿宋" w:hAnsi="仿宋" w:eastAsia="仿宋" w:cs="仿宋"/>
          <w:color w:val="auto"/>
          <w:sz w:val="24"/>
          <w:highlight w:val="none"/>
        </w:rPr>
        <w:t>询问、澄清的问题由专职联络员负责联系负责转告。</w:t>
      </w:r>
    </w:p>
    <w:p w14:paraId="0A927E0F">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.5不允许任何人把投标文件及其汇总材料带出评标会场（已经公开的价格等资料除外），所有资料不得复制，完成评标后所有材料如数交还。</w:t>
      </w:r>
    </w:p>
    <w:p w14:paraId="6D2E2E6C">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.6违反上述规定对评标造成不良影响的，后果由责任者承担。</w:t>
      </w:r>
    </w:p>
    <w:p w14:paraId="4ADD5923">
      <w:pPr>
        <w:pStyle w:val="3"/>
        <w:pageBreakBefore w:val="0"/>
        <w:shd w:val="clear"/>
        <w:topLinePunct w:val="0"/>
        <w:bidi w:val="0"/>
        <w:spacing w:beforeAutospacing="0" w:afterAutospacing="0" w:line="360" w:lineRule="auto"/>
        <w:ind w:left="0" w:leftChars="0" w:right="0" w:rightChars="0" w:firstLine="600" w:firstLineChars="200"/>
        <w:jc w:val="center"/>
        <w:outlineLvl w:val="1"/>
        <w:rPr>
          <w:rFonts w:hint="eastAsia" w:ascii="仿宋" w:hAnsi="仿宋" w:eastAsia="仿宋" w:cs="仿宋"/>
          <w:color w:val="auto"/>
          <w:sz w:val="30"/>
          <w:szCs w:val="30"/>
          <w:highlight w:val="none"/>
        </w:rPr>
      </w:pPr>
      <w:bookmarkStart w:id="778" w:name="_Toc54878360"/>
      <w:bookmarkStart w:id="779" w:name="_Toc391301908"/>
      <w:bookmarkStart w:id="780" w:name="_Toc396313207"/>
      <w:bookmarkStart w:id="781" w:name="_Toc364392664"/>
      <w:bookmarkStart w:id="782" w:name="_Toc4740"/>
      <w:bookmarkStart w:id="783" w:name="_Toc22556"/>
      <w:bookmarkStart w:id="784" w:name="_Toc28855"/>
      <w:bookmarkStart w:id="785" w:name="_Toc4219"/>
      <w:r>
        <w:rPr>
          <w:rFonts w:hint="eastAsia" w:ascii="仿宋" w:hAnsi="仿宋" w:eastAsia="仿宋" w:cs="仿宋"/>
          <w:color w:val="auto"/>
          <w:sz w:val="30"/>
          <w:szCs w:val="30"/>
          <w:highlight w:val="none"/>
          <w:lang w:val="en-US" w:eastAsia="zh-CN"/>
        </w:rPr>
        <w:t>四</w:t>
      </w:r>
      <w:r>
        <w:rPr>
          <w:rFonts w:hint="eastAsia" w:ascii="仿宋" w:hAnsi="仿宋" w:eastAsia="仿宋" w:cs="仿宋"/>
          <w:color w:val="auto"/>
          <w:sz w:val="30"/>
          <w:szCs w:val="30"/>
          <w:highlight w:val="none"/>
        </w:rPr>
        <w:t>、评标程序</w:t>
      </w:r>
      <w:bookmarkEnd w:id="778"/>
      <w:bookmarkEnd w:id="779"/>
      <w:bookmarkEnd w:id="780"/>
      <w:bookmarkEnd w:id="781"/>
      <w:r>
        <w:rPr>
          <w:rFonts w:hint="eastAsia" w:ascii="仿宋" w:hAnsi="仿宋" w:eastAsia="仿宋" w:cs="仿宋"/>
          <w:color w:val="auto"/>
          <w:sz w:val="30"/>
          <w:szCs w:val="30"/>
          <w:highlight w:val="none"/>
        </w:rPr>
        <w:t>和标准</w:t>
      </w:r>
      <w:bookmarkEnd w:id="782"/>
      <w:bookmarkEnd w:id="783"/>
      <w:bookmarkEnd w:id="784"/>
      <w:bookmarkEnd w:id="785"/>
    </w:p>
    <w:p w14:paraId="4ECACD25">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rPr>
      </w:pPr>
      <w:bookmarkStart w:id="786" w:name="_Toc391301910"/>
      <w:bookmarkStart w:id="787" w:name="_Toc364392665"/>
      <w:bookmarkStart w:id="788" w:name="_Toc396313209"/>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.1符合性审查</w:t>
      </w:r>
    </w:p>
    <w:p w14:paraId="4FBF3AE5">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4</w:t>
      </w:r>
      <w:r>
        <w:rPr>
          <w:rFonts w:hint="eastAsia" w:ascii="仿宋" w:hAnsi="仿宋" w:eastAsia="仿宋" w:cs="仿宋"/>
          <w:color w:val="auto"/>
          <w:sz w:val="24"/>
          <w:szCs w:val="22"/>
          <w:highlight w:val="none"/>
        </w:rPr>
        <w:t>.1.</w:t>
      </w:r>
      <w:r>
        <w:rPr>
          <w:rFonts w:hint="eastAsia" w:ascii="仿宋" w:hAnsi="仿宋" w:eastAsia="仿宋" w:cs="仿宋"/>
          <w:color w:val="auto"/>
          <w:sz w:val="24"/>
          <w:szCs w:val="22"/>
          <w:highlight w:val="none"/>
          <w:lang w:val="en-US" w:eastAsia="zh-CN"/>
        </w:rPr>
        <w:t xml:space="preserve">1 </w:t>
      </w:r>
      <w:r>
        <w:rPr>
          <w:rFonts w:hint="eastAsia" w:ascii="仿宋" w:hAnsi="仿宋" w:eastAsia="仿宋" w:cs="仿宋"/>
          <w:color w:val="auto"/>
          <w:sz w:val="24"/>
          <w:szCs w:val="22"/>
          <w:highlight w:val="none"/>
        </w:rPr>
        <w:t>符合性审查：评标委员会依据招标文件的规定，对符合资格的投标人的投标文件进行符合性审查（具体详见《评标方法前附表》），有一项不符合的，该投标文件按无效投标处理。</w:t>
      </w:r>
    </w:p>
    <w:p w14:paraId="6CCF4690">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4</w:t>
      </w:r>
      <w:r>
        <w:rPr>
          <w:rFonts w:hint="eastAsia" w:ascii="仿宋" w:hAnsi="仿宋" w:eastAsia="仿宋" w:cs="仿宋"/>
          <w:color w:val="auto"/>
          <w:sz w:val="24"/>
          <w:szCs w:val="22"/>
          <w:highlight w:val="none"/>
        </w:rPr>
        <w:t>.1.</w:t>
      </w:r>
      <w:r>
        <w:rPr>
          <w:rFonts w:hint="eastAsia" w:ascii="仿宋" w:hAnsi="仿宋" w:eastAsia="仿宋" w:cs="仿宋"/>
          <w:color w:val="auto"/>
          <w:sz w:val="24"/>
          <w:szCs w:val="22"/>
          <w:highlight w:val="none"/>
          <w:lang w:val="en-US" w:eastAsia="zh-CN"/>
        </w:rPr>
        <w:t xml:space="preserve">2 </w:t>
      </w:r>
      <w:r>
        <w:rPr>
          <w:rFonts w:hint="eastAsia" w:ascii="仿宋" w:hAnsi="仿宋" w:eastAsia="仿宋" w:cs="仿宋"/>
          <w:color w:val="auto"/>
          <w:sz w:val="24"/>
          <w:szCs w:val="22"/>
          <w:highlight w:val="none"/>
        </w:rPr>
        <w:t>符合本章第</w:t>
      </w:r>
      <w:r>
        <w:rPr>
          <w:rFonts w:hint="eastAsia" w:ascii="仿宋" w:hAnsi="仿宋" w:eastAsia="仿宋" w:cs="仿宋"/>
          <w:color w:val="auto"/>
          <w:sz w:val="24"/>
          <w:szCs w:val="22"/>
          <w:highlight w:val="none"/>
          <w:lang w:eastAsia="zh-CN"/>
        </w:rPr>
        <w:t>4</w:t>
      </w:r>
      <w:r>
        <w:rPr>
          <w:rFonts w:hint="eastAsia" w:ascii="仿宋" w:hAnsi="仿宋" w:eastAsia="仿宋" w:cs="仿宋"/>
          <w:color w:val="auto"/>
          <w:sz w:val="24"/>
          <w:szCs w:val="22"/>
          <w:highlight w:val="none"/>
        </w:rPr>
        <w:t>.1.1、</w:t>
      </w:r>
      <w:r>
        <w:rPr>
          <w:rFonts w:hint="eastAsia" w:ascii="仿宋" w:hAnsi="仿宋" w:eastAsia="仿宋" w:cs="仿宋"/>
          <w:color w:val="auto"/>
          <w:sz w:val="24"/>
          <w:szCs w:val="22"/>
          <w:highlight w:val="none"/>
          <w:lang w:eastAsia="zh-CN"/>
        </w:rPr>
        <w:t>4</w:t>
      </w:r>
      <w:r>
        <w:rPr>
          <w:rFonts w:hint="eastAsia" w:ascii="仿宋" w:hAnsi="仿宋" w:eastAsia="仿宋" w:cs="仿宋"/>
          <w:color w:val="auto"/>
          <w:sz w:val="24"/>
          <w:szCs w:val="22"/>
          <w:highlight w:val="none"/>
        </w:rPr>
        <w:t>.1.2项规定的投标文件视为符合招标文件的商务、技术等实质性要求评审，可以进行技术和商务评估，综合比较与评价。</w:t>
      </w:r>
    </w:p>
    <w:p w14:paraId="2BA2A73B">
      <w:pPr>
        <w:pageBreakBefore w:val="0"/>
        <w:topLinePunct w:val="0"/>
        <w:bidi w:val="0"/>
        <w:spacing w:beforeAutospacing="0" w:afterAutospacing="0" w:line="360" w:lineRule="auto"/>
        <w:ind w:left="0" w:leftChars="0" w:right="0" w:rightChars="0" w:firstLine="482" w:firstLineChars="200"/>
        <w:rPr>
          <w:rFonts w:hint="eastAsia" w:ascii="仿宋" w:hAnsi="仿宋" w:eastAsia="仿宋" w:cs="仿宋"/>
          <w:b/>
          <w:bCs/>
          <w:color w:val="auto"/>
          <w:sz w:val="24"/>
          <w:szCs w:val="22"/>
          <w:highlight w:val="none"/>
          <w:lang w:val="en-US" w:eastAsia="zh-CN"/>
        </w:rPr>
      </w:pPr>
      <w:r>
        <w:rPr>
          <w:rFonts w:hint="eastAsia" w:ascii="仿宋" w:hAnsi="仿宋" w:eastAsia="仿宋" w:cs="仿宋"/>
          <w:b/>
          <w:bCs/>
          <w:color w:val="auto"/>
          <w:sz w:val="24"/>
          <w:szCs w:val="22"/>
          <w:highlight w:val="none"/>
          <w:lang w:val="en-US" w:eastAsia="zh-CN"/>
        </w:rPr>
        <w:t>4.1.3 在评审过程中，核心产品若提供相同品牌产品且通过资格审查、符合性审查的不同投标人参加同一合同项下投标的，按一家投标人计算，评审后得分最高的同品牌投标人获得中标候选人推荐资格，评审得分相同的，</w:t>
      </w:r>
      <w:r>
        <w:rPr>
          <w:rFonts w:hint="eastAsia" w:ascii="仿宋" w:hAnsi="仿宋" w:eastAsia="仿宋" w:cs="仿宋"/>
          <w:b/>
          <w:bCs/>
          <w:color w:val="auto"/>
          <w:sz w:val="24"/>
          <w:szCs w:val="22"/>
          <w:highlight w:val="none"/>
        </w:rPr>
        <w:t>按投标报价由低到高顺序排列</w:t>
      </w:r>
      <w:r>
        <w:rPr>
          <w:rFonts w:hint="eastAsia" w:ascii="仿宋" w:hAnsi="仿宋" w:eastAsia="仿宋" w:cs="仿宋"/>
          <w:b/>
          <w:bCs/>
          <w:color w:val="auto"/>
          <w:sz w:val="24"/>
          <w:szCs w:val="22"/>
          <w:highlight w:val="none"/>
          <w:lang w:eastAsia="zh-CN"/>
        </w:rPr>
        <w:t>，</w:t>
      </w:r>
      <w:r>
        <w:rPr>
          <w:rFonts w:hint="eastAsia" w:ascii="仿宋" w:hAnsi="仿宋" w:eastAsia="仿宋" w:cs="仿宋"/>
          <w:b/>
          <w:bCs/>
          <w:color w:val="auto"/>
          <w:sz w:val="24"/>
          <w:highlight w:val="none"/>
        </w:rPr>
        <w:t>评标总得分相等且</w:t>
      </w:r>
      <w:r>
        <w:rPr>
          <w:rFonts w:hint="eastAsia" w:ascii="仿宋" w:hAnsi="仿宋" w:eastAsia="仿宋" w:cs="仿宋"/>
          <w:b/>
          <w:bCs/>
          <w:color w:val="auto"/>
          <w:sz w:val="24"/>
          <w:highlight w:val="none"/>
          <w:lang w:val="en-US" w:eastAsia="zh-CN"/>
        </w:rPr>
        <w:t>报价相同的，</w:t>
      </w:r>
      <w:r>
        <w:rPr>
          <w:rFonts w:hint="eastAsia" w:ascii="仿宋" w:hAnsi="仿宋" w:eastAsia="仿宋" w:cs="仿宋"/>
          <w:b/>
          <w:bCs/>
          <w:color w:val="auto"/>
          <w:sz w:val="24"/>
          <w:highlight w:val="none"/>
          <w:lang w:eastAsia="zh-CN"/>
        </w:rPr>
        <w:t>按照技术指标优劣顺序推荐</w:t>
      </w:r>
      <w:r>
        <w:rPr>
          <w:rFonts w:hint="eastAsia" w:ascii="仿宋" w:hAnsi="仿宋" w:eastAsia="仿宋" w:cs="仿宋"/>
          <w:b/>
          <w:bCs/>
          <w:color w:val="auto"/>
          <w:sz w:val="24"/>
          <w:highlight w:val="none"/>
        </w:rPr>
        <w:t>中标候选人排列；评标总得分</w:t>
      </w:r>
      <w:r>
        <w:rPr>
          <w:rFonts w:hint="eastAsia" w:ascii="仿宋" w:hAnsi="仿宋" w:eastAsia="仿宋" w:cs="仿宋"/>
          <w:b/>
          <w:bCs/>
          <w:color w:val="auto"/>
          <w:sz w:val="24"/>
          <w:highlight w:val="none"/>
          <w:lang w:val="en-US" w:eastAsia="zh-CN"/>
        </w:rPr>
        <w:t>、报价</w:t>
      </w:r>
      <w:r>
        <w:rPr>
          <w:rFonts w:hint="eastAsia" w:ascii="仿宋" w:hAnsi="仿宋" w:eastAsia="仿宋" w:cs="仿宋"/>
          <w:b/>
          <w:bCs/>
          <w:color w:val="auto"/>
          <w:sz w:val="24"/>
          <w:highlight w:val="none"/>
        </w:rPr>
        <w:t>相等且</w:t>
      </w:r>
      <w:r>
        <w:rPr>
          <w:rFonts w:hint="eastAsia" w:ascii="仿宋" w:hAnsi="仿宋" w:eastAsia="仿宋" w:cs="仿宋"/>
          <w:b/>
          <w:bCs/>
          <w:color w:val="auto"/>
          <w:sz w:val="24"/>
          <w:highlight w:val="none"/>
          <w:lang w:val="en-US" w:eastAsia="zh-CN"/>
        </w:rPr>
        <w:t>技术</w:t>
      </w:r>
      <w:r>
        <w:rPr>
          <w:rFonts w:hint="eastAsia" w:ascii="仿宋" w:hAnsi="仿宋" w:eastAsia="仿宋" w:cs="仿宋"/>
          <w:b/>
          <w:bCs/>
          <w:color w:val="auto"/>
          <w:sz w:val="24"/>
          <w:highlight w:val="none"/>
        </w:rPr>
        <w:t>部分评审得分相同时，</w:t>
      </w:r>
      <w:r>
        <w:rPr>
          <w:rFonts w:hint="eastAsia" w:ascii="仿宋" w:hAnsi="仿宋" w:eastAsia="仿宋" w:cs="仿宋"/>
          <w:b/>
          <w:bCs/>
          <w:color w:val="auto"/>
          <w:sz w:val="24"/>
          <w:highlight w:val="none"/>
          <w:lang w:val="en-US" w:eastAsia="zh-CN"/>
        </w:rPr>
        <w:t>按照商务指标</w:t>
      </w:r>
      <w:r>
        <w:rPr>
          <w:rFonts w:hint="eastAsia" w:ascii="仿宋" w:hAnsi="仿宋" w:eastAsia="仿宋" w:cs="仿宋"/>
          <w:b/>
          <w:bCs/>
          <w:color w:val="auto"/>
          <w:sz w:val="24"/>
          <w:highlight w:val="none"/>
          <w:lang w:eastAsia="zh-CN"/>
        </w:rPr>
        <w:t>优劣顺序</w:t>
      </w:r>
      <w:r>
        <w:rPr>
          <w:rFonts w:hint="eastAsia" w:ascii="仿宋" w:hAnsi="仿宋" w:eastAsia="仿宋" w:cs="仿宋"/>
          <w:b/>
          <w:bCs/>
          <w:color w:val="auto"/>
          <w:sz w:val="24"/>
          <w:highlight w:val="none"/>
        </w:rPr>
        <w:t>推荐排序。若以上顺序排列相等，则评标委员会采取举手表决的方式推荐</w:t>
      </w:r>
      <w:r>
        <w:rPr>
          <w:rFonts w:hint="eastAsia" w:ascii="仿宋" w:hAnsi="仿宋" w:eastAsia="仿宋" w:cs="仿宋"/>
          <w:b/>
          <w:bCs/>
          <w:color w:val="auto"/>
          <w:sz w:val="24"/>
          <w:highlight w:val="none"/>
          <w:lang w:val="en-US" w:eastAsia="zh-CN"/>
        </w:rPr>
        <w:t>中标</w:t>
      </w:r>
      <w:r>
        <w:rPr>
          <w:rFonts w:hint="eastAsia" w:ascii="仿宋" w:hAnsi="仿宋" w:eastAsia="仿宋" w:cs="仿宋"/>
          <w:b/>
          <w:bCs/>
          <w:color w:val="auto"/>
          <w:sz w:val="24"/>
          <w:highlight w:val="none"/>
        </w:rPr>
        <w:t>候选人</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其他同品牌投标人不作为中标候选人</w:t>
      </w:r>
      <w:r>
        <w:rPr>
          <w:rFonts w:hint="eastAsia" w:ascii="仿宋" w:hAnsi="仿宋" w:eastAsia="仿宋" w:cs="仿宋"/>
          <w:b/>
          <w:bCs/>
          <w:color w:val="auto"/>
          <w:sz w:val="24"/>
          <w:highlight w:val="none"/>
        </w:rPr>
        <w:t>。</w:t>
      </w:r>
    </w:p>
    <w:p w14:paraId="2773AB24">
      <w:pPr>
        <w:pageBreakBefore w:val="0"/>
        <w:topLinePunct w:val="0"/>
        <w:bidi w:val="0"/>
        <w:spacing w:beforeAutospacing="0" w:afterAutospacing="0" w:line="360" w:lineRule="auto"/>
        <w:ind w:left="0" w:leftChars="0" w:right="0" w:rightChars="0" w:firstLine="482" w:firstLineChars="200"/>
        <w:rPr>
          <w:rFonts w:hint="eastAsia" w:ascii="仿宋" w:hAnsi="仿宋" w:eastAsia="仿宋" w:cs="仿宋"/>
          <w:color w:val="auto"/>
          <w:highlight w:val="none"/>
        </w:rPr>
      </w:pPr>
      <w:r>
        <w:rPr>
          <w:rFonts w:hint="eastAsia" w:ascii="仿宋" w:hAnsi="仿宋" w:eastAsia="仿宋" w:cs="仿宋"/>
          <w:b/>
          <w:bCs/>
          <w:color w:val="auto"/>
          <w:sz w:val="24"/>
          <w:szCs w:val="24"/>
          <w:highlight w:val="none"/>
          <w:lang w:val="en-US" w:eastAsia="zh-CN"/>
        </w:rPr>
        <w:t>4.1.4 若单个项目包为非单一产品采购项目，对于招标规定核心产品，多家投标人提供的核心产品品牌有一项品牌相同的，按4.1.3款规定处理。</w:t>
      </w:r>
    </w:p>
    <w:p w14:paraId="294E0FE1">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2" w:firstLineChars="200"/>
        <w:textAlignment w:val="auto"/>
        <w:rPr>
          <w:rFonts w:hint="eastAsia" w:ascii="仿宋" w:hAnsi="仿宋" w:eastAsia="仿宋" w:cs="仿宋"/>
          <w:b/>
          <w:bCs/>
          <w:color w:val="auto"/>
          <w:sz w:val="28"/>
          <w:szCs w:val="28"/>
          <w:lang w:val="en-US" w:eastAsia="zh-CN"/>
        </w:rPr>
      </w:pPr>
      <w:bookmarkStart w:id="789" w:name="_Toc489145775"/>
      <w:bookmarkStart w:id="790" w:name="_Toc778"/>
      <w:bookmarkStart w:id="791" w:name="_Toc489197879"/>
      <w:bookmarkStart w:id="792" w:name="_Toc9004"/>
      <w:bookmarkStart w:id="793" w:name="_Toc528186516"/>
      <w:bookmarkStart w:id="794" w:name="_Toc9420"/>
      <w:bookmarkStart w:id="795" w:name="_Toc321836408"/>
      <w:r>
        <w:rPr>
          <w:rFonts w:hint="eastAsia" w:ascii="仿宋" w:hAnsi="仿宋" w:eastAsia="仿宋" w:cs="仿宋"/>
          <w:b/>
          <w:bCs/>
          <w:color w:val="auto"/>
          <w:sz w:val="28"/>
          <w:szCs w:val="28"/>
          <w:lang w:val="en-US" w:eastAsia="zh-CN"/>
        </w:rPr>
        <w:t>4.2分值构成与评分标准</w:t>
      </w:r>
      <w:bookmarkEnd w:id="789"/>
      <w:bookmarkEnd w:id="790"/>
      <w:bookmarkEnd w:id="791"/>
      <w:bookmarkEnd w:id="792"/>
      <w:bookmarkEnd w:id="793"/>
      <w:bookmarkEnd w:id="794"/>
      <w:bookmarkEnd w:id="795"/>
    </w:p>
    <w:p w14:paraId="032BE316">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4</w:t>
      </w:r>
      <w:r>
        <w:rPr>
          <w:rFonts w:hint="eastAsia" w:ascii="仿宋" w:hAnsi="仿宋" w:eastAsia="仿宋" w:cs="仿宋"/>
          <w:color w:val="auto"/>
          <w:sz w:val="24"/>
          <w:szCs w:val="22"/>
          <w:highlight w:val="none"/>
        </w:rPr>
        <w:t>.2.1分值构成</w:t>
      </w:r>
    </w:p>
    <w:p w14:paraId="20DBBAFC">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（1）价格部分：详见《评标方法前附表》；</w:t>
      </w:r>
    </w:p>
    <w:p w14:paraId="4FDA69D7">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（2）技术部分：详见《评标方法前附表》；</w:t>
      </w:r>
    </w:p>
    <w:p w14:paraId="3E378960">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（3）商务部分：详见《评标方法前附表》。</w:t>
      </w:r>
    </w:p>
    <w:p w14:paraId="5E7679C0">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4</w:t>
      </w:r>
      <w:r>
        <w:rPr>
          <w:rFonts w:hint="eastAsia" w:ascii="仿宋" w:hAnsi="仿宋" w:eastAsia="仿宋" w:cs="仿宋"/>
          <w:color w:val="auto"/>
          <w:sz w:val="24"/>
          <w:szCs w:val="22"/>
          <w:highlight w:val="none"/>
        </w:rPr>
        <w:t>.2.2评标基准价计算方法：详见《评标方法前附表》。</w:t>
      </w:r>
    </w:p>
    <w:p w14:paraId="7DD13902">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4</w:t>
      </w:r>
      <w:r>
        <w:rPr>
          <w:rFonts w:hint="eastAsia" w:ascii="仿宋" w:hAnsi="仿宋" w:eastAsia="仿宋" w:cs="仿宋"/>
          <w:color w:val="auto"/>
          <w:sz w:val="24"/>
          <w:szCs w:val="22"/>
          <w:highlight w:val="none"/>
        </w:rPr>
        <w:t>.2.3评分标准</w:t>
      </w:r>
    </w:p>
    <w:p w14:paraId="6B7018EB">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按招标文件中规定的评标方法和标准，对满足招标文件实质性要求评审的投标文件进行技术和商务评估，综合比较与评价。</w:t>
      </w:r>
    </w:p>
    <w:p w14:paraId="17B9539F">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（1）价格</w:t>
      </w:r>
      <w:r>
        <w:rPr>
          <w:rFonts w:hint="eastAsia" w:ascii="仿宋" w:hAnsi="仿宋" w:eastAsia="仿宋" w:cs="仿宋"/>
          <w:color w:val="auto"/>
          <w:sz w:val="24"/>
          <w:szCs w:val="22"/>
          <w:highlight w:val="none"/>
        </w:rPr>
        <w:t>部分评分标准：详见《评标方法前附表》；</w:t>
      </w:r>
    </w:p>
    <w:p w14:paraId="1B016E14">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lang w:val="en-US" w:eastAsia="zh-CN"/>
        </w:rPr>
        <w:t>2</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技术部分评分标准：详见《评标方法前附表》；</w:t>
      </w:r>
    </w:p>
    <w:p w14:paraId="13B3E1D6">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lang w:val="en-US" w:eastAsia="zh-CN"/>
        </w:rPr>
        <w:t>3</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商务部分评分标准：详见《评标方法前附表》。</w:t>
      </w:r>
    </w:p>
    <w:p w14:paraId="6F7AD8A6">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2"/>
          <w:highlight w:val="none"/>
        </w:rPr>
      </w:pPr>
      <w:bookmarkStart w:id="796" w:name="_Toc321836409"/>
      <w:bookmarkStart w:id="797" w:name="_Toc489145776"/>
      <w:bookmarkStart w:id="798" w:name="_Toc489197880"/>
      <w:bookmarkStart w:id="799" w:name="_Toc528186517"/>
      <w:bookmarkStart w:id="800" w:name="_Toc7817"/>
      <w:bookmarkStart w:id="801" w:name="_Toc7486"/>
      <w:bookmarkStart w:id="802" w:name="_Toc26720"/>
      <w:r>
        <w:rPr>
          <w:rFonts w:hint="eastAsia" w:ascii="仿宋" w:hAnsi="仿宋" w:eastAsia="仿宋" w:cs="仿宋"/>
          <w:color w:val="auto"/>
          <w:sz w:val="24"/>
          <w:szCs w:val="22"/>
          <w:highlight w:val="none"/>
          <w:lang w:eastAsia="zh-CN"/>
        </w:rPr>
        <w:t>4</w:t>
      </w:r>
      <w:r>
        <w:rPr>
          <w:rFonts w:hint="eastAsia" w:ascii="仿宋" w:hAnsi="仿宋" w:eastAsia="仿宋" w:cs="仿宋"/>
          <w:color w:val="auto"/>
          <w:sz w:val="24"/>
          <w:szCs w:val="22"/>
          <w:highlight w:val="none"/>
        </w:rPr>
        <w:t>.3</w:t>
      </w:r>
      <w:bookmarkEnd w:id="796"/>
      <w:bookmarkEnd w:id="797"/>
      <w:bookmarkEnd w:id="798"/>
      <w:r>
        <w:rPr>
          <w:rFonts w:hint="eastAsia" w:ascii="仿宋" w:hAnsi="仿宋" w:eastAsia="仿宋" w:cs="仿宋"/>
          <w:color w:val="auto"/>
          <w:sz w:val="24"/>
          <w:szCs w:val="22"/>
          <w:highlight w:val="none"/>
        </w:rPr>
        <w:t>综合比较与评价</w:t>
      </w:r>
      <w:bookmarkEnd w:id="799"/>
      <w:bookmarkEnd w:id="800"/>
      <w:bookmarkEnd w:id="801"/>
      <w:bookmarkEnd w:id="802"/>
    </w:p>
    <w:p w14:paraId="1FFCACCB">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4</w:t>
      </w:r>
      <w:r>
        <w:rPr>
          <w:rFonts w:hint="eastAsia" w:ascii="仿宋" w:hAnsi="仿宋" w:eastAsia="仿宋" w:cs="仿宋"/>
          <w:color w:val="auto"/>
          <w:sz w:val="24"/>
          <w:szCs w:val="22"/>
          <w:highlight w:val="none"/>
        </w:rPr>
        <w:t>.3.1评标委员会按本章</w:t>
      </w:r>
      <w:r>
        <w:rPr>
          <w:rFonts w:hint="eastAsia" w:ascii="仿宋" w:hAnsi="仿宋" w:eastAsia="仿宋" w:cs="仿宋"/>
          <w:color w:val="auto"/>
          <w:sz w:val="24"/>
          <w:szCs w:val="22"/>
          <w:highlight w:val="none"/>
          <w:lang w:eastAsia="zh-CN"/>
        </w:rPr>
        <w:t>4</w:t>
      </w:r>
      <w:r>
        <w:rPr>
          <w:rFonts w:hint="eastAsia" w:ascii="仿宋" w:hAnsi="仿宋" w:eastAsia="仿宋" w:cs="仿宋"/>
          <w:color w:val="auto"/>
          <w:sz w:val="24"/>
          <w:szCs w:val="22"/>
          <w:highlight w:val="none"/>
        </w:rPr>
        <w:t>.2.3规定的评分标准进行打分，并计算出投标人的评标总得分。对投标人的价格分等客观评分项的评分应当一致，对其他需要借助专业知识评判的主观评分项，应当严格按照评分细则公正评分。</w:t>
      </w:r>
    </w:p>
    <w:p w14:paraId="3FE73870">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w:t>
      </w:r>
      <w:r>
        <w:rPr>
          <w:rFonts w:hint="eastAsia" w:ascii="仿宋" w:hAnsi="仿宋" w:eastAsia="仿宋" w:cs="仿宋"/>
          <w:color w:val="auto"/>
          <w:sz w:val="24"/>
          <w:szCs w:val="22"/>
          <w:highlight w:val="none"/>
          <w:lang w:val="en-US" w:eastAsia="zh-CN"/>
        </w:rPr>
        <w:t>1</w:t>
      </w:r>
      <w:r>
        <w:rPr>
          <w:rFonts w:hint="eastAsia" w:ascii="仿宋" w:hAnsi="仿宋" w:eastAsia="仿宋" w:cs="仿宋"/>
          <w:color w:val="auto"/>
          <w:sz w:val="24"/>
          <w:szCs w:val="22"/>
          <w:highlight w:val="none"/>
        </w:rPr>
        <w:t>）按本章《评标方法前附表》的规定对</w:t>
      </w:r>
      <w:r>
        <w:rPr>
          <w:rFonts w:hint="eastAsia" w:ascii="仿宋" w:hAnsi="仿宋" w:eastAsia="仿宋" w:cs="仿宋"/>
          <w:color w:val="auto"/>
          <w:sz w:val="24"/>
          <w:szCs w:val="22"/>
          <w:highlight w:val="none"/>
          <w:lang w:val="en-US" w:eastAsia="zh-CN"/>
        </w:rPr>
        <w:t>价格</w:t>
      </w:r>
      <w:r>
        <w:rPr>
          <w:rFonts w:hint="eastAsia" w:ascii="仿宋" w:hAnsi="仿宋" w:eastAsia="仿宋" w:cs="仿宋"/>
          <w:color w:val="auto"/>
          <w:sz w:val="24"/>
          <w:szCs w:val="22"/>
          <w:highlight w:val="none"/>
        </w:rPr>
        <w:t>部分评分，得分F</w:t>
      </w:r>
      <w:r>
        <w:rPr>
          <w:rFonts w:hint="eastAsia" w:ascii="仿宋" w:hAnsi="仿宋" w:eastAsia="仿宋" w:cs="仿宋"/>
          <w:color w:val="auto"/>
          <w:sz w:val="24"/>
          <w:szCs w:val="22"/>
          <w:highlight w:val="none"/>
          <w:lang w:val="en-US" w:eastAsia="zh-CN"/>
        </w:rPr>
        <w:t>1</w:t>
      </w:r>
      <w:r>
        <w:rPr>
          <w:rFonts w:hint="eastAsia" w:ascii="仿宋" w:hAnsi="仿宋" w:eastAsia="仿宋" w:cs="仿宋"/>
          <w:color w:val="auto"/>
          <w:sz w:val="24"/>
          <w:szCs w:val="22"/>
          <w:highlight w:val="none"/>
        </w:rPr>
        <w:t>；</w:t>
      </w:r>
    </w:p>
    <w:p w14:paraId="2910936F">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lang w:val="en-US" w:eastAsia="zh-CN"/>
        </w:rPr>
        <w:t>2</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按本章《评标方法前附表》的规定对技术部分评分，得分F2；</w:t>
      </w:r>
    </w:p>
    <w:p w14:paraId="10F90511">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w:t>
      </w:r>
      <w:r>
        <w:rPr>
          <w:rFonts w:hint="eastAsia" w:ascii="仿宋" w:hAnsi="仿宋" w:eastAsia="仿宋" w:cs="仿宋"/>
          <w:color w:val="auto"/>
          <w:sz w:val="24"/>
          <w:szCs w:val="22"/>
          <w:highlight w:val="none"/>
          <w:lang w:val="en-US" w:eastAsia="zh-CN"/>
        </w:rPr>
        <w:t>3</w:t>
      </w:r>
      <w:r>
        <w:rPr>
          <w:rFonts w:hint="eastAsia" w:ascii="仿宋" w:hAnsi="仿宋" w:eastAsia="仿宋" w:cs="仿宋"/>
          <w:color w:val="auto"/>
          <w:sz w:val="24"/>
          <w:szCs w:val="22"/>
          <w:highlight w:val="none"/>
        </w:rPr>
        <w:t>）按本章《评标方法前附表》的规定对商务部分评分，得分F3；</w:t>
      </w:r>
    </w:p>
    <w:p w14:paraId="42A70C66">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w:t>
      </w:r>
      <w:r>
        <w:rPr>
          <w:rFonts w:hint="eastAsia" w:ascii="仿宋" w:hAnsi="仿宋" w:eastAsia="仿宋" w:cs="仿宋"/>
          <w:color w:val="auto"/>
          <w:sz w:val="24"/>
          <w:szCs w:val="22"/>
          <w:highlight w:val="none"/>
          <w:lang w:val="en-US" w:eastAsia="zh-CN"/>
        </w:rPr>
        <w:t>4</w:t>
      </w:r>
      <w:r>
        <w:rPr>
          <w:rFonts w:hint="eastAsia" w:ascii="仿宋" w:hAnsi="仿宋" w:eastAsia="仿宋" w:cs="仿宋"/>
          <w:color w:val="auto"/>
          <w:sz w:val="24"/>
          <w:szCs w:val="22"/>
          <w:highlight w:val="none"/>
        </w:rPr>
        <w:t>）按本章《评标方法前附表》的规定计算评标总得分。</w:t>
      </w:r>
    </w:p>
    <w:p w14:paraId="6F7A74CE">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4</w:t>
      </w:r>
      <w:r>
        <w:rPr>
          <w:rFonts w:hint="eastAsia" w:ascii="仿宋" w:hAnsi="仿宋" w:eastAsia="仿宋" w:cs="仿宋"/>
          <w:color w:val="auto"/>
          <w:sz w:val="24"/>
          <w:szCs w:val="22"/>
          <w:highlight w:val="none"/>
        </w:rPr>
        <w:t>.3.2</w:t>
      </w:r>
      <w:r>
        <w:rPr>
          <w:rFonts w:hint="eastAsia" w:ascii="仿宋" w:hAnsi="仿宋" w:eastAsia="仿宋" w:cs="仿宋"/>
          <w:color w:val="auto"/>
          <w:sz w:val="24"/>
          <w:szCs w:val="22"/>
          <w:highlight w:val="none"/>
          <w:lang w:val="en-US" w:eastAsia="zh-CN"/>
        </w:rPr>
        <w:t>价格</w:t>
      </w:r>
      <w:r>
        <w:rPr>
          <w:rFonts w:hint="eastAsia" w:ascii="仿宋" w:hAnsi="仿宋" w:eastAsia="仿宋" w:cs="仿宋"/>
          <w:color w:val="auto"/>
          <w:sz w:val="24"/>
          <w:szCs w:val="22"/>
          <w:highlight w:val="none"/>
        </w:rPr>
        <w:t>部分（F</w:t>
      </w:r>
      <w:r>
        <w:rPr>
          <w:rFonts w:hint="eastAsia" w:ascii="仿宋" w:hAnsi="仿宋" w:eastAsia="仿宋" w:cs="仿宋"/>
          <w:color w:val="auto"/>
          <w:sz w:val="24"/>
          <w:szCs w:val="22"/>
          <w:highlight w:val="none"/>
          <w:lang w:val="en-US" w:eastAsia="zh-CN"/>
        </w:rPr>
        <w:t>1</w:t>
      </w:r>
      <w:r>
        <w:rPr>
          <w:rFonts w:hint="eastAsia" w:ascii="仿宋" w:hAnsi="仿宋" w:eastAsia="仿宋" w:cs="仿宋"/>
          <w:color w:val="auto"/>
          <w:sz w:val="24"/>
          <w:szCs w:val="22"/>
          <w:highlight w:val="none"/>
        </w:rPr>
        <w:t>）</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rPr>
        <w:t>技术部分（F2）</w:t>
      </w:r>
      <w:r>
        <w:rPr>
          <w:rFonts w:hint="eastAsia" w:ascii="仿宋" w:hAnsi="仿宋" w:eastAsia="仿宋" w:cs="仿宋"/>
          <w:color w:val="auto"/>
          <w:sz w:val="24"/>
          <w:szCs w:val="22"/>
          <w:highlight w:val="none"/>
          <w:lang w:val="en-US" w:eastAsia="zh-CN"/>
        </w:rPr>
        <w:t>及</w:t>
      </w:r>
      <w:r>
        <w:rPr>
          <w:rFonts w:hint="eastAsia" w:ascii="仿宋" w:hAnsi="仿宋" w:eastAsia="仿宋" w:cs="仿宋"/>
          <w:color w:val="auto"/>
          <w:sz w:val="24"/>
          <w:szCs w:val="22"/>
          <w:highlight w:val="none"/>
        </w:rPr>
        <w:t>商务部分（F3）得分由评标委员会成员独立评分，投标人各项评分因素得分为该项因素各评委评分的算术平均值（保留小数点后两位），小数点后第三位“四舍五入”。</w:t>
      </w:r>
    </w:p>
    <w:p w14:paraId="295BE178">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4</w:t>
      </w:r>
      <w:r>
        <w:rPr>
          <w:rFonts w:hint="eastAsia" w:ascii="仿宋" w:hAnsi="仿宋" w:eastAsia="仿宋" w:cs="仿宋"/>
          <w:color w:val="auto"/>
          <w:sz w:val="24"/>
          <w:szCs w:val="22"/>
          <w:highlight w:val="none"/>
        </w:rPr>
        <w:t>.3.3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15D8C326">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2"/>
          <w:highlight w:val="none"/>
        </w:rPr>
      </w:pPr>
      <w:bookmarkStart w:id="803" w:name="_Toc489145777"/>
      <w:bookmarkStart w:id="804" w:name="_Toc528186518"/>
      <w:bookmarkStart w:id="805" w:name="_Toc31390"/>
      <w:bookmarkStart w:id="806" w:name="_Toc1893"/>
      <w:bookmarkStart w:id="807" w:name="_Toc321836412"/>
      <w:bookmarkStart w:id="808" w:name="_Toc21642"/>
      <w:bookmarkStart w:id="809" w:name="_Toc489197881"/>
      <w:r>
        <w:rPr>
          <w:rFonts w:hint="eastAsia" w:ascii="仿宋" w:hAnsi="仿宋" w:eastAsia="仿宋" w:cs="仿宋"/>
          <w:color w:val="auto"/>
          <w:sz w:val="24"/>
          <w:szCs w:val="22"/>
          <w:highlight w:val="none"/>
          <w:lang w:eastAsia="zh-CN"/>
        </w:rPr>
        <w:t>4</w:t>
      </w:r>
      <w:r>
        <w:rPr>
          <w:rFonts w:hint="eastAsia" w:ascii="仿宋" w:hAnsi="仿宋" w:eastAsia="仿宋" w:cs="仿宋"/>
          <w:color w:val="auto"/>
          <w:sz w:val="24"/>
          <w:szCs w:val="22"/>
          <w:highlight w:val="none"/>
        </w:rPr>
        <w:t>.4投标文件的澄清</w:t>
      </w:r>
      <w:bookmarkEnd w:id="803"/>
      <w:bookmarkEnd w:id="804"/>
      <w:bookmarkEnd w:id="805"/>
      <w:bookmarkEnd w:id="806"/>
      <w:bookmarkEnd w:id="807"/>
      <w:bookmarkEnd w:id="808"/>
      <w:bookmarkEnd w:id="809"/>
    </w:p>
    <w:p w14:paraId="4B59751A">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4</w:t>
      </w:r>
      <w:r>
        <w:rPr>
          <w:rFonts w:hint="eastAsia" w:ascii="仿宋" w:hAnsi="仿宋" w:eastAsia="仿宋" w:cs="仿宋"/>
          <w:color w:val="auto"/>
          <w:sz w:val="24"/>
          <w:szCs w:val="22"/>
          <w:highlight w:val="none"/>
        </w:rPr>
        <w:t>.4.1投标文件中出现含义不明确、同类问题表述不一致或者有明显文字和计算错误的内容，评标委员会将以书面形式要求投标人作出必要的澄清、说明或者补正。投标人的澄清、说明或者补正应当采用书面形式，并加盖公章，或者由</w:t>
      </w:r>
      <w:r>
        <w:rPr>
          <w:rFonts w:hint="eastAsia" w:ascii="仿宋" w:hAnsi="仿宋" w:eastAsia="仿宋" w:cs="仿宋"/>
          <w:color w:val="auto"/>
          <w:sz w:val="24"/>
          <w:szCs w:val="22"/>
          <w:highlight w:val="none"/>
          <w:lang w:eastAsia="zh-CN"/>
        </w:rPr>
        <w:t>法定代表人（负责人）</w:t>
      </w:r>
      <w:r>
        <w:rPr>
          <w:rFonts w:hint="eastAsia" w:ascii="仿宋" w:hAnsi="仿宋" w:eastAsia="仿宋" w:cs="仿宋"/>
          <w:color w:val="auto"/>
          <w:sz w:val="24"/>
          <w:szCs w:val="22"/>
          <w:highlight w:val="none"/>
        </w:rPr>
        <w:t>或其授权的代表签字。投标人的澄清、说明或者补正不得超出投标文件的范围或者改变投标文件的实质性内容。</w:t>
      </w:r>
    </w:p>
    <w:p w14:paraId="2680AFCE">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4</w:t>
      </w:r>
      <w:r>
        <w:rPr>
          <w:rFonts w:hint="eastAsia" w:ascii="仿宋" w:hAnsi="仿宋" w:eastAsia="仿宋" w:cs="仿宋"/>
          <w:color w:val="auto"/>
          <w:sz w:val="24"/>
          <w:szCs w:val="22"/>
          <w:highlight w:val="none"/>
        </w:rPr>
        <w:t>.4.2评标委员会不接受投标人主动提出的澄清、说明或者补正。</w:t>
      </w:r>
    </w:p>
    <w:p w14:paraId="381B49AA">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4</w:t>
      </w:r>
      <w:r>
        <w:rPr>
          <w:rFonts w:hint="eastAsia" w:ascii="仿宋" w:hAnsi="仿宋" w:eastAsia="仿宋" w:cs="仿宋"/>
          <w:color w:val="auto"/>
          <w:sz w:val="24"/>
          <w:szCs w:val="22"/>
          <w:highlight w:val="none"/>
        </w:rPr>
        <w:t>.4.3评标委员会对投标人提交的澄清、说明或者补正有疑问的，可以要求投标人进一步澄清、说明或者补正。</w:t>
      </w:r>
    </w:p>
    <w:p w14:paraId="4EC70CB6">
      <w:pPr>
        <w:pStyle w:val="4"/>
        <w:keepNext/>
        <w:keepLines/>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仿宋" w:hAnsi="仿宋" w:eastAsia="仿宋" w:cs="仿宋"/>
          <w:color w:val="auto"/>
          <w:sz w:val="24"/>
          <w:szCs w:val="22"/>
          <w:highlight w:val="none"/>
        </w:rPr>
      </w:pPr>
      <w:bookmarkStart w:id="810" w:name="_Toc489197882"/>
      <w:bookmarkStart w:id="811" w:name="_Toc13737"/>
      <w:bookmarkStart w:id="812" w:name="_Toc489145778"/>
      <w:bookmarkStart w:id="813" w:name="_Toc18892"/>
      <w:bookmarkStart w:id="814" w:name="_Toc321836413"/>
      <w:bookmarkStart w:id="815" w:name="_Toc12088"/>
      <w:bookmarkStart w:id="816" w:name="_Toc528186519"/>
      <w:r>
        <w:rPr>
          <w:rFonts w:hint="eastAsia" w:ascii="仿宋" w:hAnsi="仿宋" w:eastAsia="仿宋" w:cs="仿宋"/>
          <w:color w:val="auto"/>
          <w:sz w:val="24"/>
          <w:szCs w:val="22"/>
          <w:highlight w:val="none"/>
          <w:lang w:eastAsia="zh-CN"/>
        </w:rPr>
        <w:t>4</w:t>
      </w:r>
      <w:r>
        <w:rPr>
          <w:rFonts w:hint="eastAsia" w:ascii="仿宋" w:hAnsi="仿宋" w:eastAsia="仿宋" w:cs="仿宋"/>
          <w:color w:val="auto"/>
          <w:sz w:val="24"/>
          <w:szCs w:val="22"/>
          <w:highlight w:val="none"/>
        </w:rPr>
        <w:t>.5评标结果</w:t>
      </w:r>
      <w:bookmarkEnd w:id="810"/>
      <w:bookmarkEnd w:id="811"/>
      <w:bookmarkEnd w:id="812"/>
      <w:bookmarkEnd w:id="813"/>
      <w:bookmarkEnd w:id="814"/>
      <w:bookmarkEnd w:id="815"/>
      <w:bookmarkEnd w:id="816"/>
    </w:p>
    <w:p w14:paraId="2F138DFA">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4</w:t>
      </w:r>
      <w:r>
        <w:rPr>
          <w:rFonts w:hint="eastAsia" w:ascii="仿宋" w:hAnsi="仿宋" w:eastAsia="仿宋" w:cs="仿宋"/>
          <w:color w:val="auto"/>
          <w:sz w:val="24"/>
          <w:szCs w:val="22"/>
          <w:highlight w:val="none"/>
        </w:rPr>
        <w:t>.5.1本评标委员会对满足招标文件实质性要求的投标文件，按照本章前附表规定的评分标准进行打分，并按上述评标总得分计算公式计算评标总得分，按评标总得分由高到低的顺序推荐中标候选人排序；评标总得分相等时，按投标报价由低到</w:t>
      </w:r>
      <w:r>
        <w:rPr>
          <w:rFonts w:hint="eastAsia" w:ascii="仿宋" w:hAnsi="仿宋" w:eastAsia="仿宋" w:cs="仿宋"/>
          <w:color w:val="auto"/>
          <w:sz w:val="24"/>
          <w:szCs w:val="22"/>
          <w:highlight w:val="none"/>
          <w:lang w:eastAsia="zh-CN"/>
        </w:rPr>
        <w:t>高的</w:t>
      </w:r>
      <w:r>
        <w:rPr>
          <w:rFonts w:hint="eastAsia" w:ascii="仿宋" w:hAnsi="仿宋" w:eastAsia="仿宋" w:cs="仿宋"/>
          <w:color w:val="auto"/>
          <w:sz w:val="24"/>
          <w:szCs w:val="22"/>
          <w:highlight w:val="none"/>
        </w:rPr>
        <w:t>顺序排列</w:t>
      </w:r>
      <w:r>
        <w:rPr>
          <w:rFonts w:hint="eastAsia" w:ascii="仿宋" w:hAnsi="仿宋" w:eastAsia="仿宋" w:cs="仿宋"/>
          <w:color w:val="auto"/>
          <w:sz w:val="24"/>
          <w:szCs w:val="22"/>
          <w:highlight w:val="none"/>
          <w:lang w:eastAsia="zh-CN"/>
        </w:rPr>
        <w:t>，评审得分且</w:t>
      </w:r>
      <w:r>
        <w:rPr>
          <w:rFonts w:hint="eastAsia" w:ascii="仿宋" w:hAnsi="仿宋" w:eastAsia="仿宋" w:cs="仿宋"/>
          <w:color w:val="auto"/>
          <w:sz w:val="24"/>
          <w:szCs w:val="22"/>
          <w:highlight w:val="none"/>
          <w:lang w:val="en-US" w:eastAsia="zh-CN"/>
        </w:rPr>
        <w:t>投标</w:t>
      </w:r>
      <w:r>
        <w:rPr>
          <w:rFonts w:hint="eastAsia" w:ascii="仿宋" w:hAnsi="仿宋" w:eastAsia="仿宋" w:cs="仿宋"/>
          <w:color w:val="auto"/>
          <w:sz w:val="24"/>
          <w:szCs w:val="22"/>
          <w:highlight w:val="none"/>
          <w:lang w:eastAsia="zh-CN"/>
        </w:rPr>
        <w:t>报价相同</w:t>
      </w:r>
      <w:r>
        <w:rPr>
          <w:rFonts w:hint="eastAsia" w:ascii="仿宋" w:hAnsi="仿宋" w:eastAsia="仿宋" w:cs="仿宋"/>
          <w:color w:val="auto"/>
          <w:sz w:val="24"/>
          <w:szCs w:val="22"/>
          <w:highlight w:val="none"/>
          <w:lang w:val="en-US" w:eastAsia="zh-CN"/>
        </w:rPr>
        <w:t>时</w:t>
      </w:r>
      <w:r>
        <w:rPr>
          <w:rFonts w:hint="eastAsia" w:ascii="仿宋" w:hAnsi="仿宋" w:eastAsia="仿宋" w:cs="仿宋"/>
          <w:color w:val="auto"/>
          <w:sz w:val="24"/>
          <w:szCs w:val="22"/>
          <w:highlight w:val="none"/>
          <w:lang w:eastAsia="zh-CN"/>
        </w:rPr>
        <w:t>，按照评审因素的量化指标优劣顺序推荐</w:t>
      </w:r>
      <w:r>
        <w:rPr>
          <w:rFonts w:hint="eastAsia" w:ascii="仿宋" w:hAnsi="仿宋" w:eastAsia="仿宋" w:cs="仿宋"/>
          <w:color w:val="auto"/>
          <w:sz w:val="24"/>
          <w:szCs w:val="22"/>
          <w:highlight w:val="none"/>
        </w:rPr>
        <w:t>中标候选人排列；若以上政府采购政策的顺序排列相等，则评标委员会采取举手表决的方式推荐</w:t>
      </w:r>
      <w:r>
        <w:rPr>
          <w:rFonts w:hint="eastAsia" w:ascii="仿宋" w:hAnsi="仿宋" w:eastAsia="仿宋" w:cs="仿宋"/>
          <w:color w:val="auto"/>
          <w:sz w:val="24"/>
          <w:szCs w:val="22"/>
          <w:highlight w:val="none"/>
          <w:lang w:val="en-US" w:eastAsia="zh-CN"/>
        </w:rPr>
        <w:t>中标</w:t>
      </w:r>
      <w:r>
        <w:rPr>
          <w:rFonts w:hint="eastAsia" w:ascii="仿宋" w:hAnsi="仿宋" w:eastAsia="仿宋" w:cs="仿宋"/>
          <w:color w:val="auto"/>
          <w:sz w:val="24"/>
          <w:szCs w:val="22"/>
          <w:highlight w:val="none"/>
        </w:rPr>
        <w:t>候选人。</w:t>
      </w:r>
    </w:p>
    <w:p w14:paraId="0F0B6A3E">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eastAsia="zh-CN"/>
        </w:rPr>
        <w:t>4</w:t>
      </w:r>
      <w:r>
        <w:rPr>
          <w:rFonts w:hint="eastAsia" w:ascii="仿宋" w:hAnsi="仿宋" w:eastAsia="仿宋" w:cs="仿宋"/>
          <w:color w:val="auto"/>
          <w:sz w:val="24"/>
          <w:szCs w:val="22"/>
          <w:highlight w:val="none"/>
        </w:rPr>
        <w:t>.5.2</w:t>
      </w:r>
      <w:r>
        <w:rPr>
          <w:rFonts w:hint="eastAsia" w:ascii="仿宋" w:hAnsi="仿宋" w:eastAsia="仿宋" w:cs="仿宋"/>
          <w:color w:val="auto"/>
          <w:sz w:val="24"/>
          <w:szCs w:val="22"/>
          <w:highlight w:val="none"/>
          <w:lang w:eastAsia="zh-CN"/>
        </w:rPr>
        <w:t>招标人</w:t>
      </w:r>
      <w:r>
        <w:rPr>
          <w:rFonts w:hint="eastAsia" w:ascii="仿宋" w:hAnsi="仿宋" w:eastAsia="仿宋" w:cs="仿宋"/>
          <w:color w:val="auto"/>
          <w:sz w:val="24"/>
          <w:szCs w:val="22"/>
          <w:highlight w:val="none"/>
        </w:rPr>
        <w:t>根据评标委员会提出的书面评标报告和推荐的中标候选人名单，确定中标人。</w:t>
      </w:r>
    </w:p>
    <w:p w14:paraId="77158977">
      <w:pPr>
        <w:pageBreakBefore w:val="0"/>
        <w:shd w:val="clear"/>
        <w:topLinePunct w:val="0"/>
        <w:bidi w:val="0"/>
        <w:spacing w:beforeAutospacing="0" w:afterAutospacing="0" w:line="360" w:lineRule="auto"/>
        <w:ind w:left="0" w:leftChars="0" w:right="0" w:rightChars="0" w:firstLine="480" w:firstLineChars="200"/>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4</w:t>
      </w:r>
      <w:r>
        <w:rPr>
          <w:rFonts w:hint="eastAsia" w:ascii="仿宋" w:hAnsi="仿宋" w:eastAsia="仿宋" w:cs="仿宋"/>
          <w:color w:val="auto"/>
          <w:sz w:val="24"/>
          <w:szCs w:val="22"/>
          <w:highlight w:val="none"/>
        </w:rPr>
        <w:t>.5.3评标委员会发现招标文件存在歧义、重大缺陷导致评标工作无法进行，或者招标文件内容违反国家有关强制性规定的，应当停止评标工作，与</w:t>
      </w:r>
      <w:r>
        <w:rPr>
          <w:rFonts w:hint="eastAsia" w:ascii="仿宋" w:hAnsi="仿宋" w:eastAsia="仿宋" w:cs="仿宋"/>
          <w:color w:val="auto"/>
          <w:sz w:val="24"/>
          <w:szCs w:val="22"/>
          <w:highlight w:val="none"/>
          <w:lang w:eastAsia="zh-CN"/>
        </w:rPr>
        <w:t>招标人</w:t>
      </w:r>
      <w:r>
        <w:rPr>
          <w:rFonts w:hint="eastAsia" w:ascii="仿宋" w:hAnsi="仿宋" w:eastAsia="仿宋" w:cs="仿宋"/>
          <w:color w:val="auto"/>
          <w:sz w:val="24"/>
          <w:szCs w:val="22"/>
          <w:highlight w:val="none"/>
        </w:rPr>
        <w:t>或者</w:t>
      </w:r>
      <w:r>
        <w:rPr>
          <w:rFonts w:hint="eastAsia" w:ascii="仿宋" w:hAnsi="仿宋" w:eastAsia="仿宋" w:cs="仿宋"/>
          <w:color w:val="auto"/>
          <w:sz w:val="24"/>
          <w:szCs w:val="22"/>
          <w:highlight w:val="none"/>
          <w:lang w:eastAsia="zh-CN"/>
        </w:rPr>
        <w:t>采购代理机构</w:t>
      </w:r>
      <w:r>
        <w:rPr>
          <w:rFonts w:hint="eastAsia" w:ascii="仿宋" w:hAnsi="仿宋" w:eastAsia="仿宋" w:cs="仿宋"/>
          <w:color w:val="auto"/>
          <w:sz w:val="24"/>
          <w:szCs w:val="22"/>
          <w:highlight w:val="none"/>
        </w:rPr>
        <w:t>沟通并作书面记录。</w:t>
      </w:r>
      <w:r>
        <w:rPr>
          <w:rFonts w:hint="eastAsia" w:ascii="仿宋" w:hAnsi="仿宋" w:eastAsia="仿宋" w:cs="仿宋"/>
          <w:color w:val="auto"/>
          <w:sz w:val="24"/>
          <w:szCs w:val="22"/>
          <w:highlight w:val="none"/>
          <w:lang w:eastAsia="zh-CN"/>
        </w:rPr>
        <w:t>招标人</w:t>
      </w:r>
      <w:r>
        <w:rPr>
          <w:rFonts w:hint="eastAsia" w:ascii="仿宋" w:hAnsi="仿宋" w:eastAsia="仿宋" w:cs="仿宋"/>
          <w:color w:val="auto"/>
          <w:sz w:val="24"/>
          <w:szCs w:val="22"/>
          <w:highlight w:val="none"/>
        </w:rPr>
        <w:t>或者</w:t>
      </w:r>
      <w:r>
        <w:rPr>
          <w:rFonts w:hint="eastAsia" w:ascii="仿宋" w:hAnsi="仿宋" w:eastAsia="仿宋" w:cs="仿宋"/>
          <w:color w:val="auto"/>
          <w:sz w:val="24"/>
          <w:szCs w:val="22"/>
          <w:highlight w:val="none"/>
          <w:lang w:eastAsia="zh-CN"/>
        </w:rPr>
        <w:t>采购代理机构</w:t>
      </w:r>
      <w:r>
        <w:rPr>
          <w:rFonts w:hint="eastAsia" w:ascii="仿宋" w:hAnsi="仿宋" w:eastAsia="仿宋" w:cs="仿宋"/>
          <w:color w:val="auto"/>
          <w:sz w:val="24"/>
          <w:szCs w:val="22"/>
          <w:highlight w:val="none"/>
        </w:rPr>
        <w:t>确认后，应当修改招标文件，重新组织采购活动。</w:t>
      </w:r>
      <w:bookmarkEnd w:id="786"/>
      <w:bookmarkEnd w:id="787"/>
      <w:bookmarkEnd w:id="788"/>
    </w:p>
    <w:sectPr>
      <w:headerReference r:id="rId7" w:type="default"/>
      <w:pgSz w:w="11906" w:h="16838"/>
      <w:pgMar w:top="1134" w:right="1417" w:bottom="1417" w:left="1417" w:header="567" w:footer="56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ti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ingfang sc">
    <w:altName w:val="宋体"/>
    <w:panose1 w:val="020B0400000000000000"/>
    <w:charset w:val="86"/>
    <w:family w:val="auto"/>
    <w:pitch w:val="default"/>
    <w:sig w:usb0="00000000" w:usb1="00000000" w:usb2="00000017" w:usb3="00000000" w:csb0="00040001" w:csb1="00000000"/>
  </w:font>
  <w:font w:name="等线">
    <w:panose1 w:val="02010600030101010101"/>
    <w:charset w:val="86"/>
    <w:family w:val="auto"/>
    <w:pitch w:val="default"/>
    <w:sig w:usb0="A00002BF" w:usb1="38CF7CFA" w:usb2="00000016" w:usb3="00000000" w:csb0="0004000F" w:csb1="00000000"/>
  </w:font>
  <w:font w:name="宋体-简">
    <w:altName w:val="宋体"/>
    <w:panose1 w:val="0201080004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1F439">
    <w:pPr>
      <w:pStyle w:val="16"/>
      <w:jc w:val="center"/>
    </w:pPr>
  </w:p>
  <w:p w14:paraId="537E95B9">
    <w:pPr>
      <w:pStyle w:val="16"/>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88D8D">
    <w:pPr>
      <w:pStyle w:val="16"/>
      <w:rPr>
        <w:sz w:val="28"/>
        <w:szCs w:val="28"/>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D3946">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33D3946">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ascii="仿宋_GB2312" w:eastAsia="仿宋_GB2312"/>
        <w:b/>
        <w:bCs/>
        <w:color w:val="000000"/>
        <w:sz w:val="32"/>
        <w:szCs w:val="32"/>
      </w:rPr>
      <w:drawing>
        <wp:inline distT="0" distB="0" distL="0" distR="0">
          <wp:extent cx="2714625" cy="514350"/>
          <wp:effectExtent l="0" t="0" r="9525" b="0"/>
          <wp:docPr id="1" name="图片 1" descr="蓝本全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蓝本全称-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14625" cy="51435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EDBED">
    <w:pPr>
      <w:pStyle w:val="16"/>
      <w:jc w:val="both"/>
      <w:rPr>
        <w:sz w:val="28"/>
        <w:szCs w:val="28"/>
      </w:rPr>
    </w:pPr>
    <w:r>
      <w:rPr>
        <w:sz w:val="32"/>
      </w:rPr>
      <mc:AlternateContent>
        <mc:Choice Requires="wps">
          <w:drawing>
            <wp:anchor distT="0" distB="0" distL="114300" distR="114300" simplePos="0" relativeHeight="251661312" behindDoc="0" locked="0" layoutInCell="1" allowOverlap="1">
              <wp:simplePos x="0" y="0"/>
              <wp:positionH relativeFrom="margin">
                <wp:posOffset>3340100</wp:posOffset>
              </wp:positionH>
              <wp:positionV relativeFrom="paragraph">
                <wp:posOffset>212090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33743">
                          <w:pPr>
                            <w:pStyle w:val="16"/>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63pt;margin-top:16.7pt;height:144pt;width:144pt;mso-position-horizontal-relative:margin;mso-wrap-style:none;z-index:251661312;mso-width-relative:page;mso-height-relative:page;" filled="f" stroked="f" coordsize="21600,21600" o:gfxdata="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PQa5aF&#10;rd5ZHqGjeN6ujgECtrpGUToleq3QbW1l+smI7fznvo16+hs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XJSkP1gAAAAoBAAAPAAAAAAAAAAEAIAAAACIAAABkcnMvZG93bnJldi54bWxQSwECFAAU&#10;AAAACACHTuJAr2PYMCwCAABVBAAADgAAAAAAAAABACAAAAAlAQAAZHJzL2Uyb0RvYy54bWxQSwUG&#10;AAAAAAYABgBZAQAAwwUAAAAA&#10;">
              <v:fill on="f" focussize="0,0"/>
              <v:stroke on="f" weight="0.5pt"/>
              <v:imagedata o:title=""/>
              <o:lock v:ext="edit" aspectratio="f"/>
              <v:textbox inset="0mm,0mm,0mm,0mm" style="mso-fit-shape-to-text:t;">
                <w:txbxContent>
                  <w:p w14:paraId="37033743">
                    <w:pPr>
                      <w:pStyle w:val="16"/>
                    </w:pPr>
                    <w:r>
                      <w:fldChar w:fldCharType="begin"/>
                    </w:r>
                    <w:r>
                      <w:instrText xml:space="preserve"> PAGE  \* MERGEFORMAT </w:instrText>
                    </w:r>
                    <w:r>
                      <w:fldChar w:fldCharType="separate"/>
                    </w:r>
                    <w:r>
                      <w:t>76</w:t>
                    </w:r>
                    <w:r>
                      <w:fldChar w:fldCharType="end"/>
                    </w:r>
                  </w:p>
                </w:txbxContent>
              </v:textbox>
            </v:shape>
          </w:pict>
        </mc:Fallback>
      </mc:AlternateContent>
    </w:r>
    <w:r>
      <w:rPr>
        <w:rFonts w:ascii="仿宋_GB2312" w:eastAsia="仿宋_GB2312"/>
        <w:b/>
        <w:bCs/>
        <w:color w:val="000000"/>
        <w:sz w:val="32"/>
        <w:szCs w:val="32"/>
      </w:rPr>
      <w:drawing>
        <wp:inline distT="0" distB="0" distL="0" distR="0">
          <wp:extent cx="2714625" cy="514350"/>
          <wp:effectExtent l="0" t="0" r="9525" b="0"/>
          <wp:docPr id="2" name="图片 2" descr="蓝本全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蓝本全称-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14625" cy="51435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FC882">
    <w:pPr>
      <w:pStyle w:val="18"/>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pPr>
    <w:r>
      <w:rPr>
        <w:rFonts w:hint="eastAsia" w:ascii="仿宋" w:hAnsi="仿宋" w:eastAsia="仿宋"/>
        <w:sz w:val="21"/>
        <w:szCs w:val="21"/>
        <w:lang w:val="en-US" w:eastAsia="zh-CN"/>
      </w:rPr>
      <w:t>丽江职业技术学院教学设备更新提升项目新能源汽车“三电”技术实训中心建设项目</w:t>
    </w:r>
    <w:r>
      <w:rPr>
        <w:rFonts w:hint="eastAsia" w:ascii="仿宋" w:hAnsi="仿宋" w:eastAsia="仿宋"/>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61D8">
    <w:pPr>
      <w:pStyle w:val="18"/>
    </w:pPr>
    <w:r>
      <w:rPr>
        <w:rFonts w:hint="eastAsia" w:ascii="仿宋" w:hAnsi="仿宋" w:eastAsia="仿宋"/>
        <w:sz w:val="21"/>
        <w:szCs w:val="21"/>
        <w:lang w:val="en-US" w:eastAsia="zh-CN"/>
      </w:rPr>
      <w:t>丽江职业技术学院教学设备更新提升项目新能源汽车“三电”技术实训中心建设项目</w:t>
    </w:r>
    <w:r>
      <w:rPr>
        <w:rFonts w:hint="eastAsia" w:ascii="仿宋" w:hAnsi="仿宋" w:eastAsia="仿宋"/>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E250D"/>
    <w:multiLevelType w:val="singleLevel"/>
    <w:tmpl w:val="8B7E250D"/>
    <w:lvl w:ilvl="0" w:tentative="0">
      <w:start w:val="1"/>
      <w:numFmt w:val="bullet"/>
      <w:lvlText w:val=""/>
      <w:lvlJc w:val="left"/>
      <w:pPr>
        <w:ind w:left="420" w:hanging="420"/>
      </w:pPr>
      <w:rPr>
        <w:rFonts w:hint="default" w:ascii="Wingdings" w:hAnsi="Wingdings"/>
        <w:sz w:val="15"/>
        <w:szCs w:val="15"/>
      </w:rPr>
    </w:lvl>
  </w:abstractNum>
  <w:abstractNum w:abstractNumId="1">
    <w:nsid w:val="8C5F363D"/>
    <w:multiLevelType w:val="multilevel"/>
    <w:tmpl w:val="8C5F363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8D5DF99A"/>
    <w:multiLevelType w:val="singleLevel"/>
    <w:tmpl w:val="8D5DF99A"/>
    <w:lvl w:ilvl="0" w:tentative="0">
      <w:start w:val="1"/>
      <w:numFmt w:val="decimal"/>
      <w:lvlText w:val="%1."/>
      <w:lvlJc w:val="left"/>
      <w:pPr>
        <w:ind w:left="425" w:hanging="425"/>
      </w:pPr>
      <w:rPr>
        <w:rFonts w:hint="default"/>
      </w:rPr>
    </w:lvl>
  </w:abstractNum>
  <w:abstractNum w:abstractNumId="3">
    <w:nsid w:val="8F949EBB"/>
    <w:multiLevelType w:val="singleLevel"/>
    <w:tmpl w:val="8F949EBB"/>
    <w:lvl w:ilvl="0" w:tentative="0">
      <w:start w:val="1"/>
      <w:numFmt w:val="chineseCounting"/>
      <w:suff w:val="nothing"/>
      <w:lvlText w:val="%1、"/>
      <w:lvlJc w:val="left"/>
      <w:rPr>
        <w:rFonts w:hint="eastAsia"/>
      </w:rPr>
    </w:lvl>
  </w:abstractNum>
  <w:abstractNum w:abstractNumId="4">
    <w:nsid w:val="91736839"/>
    <w:multiLevelType w:val="singleLevel"/>
    <w:tmpl w:val="91736839"/>
    <w:lvl w:ilvl="0" w:tentative="0">
      <w:start w:val="1"/>
      <w:numFmt w:val="decimal"/>
      <w:lvlText w:val="%1."/>
      <w:lvlJc w:val="left"/>
      <w:pPr>
        <w:ind w:left="425" w:hanging="425"/>
      </w:pPr>
      <w:rPr>
        <w:rFonts w:hint="default"/>
      </w:rPr>
    </w:lvl>
  </w:abstractNum>
  <w:abstractNum w:abstractNumId="5">
    <w:nsid w:val="94941EBB"/>
    <w:multiLevelType w:val="multilevel"/>
    <w:tmpl w:val="94941EB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A1090B62"/>
    <w:multiLevelType w:val="singleLevel"/>
    <w:tmpl w:val="A1090B62"/>
    <w:lvl w:ilvl="0" w:tentative="0">
      <w:start w:val="1"/>
      <w:numFmt w:val="chineseCounting"/>
      <w:suff w:val="nothing"/>
      <w:lvlText w:val="%1、"/>
      <w:lvlJc w:val="left"/>
      <w:rPr>
        <w:rFonts w:hint="eastAsia"/>
      </w:rPr>
    </w:lvl>
  </w:abstractNum>
  <w:abstractNum w:abstractNumId="7">
    <w:nsid w:val="A3BD156F"/>
    <w:multiLevelType w:val="singleLevel"/>
    <w:tmpl w:val="A3BD156F"/>
    <w:lvl w:ilvl="0" w:tentative="0">
      <w:start w:val="1"/>
      <w:numFmt w:val="decimal"/>
      <w:lvlText w:val="%1."/>
      <w:lvlJc w:val="left"/>
      <w:pPr>
        <w:ind w:left="425" w:hanging="425"/>
      </w:pPr>
      <w:rPr>
        <w:rFonts w:hint="default"/>
      </w:rPr>
    </w:lvl>
  </w:abstractNum>
  <w:abstractNum w:abstractNumId="8">
    <w:nsid w:val="ACEA9600"/>
    <w:multiLevelType w:val="singleLevel"/>
    <w:tmpl w:val="ACEA9600"/>
    <w:lvl w:ilvl="0" w:tentative="0">
      <w:start w:val="1"/>
      <w:numFmt w:val="decimal"/>
      <w:lvlText w:val="%1."/>
      <w:lvlJc w:val="left"/>
      <w:pPr>
        <w:ind w:left="425" w:hanging="425"/>
      </w:pPr>
      <w:rPr>
        <w:rFonts w:hint="default"/>
      </w:rPr>
    </w:lvl>
  </w:abstractNum>
  <w:abstractNum w:abstractNumId="9">
    <w:nsid w:val="B3AA43B4"/>
    <w:multiLevelType w:val="singleLevel"/>
    <w:tmpl w:val="B3AA43B4"/>
    <w:lvl w:ilvl="0" w:tentative="0">
      <w:start w:val="1"/>
      <w:numFmt w:val="decimal"/>
      <w:suff w:val="nothing"/>
      <w:lvlText w:val="（%1）"/>
      <w:lvlJc w:val="left"/>
    </w:lvl>
  </w:abstractNum>
  <w:abstractNum w:abstractNumId="10">
    <w:nsid w:val="B97BE22E"/>
    <w:multiLevelType w:val="singleLevel"/>
    <w:tmpl w:val="B97BE22E"/>
    <w:lvl w:ilvl="0" w:tentative="0">
      <w:start w:val="1"/>
      <w:numFmt w:val="chineseCounting"/>
      <w:suff w:val="nothing"/>
      <w:lvlText w:val="%1、"/>
      <w:lvlJc w:val="left"/>
      <w:rPr>
        <w:rFonts w:hint="eastAsia"/>
      </w:rPr>
    </w:lvl>
  </w:abstractNum>
  <w:abstractNum w:abstractNumId="11">
    <w:nsid w:val="BA7C206B"/>
    <w:multiLevelType w:val="multilevel"/>
    <w:tmpl w:val="BA7C206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C5B29AC7"/>
    <w:multiLevelType w:val="singleLevel"/>
    <w:tmpl w:val="C5B29AC7"/>
    <w:lvl w:ilvl="0" w:tentative="0">
      <w:start w:val="1"/>
      <w:numFmt w:val="decimal"/>
      <w:lvlText w:val="%1."/>
      <w:lvlJc w:val="left"/>
      <w:pPr>
        <w:ind w:left="425" w:hanging="425"/>
      </w:pPr>
      <w:rPr>
        <w:rFonts w:hint="default"/>
      </w:rPr>
    </w:lvl>
  </w:abstractNum>
  <w:abstractNum w:abstractNumId="13">
    <w:nsid w:val="D2D24B3D"/>
    <w:multiLevelType w:val="multilevel"/>
    <w:tmpl w:val="D2D24B3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DC0F3D8D"/>
    <w:multiLevelType w:val="singleLevel"/>
    <w:tmpl w:val="DC0F3D8D"/>
    <w:lvl w:ilvl="0" w:tentative="0">
      <w:start w:val="1"/>
      <w:numFmt w:val="decimal"/>
      <w:lvlText w:val="%1."/>
      <w:lvlJc w:val="left"/>
      <w:pPr>
        <w:ind w:left="425" w:hanging="425"/>
      </w:pPr>
      <w:rPr>
        <w:rFonts w:hint="default"/>
      </w:rPr>
    </w:lvl>
  </w:abstractNum>
  <w:abstractNum w:abstractNumId="15">
    <w:nsid w:val="DD5D2E66"/>
    <w:multiLevelType w:val="singleLevel"/>
    <w:tmpl w:val="DD5D2E66"/>
    <w:lvl w:ilvl="0" w:tentative="0">
      <w:start w:val="7"/>
      <w:numFmt w:val="chineseCounting"/>
      <w:suff w:val="nothing"/>
      <w:lvlText w:val="%1、"/>
      <w:lvlJc w:val="left"/>
      <w:rPr>
        <w:rFonts w:hint="eastAsia"/>
      </w:rPr>
    </w:lvl>
  </w:abstractNum>
  <w:abstractNum w:abstractNumId="16">
    <w:nsid w:val="E5DAA500"/>
    <w:multiLevelType w:val="singleLevel"/>
    <w:tmpl w:val="E5DAA500"/>
    <w:lvl w:ilvl="0" w:tentative="0">
      <w:start w:val="1"/>
      <w:numFmt w:val="decimal"/>
      <w:suff w:val="space"/>
      <w:lvlText w:val="%1."/>
      <w:lvlJc w:val="left"/>
    </w:lvl>
  </w:abstractNum>
  <w:abstractNum w:abstractNumId="17">
    <w:nsid w:val="015B03CD"/>
    <w:multiLevelType w:val="singleLevel"/>
    <w:tmpl w:val="015B03CD"/>
    <w:lvl w:ilvl="0" w:tentative="0">
      <w:start w:val="1"/>
      <w:numFmt w:val="decimal"/>
      <w:lvlText w:val="%1."/>
      <w:lvlJc w:val="left"/>
      <w:pPr>
        <w:ind w:left="425" w:hanging="425"/>
      </w:pPr>
      <w:rPr>
        <w:rFonts w:hint="default"/>
      </w:rPr>
    </w:lvl>
  </w:abstractNum>
  <w:abstractNum w:abstractNumId="18">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pStyle w:val="5"/>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9">
    <w:nsid w:val="10D5937D"/>
    <w:multiLevelType w:val="singleLevel"/>
    <w:tmpl w:val="10D5937D"/>
    <w:lvl w:ilvl="0" w:tentative="0">
      <w:start w:val="1"/>
      <w:numFmt w:val="decimal"/>
      <w:lvlText w:val="%1."/>
      <w:lvlJc w:val="left"/>
      <w:pPr>
        <w:ind w:left="425" w:hanging="425"/>
      </w:pPr>
      <w:rPr>
        <w:rFonts w:hint="default"/>
      </w:rPr>
    </w:lvl>
  </w:abstractNum>
  <w:abstractNum w:abstractNumId="20">
    <w:nsid w:val="1681AD06"/>
    <w:multiLevelType w:val="singleLevel"/>
    <w:tmpl w:val="1681AD06"/>
    <w:lvl w:ilvl="0" w:tentative="0">
      <w:start w:val="3"/>
      <w:numFmt w:val="chineseCounting"/>
      <w:suff w:val="nothing"/>
      <w:lvlText w:val="%1、"/>
      <w:lvlJc w:val="left"/>
      <w:rPr>
        <w:rFonts w:hint="eastAsia"/>
      </w:rPr>
    </w:lvl>
  </w:abstractNum>
  <w:abstractNum w:abstractNumId="21">
    <w:nsid w:val="1B84B0DE"/>
    <w:multiLevelType w:val="singleLevel"/>
    <w:tmpl w:val="1B84B0DE"/>
    <w:lvl w:ilvl="0" w:tentative="0">
      <w:start w:val="1"/>
      <w:numFmt w:val="chineseCounting"/>
      <w:suff w:val="nothing"/>
      <w:lvlText w:val="%1、"/>
      <w:lvlJc w:val="left"/>
      <w:rPr>
        <w:rFonts w:hint="eastAsia"/>
      </w:rPr>
    </w:lvl>
  </w:abstractNum>
  <w:abstractNum w:abstractNumId="22">
    <w:nsid w:val="2F9E668D"/>
    <w:multiLevelType w:val="singleLevel"/>
    <w:tmpl w:val="2F9E668D"/>
    <w:lvl w:ilvl="0" w:tentative="0">
      <w:start w:val="1"/>
      <w:numFmt w:val="decimal"/>
      <w:lvlText w:val="%1."/>
      <w:lvlJc w:val="left"/>
      <w:pPr>
        <w:ind w:left="425" w:hanging="425"/>
      </w:pPr>
      <w:rPr>
        <w:rFonts w:hint="default"/>
      </w:rPr>
    </w:lvl>
  </w:abstractNum>
  <w:abstractNum w:abstractNumId="23">
    <w:nsid w:val="3B912DC9"/>
    <w:multiLevelType w:val="singleLevel"/>
    <w:tmpl w:val="3B912DC9"/>
    <w:lvl w:ilvl="0" w:tentative="0">
      <w:start w:val="1"/>
      <w:numFmt w:val="chineseCounting"/>
      <w:suff w:val="nothing"/>
      <w:lvlText w:val="%1、"/>
      <w:lvlJc w:val="left"/>
      <w:rPr>
        <w:rFonts w:hint="eastAsia"/>
      </w:rPr>
    </w:lvl>
  </w:abstractNum>
  <w:abstractNum w:abstractNumId="24">
    <w:nsid w:val="4A770F6D"/>
    <w:multiLevelType w:val="singleLevel"/>
    <w:tmpl w:val="4A770F6D"/>
    <w:lvl w:ilvl="0" w:tentative="0">
      <w:start w:val="1"/>
      <w:numFmt w:val="chineseCounting"/>
      <w:suff w:val="nothing"/>
      <w:lvlText w:val="（%1）"/>
      <w:lvlJc w:val="left"/>
      <w:rPr>
        <w:rFonts w:hint="eastAsia"/>
      </w:rPr>
    </w:lvl>
  </w:abstractNum>
  <w:abstractNum w:abstractNumId="25">
    <w:nsid w:val="5B6C9188"/>
    <w:multiLevelType w:val="singleLevel"/>
    <w:tmpl w:val="5B6C9188"/>
    <w:lvl w:ilvl="0" w:tentative="0">
      <w:start w:val="1"/>
      <w:numFmt w:val="decimal"/>
      <w:lvlText w:val="%1."/>
      <w:lvlJc w:val="left"/>
      <w:pPr>
        <w:ind w:left="425" w:hanging="425"/>
      </w:pPr>
      <w:rPr>
        <w:rFonts w:hint="default"/>
      </w:rPr>
    </w:lvl>
  </w:abstractNum>
  <w:abstractNum w:abstractNumId="26">
    <w:nsid w:val="5EBDBA11"/>
    <w:multiLevelType w:val="singleLevel"/>
    <w:tmpl w:val="5EBDBA11"/>
    <w:lvl w:ilvl="0" w:tentative="0">
      <w:start w:val="1"/>
      <w:numFmt w:val="decimal"/>
      <w:lvlText w:val="%1."/>
      <w:lvlJc w:val="left"/>
      <w:pPr>
        <w:ind w:left="425" w:hanging="425"/>
      </w:pPr>
      <w:rPr>
        <w:rFonts w:hint="default"/>
      </w:rPr>
    </w:lvl>
  </w:abstractNum>
  <w:abstractNum w:abstractNumId="27">
    <w:nsid w:val="6486E964"/>
    <w:multiLevelType w:val="singleLevel"/>
    <w:tmpl w:val="6486E964"/>
    <w:lvl w:ilvl="0" w:tentative="0">
      <w:start w:val="1"/>
      <w:numFmt w:val="chineseCounting"/>
      <w:suff w:val="nothing"/>
      <w:lvlText w:val="%1、"/>
      <w:lvlJc w:val="left"/>
      <w:rPr>
        <w:rFonts w:hint="eastAsia"/>
      </w:rPr>
    </w:lvl>
  </w:abstractNum>
  <w:abstractNum w:abstractNumId="28">
    <w:nsid w:val="78FE2207"/>
    <w:multiLevelType w:val="singleLevel"/>
    <w:tmpl w:val="78FE2207"/>
    <w:lvl w:ilvl="0" w:tentative="0">
      <w:start w:val="1"/>
      <w:numFmt w:val="decimal"/>
      <w:lvlText w:val="%1."/>
      <w:lvlJc w:val="left"/>
      <w:pPr>
        <w:ind w:left="425" w:hanging="425"/>
      </w:pPr>
      <w:rPr>
        <w:rFonts w:hint="default"/>
      </w:rPr>
    </w:lvl>
  </w:abstractNum>
  <w:num w:numId="1">
    <w:abstractNumId w:val="18"/>
  </w:num>
  <w:num w:numId="2">
    <w:abstractNumId w:val="17"/>
  </w:num>
  <w:num w:numId="3">
    <w:abstractNumId w:val="14"/>
  </w:num>
  <w:num w:numId="4">
    <w:abstractNumId w:val="7"/>
  </w:num>
  <w:num w:numId="5">
    <w:abstractNumId w:val="2"/>
  </w:num>
  <w:num w:numId="6">
    <w:abstractNumId w:val="10"/>
  </w:num>
  <w:num w:numId="7">
    <w:abstractNumId w:val="20"/>
  </w:num>
  <w:num w:numId="8">
    <w:abstractNumId w:val="22"/>
  </w:num>
  <w:num w:numId="9">
    <w:abstractNumId w:val="13"/>
  </w:num>
  <w:num w:numId="10">
    <w:abstractNumId w:val="5"/>
  </w:num>
  <w:num w:numId="11">
    <w:abstractNumId w:val="0"/>
  </w:num>
  <w:num w:numId="12">
    <w:abstractNumId w:val="1"/>
  </w:num>
  <w:num w:numId="13">
    <w:abstractNumId w:val="11"/>
  </w:num>
  <w:num w:numId="14">
    <w:abstractNumId w:val="26"/>
  </w:num>
  <w:num w:numId="15">
    <w:abstractNumId w:val="23"/>
  </w:num>
  <w:num w:numId="16">
    <w:abstractNumId w:val="27"/>
  </w:num>
  <w:num w:numId="17">
    <w:abstractNumId w:val="6"/>
  </w:num>
  <w:num w:numId="18">
    <w:abstractNumId w:val="8"/>
  </w:num>
  <w:num w:numId="19">
    <w:abstractNumId w:val="3"/>
  </w:num>
  <w:num w:numId="20">
    <w:abstractNumId w:val="21"/>
  </w:num>
  <w:num w:numId="21">
    <w:abstractNumId w:val="25"/>
  </w:num>
  <w:num w:numId="22">
    <w:abstractNumId w:val="12"/>
  </w:num>
  <w:num w:numId="23">
    <w:abstractNumId w:val="19"/>
  </w:num>
  <w:num w:numId="24">
    <w:abstractNumId w:val="28"/>
  </w:num>
  <w:num w:numId="25">
    <w:abstractNumId w:val="4"/>
  </w:num>
  <w:num w:numId="26">
    <w:abstractNumId w:val="16"/>
  </w:num>
  <w:num w:numId="27">
    <w:abstractNumId w:val="15"/>
  </w:num>
  <w:num w:numId="28">
    <w:abstractNumId w:val="2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mZTM2ZDZhYmM5MjA0M2IzOGRlMzYyZTJkYTVkNGMifQ=="/>
    <w:docVar w:name="KSO_WPS_MARK_KEY" w:val="3789e3af-dbe6-4420-a3b5-11170879693f"/>
  </w:docVars>
  <w:rsids>
    <w:rsidRoot w:val="00172A27"/>
    <w:rsid w:val="000E4B21"/>
    <w:rsid w:val="00447139"/>
    <w:rsid w:val="00704714"/>
    <w:rsid w:val="010172FA"/>
    <w:rsid w:val="014F43D0"/>
    <w:rsid w:val="018169FA"/>
    <w:rsid w:val="02001136"/>
    <w:rsid w:val="0272107A"/>
    <w:rsid w:val="02F327FE"/>
    <w:rsid w:val="02F70D3E"/>
    <w:rsid w:val="0327489F"/>
    <w:rsid w:val="03344399"/>
    <w:rsid w:val="035148F2"/>
    <w:rsid w:val="03CB0681"/>
    <w:rsid w:val="045210EA"/>
    <w:rsid w:val="046C1C33"/>
    <w:rsid w:val="048B23D1"/>
    <w:rsid w:val="05270289"/>
    <w:rsid w:val="0528630E"/>
    <w:rsid w:val="058657DF"/>
    <w:rsid w:val="05DF2AD3"/>
    <w:rsid w:val="06162D6B"/>
    <w:rsid w:val="06615B70"/>
    <w:rsid w:val="06657070"/>
    <w:rsid w:val="0666286A"/>
    <w:rsid w:val="06A40DD8"/>
    <w:rsid w:val="06BD123E"/>
    <w:rsid w:val="070C178C"/>
    <w:rsid w:val="077B4A04"/>
    <w:rsid w:val="082325FB"/>
    <w:rsid w:val="08882020"/>
    <w:rsid w:val="08C21666"/>
    <w:rsid w:val="09447E80"/>
    <w:rsid w:val="09635040"/>
    <w:rsid w:val="096C7E81"/>
    <w:rsid w:val="09AD276B"/>
    <w:rsid w:val="09D932FA"/>
    <w:rsid w:val="0A2F52C5"/>
    <w:rsid w:val="0A4E15CA"/>
    <w:rsid w:val="0A711970"/>
    <w:rsid w:val="0A9922EB"/>
    <w:rsid w:val="0AEE4A74"/>
    <w:rsid w:val="0B5062C4"/>
    <w:rsid w:val="0B862024"/>
    <w:rsid w:val="0BC9191B"/>
    <w:rsid w:val="0BDA6F63"/>
    <w:rsid w:val="0C196A16"/>
    <w:rsid w:val="0C2B414D"/>
    <w:rsid w:val="0C3A656B"/>
    <w:rsid w:val="0D2E407F"/>
    <w:rsid w:val="0D6A2A5B"/>
    <w:rsid w:val="0E1B6C18"/>
    <w:rsid w:val="0EB83A78"/>
    <w:rsid w:val="0ECD37BE"/>
    <w:rsid w:val="0F5A7A82"/>
    <w:rsid w:val="0F5D2675"/>
    <w:rsid w:val="0F6754A6"/>
    <w:rsid w:val="0F9B261B"/>
    <w:rsid w:val="0FE96FBC"/>
    <w:rsid w:val="0FEB7728"/>
    <w:rsid w:val="10044DE0"/>
    <w:rsid w:val="10960B93"/>
    <w:rsid w:val="10DE18EE"/>
    <w:rsid w:val="11091323"/>
    <w:rsid w:val="116F5C60"/>
    <w:rsid w:val="1186119F"/>
    <w:rsid w:val="11CD1662"/>
    <w:rsid w:val="12257ED3"/>
    <w:rsid w:val="12665EF1"/>
    <w:rsid w:val="12FA2E8A"/>
    <w:rsid w:val="13271B06"/>
    <w:rsid w:val="13314631"/>
    <w:rsid w:val="137071DB"/>
    <w:rsid w:val="139331A2"/>
    <w:rsid w:val="14257B28"/>
    <w:rsid w:val="143914D5"/>
    <w:rsid w:val="14CD7756"/>
    <w:rsid w:val="1509486B"/>
    <w:rsid w:val="15386E3C"/>
    <w:rsid w:val="154A629A"/>
    <w:rsid w:val="154A6FE5"/>
    <w:rsid w:val="158B06B4"/>
    <w:rsid w:val="15986B51"/>
    <w:rsid w:val="159C2576"/>
    <w:rsid w:val="15E34D11"/>
    <w:rsid w:val="16720153"/>
    <w:rsid w:val="16FF6FEE"/>
    <w:rsid w:val="173A4FC9"/>
    <w:rsid w:val="174979EB"/>
    <w:rsid w:val="187953CB"/>
    <w:rsid w:val="18867DA7"/>
    <w:rsid w:val="18C826B6"/>
    <w:rsid w:val="18D60BCF"/>
    <w:rsid w:val="193F6828"/>
    <w:rsid w:val="19BF16D1"/>
    <w:rsid w:val="1A385A6D"/>
    <w:rsid w:val="1A9B7056"/>
    <w:rsid w:val="1C331870"/>
    <w:rsid w:val="1C4F16AA"/>
    <w:rsid w:val="1CC93C66"/>
    <w:rsid w:val="1D3270D2"/>
    <w:rsid w:val="1D576215"/>
    <w:rsid w:val="1DA739BA"/>
    <w:rsid w:val="1DE259E5"/>
    <w:rsid w:val="1DF24A11"/>
    <w:rsid w:val="1E3E3A53"/>
    <w:rsid w:val="1E4C52BB"/>
    <w:rsid w:val="1E780B2E"/>
    <w:rsid w:val="1EA0669C"/>
    <w:rsid w:val="1EFC218B"/>
    <w:rsid w:val="200F16D3"/>
    <w:rsid w:val="20623AFF"/>
    <w:rsid w:val="210411A8"/>
    <w:rsid w:val="218C22AC"/>
    <w:rsid w:val="22174BC4"/>
    <w:rsid w:val="22320BA5"/>
    <w:rsid w:val="22A97DB1"/>
    <w:rsid w:val="233408E4"/>
    <w:rsid w:val="23575DA0"/>
    <w:rsid w:val="238673B5"/>
    <w:rsid w:val="23991780"/>
    <w:rsid w:val="24A71B7C"/>
    <w:rsid w:val="24B5374E"/>
    <w:rsid w:val="24F75CB0"/>
    <w:rsid w:val="24FA370D"/>
    <w:rsid w:val="25676E0F"/>
    <w:rsid w:val="25E86A16"/>
    <w:rsid w:val="26B95AA7"/>
    <w:rsid w:val="27275F2D"/>
    <w:rsid w:val="27AC7537"/>
    <w:rsid w:val="27C64C5F"/>
    <w:rsid w:val="27E9297E"/>
    <w:rsid w:val="28AC3E24"/>
    <w:rsid w:val="28C61EE3"/>
    <w:rsid w:val="28CA5AD6"/>
    <w:rsid w:val="28F07A9D"/>
    <w:rsid w:val="28FB34B1"/>
    <w:rsid w:val="29601460"/>
    <w:rsid w:val="2965041B"/>
    <w:rsid w:val="29935210"/>
    <w:rsid w:val="29A4005F"/>
    <w:rsid w:val="29D100A2"/>
    <w:rsid w:val="2A3C5A82"/>
    <w:rsid w:val="2A3D4A38"/>
    <w:rsid w:val="2A766447"/>
    <w:rsid w:val="2A7C0543"/>
    <w:rsid w:val="2B7E0BDE"/>
    <w:rsid w:val="2BA663A0"/>
    <w:rsid w:val="2BC73608"/>
    <w:rsid w:val="2C5C3880"/>
    <w:rsid w:val="2CBE5CA4"/>
    <w:rsid w:val="2DAF6D9C"/>
    <w:rsid w:val="2DD50728"/>
    <w:rsid w:val="2DFF16D6"/>
    <w:rsid w:val="2E02032E"/>
    <w:rsid w:val="2E067CF3"/>
    <w:rsid w:val="2E6A4F4B"/>
    <w:rsid w:val="2E7D7323"/>
    <w:rsid w:val="2EB03997"/>
    <w:rsid w:val="2ED04DCF"/>
    <w:rsid w:val="2EE010D4"/>
    <w:rsid w:val="2F894402"/>
    <w:rsid w:val="30375F53"/>
    <w:rsid w:val="311C35E4"/>
    <w:rsid w:val="321A793B"/>
    <w:rsid w:val="32E04A29"/>
    <w:rsid w:val="33641229"/>
    <w:rsid w:val="336F170D"/>
    <w:rsid w:val="33D74D57"/>
    <w:rsid w:val="341351EE"/>
    <w:rsid w:val="341E1D1F"/>
    <w:rsid w:val="342D3D10"/>
    <w:rsid w:val="345C21CD"/>
    <w:rsid w:val="34603203"/>
    <w:rsid w:val="35216C38"/>
    <w:rsid w:val="356E661C"/>
    <w:rsid w:val="356F3CBC"/>
    <w:rsid w:val="35E44AB8"/>
    <w:rsid w:val="365C4EFA"/>
    <w:rsid w:val="36895191"/>
    <w:rsid w:val="36D729EB"/>
    <w:rsid w:val="372C513B"/>
    <w:rsid w:val="37A715D5"/>
    <w:rsid w:val="37BE24B5"/>
    <w:rsid w:val="381C640A"/>
    <w:rsid w:val="38B5507E"/>
    <w:rsid w:val="38D96A07"/>
    <w:rsid w:val="38E01790"/>
    <w:rsid w:val="38EF565F"/>
    <w:rsid w:val="39555DFD"/>
    <w:rsid w:val="39771E82"/>
    <w:rsid w:val="39882630"/>
    <w:rsid w:val="3A2223F3"/>
    <w:rsid w:val="3ACC7DDF"/>
    <w:rsid w:val="3B3C38CA"/>
    <w:rsid w:val="3B567EEC"/>
    <w:rsid w:val="3B9D75B2"/>
    <w:rsid w:val="3BB255A6"/>
    <w:rsid w:val="3C8C646A"/>
    <w:rsid w:val="3CDA5C7C"/>
    <w:rsid w:val="3D003717"/>
    <w:rsid w:val="3D6F0EF6"/>
    <w:rsid w:val="3DCF76F2"/>
    <w:rsid w:val="3DFC6C2D"/>
    <w:rsid w:val="3E275F99"/>
    <w:rsid w:val="3E48423E"/>
    <w:rsid w:val="3EF961E5"/>
    <w:rsid w:val="3F1C7AF8"/>
    <w:rsid w:val="3F264E9F"/>
    <w:rsid w:val="402B72D6"/>
    <w:rsid w:val="41676D01"/>
    <w:rsid w:val="41913CDF"/>
    <w:rsid w:val="41FB44E3"/>
    <w:rsid w:val="421B31E0"/>
    <w:rsid w:val="428B67D2"/>
    <w:rsid w:val="43636A81"/>
    <w:rsid w:val="43D27D48"/>
    <w:rsid w:val="44447E0F"/>
    <w:rsid w:val="44E172CF"/>
    <w:rsid w:val="453C235F"/>
    <w:rsid w:val="454911A0"/>
    <w:rsid w:val="45780AA3"/>
    <w:rsid w:val="459E5C9F"/>
    <w:rsid w:val="45E711A3"/>
    <w:rsid w:val="46B9136B"/>
    <w:rsid w:val="473F0A29"/>
    <w:rsid w:val="47864314"/>
    <w:rsid w:val="48194880"/>
    <w:rsid w:val="48277FCD"/>
    <w:rsid w:val="48283FF0"/>
    <w:rsid w:val="48834F9F"/>
    <w:rsid w:val="48872786"/>
    <w:rsid w:val="48993606"/>
    <w:rsid w:val="48D85BA5"/>
    <w:rsid w:val="48E03D9B"/>
    <w:rsid w:val="48F86E97"/>
    <w:rsid w:val="491D3EFC"/>
    <w:rsid w:val="492D2F6F"/>
    <w:rsid w:val="49A26605"/>
    <w:rsid w:val="49AB4BFD"/>
    <w:rsid w:val="49AC5E96"/>
    <w:rsid w:val="49FE5B49"/>
    <w:rsid w:val="4A035300"/>
    <w:rsid w:val="4B345BF7"/>
    <w:rsid w:val="4B58514F"/>
    <w:rsid w:val="4C133676"/>
    <w:rsid w:val="4C717F99"/>
    <w:rsid w:val="4CA41489"/>
    <w:rsid w:val="4D9234B4"/>
    <w:rsid w:val="4E044E0F"/>
    <w:rsid w:val="4E3D6F1E"/>
    <w:rsid w:val="4E794CBE"/>
    <w:rsid w:val="4EBD5F65"/>
    <w:rsid w:val="4F5C1913"/>
    <w:rsid w:val="4F782A3E"/>
    <w:rsid w:val="4FB877DD"/>
    <w:rsid w:val="505D2B17"/>
    <w:rsid w:val="50B527C7"/>
    <w:rsid w:val="50F01EEC"/>
    <w:rsid w:val="519128E5"/>
    <w:rsid w:val="52D309BF"/>
    <w:rsid w:val="53084648"/>
    <w:rsid w:val="539A6A46"/>
    <w:rsid w:val="54770037"/>
    <w:rsid w:val="549C5765"/>
    <w:rsid w:val="54E8210D"/>
    <w:rsid w:val="55314FB7"/>
    <w:rsid w:val="55C20305"/>
    <w:rsid w:val="55CD0594"/>
    <w:rsid w:val="56E941C0"/>
    <w:rsid w:val="57306E72"/>
    <w:rsid w:val="57511940"/>
    <w:rsid w:val="575C5F21"/>
    <w:rsid w:val="57A15181"/>
    <w:rsid w:val="57A2279F"/>
    <w:rsid w:val="57CC55E8"/>
    <w:rsid w:val="57FD0CB5"/>
    <w:rsid w:val="584E1BCB"/>
    <w:rsid w:val="58ED4A6B"/>
    <w:rsid w:val="593B0D4C"/>
    <w:rsid w:val="59D1610C"/>
    <w:rsid w:val="5A341E06"/>
    <w:rsid w:val="5A374489"/>
    <w:rsid w:val="5A903165"/>
    <w:rsid w:val="5ABF1021"/>
    <w:rsid w:val="5ACF1A35"/>
    <w:rsid w:val="5AF458D8"/>
    <w:rsid w:val="5B051627"/>
    <w:rsid w:val="5B215ACE"/>
    <w:rsid w:val="5B9C38A7"/>
    <w:rsid w:val="5CC905E3"/>
    <w:rsid w:val="5D230C5E"/>
    <w:rsid w:val="5D262A71"/>
    <w:rsid w:val="5D697CB0"/>
    <w:rsid w:val="5E2A5031"/>
    <w:rsid w:val="5E911756"/>
    <w:rsid w:val="5EB7258D"/>
    <w:rsid w:val="5EC27342"/>
    <w:rsid w:val="5F534C56"/>
    <w:rsid w:val="5FA53823"/>
    <w:rsid w:val="5FBD5A14"/>
    <w:rsid w:val="605C558D"/>
    <w:rsid w:val="607D1317"/>
    <w:rsid w:val="60CC428A"/>
    <w:rsid w:val="60D46627"/>
    <w:rsid w:val="61307DD2"/>
    <w:rsid w:val="61CF4E83"/>
    <w:rsid w:val="624026F9"/>
    <w:rsid w:val="62C0363B"/>
    <w:rsid w:val="63335A61"/>
    <w:rsid w:val="63BF78BE"/>
    <w:rsid w:val="64052A78"/>
    <w:rsid w:val="64992224"/>
    <w:rsid w:val="64B7266E"/>
    <w:rsid w:val="652A7F94"/>
    <w:rsid w:val="653D62EC"/>
    <w:rsid w:val="654B6826"/>
    <w:rsid w:val="65C23DA2"/>
    <w:rsid w:val="662C4B1F"/>
    <w:rsid w:val="66E62465"/>
    <w:rsid w:val="66F23EAD"/>
    <w:rsid w:val="676C699B"/>
    <w:rsid w:val="67CB461D"/>
    <w:rsid w:val="67CE2DE0"/>
    <w:rsid w:val="67DE739B"/>
    <w:rsid w:val="68985EDC"/>
    <w:rsid w:val="69221BB5"/>
    <w:rsid w:val="693B0B59"/>
    <w:rsid w:val="69CA3B82"/>
    <w:rsid w:val="69FC0A40"/>
    <w:rsid w:val="6A245155"/>
    <w:rsid w:val="6A640588"/>
    <w:rsid w:val="6A672F23"/>
    <w:rsid w:val="6AC75C34"/>
    <w:rsid w:val="6B0D75EB"/>
    <w:rsid w:val="6BEC21B4"/>
    <w:rsid w:val="6C1206A4"/>
    <w:rsid w:val="6C4148CD"/>
    <w:rsid w:val="6C945220"/>
    <w:rsid w:val="6DB74CDB"/>
    <w:rsid w:val="6DCC3753"/>
    <w:rsid w:val="6E46690D"/>
    <w:rsid w:val="6E69446F"/>
    <w:rsid w:val="6F0411B3"/>
    <w:rsid w:val="6F1741A9"/>
    <w:rsid w:val="6F211F13"/>
    <w:rsid w:val="6F252546"/>
    <w:rsid w:val="70090C45"/>
    <w:rsid w:val="700F2309"/>
    <w:rsid w:val="704676D2"/>
    <w:rsid w:val="70501763"/>
    <w:rsid w:val="70AD77F9"/>
    <w:rsid w:val="711C521B"/>
    <w:rsid w:val="713F52BD"/>
    <w:rsid w:val="71520337"/>
    <w:rsid w:val="719C49BA"/>
    <w:rsid w:val="71A40802"/>
    <w:rsid w:val="71FE5438"/>
    <w:rsid w:val="7244577B"/>
    <w:rsid w:val="729027A4"/>
    <w:rsid w:val="72CD7BCB"/>
    <w:rsid w:val="732C5F5E"/>
    <w:rsid w:val="73553297"/>
    <w:rsid w:val="738D5656"/>
    <w:rsid w:val="74AB5965"/>
    <w:rsid w:val="750108F5"/>
    <w:rsid w:val="75311D17"/>
    <w:rsid w:val="75611D60"/>
    <w:rsid w:val="761A4AF7"/>
    <w:rsid w:val="763C2B92"/>
    <w:rsid w:val="763C4E71"/>
    <w:rsid w:val="77630CFB"/>
    <w:rsid w:val="779C230C"/>
    <w:rsid w:val="77AB2709"/>
    <w:rsid w:val="77AD1D47"/>
    <w:rsid w:val="77AF2934"/>
    <w:rsid w:val="77B24BDC"/>
    <w:rsid w:val="77EE3681"/>
    <w:rsid w:val="7835263A"/>
    <w:rsid w:val="784C0DFA"/>
    <w:rsid w:val="7865574F"/>
    <w:rsid w:val="78950957"/>
    <w:rsid w:val="78BA2BCF"/>
    <w:rsid w:val="78ED622C"/>
    <w:rsid w:val="7907689F"/>
    <w:rsid w:val="791037DD"/>
    <w:rsid w:val="79661F4A"/>
    <w:rsid w:val="79873F84"/>
    <w:rsid w:val="79D61AC6"/>
    <w:rsid w:val="7A5817EE"/>
    <w:rsid w:val="7AB14AA0"/>
    <w:rsid w:val="7AC471B7"/>
    <w:rsid w:val="7AD30B9C"/>
    <w:rsid w:val="7B100CAE"/>
    <w:rsid w:val="7B4E24A8"/>
    <w:rsid w:val="7BA31D83"/>
    <w:rsid w:val="7BFD1D64"/>
    <w:rsid w:val="7CA732F8"/>
    <w:rsid w:val="7CFC631E"/>
    <w:rsid w:val="7D144CEB"/>
    <w:rsid w:val="7D47153F"/>
    <w:rsid w:val="7DBA1023"/>
    <w:rsid w:val="7DBE6875"/>
    <w:rsid w:val="7EC20D63"/>
    <w:rsid w:val="7EF9642E"/>
    <w:rsid w:val="7F6C2F0C"/>
    <w:rsid w:val="7F8325E6"/>
    <w:rsid w:val="7F9E12D5"/>
    <w:rsid w:val="7FBF17E4"/>
    <w:rsid w:val="7FEE21DF"/>
    <w:rsid w:val="7FFF3CFD"/>
    <w:rsid w:val="9FCB5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34"/>
    <w:qFormat/>
    <w:uiPriority w:val="0"/>
    <w:pPr>
      <w:keepNext/>
      <w:adjustRightInd w:val="0"/>
      <w:jc w:val="center"/>
      <w:outlineLvl w:val="0"/>
    </w:pPr>
    <w:rPr>
      <w:rFonts w:ascii="仿宋_GB2312" w:hAnsi="仿宋_GB2312" w:eastAsia="黑体" w:cs="Times New Roman"/>
      <w:b/>
      <w:bCs/>
      <w:color w:val="000000"/>
      <w:sz w:val="44"/>
      <w:szCs w:val="20"/>
    </w:rPr>
  </w:style>
  <w:style w:type="paragraph" w:styleId="3">
    <w:name w:val="heading 2"/>
    <w:basedOn w:val="1"/>
    <w:next w:val="1"/>
    <w:link w:val="48"/>
    <w:qFormat/>
    <w:uiPriority w:val="0"/>
    <w:pPr>
      <w:keepNext/>
      <w:keepLines/>
      <w:spacing w:line="560" w:lineRule="exact"/>
      <w:ind w:firstLine="200" w:firstLineChars="200"/>
      <w:outlineLvl w:val="1"/>
    </w:pPr>
    <w:rPr>
      <w:rFonts w:ascii="仿宋_GB2312" w:hAnsi="宋体" w:eastAsia="楷体_GB2312"/>
      <w:sz w:val="32"/>
      <w:szCs w:val="24"/>
    </w:rPr>
  </w:style>
  <w:style w:type="paragraph" w:styleId="4">
    <w:name w:val="heading 3"/>
    <w:basedOn w:val="1"/>
    <w:next w:val="1"/>
    <w:link w:val="66"/>
    <w:qFormat/>
    <w:uiPriority w:val="0"/>
    <w:pPr>
      <w:keepNext/>
      <w:keepLines/>
      <w:spacing w:line="440" w:lineRule="exact"/>
      <w:ind w:firstLine="510"/>
      <w:outlineLvl w:val="2"/>
    </w:pPr>
    <w:rPr>
      <w:rFonts w:eastAsia="仿宋"/>
      <w:sz w:val="24"/>
    </w:rPr>
  </w:style>
  <w:style w:type="paragraph" w:styleId="5">
    <w:name w:val="heading 4"/>
    <w:basedOn w:val="1"/>
    <w:next w:val="1"/>
    <w:qFormat/>
    <w:uiPriority w:val="0"/>
    <w:pPr>
      <w:numPr>
        <w:ilvl w:val="3"/>
        <w:numId w:val="1"/>
      </w:numPr>
      <w:adjustRightInd w:val="0"/>
      <w:spacing w:before="120" w:line="360" w:lineRule="auto"/>
      <w:textAlignment w:val="baseline"/>
      <w:outlineLvl w:val="3"/>
    </w:pPr>
    <w:rPr>
      <w:rFonts w:ascii="Arial" w:hAnsi="Arial" w:eastAsia="黑体"/>
      <w:kern w:val="0"/>
      <w:sz w:val="28"/>
      <w:szCs w:val="20"/>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rPr>
      <w:rFonts w:ascii="Times New Roman" w:hAnsi="Times New Roman" w:eastAsia="宋体" w:cs="Times New Roman"/>
    </w:rPr>
  </w:style>
  <w:style w:type="paragraph" w:styleId="7">
    <w:name w:val="Normal Indent"/>
    <w:basedOn w:val="1"/>
    <w:qFormat/>
    <w:uiPriority w:val="0"/>
    <w:pPr>
      <w:spacing w:before="240" w:after="60"/>
      <w:jc w:val="center"/>
      <w:outlineLvl w:val="0"/>
    </w:pPr>
    <w:rPr>
      <w:rFonts w:ascii="Cambria" w:hAnsi="Cambria"/>
      <w:b/>
      <w:bCs/>
      <w:sz w:val="32"/>
      <w:szCs w:val="32"/>
    </w:rPr>
  </w:style>
  <w:style w:type="paragraph" w:styleId="8">
    <w:name w:val="Document Map"/>
    <w:basedOn w:val="1"/>
    <w:unhideWhenUsed/>
    <w:qFormat/>
    <w:uiPriority w:val="99"/>
    <w:rPr>
      <w:rFonts w:ascii="宋体"/>
      <w:sz w:val="18"/>
      <w:szCs w:val="18"/>
    </w:rPr>
  </w:style>
  <w:style w:type="paragraph" w:styleId="9">
    <w:name w:val="toa heading"/>
    <w:basedOn w:val="1"/>
    <w:next w:val="1"/>
    <w:unhideWhenUsed/>
    <w:qFormat/>
    <w:uiPriority w:val="0"/>
    <w:pPr>
      <w:spacing w:before="120"/>
    </w:pPr>
    <w:rPr>
      <w:rFonts w:ascii="Arial" w:hAnsi="Arial" w:cs="Arial"/>
      <w:sz w:val="24"/>
    </w:rPr>
  </w:style>
  <w:style w:type="paragraph" w:styleId="10">
    <w:name w:val="annotation text"/>
    <w:basedOn w:val="1"/>
    <w:qFormat/>
    <w:uiPriority w:val="0"/>
    <w:pPr>
      <w:jc w:val="left"/>
    </w:pPr>
  </w:style>
  <w:style w:type="paragraph" w:styleId="11">
    <w:name w:val="Body Text"/>
    <w:basedOn w:val="1"/>
    <w:next w:val="12"/>
    <w:unhideWhenUsed/>
    <w:qFormat/>
    <w:uiPriority w:val="99"/>
    <w:pPr>
      <w:adjustRightInd w:val="0"/>
      <w:spacing w:line="440" w:lineRule="exact"/>
    </w:pPr>
    <w:rPr>
      <w:rFonts w:ascii="宋体" w:hAnsi="宋体"/>
      <w:bCs/>
      <w:color w:val="000000"/>
      <w:sz w:val="24"/>
    </w:rPr>
  </w:style>
  <w:style w:type="paragraph" w:styleId="12">
    <w:name w:val="Date"/>
    <w:basedOn w:val="1"/>
    <w:next w:val="1"/>
    <w:unhideWhenUsed/>
    <w:qFormat/>
    <w:uiPriority w:val="0"/>
    <w:pPr>
      <w:ind w:left="100" w:leftChars="2500"/>
    </w:pPr>
    <w:rPr>
      <w:rFonts w:eastAsia="楷体_GB2312"/>
      <w:sz w:val="48"/>
      <w:szCs w:val="24"/>
    </w:rPr>
  </w:style>
  <w:style w:type="paragraph" w:styleId="13">
    <w:name w:val="Body Text Indent"/>
    <w:basedOn w:val="1"/>
    <w:qFormat/>
    <w:uiPriority w:val="0"/>
    <w:pPr>
      <w:spacing w:after="120"/>
      <w:ind w:left="420" w:leftChars="200"/>
    </w:pPr>
  </w:style>
  <w:style w:type="paragraph" w:styleId="14">
    <w:name w:val="Block Text"/>
    <w:basedOn w:val="1"/>
    <w:qFormat/>
    <w:uiPriority w:val="0"/>
    <w:pPr>
      <w:widowControl/>
      <w:spacing w:line="360" w:lineRule="auto"/>
      <w:ind w:left="3828" w:right="1410" w:hanging="258"/>
    </w:pPr>
    <w:rPr>
      <w:rFonts w:ascii="Arial" w:hAnsi="Arial" w:eastAsia="幼圆"/>
      <w:b/>
      <w:kern w:val="0"/>
      <w:sz w:val="32"/>
    </w:rPr>
  </w:style>
  <w:style w:type="paragraph" w:styleId="15">
    <w:name w:val="Plain Text"/>
    <w:basedOn w:val="1"/>
    <w:unhideWhenUsed/>
    <w:qFormat/>
    <w:uiPriority w:val="0"/>
    <w:rPr>
      <w:rFonts w:ascii="宋体" w:hAnsi="Courier New"/>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120" w:after="120"/>
      <w:jc w:val="left"/>
    </w:pPr>
    <w:rPr>
      <w:b/>
      <w:bCs/>
      <w:caps/>
      <w:sz w:val="20"/>
    </w:rPr>
  </w:style>
  <w:style w:type="paragraph" w:styleId="20">
    <w:name w:val="Subtitle"/>
    <w:basedOn w:val="1"/>
    <w:next w:val="1"/>
    <w:qFormat/>
    <w:uiPriority w:val="0"/>
    <w:pPr>
      <w:adjustRightInd w:val="0"/>
      <w:spacing w:after="60" w:line="360" w:lineRule="atLeast"/>
      <w:jc w:val="center"/>
      <w:textAlignment w:val="baseline"/>
    </w:pPr>
    <w:rPr>
      <w:rFonts w:ascii="Arial" w:hAnsi="Arial" w:eastAsia="黑体"/>
      <w:i/>
      <w:kern w:val="0"/>
      <w:sz w:val="24"/>
    </w:rPr>
  </w:style>
  <w:style w:type="paragraph" w:styleId="21">
    <w:name w:val="Body Text Indent 3"/>
    <w:basedOn w:val="1"/>
    <w:next w:val="1"/>
    <w:unhideWhenUsed/>
    <w:qFormat/>
    <w:uiPriority w:val="0"/>
    <w:pPr>
      <w:spacing w:after="120"/>
      <w:ind w:left="420" w:leftChars="200"/>
    </w:pPr>
    <w:rPr>
      <w:sz w:val="16"/>
      <w:szCs w:val="16"/>
    </w:rPr>
  </w:style>
  <w:style w:type="paragraph" w:styleId="22">
    <w:name w:val="table of figures"/>
    <w:basedOn w:val="1"/>
    <w:next w:val="1"/>
    <w:unhideWhenUsed/>
    <w:qFormat/>
    <w:uiPriority w:val="0"/>
    <w:pPr>
      <w:ind w:left="200" w:leftChars="200" w:hanging="200" w:hangingChars="200"/>
    </w:pPr>
    <w:rPr>
      <w:rFonts w:ascii="Calibri" w:hAnsi="Calibri" w:eastAsia="宋体" w:cs="Times New Roman"/>
      <w:szCs w:val="24"/>
    </w:rPr>
  </w:style>
  <w:style w:type="paragraph" w:styleId="23">
    <w:name w:val="toc 2"/>
    <w:basedOn w:val="1"/>
    <w:next w:val="1"/>
    <w:unhideWhenUsed/>
    <w:qFormat/>
    <w:uiPriority w:val="39"/>
    <w:pPr>
      <w:ind w:left="210"/>
      <w:jc w:val="left"/>
    </w:pPr>
    <w:rPr>
      <w:smallCaps/>
      <w:sz w:val="20"/>
    </w:rPr>
  </w:style>
  <w:style w:type="paragraph" w:styleId="24">
    <w:name w:val="Body Text 2"/>
    <w:basedOn w:val="1"/>
    <w:qFormat/>
    <w:uiPriority w:val="0"/>
    <w:pPr>
      <w:spacing w:after="120" w:afterLines="0" w:line="480" w:lineRule="auto"/>
      <w:ind w:firstLine="0" w:firstLineChars="0"/>
    </w:pPr>
    <w:rPr>
      <w:szCs w:val="24"/>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Body Text First Indent"/>
    <w:basedOn w:val="11"/>
    <w:qFormat/>
    <w:uiPriority w:val="99"/>
    <w:pPr>
      <w:ind w:firstLine="420" w:firstLineChars="100"/>
    </w:pPr>
    <w:rPr>
      <w:rFonts w:ascii="Times New Roman" w:hAnsi="Times New Roman"/>
    </w:rPr>
  </w:style>
  <w:style w:type="paragraph" w:styleId="27">
    <w:name w:val="Body Text First Indent 2"/>
    <w:basedOn w:val="13"/>
    <w:qFormat/>
    <w:uiPriority w:val="0"/>
    <w:pPr>
      <w:spacing w:after="120"/>
      <w:ind w:left="420" w:leftChars="200" w:firstLine="42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rFonts w:ascii="Tahoma" w:hAnsi="Tahoma"/>
      <w:b/>
      <w:bCs/>
      <w:sz w:val="24"/>
    </w:rPr>
  </w:style>
  <w:style w:type="character" w:styleId="32">
    <w:name w:val="Hyperlink"/>
    <w:qFormat/>
    <w:uiPriority w:val="99"/>
    <w:rPr>
      <w:color w:val="333333"/>
      <w:u w:val="none"/>
    </w:rPr>
  </w:style>
  <w:style w:type="character" w:styleId="33">
    <w:name w:val="annotation reference"/>
    <w:basedOn w:val="30"/>
    <w:qFormat/>
    <w:uiPriority w:val="0"/>
    <w:rPr>
      <w:sz w:val="21"/>
      <w:szCs w:val="21"/>
    </w:rPr>
  </w:style>
  <w:style w:type="character" w:customStyle="1" w:styleId="34">
    <w:name w:val="标题 1 Char"/>
    <w:link w:val="2"/>
    <w:qFormat/>
    <w:uiPriority w:val="0"/>
    <w:rPr>
      <w:rFonts w:ascii="仿宋_GB2312" w:hAnsi="仿宋_GB2312" w:eastAsia="黑体" w:cs="Times New Roman"/>
      <w:b/>
      <w:bCs/>
      <w:color w:val="000000"/>
      <w:sz w:val="44"/>
      <w:szCs w:val="20"/>
    </w:rPr>
  </w:style>
  <w:style w:type="paragraph" w:customStyle="1" w:styleId="35">
    <w:name w:val="p2"/>
    <w:basedOn w:val="1"/>
    <w:qFormat/>
    <w:uiPriority w:val="0"/>
    <w:pPr>
      <w:spacing w:before="0" w:beforeAutospacing="0" w:after="0" w:afterAutospacing="0" w:line="30" w:lineRule="atLeast"/>
      <w:ind w:left="0" w:right="0" w:firstLine="420"/>
      <w:jc w:val="left"/>
    </w:pPr>
    <w:rPr>
      <w:rFonts w:hint="eastAsia" w:ascii="宋体" w:hAnsi="宋体" w:eastAsia="宋体" w:cs="宋体"/>
      <w:kern w:val="0"/>
      <w:sz w:val="21"/>
      <w:szCs w:val="21"/>
      <w:lang w:val="en-US" w:eastAsia="zh-CN" w:bidi="ar"/>
    </w:rPr>
  </w:style>
  <w:style w:type="paragraph" w:customStyle="1" w:styleId="36">
    <w:name w:val="*正文"/>
    <w:basedOn w:val="1"/>
    <w:qFormat/>
    <w:uiPriority w:val="0"/>
    <w:pPr>
      <w:widowControl/>
      <w:spacing w:line="360" w:lineRule="auto"/>
      <w:ind w:firstLine="200" w:firstLineChars="200"/>
      <w:contextualSpacing/>
    </w:pPr>
    <w:rPr>
      <w:rFonts w:ascii="time" w:hAnsi="time"/>
      <w:kern w:val="0"/>
      <w:sz w:val="24"/>
      <w:szCs w:val="24"/>
      <w:lang w:bidi="en-US"/>
    </w:rPr>
  </w:style>
  <w:style w:type="paragraph" w:customStyle="1" w:styleId="37">
    <w:name w:val="表格文字"/>
    <w:basedOn w:val="1"/>
    <w:qFormat/>
    <w:uiPriority w:val="0"/>
    <w:pPr>
      <w:spacing w:before="25" w:after="25"/>
      <w:jc w:val="left"/>
    </w:pPr>
    <w:rPr>
      <w:bCs/>
      <w:spacing w:val="10"/>
      <w:kern w:val="0"/>
      <w:sz w:val="24"/>
    </w:rPr>
  </w:style>
  <w:style w:type="paragraph" w:customStyle="1" w:styleId="38">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3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0">
    <w:name w:val="正文文本 (2)1"/>
    <w:basedOn w:val="1"/>
    <w:qFormat/>
    <w:uiPriority w:val="99"/>
    <w:pPr>
      <w:shd w:val="clear" w:color="auto" w:fill="FFFFFF"/>
      <w:spacing w:line="240" w:lineRule="atLeast"/>
      <w:ind w:hanging="140"/>
      <w:jc w:val="left"/>
    </w:pPr>
    <w:rPr>
      <w:rFonts w:ascii="宋体" w:hAnsi="宋体"/>
      <w:kern w:val="0"/>
      <w:sz w:val="22"/>
      <w:szCs w:val="22"/>
    </w:rPr>
  </w:style>
  <w:style w:type="paragraph" w:customStyle="1" w:styleId="41">
    <w:name w:val="05正文"/>
    <w:basedOn w:val="1"/>
    <w:qFormat/>
    <w:uiPriority w:val="0"/>
    <w:pPr>
      <w:jc w:val="left"/>
    </w:pPr>
    <w:rPr>
      <w:rFonts w:ascii="宋体" w:hAnsi="Calibri"/>
      <w:szCs w:val="24"/>
    </w:rPr>
  </w:style>
  <w:style w:type="paragraph" w:customStyle="1" w:styleId="42">
    <w:name w:val="列出段落2"/>
    <w:basedOn w:val="1"/>
    <w:qFormat/>
    <w:uiPriority w:val="0"/>
    <w:pPr>
      <w:ind w:firstLine="420" w:firstLineChars="200"/>
    </w:pPr>
    <w:rPr>
      <w:szCs w:val="22"/>
    </w:rPr>
  </w:style>
  <w:style w:type="character" w:customStyle="1" w:styleId="43">
    <w:name w:val="fontstyle01"/>
    <w:basedOn w:val="30"/>
    <w:qFormat/>
    <w:uiPriority w:val="0"/>
    <w:rPr>
      <w:rFonts w:hint="eastAsia" w:ascii="微软雅黑" w:hAnsi="微软雅黑" w:eastAsia="微软雅黑"/>
      <w:color w:val="000000"/>
      <w:sz w:val="24"/>
      <w:szCs w:val="24"/>
    </w:rPr>
  </w:style>
  <w:style w:type="paragraph" w:customStyle="1" w:styleId="4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5">
    <w:name w:val="列出段落1"/>
    <w:basedOn w:val="1"/>
    <w:qFormat/>
    <w:uiPriority w:val="0"/>
    <w:pPr>
      <w:ind w:firstLine="420" w:firstLineChars="200"/>
    </w:pPr>
    <w:rPr>
      <w:szCs w:val="21"/>
    </w:rPr>
  </w:style>
  <w:style w:type="character" w:customStyle="1" w:styleId="46">
    <w:name w:val="font01"/>
    <w:basedOn w:val="30"/>
    <w:qFormat/>
    <w:uiPriority w:val="0"/>
    <w:rPr>
      <w:rFonts w:hint="eastAsia" w:ascii="宋体" w:hAnsi="宋体" w:eastAsia="宋体" w:cs="宋体"/>
      <w:color w:val="000000"/>
      <w:sz w:val="22"/>
      <w:szCs w:val="22"/>
      <w:u w:val="none"/>
    </w:rPr>
  </w:style>
  <w:style w:type="character" w:customStyle="1" w:styleId="47">
    <w:name w:val="font11"/>
    <w:basedOn w:val="30"/>
    <w:qFormat/>
    <w:uiPriority w:val="0"/>
    <w:rPr>
      <w:rFonts w:hint="eastAsia" w:ascii="宋体" w:hAnsi="宋体" w:eastAsia="宋体" w:cs="宋体"/>
      <w:b/>
      <w:bCs/>
      <w:color w:val="000000"/>
      <w:sz w:val="22"/>
      <w:szCs w:val="22"/>
      <w:u w:val="none"/>
    </w:rPr>
  </w:style>
  <w:style w:type="character" w:customStyle="1" w:styleId="48">
    <w:name w:val="标题 2 Char"/>
    <w:link w:val="3"/>
    <w:qFormat/>
    <w:uiPriority w:val="0"/>
    <w:rPr>
      <w:rFonts w:ascii="仿宋_GB2312" w:hAnsi="宋体" w:eastAsia="楷体_GB2312"/>
      <w:b/>
      <w:sz w:val="32"/>
      <w:szCs w:val="24"/>
    </w:rPr>
  </w:style>
  <w:style w:type="paragraph" w:customStyle="1" w:styleId="49">
    <w:name w:val="列项"/>
    <w:basedOn w:val="1"/>
    <w:qFormat/>
    <w:uiPriority w:val="0"/>
    <w:pPr>
      <w:spacing w:line="500" w:lineRule="exact"/>
      <w:ind w:left="200" w:hanging="200" w:hangingChars="200"/>
    </w:pPr>
    <w:rPr>
      <w:rFonts w:ascii="宋体" w:hAnsi="宋体"/>
      <w:sz w:val="24"/>
    </w:rPr>
  </w:style>
  <w:style w:type="table" w:customStyle="1" w:styleId="50">
    <w:name w:val="Table Normal"/>
    <w:unhideWhenUsed/>
    <w:qFormat/>
    <w:uiPriority w:val="0"/>
    <w:tblPr>
      <w:tblCellMar>
        <w:top w:w="0" w:type="dxa"/>
        <w:left w:w="0" w:type="dxa"/>
        <w:bottom w:w="0" w:type="dxa"/>
        <w:right w:w="0" w:type="dxa"/>
      </w:tblCellMar>
    </w:tblPr>
  </w:style>
  <w:style w:type="paragraph" w:customStyle="1" w:styleId="51">
    <w:name w:val="Table Text"/>
    <w:basedOn w:val="1"/>
    <w:semiHidden/>
    <w:qFormat/>
    <w:uiPriority w:val="0"/>
    <w:rPr>
      <w:rFonts w:ascii="宋体" w:hAnsi="宋体" w:eastAsia="宋体" w:cs="宋体"/>
      <w:sz w:val="20"/>
      <w:szCs w:val="20"/>
      <w:lang w:val="en-US" w:eastAsia="en-US" w:bidi="ar-SA"/>
    </w:rPr>
  </w:style>
  <w:style w:type="paragraph" w:customStyle="1" w:styleId="52">
    <w:name w:val="null3"/>
    <w:hidden/>
    <w:qFormat/>
    <w:uiPriority w:val="0"/>
    <w:rPr>
      <w:rFonts w:hint="eastAsia" w:asciiTheme="minorHAnsi" w:hAnsiTheme="minorHAnsi" w:eastAsiaTheme="minorEastAsia" w:cstheme="minorBidi"/>
      <w:lang w:val="en-US" w:eastAsia="zh-Hans"/>
    </w:rPr>
  </w:style>
  <w:style w:type="paragraph" w:customStyle="1" w:styleId="53">
    <w:name w:val="正文文本 (2)9"/>
    <w:basedOn w:val="1"/>
    <w:link w:val="55"/>
    <w:qFormat/>
    <w:uiPriority w:val="0"/>
    <w:pPr>
      <w:widowControl w:val="0"/>
      <w:shd w:val="clear" w:color="auto" w:fill="FFFFFF"/>
      <w:spacing w:after="240" w:line="0" w:lineRule="atLeast"/>
      <w:jc w:val="distribute"/>
    </w:pPr>
    <w:rPr>
      <w:rFonts w:ascii="MingLiU" w:hAnsi="MingLiU" w:eastAsia="MingLiU" w:cs="MingLiU"/>
      <w:sz w:val="20"/>
      <w:szCs w:val="20"/>
    </w:rPr>
  </w:style>
  <w:style w:type="character" w:customStyle="1" w:styleId="54">
    <w:name w:val="正文文本 (2) + Tahoma"/>
    <w:basedOn w:val="55"/>
    <w:qFormat/>
    <w:uiPriority w:val="0"/>
    <w:rPr>
      <w:rFonts w:ascii="Tahoma" w:hAnsi="Tahoma" w:eastAsia="Tahoma" w:cs="Tahoma"/>
      <w:color w:val="000000"/>
      <w:spacing w:val="0"/>
      <w:w w:val="100"/>
      <w:position w:val="0"/>
      <w:sz w:val="20"/>
      <w:szCs w:val="20"/>
      <w:lang w:val="en-US" w:eastAsia="en-US" w:bidi="en-US"/>
    </w:rPr>
  </w:style>
  <w:style w:type="character" w:customStyle="1" w:styleId="55">
    <w:name w:val="正文文本 (2)_"/>
    <w:basedOn w:val="30"/>
    <w:link w:val="53"/>
    <w:qFormat/>
    <w:uiPriority w:val="0"/>
    <w:rPr>
      <w:rFonts w:ascii="MingLiU" w:hAnsi="MingLiU" w:eastAsia="MingLiU" w:cs="MingLiU"/>
      <w:sz w:val="20"/>
      <w:szCs w:val="20"/>
    </w:rPr>
  </w:style>
  <w:style w:type="paragraph" w:customStyle="1" w:styleId="56">
    <w:name w:val="Table Paragraph"/>
    <w:basedOn w:val="1"/>
    <w:qFormat/>
    <w:uiPriority w:val="1"/>
    <w:rPr>
      <w:rFonts w:ascii="宋体" w:hAnsi="宋体" w:eastAsia="宋体" w:cs="宋体"/>
      <w:lang w:val="zh-CN" w:eastAsia="zh-CN" w:bidi="zh-CN"/>
    </w:rPr>
  </w:style>
  <w:style w:type="paragraph" w:customStyle="1" w:styleId="57">
    <w:name w:val="_Style 3"/>
    <w:basedOn w:val="1"/>
    <w:next w:val="21"/>
    <w:qFormat/>
    <w:uiPriority w:val="34"/>
    <w:pPr>
      <w:ind w:firstLine="420" w:firstLineChars="200"/>
    </w:pPr>
    <w:rPr>
      <w:rFonts w:ascii="Calibri" w:hAnsi="Calibri" w:eastAsia="宋体" w:cs="Times New Roman"/>
      <w:szCs w:val="24"/>
    </w:rPr>
  </w:style>
  <w:style w:type="paragraph" w:styleId="58">
    <w:name w:val="Intense Quote"/>
    <w:basedOn w:val="1"/>
    <w:next w:val="1"/>
    <w:qFormat/>
    <w:uiPriority w:val="0"/>
    <w:pPr>
      <w:wordWrap w:val="0"/>
      <w:spacing w:before="360" w:after="360"/>
      <w:ind w:left="950" w:right="950"/>
      <w:jc w:val="center"/>
    </w:pPr>
    <w:rPr>
      <w:i/>
    </w:rPr>
  </w:style>
  <w:style w:type="paragraph" w:customStyle="1" w:styleId="59">
    <w:name w:val="列出段落8"/>
    <w:basedOn w:val="1"/>
    <w:qFormat/>
    <w:uiPriority w:val="34"/>
    <w:pPr>
      <w:ind w:firstLine="420" w:firstLineChars="200"/>
    </w:pPr>
    <w:rPr>
      <w:rFonts w:ascii="Calibri" w:hAnsi="Calibri" w:eastAsia="宋体" w:cs="Times New Roman"/>
    </w:rPr>
  </w:style>
  <w:style w:type="paragraph" w:customStyle="1" w:styleId="60">
    <w:name w:val="_Style 2"/>
    <w:basedOn w:val="61"/>
    <w:qFormat/>
    <w:uiPriority w:val="34"/>
    <w:pPr>
      <w:ind w:firstLine="420" w:firstLineChars="200"/>
    </w:pPr>
    <w:rPr>
      <w:rFonts w:cs="Calibri"/>
      <w:kern w:val="0"/>
      <w:sz w:val="20"/>
      <w:szCs w:val="24"/>
    </w:rPr>
  </w:style>
  <w:style w:type="paragraph" w:customStyle="1" w:styleId="61">
    <w:name w:val="Normal_0"/>
    <w:qFormat/>
    <w:uiPriority w:val="0"/>
    <w:pPr>
      <w:widowControl w:val="0"/>
      <w:spacing w:line="360" w:lineRule="atLeast"/>
      <w:jc w:val="both"/>
    </w:pPr>
    <w:rPr>
      <w:rFonts w:ascii="Times New Roman" w:hAnsi="Times New Roman" w:eastAsia="宋体" w:cs="Times New Roman"/>
      <w:kern w:val="2"/>
      <w:sz w:val="21"/>
      <w:szCs w:val="21"/>
      <w:lang w:val="en-US" w:eastAsia="zh-CN" w:bidi="ar-SA"/>
    </w:rPr>
  </w:style>
  <w:style w:type="paragraph" w:styleId="62">
    <w:name w:val="List Paragraph"/>
    <w:basedOn w:val="1"/>
    <w:qFormat/>
    <w:uiPriority w:val="34"/>
    <w:pPr>
      <w:ind w:firstLine="420" w:firstLineChars="200"/>
    </w:pPr>
  </w:style>
  <w:style w:type="paragraph" w:customStyle="1" w:styleId="63">
    <w:name w:val="正文 New New New New"/>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64">
    <w:name w:val="font61"/>
    <w:basedOn w:val="30"/>
    <w:qFormat/>
    <w:uiPriority w:val="0"/>
    <w:rPr>
      <w:rFonts w:hint="eastAsia" w:ascii="宋体" w:hAnsi="宋体" w:eastAsia="宋体" w:cs="宋体"/>
      <w:color w:val="000000"/>
      <w:sz w:val="21"/>
      <w:szCs w:val="21"/>
      <w:u w:val="none"/>
    </w:rPr>
  </w:style>
  <w:style w:type="paragraph" w:customStyle="1" w:styleId="65">
    <w:name w:val="p1"/>
    <w:basedOn w:val="1"/>
    <w:qFormat/>
    <w:uiPriority w:val="0"/>
    <w:pPr>
      <w:spacing w:before="0" w:beforeAutospacing="0" w:after="0" w:afterAutospacing="0"/>
      <w:ind w:left="0" w:right="0"/>
      <w:jc w:val="left"/>
    </w:pPr>
    <w:rPr>
      <w:rFonts w:ascii="pingfang sc" w:hAnsi="pingfang sc" w:eastAsia="pingfang sc" w:cs="pingfang sc"/>
      <w:color w:val="000000"/>
      <w:kern w:val="0"/>
      <w:sz w:val="28"/>
      <w:szCs w:val="28"/>
      <w:lang w:val="en-US" w:eastAsia="zh-CN" w:bidi="ar"/>
    </w:rPr>
  </w:style>
  <w:style w:type="character" w:customStyle="1" w:styleId="66">
    <w:name w:val="标题 3 Char"/>
    <w:link w:val="4"/>
    <w:qFormat/>
    <w:uiPriority w:val="0"/>
    <w:rPr>
      <w:rFonts w:eastAsia="仿宋"/>
      <w:sz w:val="24"/>
    </w:rPr>
  </w:style>
  <w:style w:type="character" w:customStyle="1" w:styleId="67">
    <w:name w:val="font31"/>
    <w:basedOn w:val="30"/>
    <w:qFormat/>
    <w:uiPriority w:val="0"/>
    <w:rPr>
      <w:rFonts w:hint="eastAsia" w:ascii="宋体" w:hAnsi="宋体" w:eastAsia="宋体" w:cs="宋体"/>
      <w:color w:val="FF0000"/>
      <w:sz w:val="24"/>
      <w:szCs w:val="24"/>
      <w:u w:val="none"/>
    </w:rPr>
  </w:style>
  <w:style w:type="paragraph" w:customStyle="1" w:styleId="68">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69">
    <w:name w:val="纯文本3"/>
    <w:basedOn w:val="1"/>
    <w:qFormat/>
    <w:uiPriority w:val="0"/>
    <w:rPr>
      <w:rFonts w:ascii="宋体" w:hAnsi="Courier New"/>
    </w:rPr>
  </w:style>
  <w:style w:type="paragraph" w:customStyle="1" w:styleId="70">
    <w:name w:val="！A正文小四"/>
    <w:basedOn w:val="1"/>
    <w:qFormat/>
    <w:uiPriority w:val="0"/>
    <w:pPr>
      <w:widowControl w:val="0"/>
      <w:spacing w:line="360" w:lineRule="auto"/>
      <w:ind w:firstLine="480" w:firstLineChars="200"/>
    </w:pPr>
    <w:rPr>
      <w:lang w:val="zh-CN"/>
    </w:rPr>
  </w:style>
  <w:style w:type="character" w:customStyle="1" w:styleId="71">
    <w:name w:val="font51"/>
    <w:basedOn w:val="30"/>
    <w:qFormat/>
    <w:uiPriority w:val="0"/>
    <w:rPr>
      <w:rFonts w:ascii="pingfang sc" w:hAnsi="pingfang sc" w:eastAsia="pingfang sc" w:cs="pingfang sc"/>
      <w:color w:val="000000"/>
      <w:sz w:val="22"/>
      <w:szCs w:val="22"/>
      <w:u w:val="none"/>
    </w:rPr>
  </w:style>
  <w:style w:type="character" w:customStyle="1" w:styleId="72">
    <w:name w:val="font71"/>
    <w:basedOn w:val="30"/>
    <w:qFormat/>
    <w:uiPriority w:val="0"/>
    <w:rPr>
      <w:rFonts w:ascii="宋体-简" w:hAnsi="宋体-简" w:eastAsia="宋体-简" w:cs="宋体-简"/>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151</Pages>
  <Words>908</Words>
  <Characters>1089</Characters>
  <Lines>0</Lines>
  <Paragraphs>0</Paragraphs>
  <TotalTime>39</TotalTime>
  <ScaleCrop>false</ScaleCrop>
  <LinksUpToDate>false</LinksUpToDate>
  <CharactersWithSpaces>1151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2024-03-25T18:53:00Z</dcterms:created>
  <dc:creator>LB</dc:creator>
  <cp:lastModifiedBy>langben</cp:lastModifiedBy>
  <cp:lastPrinted>2025-05-16T22:06:00Z</cp:lastPrinted>
  <dcterms:modified xsi:type="dcterms:W3CDTF">2026-05-09T11:39:12Z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C4203489369F4BDF88FCD1900C06C12E_13</vt:lpwstr>
  </property>
  <property fmtid="{D5CDD505-2E9C-101B-9397-08002B2CF9AE}" pid="4" name="KSOTemplateDocerSaveRecord">
    <vt:lpwstr>eyJoZGlkIjoiNjgyOTFlY2FkMjg0NDcwYzY0NzdjOGY1ZjkzN2Q1MmMiLCJ1c2VySWQiOiIzMDAyNzYzMTYifQ==</vt:lpwstr>
  </property>
</Properties>
</file>